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D4E2" w14:textId="7D6CA674" w:rsidR="00483E69" w:rsidRDefault="00D53D51" w:rsidP="00483E69">
      <w:pPr>
        <w:pStyle w:val="Subtitle"/>
        <w:rPr>
          <w:rStyle w:val="IntenseEmphasis"/>
        </w:rPr>
        <w:sectPr w:rsidR="00483E69" w:rsidSect="00D53D51">
          <w:headerReference w:type="even" r:id="rId9"/>
          <w:headerReference w:type="default" r:id="rId10"/>
          <w:headerReference w:type="first" r:id="rId11"/>
          <w:pgSz w:w="11907" w:h="16839" w:code="9"/>
          <w:pgMar w:top="0" w:right="0" w:bottom="1560" w:left="0" w:header="0" w:footer="0" w:gutter="0"/>
          <w:pgNumType w:start="0"/>
          <w:cols w:space="720"/>
          <w:docGrid w:linePitch="360"/>
        </w:sectPr>
      </w:pPr>
      <w:r>
        <w:rPr>
          <w:b w:val="0"/>
          <w:bCs w:val="0"/>
          <w:i/>
          <w:iCs w:val="0"/>
          <w:noProof/>
        </w:rPr>
        <mc:AlternateContent>
          <mc:Choice Requires="wps">
            <w:drawing>
              <wp:anchor distT="0" distB="0" distL="114300" distR="114300" simplePos="0" relativeHeight="251699200" behindDoc="0" locked="0" layoutInCell="1" allowOverlap="1" wp14:anchorId="7BE347BF" wp14:editId="4341A779">
                <wp:simplePos x="0" y="0"/>
                <wp:positionH relativeFrom="page">
                  <wp:posOffset>-77638</wp:posOffset>
                </wp:positionH>
                <wp:positionV relativeFrom="paragraph">
                  <wp:posOffset>-170815</wp:posOffset>
                </wp:positionV>
                <wp:extent cx="7753350" cy="10955547"/>
                <wp:effectExtent l="0" t="0" r="19050" b="17780"/>
                <wp:wrapNone/>
                <wp:docPr id="16" name="Text Box 16"/>
                <wp:cNvGraphicFramePr/>
                <a:graphic xmlns:a="http://schemas.openxmlformats.org/drawingml/2006/main">
                  <a:graphicData uri="http://schemas.microsoft.com/office/word/2010/wordprocessingShape">
                    <wps:wsp>
                      <wps:cNvSpPr txBox="1"/>
                      <wps:spPr>
                        <a:xfrm>
                          <a:off x="0" y="0"/>
                          <a:ext cx="7753350" cy="10955547"/>
                        </a:xfrm>
                        <a:prstGeom prst="rect">
                          <a:avLst/>
                        </a:prstGeom>
                        <a:solidFill>
                          <a:schemeClr val="lt1"/>
                        </a:solidFill>
                        <a:ln w="6350">
                          <a:solidFill>
                            <a:prstClr val="black"/>
                          </a:solidFill>
                        </a:ln>
                      </wps:spPr>
                      <wps:txbx>
                        <w:txbxContent>
                          <w:p w14:paraId="22A1B146" w14:textId="57F6B938" w:rsidR="00D53D51" w:rsidRDefault="006554E1">
                            <w:r>
                              <w:rPr>
                                <w:noProof/>
                              </w:rPr>
                              <w:drawing>
                                <wp:inline distT="0" distB="0" distL="0" distR="0" wp14:anchorId="2F2C8804" wp14:editId="7FAA0E0F">
                                  <wp:extent cx="7530860" cy="10629424"/>
                                  <wp:effectExtent l="0" t="0" r="0" b="63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2"/>
                                          <a:srcRect t="325" r="798" b="570"/>
                                          <a:stretch/>
                                        </pic:blipFill>
                                        <pic:spPr bwMode="auto">
                                          <a:xfrm>
                                            <a:off x="0" y="0"/>
                                            <a:ext cx="7581406" cy="1070076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347BF" id="_x0000_t202" coordsize="21600,21600" o:spt="202" path="m,l,21600r21600,l21600,xe">
                <v:stroke joinstyle="miter"/>
                <v:path gradientshapeok="t" o:connecttype="rect"/>
              </v:shapetype>
              <v:shape id="Text Box 16" o:spid="_x0000_s1026" type="#_x0000_t202" style="position:absolute;margin-left:-6.1pt;margin-top:-13.45pt;width:610.5pt;height:862.6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" fillcolor="white [3201]" strokeweight=".5pt">
                <v:textbox>
                  <w:txbxContent>
                    <w:p w14:paraId="22A1B146" w14:textId="57F6B938" w:rsidR="00D53D51" w:rsidRDefault="006554E1">
                      <w:r>
                        <w:rPr>
                          <w:noProof/>
                        </w:rPr>
                        <w:drawing>
                          <wp:inline distT="0" distB="0" distL="0" distR="0" wp14:anchorId="2F2C8804" wp14:editId="7FAA0E0F">
                            <wp:extent cx="7530860" cy="10629424"/>
                            <wp:effectExtent l="0" t="0" r="0" b="63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2"/>
                                    <a:srcRect t="325" r="798" b="570"/>
                                    <a:stretch/>
                                  </pic:blipFill>
                                  <pic:spPr bwMode="auto">
                                    <a:xfrm>
                                      <a:off x="0" y="0"/>
                                      <a:ext cx="7581406" cy="1070076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p>
    <w:sdt>
      <w:sdtPr>
        <w:rPr>
          <w:rFonts w:eastAsia="Dotum"/>
          <w:bCs w:val="0"/>
          <w:color w:val="auto"/>
          <w:spacing w:val="0"/>
          <w:sz w:val="22"/>
          <w:szCs w:val="22"/>
        </w:rPr>
        <w:id w:val="1721084992"/>
        <w:docPartObj>
          <w:docPartGallery w:val="Table of Contents"/>
          <w:docPartUnique/>
        </w:docPartObj>
      </w:sdtPr>
      <w:sdtEndPr>
        <w:rPr>
          <w:b/>
          <w:noProof/>
        </w:rPr>
      </w:sdtEndPr>
      <w:sdtContent>
        <w:bookmarkStart w:id="0" w:name="_Toc498320114" w:displacedByCustomXml="prev"/>
        <w:p w14:paraId="1516E4A1" w14:textId="77777777" w:rsidR="00475417" w:rsidRPr="00922E79" w:rsidRDefault="00837425" w:rsidP="00837425">
          <w:pPr>
            <w:pStyle w:val="TOCHeading"/>
          </w:pPr>
          <w:r>
            <w:t>Contents</w:t>
          </w:r>
          <w:bookmarkEnd w:id="0"/>
        </w:p>
        <w:p w14:paraId="2A4DB826" w14:textId="77777777" w:rsidR="00847A67" w:rsidRDefault="006B6B17">
          <w:pPr>
            <w:pStyle w:val="TOC1"/>
            <w:rPr>
              <w:rFonts w:eastAsiaTheme="minorEastAsia" w:cstheme="minorBidi"/>
              <w:b w:val="0"/>
              <w:caps w:val="0"/>
              <w:noProof/>
              <w:lang w:eastAsia="en-AU"/>
            </w:rPr>
          </w:pPr>
          <w:r>
            <w:rPr>
              <w:b w:val="0"/>
              <w:caps w:val="0"/>
            </w:rPr>
            <w:fldChar w:fldCharType="begin"/>
          </w:r>
          <w:r>
            <w:rPr>
              <w:b w:val="0"/>
              <w:caps w:val="0"/>
            </w:rPr>
            <w:instrText xml:space="preserve"> TOC \o "1-2" \h \z \u </w:instrText>
          </w:r>
          <w:r>
            <w:rPr>
              <w:b w:val="0"/>
              <w:caps w:val="0"/>
            </w:rPr>
            <w:fldChar w:fldCharType="separate"/>
          </w:r>
          <w:hyperlink w:anchor="_Toc498963429" w:history="1">
            <w:r w:rsidR="00847A67" w:rsidRPr="00AC25F7">
              <w:rPr>
                <w:rStyle w:val="Hyperlink"/>
                <w:noProof/>
              </w:rPr>
              <w:t>Introduction</w:t>
            </w:r>
            <w:r w:rsidR="00847A67">
              <w:rPr>
                <w:noProof/>
                <w:webHidden/>
              </w:rPr>
              <w:tab/>
            </w:r>
            <w:r w:rsidR="00847A67">
              <w:rPr>
                <w:noProof/>
                <w:webHidden/>
              </w:rPr>
              <w:fldChar w:fldCharType="begin"/>
            </w:r>
            <w:r w:rsidR="00847A67">
              <w:rPr>
                <w:noProof/>
                <w:webHidden/>
              </w:rPr>
              <w:instrText xml:space="preserve"> PAGEREF _Toc498963429 \h </w:instrText>
            </w:r>
            <w:r w:rsidR="00847A67">
              <w:rPr>
                <w:noProof/>
                <w:webHidden/>
              </w:rPr>
            </w:r>
            <w:r w:rsidR="00847A67">
              <w:rPr>
                <w:noProof/>
                <w:webHidden/>
              </w:rPr>
              <w:fldChar w:fldCharType="separate"/>
            </w:r>
            <w:r w:rsidR="00193CAB">
              <w:rPr>
                <w:noProof/>
                <w:webHidden/>
              </w:rPr>
              <w:t>1</w:t>
            </w:r>
            <w:r w:rsidR="00847A67">
              <w:rPr>
                <w:noProof/>
                <w:webHidden/>
              </w:rPr>
              <w:fldChar w:fldCharType="end"/>
            </w:r>
          </w:hyperlink>
        </w:p>
        <w:p w14:paraId="029E6479" w14:textId="77777777" w:rsidR="00847A67" w:rsidRDefault="00CF4239">
          <w:pPr>
            <w:pStyle w:val="TOC1"/>
            <w:rPr>
              <w:rFonts w:eastAsiaTheme="minorEastAsia" w:cstheme="minorBidi"/>
              <w:b w:val="0"/>
              <w:caps w:val="0"/>
              <w:noProof/>
              <w:lang w:eastAsia="en-AU"/>
            </w:rPr>
          </w:pPr>
          <w:hyperlink w:anchor="_Toc498963430" w:history="1">
            <w:r w:rsidR="00847A67" w:rsidRPr="00AC25F7">
              <w:rPr>
                <w:rStyle w:val="Hyperlink"/>
                <w:noProof/>
              </w:rPr>
              <w:t>Current position</w:t>
            </w:r>
            <w:r w:rsidR="00847A67">
              <w:rPr>
                <w:noProof/>
                <w:webHidden/>
              </w:rPr>
              <w:tab/>
            </w:r>
            <w:r w:rsidR="00847A67">
              <w:rPr>
                <w:noProof/>
                <w:webHidden/>
              </w:rPr>
              <w:fldChar w:fldCharType="begin"/>
            </w:r>
            <w:r w:rsidR="00847A67">
              <w:rPr>
                <w:noProof/>
                <w:webHidden/>
              </w:rPr>
              <w:instrText xml:space="preserve"> PAGEREF _Toc498963430 \h </w:instrText>
            </w:r>
            <w:r w:rsidR="00847A67">
              <w:rPr>
                <w:noProof/>
                <w:webHidden/>
              </w:rPr>
            </w:r>
            <w:r w:rsidR="00847A67">
              <w:rPr>
                <w:noProof/>
                <w:webHidden/>
              </w:rPr>
              <w:fldChar w:fldCharType="separate"/>
            </w:r>
            <w:r w:rsidR="00193CAB">
              <w:rPr>
                <w:noProof/>
                <w:webHidden/>
              </w:rPr>
              <w:t>4</w:t>
            </w:r>
            <w:r w:rsidR="00847A67">
              <w:rPr>
                <w:noProof/>
                <w:webHidden/>
              </w:rPr>
              <w:fldChar w:fldCharType="end"/>
            </w:r>
          </w:hyperlink>
        </w:p>
        <w:p w14:paraId="11812132" w14:textId="77777777" w:rsidR="00847A67" w:rsidRDefault="00CF4239">
          <w:pPr>
            <w:pStyle w:val="TOC1"/>
            <w:rPr>
              <w:rFonts w:eastAsiaTheme="minorEastAsia" w:cstheme="minorBidi"/>
              <w:b w:val="0"/>
              <w:caps w:val="0"/>
              <w:noProof/>
              <w:lang w:eastAsia="en-AU"/>
            </w:rPr>
          </w:pPr>
          <w:hyperlink w:anchor="_Toc498963431" w:history="1">
            <w:r w:rsidR="00847A67" w:rsidRPr="00AC25F7">
              <w:rPr>
                <w:rStyle w:val="Hyperlink"/>
                <w:noProof/>
              </w:rPr>
              <w:t>Supporting Activities</w:t>
            </w:r>
            <w:r w:rsidR="00847A67">
              <w:rPr>
                <w:noProof/>
                <w:webHidden/>
              </w:rPr>
              <w:tab/>
            </w:r>
            <w:r w:rsidR="00847A67">
              <w:rPr>
                <w:noProof/>
                <w:webHidden/>
              </w:rPr>
              <w:fldChar w:fldCharType="begin"/>
            </w:r>
            <w:r w:rsidR="00847A67">
              <w:rPr>
                <w:noProof/>
                <w:webHidden/>
              </w:rPr>
              <w:instrText xml:space="preserve"> PAGEREF _Toc498963431 \h </w:instrText>
            </w:r>
            <w:r w:rsidR="00847A67">
              <w:rPr>
                <w:noProof/>
                <w:webHidden/>
              </w:rPr>
            </w:r>
            <w:r w:rsidR="00847A67">
              <w:rPr>
                <w:noProof/>
                <w:webHidden/>
              </w:rPr>
              <w:fldChar w:fldCharType="separate"/>
            </w:r>
            <w:r w:rsidR="00193CAB">
              <w:rPr>
                <w:noProof/>
                <w:webHidden/>
              </w:rPr>
              <w:t>5</w:t>
            </w:r>
            <w:r w:rsidR="00847A67">
              <w:rPr>
                <w:noProof/>
                <w:webHidden/>
              </w:rPr>
              <w:fldChar w:fldCharType="end"/>
            </w:r>
          </w:hyperlink>
        </w:p>
        <w:p w14:paraId="21E3273A" w14:textId="77777777" w:rsidR="00847A67" w:rsidRDefault="00CF4239">
          <w:pPr>
            <w:pStyle w:val="TOC2"/>
            <w:rPr>
              <w:rFonts w:eastAsiaTheme="minorEastAsia" w:cstheme="minorBidi"/>
              <w:noProof/>
              <w:lang w:eastAsia="en-AU"/>
            </w:rPr>
          </w:pPr>
          <w:hyperlink w:anchor="_Toc498963432" w:history="1">
            <w:r w:rsidR="00847A67" w:rsidRPr="00AC25F7">
              <w:rPr>
                <w:rStyle w:val="Hyperlink"/>
                <w:noProof/>
              </w:rPr>
              <w:t>DATA AND SYSTEM ENHANCEMENTS</w:t>
            </w:r>
            <w:r w:rsidR="00847A67">
              <w:rPr>
                <w:noProof/>
                <w:webHidden/>
              </w:rPr>
              <w:tab/>
            </w:r>
            <w:r w:rsidR="00847A67">
              <w:rPr>
                <w:noProof/>
                <w:webHidden/>
              </w:rPr>
              <w:fldChar w:fldCharType="begin"/>
            </w:r>
            <w:r w:rsidR="00847A67">
              <w:rPr>
                <w:noProof/>
                <w:webHidden/>
              </w:rPr>
              <w:instrText xml:space="preserve"> PAGEREF _Toc498963432 \h </w:instrText>
            </w:r>
            <w:r w:rsidR="00847A67">
              <w:rPr>
                <w:noProof/>
                <w:webHidden/>
              </w:rPr>
            </w:r>
            <w:r w:rsidR="00847A67">
              <w:rPr>
                <w:noProof/>
                <w:webHidden/>
              </w:rPr>
              <w:fldChar w:fldCharType="separate"/>
            </w:r>
            <w:r w:rsidR="00193CAB">
              <w:rPr>
                <w:noProof/>
                <w:webHidden/>
              </w:rPr>
              <w:t>5</w:t>
            </w:r>
            <w:r w:rsidR="00847A67">
              <w:rPr>
                <w:noProof/>
                <w:webHidden/>
              </w:rPr>
              <w:fldChar w:fldCharType="end"/>
            </w:r>
          </w:hyperlink>
        </w:p>
        <w:p w14:paraId="22649F0F" w14:textId="77777777" w:rsidR="00847A67" w:rsidRDefault="00CF4239">
          <w:pPr>
            <w:pStyle w:val="TOC2"/>
            <w:rPr>
              <w:rFonts w:eastAsiaTheme="minorEastAsia" w:cstheme="minorBidi"/>
              <w:noProof/>
              <w:lang w:eastAsia="en-AU"/>
            </w:rPr>
          </w:pPr>
          <w:hyperlink w:anchor="_Toc498963433" w:history="1">
            <w:r w:rsidR="00847A67" w:rsidRPr="00AC25F7">
              <w:rPr>
                <w:rStyle w:val="Hyperlink"/>
                <w:noProof/>
              </w:rPr>
              <w:t>GUIDELINES AND GOVERNANCE</w:t>
            </w:r>
            <w:r w:rsidR="00847A67">
              <w:rPr>
                <w:noProof/>
                <w:webHidden/>
              </w:rPr>
              <w:tab/>
            </w:r>
            <w:r w:rsidR="00847A67">
              <w:rPr>
                <w:noProof/>
                <w:webHidden/>
              </w:rPr>
              <w:fldChar w:fldCharType="begin"/>
            </w:r>
            <w:r w:rsidR="00847A67">
              <w:rPr>
                <w:noProof/>
                <w:webHidden/>
              </w:rPr>
              <w:instrText xml:space="preserve"> PAGEREF _Toc498963433 \h </w:instrText>
            </w:r>
            <w:r w:rsidR="00847A67">
              <w:rPr>
                <w:noProof/>
                <w:webHidden/>
              </w:rPr>
            </w:r>
            <w:r w:rsidR="00847A67">
              <w:rPr>
                <w:noProof/>
                <w:webHidden/>
              </w:rPr>
              <w:fldChar w:fldCharType="separate"/>
            </w:r>
            <w:r w:rsidR="00193CAB">
              <w:rPr>
                <w:noProof/>
                <w:webHidden/>
              </w:rPr>
              <w:t>6</w:t>
            </w:r>
            <w:r w:rsidR="00847A67">
              <w:rPr>
                <w:noProof/>
                <w:webHidden/>
              </w:rPr>
              <w:fldChar w:fldCharType="end"/>
            </w:r>
          </w:hyperlink>
        </w:p>
        <w:p w14:paraId="0936C4C4" w14:textId="77777777" w:rsidR="00847A67" w:rsidRDefault="00CF4239">
          <w:pPr>
            <w:pStyle w:val="TOC2"/>
            <w:rPr>
              <w:rFonts w:eastAsiaTheme="minorEastAsia" w:cstheme="minorBidi"/>
              <w:noProof/>
              <w:lang w:eastAsia="en-AU"/>
            </w:rPr>
          </w:pPr>
          <w:hyperlink w:anchor="_Toc498963434" w:history="1">
            <w:r w:rsidR="00847A67" w:rsidRPr="00AC25F7">
              <w:rPr>
                <w:rStyle w:val="Hyperlink"/>
                <w:noProof/>
              </w:rPr>
              <w:t>TOOL AND RESOURCES</w:t>
            </w:r>
            <w:r w:rsidR="00847A67">
              <w:rPr>
                <w:noProof/>
                <w:webHidden/>
              </w:rPr>
              <w:tab/>
            </w:r>
            <w:r w:rsidR="00847A67">
              <w:rPr>
                <w:noProof/>
                <w:webHidden/>
              </w:rPr>
              <w:fldChar w:fldCharType="begin"/>
            </w:r>
            <w:r w:rsidR="00847A67">
              <w:rPr>
                <w:noProof/>
                <w:webHidden/>
              </w:rPr>
              <w:instrText xml:space="preserve"> PAGEREF _Toc498963434 \h </w:instrText>
            </w:r>
            <w:r w:rsidR="00847A67">
              <w:rPr>
                <w:noProof/>
                <w:webHidden/>
              </w:rPr>
            </w:r>
            <w:r w:rsidR="00847A67">
              <w:rPr>
                <w:noProof/>
                <w:webHidden/>
              </w:rPr>
              <w:fldChar w:fldCharType="separate"/>
            </w:r>
            <w:r w:rsidR="00193CAB">
              <w:rPr>
                <w:noProof/>
                <w:webHidden/>
              </w:rPr>
              <w:t>7</w:t>
            </w:r>
            <w:r w:rsidR="00847A67">
              <w:rPr>
                <w:noProof/>
                <w:webHidden/>
              </w:rPr>
              <w:fldChar w:fldCharType="end"/>
            </w:r>
          </w:hyperlink>
        </w:p>
        <w:p w14:paraId="15273D2A" w14:textId="77777777" w:rsidR="00847A67" w:rsidRDefault="00CF4239">
          <w:pPr>
            <w:pStyle w:val="TOC2"/>
            <w:rPr>
              <w:rFonts w:eastAsiaTheme="minorEastAsia" w:cstheme="minorBidi"/>
              <w:noProof/>
              <w:lang w:eastAsia="en-AU"/>
            </w:rPr>
          </w:pPr>
          <w:hyperlink w:anchor="_Toc498963435" w:history="1">
            <w:r w:rsidR="00847A67" w:rsidRPr="00AC25F7">
              <w:rPr>
                <w:rStyle w:val="Hyperlink"/>
                <w:noProof/>
              </w:rPr>
              <w:t>EDUCATION AND TRAINING</w:t>
            </w:r>
            <w:r w:rsidR="00847A67">
              <w:rPr>
                <w:noProof/>
                <w:webHidden/>
              </w:rPr>
              <w:tab/>
            </w:r>
            <w:r w:rsidR="00847A67">
              <w:rPr>
                <w:noProof/>
                <w:webHidden/>
              </w:rPr>
              <w:fldChar w:fldCharType="begin"/>
            </w:r>
            <w:r w:rsidR="00847A67">
              <w:rPr>
                <w:noProof/>
                <w:webHidden/>
              </w:rPr>
              <w:instrText xml:space="preserve"> PAGEREF _Toc498963435 \h </w:instrText>
            </w:r>
            <w:r w:rsidR="00847A67">
              <w:rPr>
                <w:noProof/>
                <w:webHidden/>
              </w:rPr>
            </w:r>
            <w:r w:rsidR="00847A67">
              <w:rPr>
                <w:noProof/>
                <w:webHidden/>
              </w:rPr>
              <w:fldChar w:fldCharType="separate"/>
            </w:r>
            <w:r w:rsidR="00193CAB">
              <w:rPr>
                <w:noProof/>
                <w:webHidden/>
              </w:rPr>
              <w:t>8</w:t>
            </w:r>
            <w:r w:rsidR="00847A67">
              <w:rPr>
                <w:noProof/>
                <w:webHidden/>
              </w:rPr>
              <w:fldChar w:fldCharType="end"/>
            </w:r>
          </w:hyperlink>
        </w:p>
        <w:p w14:paraId="1D62434F" w14:textId="77777777" w:rsidR="00847A67" w:rsidRDefault="00CF4239">
          <w:pPr>
            <w:pStyle w:val="TOC2"/>
            <w:rPr>
              <w:rFonts w:eastAsiaTheme="minorEastAsia" w:cstheme="minorBidi"/>
              <w:noProof/>
              <w:lang w:eastAsia="en-AU"/>
            </w:rPr>
          </w:pPr>
          <w:hyperlink w:anchor="_Toc498963436" w:history="1">
            <w:r w:rsidR="00847A67" w:rsidRPr="00AC25F7">
              <w:rPr>
                <w:rStyle w:val="Hyperlink"/>
                <w:noProof/>
              </w:rPr>
              <w:t>PROMOTION AND COMMUNCIATION</w:t>
            </w:r>
            <w:r w:rsidR="00847A67">
              <w:rPr>
                <w:noProof/>
                <w:webHidden/>
              </w:rPr>
              <w:tab/>
            </w:r>
            <w:r w:rsidR="00847A67">
              <w:rPr>
                <w:noProof/>
                <w:webHidden/>
              </w:rPr>
              <w:fldChar w:fldCharType="begin"/>
            </w:r>
            <w:r w:rsidR="00847A67">
              <w:rPr>
                <w:noProof/>
                <w:webHidden/>
              </w:rPr>
              <w:instrText xml:space="preserve"> PAGEREF _Toc498963436 \h </w:instrText>
            </w:r>
            <w:r w:rsidR="00847A67">
              <w:rPr>
                <w:noProof/>
                <w:webHidden/>
              </w:rPr>
            </w:r>
            <w:r w:rsidR="00847A67">
              <w:rPr>
                <w:noProof/>
                <w:webHidden/>
              </w:rPr>
              <w:fldChar w:fldCharType="separate"/>
            </w:r>
            <w:r w:rsidR="00193CAB">
              <w:rPr>
                <w:noProof/>
                <w:webHidden/>
              </w:rPr>
              <w:t>9</w:t>
            </w:r>
            <w:r w:rsidR="00847A67">
              <w:rPr>
                <w:noProof/>
                <w:webHidden/>
              </w:rPr>
              <w:fldChar w:fldCharType="end"/>
            </w:r>
          </w:hyperlink>
        </w:p>
        <w:p w14:paraId="5DBCF960" w14:textId="77777777" w:rsidR="00847A67" w:rsidRDefault="00CF4239">
          <w:pPr>
            <w:pStyle w:val="TOC1"/>
            <w:rPr>
              <w:rFonts w:eastAsiaTheme="minorEastAsia" w:cstheme="minorBidi"/>
              <w:b w:val="0"/>
              <w:caps w:val="0"/>
              <w:noProof/>
              <w:lang w:eastAsia="en-AU"/>
            </w:rPr>
          </w:pPr>
          <w:hyperlink w:anchor="_Toc498963437" w:history="1">
            <w:r w:rsidR="00847A67" w:rsidRPr="00AC25F7">
              <w:rPr>
                <w:rStyle w:val="Hyperlink"/>
                <w:noProof/>
              </w:rPr>
              <w:t>Previous Strategy</w:t>
            </w:r>
            <w:r w:rsidR="00847A67">
              <w:rPr>
                <w:noProof/>
                <w:webHidden/>
              </w:rPr>
              <w:tab/>
            </w:r>
            <w:r w:rsidR="00847A67">
              <w:rPr>
                <w:noProof/>
                <w:webHidden/>
              </w:rPr>
              <w:fldChar w:fldCharType="begin"/>
            </w:r>
            <w:r w:rsidR="00847A67">
              <w:rPr>
                <w:noProof/>
                <w:webHidden/>
              </w:rPr>
              <w:instrText xml:space="preserve"> PAGEREF _Toc498963437 \h </w:instrText>
            </w:r>
            <w:r w:rsidR="00847A67">
              <w:rPr>
                <w:noProof/>
                <w:webHidden/>
              </w:rPr>
            </w:r>
            <w:r w:rsidR="00847A67">
              <w:rPr>
                <w:noProof/>
                <w:webHidden/>
              </w:rPr>
              <w:fldChar w:fldCharType="separate"/>
            </w:r>
            <w:r w:rsidR="00193CAB">
              <w:rPr>
                <w:noProof/>
                <w:webHidden/>
              </w:rPr>
              <w:t>12</w:t>
            </w:r>
            <w:r w:rsidR="00847A67">
              <w:rPr>
                <w:noProof/>
                <w:webHidden/>
              </w:rPr>
              <w:fldChar w:fldCharType="end"/>
            </w:r>
          </w:hyperlink>
        </w:p>
        <w:p w14:paraId="35B7C340" w14:textId="77777777" w:rsidR="006B6B17" w:rsidRDefault="006B6B17">
          <w:r>
            <w:rPr>
              <w:rFonts w:asciiTheme="minorHAnsi" w:hAnsiTheme="minorHAnsi" w:cstheme="minorHAnsi"/>
              <w:b/>
              <w:caps/>
            </w:rPr>
            <w:fldChar w:fldCharType="end"/>
          </w:r>
        </w:p>
      </w:sdtContent>
    </w:sdt>
    <w:p w14:paraId="65CA2CE3" w14:textId="77777777" w:rsidR="00431818" w:rsidRPr="0053446B" w:rsidRDefault="00431818" w:rsidP="00431818">
      <w:pPr>
        <w:spacing w:line="276" w:lineRule="auto"/>
        <w:rPr>
          <w:b/>
        </w:rPr>
      </w:pPr>
      <w:r w:rsidRPr="0053446B">
        <w:rPr>
          <w:b/>
        </w:rPr>
        <w:t>Version control</w:t>
      </w:r>
    </w:p>
    <w:tbl>
      <w:tblPr>
        <w:tblStyle w:val="TableGrid"/>
        <w:tblW w:w="0" w:type="auto"/>
        <w:tblLook w:val="04A0" w:firstRow="1" w:lastRow="0" w:firstColumn="1" w:lastColumn="0" w:noHBand="0" w:noVBand="1"/>
      </w:tblPr>
      <w:tblGrid>
        <w:gridCol w:w="1355"/>
        <w:gridCol w:w="1798"/>
        <w:gridCol w:w="3758"/>
        <w:gridCol w:w="2298"/>
      </w:tblGrid>
      <w:tr w:rsidR="00431818" w:rsidRPr="00193CAB" w14:paraId="54359721" w14:textId="77777777" w:rsidTr="009A21E3">
        <w:tc>
          <w:tcPr>
            <w:tcW w:w="1374" w:type="dxa"/>
          </w:tcPr>
          <w:p w14:paraId="1828FAFA" w14:textId="77777777" w:rsidR="00431818" w:rsidRPr="00193CAB" w:rsidRDefault="00431818" w:rsidP="00431818">
            <w:pPr>
              <w:spacing w:after="0"/>
              <w:rPr>
                <w:b/>
              </w:rPr>
            </w:pPr>
            <w:r w:rsidRPr="00193CAB">
              <w:rPr>
                <w:b/>
              </w:rPr>
              <w:t>Number</w:t>
            </w:r>
          </w:p>
        </w:tc>
        <w:tc>
          <w:tcPr>
            <w:tcW w:w="1828" w:type="dxa"/>
          </w:tcPr>
          <w:p w14:paraId="7730FB9E" w14:textId="77777777" w:rsidR="00431818" w:rsidRPr="00193CAB" w:rsidRDefault="00431818" w:rsidP="00431818">
            <w:pPr>
              <w:spacing w:after="0"/>
              <w:rPr>
                <w:b/>
              </w:rPr>
            </w:pPr>
            <w:r w:rsidRPr="00193CAB">
              <w:rPr>
                <w:b/>
              </w:rPr>
              <w:t>Date</w:t>
            </w:r>
          </w:p>
        </w:tc>
        <w:tc>
          <w:tcPr>
            <w:tcW w:w="3875" w:type="dxa"/>
          </w:tcPr>
          <w:p w14:paraId="2D31E272" w14:textId="77777777" w:rsidR="00431818" w:rsidRPr="00193CAB" w:rsidRDefault="00431818" w:rsidP="00431818">
            <w:pPr>
              <w:spacing w:after="0"/>
              <w:rPr>
                <w:b/>
              </w:rPr>
            </w:pPr>
            <w:r w:rsidRPr="00193CAB">
              <w:rPr>
                <w:b/>
              </w:rPr>
              <w:t>Description of changes</w:t>
            </w:r>
          </w:p>
        </w:tc>
        <w:tc>
          <w:tcPr>
            <w:tcW w:w="2358" w:type="dxa"/>
          </w:tcPr>
          <w:p w14:paraId="6DC9079A" w14:textId="77777777" w:rsidR="00431818" w:rsidRPr="00193CAB" w:rsidRDefault="00431818" w:rsidP="00431818">
            <w:pPr>
              <w:spacing w:after="0"/>
              <w:rPr>
                <w:b/>
              </w:rPr>
            </w:pPr>
            <w:r w:rsidRPr="00193CAB">
              <w:rPr>
                <w:b/>
              </w:rPr>
              <w:t>Changed by</w:t>
            </w:r>
          </w:p>
        </w:tc>
      </w:tr>
      <w:tr w:rsidR="00431818" w14:paraId="42F91C24" w14:textId="77777777" w:rsidTr="009A21E3">
        <w:tc>
          <w:tcPr>
            <w:tcW w:w="1374" w:type="dxa"/>
          </w:tcPr>
          <w:p w14:paraId="26F3B451" w14:textId="77777777" w:rsidR="00431818" w:rsidRDefault="00431818" w:rsidP="00431818">
            <w:pPr>
              <w:spacing w:after="0"/>
            </w:pPr>
            <w:r>
              <w:t>1</w:t>
            </w:r>
          </w:p>
        </w:tc>
        <w:tc>
          <w:tcPr>
            <w:tcW w:w="1828" w:type="dxa"/>
          </w:tcPr>
          <w:p w14:paraId="6E594D68" w14:textId="77777777" w:rsidR="00431818" w:rsidRDefault="0025628A" w:rsidP="00431818">
            <w:pPr>
              <w:spacing w:after="0"/>
            </w:pPr>
            <w:r>
              <w:t>November 2017</w:t>
            </w:r>
          </w:p>
        </w:tc>
        <w:tc>
          <w:tcPr>
            <w:tcW w:w="3875" w:type="dxa"/>
          </w:tcPr>
          <w:p w14:paraId="72FB81A5" w14:textId="77777777" w:rsidR="00431818" w:rsidRDefault="0025628A" w:rsidP="00431818">
            <w:pPr>
              <w:spacing w:after="0"/>
            </w:pPr>
            <w:r>
              <w:t>Initial</w:t>
            </w:r>
          </w:p>
        </w:tc>
        <w:tc>
          <w:tcPr>
            <w:tcW w:w="2358" w:type="dxa"/>
          </w:tcPr>
          <w:p w14:paraId="35A98251" w14:textId="77777777" w:rsidR="00431818" w:rsidRDefault="0025628A" w:rsidP="00431818">
            <w:pPr>
              <w:spacing w:after="0"/>
            </w:pPr>
            <w:r>
              <w:t>NBA</w:t>
            </w:r>
          </w:p>
        </w:tc>
      </w:tr>
      <w:tr w:rsidR="00431818" w14:paraId="564772E6" w14:textId="77777777" w:rsidTr="009A21E3">
        <w:tc>
          <w:tcPr>
            <w:tcW w:w="1374" w:type="dxa"/>
          </w:tcPr>
          <w:p w14:paraId="69B96C30" w14:textId="77777777" w:rsidR="00431818" w:rsidRDefault="009E6B53" w:rsidP="00431818">
            <w:pPr>
              <w:spacing w:after="0"/>
            </w:pPr>
            <w:r>
              <w:t>2</w:t>
            </w:r>
          </w:p>
        </w:tc>
        <w:tc>
          <w:tcPr>
            <w:tcW w:w="1828" w:type="dxa"/>
          </w:tcPr>
          <w:p w14:paraId="097868D9" w14:textId="77777777" w:rsidR="00431818" w:rsidRDefault="009A21E3" w:rsidP="00431818">
            <w:pPr>
              <w:spacing w:after="0"/>
            </w:pPr>
            <w:r>
              <w:t>May 2018</w:t>
            </w:r>
          </w:p>
        </w:tc>
        <w:tc>
          <w:tcPr>
            <w:tcW w:w="3875" w:type="dxa"/>
          </w:tcPr>
          <w:p w14:paraId="6B5B0686" w14:textId="77777777" w:rsidR="00431818" w:rsidRDefault="009A21E3" w:rsidP="00431818">
            <w:pPr>
              <w:spacing w:after="0"/>
            </w:pPr>
            <w:r>
              <w:t>Final</w:t>
            </w:r>
          </w:p>
        </w:tc>
        <w:tc>
          <w:tcPr>
            <w:tcW w:w="2358" w:type="dxa"/>
          </w:tcPr>
          <w:p w14:paraId="1E163DA4" w14:textId="77777777" w:rsidR="00431818" w:rsidRDefault="009A21E3" w:rsidP="00431818">
            <w:pPr>
              <w:spacing w:after="0"/>
            </w:pPr>
            <w:r>
              <w:t>NBA</w:t>
            </w:r>
          </w:p>
        </w:tc>
      </w:tr>
      <w:tr w:rsidR="00431818" w14:paraId="2A7AE869" w14:textId="77777777" w:rsidTr="009A21E3">
        <w:tc>
          <w:tcPr>
            <w:tcW w:w="1374" w:type="dxa"/>
          </w:tcPr>
          <w:p w14:paraId="0E0FD5D9" w14:textId="1006B301" w:rsidR="00431818" w:rsidRDefault="00776133" w:rsidP="00431818">
            <w:pPr>
              <w:spacing w:after="0"/>
            </w:pPr>
            <w:r>
              <w:t>3</w:t>
            </w:r>
          </w:p>
        </w:tc>
        <w:tc>
          <w:tcPr>
            <w:tcW w:w="1828" w:type="dxa"/>
          </w:tcPr>
          <w:p w14:paraId="108B95B7" w14:textId="4EA0D556" w:rsidR="00431818" w:rsidRDefault="00776133" w:rsidP="00431818">
            <w:pPr>
              <w:spacing w:after="0"/>
            </w:pPr>
            <w:r>
              <w:t>June 2022</w:t>
            </w:r>
          </w:p>
        </w:tc>
        <w:tc>
          <w:tcPr>
            <w:tcW w:w="3875" w:type="dxa"/>
          </w:tcPr>
          <w:p w14:paraId="55FB4394" w14:textId="072D985D" w:rsidR="00431818" w:rsidRDefault="00776133" w:rsidP="00431818">
            <w:pPr>
              <w:spacing w:after="0"/>
            </w:pPr>
            <w:r>
              <w:t>Extension</w:t>
            </w:r>
          </w:p>
        </w:tc>
        <w:tc>
          <w:tcPr>
            <w:tcW w:w="2358" w:type="dxa"/>
          </w:tcPr>
          <w:p w14:paraId="235C6427" w14:textId="64F89934" w:rsidR="00431818" w:rsidRDefault="002271B7" w:rsidP="00431818">
            <w:pPr>
              <w:spacing w:after="0"/>
            </w:pPr>
            <w:r>
              <w:t>NBA</w:t>
            </w:r>
          </w:p>
        </w:tc>
      </w:tr>
    </w:tbl>
    <w:p w14:paraId="4832DF7B" w14:textId="77777777" w:rsidR="00431818" w:rsidRDefault="00431818">
      <w:pPr>
        <w:spacing w:after="0"/>
      </w:pPr>
    </w:p>
    <w:p w14:paraId="62B45BA1" w14:textId="77777777" w:rsidR="00192D63" w:rsidRDefault="00192D63">
      <w:pPr>
        <w:spacing w:after="0"/>
      </w:pPr>
    </w:p>
    <w:p w14:paraId="3C2C298C" w14:textId="77777777" w:rsidR="00192D63" w:rsidRDefault="00192D63">
      <w:pPr>
        <w:spacing w:after="0"/>
      </w:pPr>
    </w:p>
    <w:p w14:paraId="0542B595" w14:textId="77777777" w:rsidR="00192D63" w:rsidRDefault="00192D63">
      <w:pPr>
        <w:spacing w:after="0"/>
      </w:pPr>
    </w:p>
    <w:p w14:paraId="6B3CC0CF" w14:textId="77777777" w:rsidR="00192D63" w:rsidRDefault="00192D63">
      <w:pPr>
        <w:spacing w:after="0"/>
      </w:pPr>
    </w:p>
    <w:p w14:paraId="14BDC16F" w14:textId="77777777" w:rsidR="00192D63" w:rsidRDefault="00192D63">
      <w:pPr>
        <w:spacing w:after="0"/>
      </w:pPr>
    </w:p>
    <w:p w14:paraId="4EB27918" w14:textId="77777777" w:rsidR="00192D63" w:rsidRDefault="00192D63">
      <w:pPr>
        <w:spacing w:after="0"/>
      </w:pPr>
    </w:p>
    <w:p w14:paraId="2FDC6948" w14:textId="77777777" w:rsidR="00192D63" w:rsidRDefault="00192D63">
      <w:pPr>
        <w:spacing w:after="0"/>
      </w:pPr>
    </w:p>
    <w:p w14:paraId="35BFC7A6" w14:textId="77777777" w:rsidR="00192D63" w:rsidRDefault="00192D63">
      <w:pPr>
        <w:spacing w:after="0"/>
      </w:pPr>
    </w:p>
    <w:p w14:paraId="195AF2A4" w14:textId="77777777" w:rsidR="00192D63" w:rsidRDefault="00192D63">
      <w:pPr>
        <w:spacing w:after="0"/>
      </w:pPr>
    </w:p>
    <w:p w14:paraId="511B2E0E" w14:textId="77777777" w:rsidR="00192D63" w:rsidRDefault="00192D63">
      <w:pPr>
        <w:spacing w:after="0"/>
      </w:pPr>
    </w:p>
    <w:p w14:paraId="1AC2BCEF" w14:textId="77777777" w:rsidR="00192D63" w:rsidRDefault="00192D63">
      <w:pPr>
        <w:spacing w:after="0"/>
      </w:pPr>
    </w:p>
    <w:p w14:paraId="3BD6DB3D" w14:textId="77777777" w:rsidR="00192D63" w:rsidRDefault="00192D63">
      <w:pPr>
        <w:spacing w:after="0"/>
      </w:pPr>
    </w:p>
    <w:p w14:paraId="3CA598C3" w14:textId="77777777" w:rsidR="00192D63" w:rsidRDefault="00192D63">
      <w:pPr>
        <w:spacing w:after="0"/>
      </w:pPr>
    </w:p>
    <w:p w14:paraId="37E2565E" w14:textId="77777777" w:rsidR="00192D63" w:rsidRDefault="00192D63">
      <w:pPr>
        <w:spacing w:after="0"/>
      </w:pPr>
    </w:p>
    <w:p w14:paraId="011832B6" w14:textId="77777777" w:rsidR="00192D63" w:rsidRDefault="00192D63">
      <w:pPr>
        <w:spacing w:after="0"/>
      </w:pPr>
    </w:p>
    <w:p w14:paraId="185E2C70" w14:textId="77777777" w:rsidR="00192D63" w:rsidRDefault="00192D63">
      <w:pPr>
        <w:spacing w:after="0"/>
      </w:pPr>
    </w:p>
    <w:p w14:paraId="6FDB80A1" w14:textId="77777777" w:rsidR="00192D63" w:rsidRDefault="004D3721">
      <w:pPr>
        <w:spacing w:after="0"/>
      </w:pPr>
      <w:r>
        <w:rPr>
          <w:noProof/>
          <w:lang w:eastAsia="en-AU"/>
        </w:rPr>
        <mc:AlternateContent>
          <mc:Choice Requires="wps">
            <w:drawing>
              <wp:anchor distT="0" distB="0" distL="114300" distR="114300" simplePos="0" relativeHeight="251697152" behindDoc="0" locked="1" layoutInCell="1" allowOverlap="1" wp14:anchorId="49F84116" wp14:editId="53E5C6BA">
                <wp:simplePos x="0" y="0"/>
                <wp:positionH relativeFrom="page">
                  <wp:posOffset>3733800</wp:posOffset>
                </wp:positionH>
                <wp:positionV relativeFrom="page">
                  <wp:posOffset>8048625</wp:posOffset>
                </wp:positionV>
                <wp:extent cx="2924175" cy="2303780"/>
                <wp:effectExtent l="0" t="0" r="9525" b="127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30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357E9" w14:textId="77777777" w:rsidR="00F54429" w:rsidRDefault="00F54429" w:rsidP="00192D63">
                            <w:pPr>
                              <w:pStyle w:val="NoSpacing"/>
                              <w:jc w:val="right"/>
                              <w:rPr>
                                <w:b/>
                              </w:rPr>
                            </w:pPr>
                            <w:r>
                              <w:rPr>
                                <w:b/>
                                <w:noProof/>
                                <w:lang w:val="en-AU" w:eastAsia="en-AU"/>
                              </w:rPr>
                              <w:drawing>
                                <wp:inline distT="0" distB="0" distL="0" distR="0" wp14:anchorId="5DE39193" wp14:editId="7E549787">
                                  <wp:extent cx="2828925" cy="609600"/>
                                  <wp:effectExtent l="0" t="0" r="9525" b="0"/>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Logo_CMYK_small.png"/>
                                          <pic:cNvPicPr/>
                                        </pic:nvPicPr>
                                        <pic:blipFill rotWithShape="1">
                                          <a:blip r:embed="rId13">
                                            <a:extLst>
                                              <a:ext uri="{28A0092B-C50C-407E-A947-70E740481C1C}">
                                                <a14:useLocalDpi xmlns:a14="http://schemas.microsoft.com/office/drawing/2010/main" val="0"/>
                                              </a:ext>
                                            </a:extLst>
                                          </a:blip>
                                          <a:srcRect l="-2474" t="-9462" r="-2474" b="-11649"/>
                                          <a:stretch/>
                                        </pic:blipFill>
                                        <pic:spPr bwMode="auto">
                                          <a:xfrm>
                                            <a:off x="0" y="0"/>
                                            <a:ext cx="2832735" cy="610421"/>
                                          </a:xfrm>
                                          <a:prstGeom prst="rect">
                                            <a:avLst/>
                                          </a:prstGeom>
                                          <a:ln>
                                            <a:noFill/>
                                          </a:ln>
                                          <a:extLst>
                                            <a:ext uri="{53640926-AAD7-44D8-BBD7-CCE9431645EC}">
                                              <a14:shadowObscured xmlns:a14="http://schemas.microsoft.com/office/drawing/2010/main"/>
                                            </a:ext>
                                          </a:extLst>
                                        </pic:spPr>
                                      </pic:pic>
                                    </a:graphicData>
                                  </a:graphic>
                                </wp:inline>
                              </w:drawing>
                            </w:r>
                          </w:p>
                          <w:p w14:paraId="78706806" w14:textId="77777777" w:rsidR="00F54429" w:rsidRDefault="00F54429" w:rsidP="00192D63">
                            <w:pPr>
                              <w:pStyle w:val="NoSpacing"/>
                              <w:jc w:val="right"/>
                              <w:rPr>
                                <w:b/>
                              </w:rPr>
                            </w:pPr>
                          </w:p>
                          <w:p w14:paraId="0B539AFB" w14:textId="77777777" w:rsidR="00F54429" w:rsidRPr="004C7DF0" w:rsidRDefault="00F54429" w:rsidP="00192D63">
                            <w:pPr>
                              <w:pStyle w:val="NoSpacing"/>
                              <w:jc w:val="right"/>
                            </w:pPr>
                            <w:r w:rsidRPr="004C7DF0">
                              <w:t>Locked Bag 8430</w:t>
                            </w:r>
                          </w:p>
                          <w:p w14:paraId="216D38C5" w14:textId="77777777" w:rsidR="00F54429" w:rsidRDefault="00F54429" w:rsidP="00192D63">
                            <w:pPr>
                              <w:pStyle w:val="NoSpacing"/>
                              <w:jc w:val="right"/>
                            </w:pPr>
                            <w:r w:rsidRPr="004C7DF0">
                              <w:t>Canberra ACT 2601</w:t>
                            </w:r>
                          </w:p>
                          <w:p w14:paraId="7627B022" w14:textId="77777777" w:rsidR="00F54429" w:rsidRDefault="00F54429" w:rsidP="00192D63">
                            <w:pPr>
                              <w:pStyle w:val="NoSpacing"/>
                              <w:jc w:val="right"/>
                            </w:pPr>
                            <w:r>
                              <w:t>Phone: 13 000 BLOOD (13 000 25663)</w:t>
                            </w:r>
                          </w:p>
                          <w:p w14:paraId="6B9D0EFF" w14:textId="77777777" w:rsidR="00F54429" w:rsidRDefault="00F54429" w:rsidP="00192D63">
                            <w:pPr>
                              <w:pStyle w:val="NoSpacing"/>
                              <w:jc w:val="right"/>
                            </w:pPr>
                            <w:r>
                              <w:t>Email: inventory.management</w:t>
                            </w:r>
                            <w:r w:rsidRPr="0077785D">
                              <w:t>@blood.gov.au</w:t>
                            </w:r>
                            <w:r>
                              <w:t xml:space="preserve"> </w:t>
                            </w:r>
                            <w:r>
                              <w:br/>
                            </w:r>
                            <w:r w:rsidRPr="0077785D">
                              <w:t>www.blood.gov.au/</w:t>
                            </w:r>
                            <w:r>
                              <w:t>wastage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84116" id="_x0000_t202" coordsize="21600,21600" o:spt="202" path="m,l,21600r21600,l21600,xe">
                <v:stroke joinstyle="miter"/>
                <v:path gradientshapeok="t" o:connecttype="rect"/>
              </v:shapetype>
              <v:shape id="Text Box 15" o:spid="_x0000_s1026" type="#_x0000_t202" style="position:absolute;margin-left:294pt;margin-top:633.75pt;width:230.25pt;height:181.4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" stroked="f">
                <v:textbox>
                  <w:txbxContent>
                    <w:p w14:paraId="3FA357E9" w14:textId="77777777" w:rsidR="00F54429" w:rsidRDefault="00F54429" w:rsidP="00192D63">
                      <w:pPr>
                        <w:pStyle w:val="NoSpacing"/>
                        <w:jc w:val="right"/>
                        <w:rPr>
                          <w:b/>
                        </w:rPr>
                      </w:pPr>
                      <w:r>
                        <w:rPr>
                          <w:b/>
                          <w:noProof/>
                          <w:lang w:val="en-AU" w:eastAsia="en-AU"/>
                        </w:rPr>
                        <w:drawing>
                          <wp:inline distT="0" distB="0" distL="0" distR="0" wp14:anchorId="5DE39193" wp14:editId="7E549787">
                            <wp:extent cx="2828925" cy="609600"/>
                            <wp:effectExtent l="0" t="0" r="9525" b="0"/>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Logo_CMYK_small.png"/>
                                    <pic:cNvPicPr/>
                                  </pic:nvPicPr>
                                  <pic:blipFill rotWithShape="1">
                                    <a:blip r:embed="rId19">
                                      <a:extLst>
                                        <a:ext uri="{28A0092B-C50C-407E-A947-70E740481C1C}">
                                          <a14:useLocalDpi xmlns:a14="http://schemas.microsoft.com/office/drawing/2010/main" val="0"/>
                                        </a:ext>
                                      </a:extLst>
                                    </a:blip>
                                    <a:srcRect l="-2474" t="-9462" r="-2474" b="-11649"/>
                                    <a:stretch/>
                                  </pic:blipFill>
                                  <pic:spPr bwMode="auto">
                                    <a:xfrm>
                                      <a:off x="0" y="0"/>
                                      <a:ext cx="2832735" cy="610421"/>
                                    </a:xfrm>
                                    <a:prstGeom prst="rect">
                                      <a:avLst/>
                                    </a:prstGeom>
                                    <a:ln>
                                      <a:noFill/>
                                    </a:ln>
                                    <a:extLst>
                                      <a:ext uri="{53640926-AAD7-44D8-BBD7-CCE9431645EC}">
                                        <a14:shadowObscured xmlns:a14="http://schemas.microsoft.com/office/drawing/2010/main"/>
                                      </a:ext>
                                    </a:extLst>
                                  </pic:spPr>
                                </pic:pic>
                              </a:graphicData>
                            </a:graphic>
                          </wp:inline>
                        </w:drawing>
                      </w:r>
                    </w:p>
                    <w:p w14:paraId="78706806" w14:textId="77777777" w:rsidR="00F54429" w:rsidRDefault="00F54429" w:rsidP="00192D63">
                      <w:pPr>
                        <w:pStyle w:val="NoSpacing"/>
                        <w:jc w:val="right"/>
                        <w:rPr>
                          <w:b/>
                        </w:rPr>
                      </w:pPr>
                    </w:p>
                    <w:p w14:paraId="0B539AFB" w14:textId="77777777" w:rsidR="00F54429" w:rsidRPr="004C7DF0" w:rsidRDefault="00F54429" w:rsidP="00192D63">
                      <w:pPr>
                        <w:pStyle w:val="NoSpacing"/>
                        <w:jc w:val="right"/>
                      </w:pPr>
                      <w:r w:rsidRPr="004C7DF0">
                        <w:t>Locked Bag 8430</w:t>
                      </w:r>
                    </w:p>
                    <w:p w14:paraId="216D38C5" w14:textId="77777777" w:rsidR="00F54429" w:rsidRDefault="00F54429" w:rsidP="00192D63">
                      <w:pPr>
                        <w:pStyle w:val="NoSpacing"/>
                        <w:jc w:val="right"/>
                      </w:pPr>
                      <w:r w:rsidRPr="004C7DF0">
                        <w:t>Canberra ACT 2601</w:t>
                      </w:r>
                    </w:p>
                    <w:p w14:paraId="7627B022" w14:textId="77777777" w:rsidR="00F54429" w:rsidRDefault="00F54429" w:rsidP="00192D63">
                      <w:pPr>
                        <w:pStyle w:val="NoSpacing"/>
                        <w:jc w:val="right"/>
                      </w:pPr>
                      <w:r>
                        <w:t>Phone: 13 000 BLOOD (13 000 25663)</w:t>
                      </w:r>
                    </w:p>
                    <w:p w14:paraId="6B9D0EFF" w14:textId="77777777" w:rsidR="00F54429" w:rsidRDefault="00F54429" w:rsidP="00192D63">
                      <w:pPr>
                        <w:pStyle w:val="NoSpacing"/>
                        <w:jc w:val="right"/>
                      </w:pPr>
                      <w:r>
                        <w:t>Email: inventory.management</w:t>
                      </w:r>
                      <w:r w:rsidRPr="0077785D">
                        <w:t>@blood.gov.au</w:t>
                      </w:r>
                      <w:r>
                        <w:t xml:space="preserve"> </w:t>
                      </w:r>
                      <w:r>
                        <w:br/>
                      </w:r>
                      <w:r w:rsidRPr="0077785D">
                        <w:t>www.blood.gov.au/</w:t>
                      </w:r>
                      <w:r>
                        <w:t>wastage</w:t>
                      </w:r>
                    </w:p>
                  </w:txbxContent>
                </v:textbox>
                <w10:wrap anchorx="page" anchory="page"/>
                <w10:anchorlock/>
              </v:shape>
            </w:pict>
          </mc:Fallback>
        </mc:AlternateContent>
      </w:r>
    </w:p>
    <w:p w14:paraId="52E291D1" w14:textId="77777777" w:rsidR="00192D63" w:rsidRPr="00922E79" w:rsidRDefault="00FE6EE5" w:rsidP="00270DA6">
      <w:pPr>
        <w:pStyle w:val="Heading1"/>
      </w:pPr>
      <w:bookmarkStart w:id="1" w:name="_Toc498963429"/>
      <w:r>
        <w:lastRenderedPageBreak/>
        <w:t>Introduction</w:t>
      </w:r>
      <w:bookmarkEnd w:id="1"/>
    </w:p>
    <w:p w14:paraId="5900E1C1" w14:textId="1235E655" w:rsidR="00192D63" w:rsidRDefault="006406B1" w:rsidP="00192D63">
      <w:pPr>
        <w:spacing w:after="240" w:line="312" w:lineRule="auto"/>
        <w:rPr>
          <w:rFonts w:cs="Arial"/>
          <w:sz w:val="24"/>
        </w:rPr>
      </w:pPr>
      <w:r>
        <w:t>Health service organisations across Australia us</w:t>
      </w:r>
      <w:r w:rsidR="00B751F3">
        <w:t>e</w:t>
      </w:r>
      <w:r>
        <w:t xml:space="preserve"> b</w:t>
      </w:r>
      <w:r w:rsidR="00192D63">
        <w:t xml:space="preserve">lood and blood products every day to save lives. </w:t>
      </w:r>
      <w:r w:rsidR="00AF32C2">
        <w:t xml:space="preserve">The </w:t>
      </w:r>
      <w:r w:rsidR="0077785D">
        <w:t>availability</w:t>
      </w:r>
      <w:r w:rsidR="00AF32C2">
        <w:t xml:space="preserve"> of blood and blood products </w:t>
      </w:r>
      <w:r w:rsidR="00192D63">
        <w:t>is facilitated by the generosity of voluntary blood donors and funded by Australian governments</w:t>
      </w:r>
      <w:r w:rsidR="00913DDF">
        <w:t>. Each year governments invest over</w:t>
      </w:r>
      <w:r w:rsidR="00192D63">
        <w:t xml:space="preserve"> </w:t>
      </w:r>
      <w:r w:rsidR="00913DDF">
        <w:t>$1.</w:t>
      </w:r>
      <w:r w:rsidR="009B3442">
        <w:t>3</w:t>
      </w:r>
      <w:r w:rsidR="00913DDF">
        <w:t xml:space="preserve"> billion </w:t>
      </w:r>
      <w:r w:rsidR="00192D63">
        <w:t xml:space="preserve">in </w:t>
      </w:r>
      <w:r w:rsidR="00AF32C2">
        <w:t xml:space="preserve">collection, </w:t>
      </w:r>
      <w:r w:rsidR="00192D63">
        <w:t xml:space="preserve">processing, </w:t>
      </w:r>
      <w:proofErr w:type="gramStart"/>
      <w:r w:rsidR="00192D63">
        <w:t>procuring</w:t>
      </w:r>
      <w:proofErr w:type="gramEnd"/>
      <w:r w:rsidR="00192D63">
        <w:t xml:space="preserve"> and distributing these products through the Australian Red Cross Blood Service (Blood Service) and other suppliers to </w:t>
      </w:r>
      <w:r>
        <w:t xml:space="preserve">health </w:t>
      </w:r>
      <w:r w:rsidR="0048786B">
        <w:t>providers</w:t>
      </w:r>
      <w:r w:rsidR="00192D63">
        <w:t>.</w:t>
      </w:r>
      <w:r w:rsidR="00192D63" w:rsidDel="00656700">
        <w:rPr>
          <w:rFonts w:cs="Arial"/>
          <w:sz w:val="24"/>
        </w:rPr>
        <w:t xml:space="preserve"> </w:t>
      </w:r>
    </w:p>
    <w:p w14:paraId="11E1995C" w14:textId="77777777" w:rsidR="00192D63" w:rsidRPr="00656700" w:rsidRDefault="00192D63" w:rsidP="00192D63">
      <w:pPr>
        <w:spacing w:after="240" w:line="312" w:lineRule="auto"/>
      </w:pPr>
      <w:r w:rsidRPr="00656700">
        <w:rPr>
          <w:rFonts w:cs="Arial"/>
        </w:rPr>
        <w:t xml:space="preserve">As such, all parts of the supply chain for blood and blood products have a responsibility to ensure </w:t>
      </w:r>
      <w:r>
        <w:rPr>
          <w:rFonts w:cs="Arial"/>
        </w:rPr>
        <w:t>that all aspects of the supply chain including transport, storage and inventory management minimise unnecessary wastage</w:t>
      </w:r>
      <w:r w:rsidR="00547878">
        <w:rPr>
          <w:rFonts w:cs="Arial"/>
        </w:rPr>
        <w:t xml:space="preserve"> and ensure blood and blood products are available</w:t>
      </w:r>
      <w:r w:rsidR="00054F78">
        <w:rPr>
          <w:rFonts w:cs="Arial"/>
        </w:rPr>
        <w:t xml:space="preserve"> to meet clinical needs</w:t>
      </w:r>
      <w:r>
        <w:rPr>
          <w:rFonts w:cs="Arial"/>
        </w:rPr>
        <w:t>.</w:t>
      </w:r>
    </w:p>
    <w:p w14:paraId="16C515A6" w14:textId="77777777" w:rsidR="00192D63" w:rsidRPr="005010D3" w:rsidRDefault="00192D63" w:rsidP="00192D63">
      <w:pPr>
        <w:spacing w:after="240" w:line="312" w:lineRule="auto"/>
      </w:pPr>
      <w:r>
        <w:t>A certain level of discards of blood and blood products</w:t>
      </w:r>
      <w:r w:rsidR="00262FF0">
        <w:t xml:space="preserve">, particularly fresh </w:t>
      </w:r>
      <w:r w:rsidR="006406B1">
        <w:t xml:space="preserve">blood </w:t>
      </w:r>
      <w:r w:rsidR="00262FF0">
        <w:t>products with short expir</w:t>
      </w:r>
      <w:r w:rsidR="00AF32C2">
        <w:t>y dates</w:t>
      </w:r>
      <w:r w:rsidR="00262FF0">
        <w:t xml:space="preserve"> </w:t>
      </w:r>
      <w:proofErr w:type="gramStart"/>
      <w:r>
        <w:t>is</w:t>
      </w:r>
      <w:proofErr w:type="gramEnd"/>
      <w:r>
        <w:t xml:space="preserve"> both inevitable and appropriate to ensure that products are available where and when they are clinically </w:t>
      </w:r>
      <w:r w:rsidR="00A80A44">
        <w:t>necessary</w:t>
      </w:r>
      <w:r>
        <w:t xml:space="preserve">. However, there is a proportion of </w:t>
      </w:r>
      <w:r w:rsidR="00AB0792">
        <w:t xml:space="preserve">discards </w:t>
      </w:r>
      <w:r>
        <w:t xml:space="preserve">of blood and blood products that is neither inevitable nor appropriate. This Strategy </w:t>
      </w:r>
      <w:r w:rsidR="006406B1">
        <w:t>focuses</w:t>
      </w:r>
      <w:r w:rsidR="00AD4DA2">
        <w:t xml:space="preserve"> on eliminating </w:t>
      </w:r>
      <w:r w:rsidR="00AB0792">
        <w:t>this proportion of avoidable discards, known as wastage</w:t>
      </w:r>
      <w:r w:rsidR="00B75023">
        <w:t>,</w:t>
      </w:r>
      <w:r w:rsidR="00547878">
        <w:t xml:space="preserve"> and ensuring blood and blood products are available to meet clinical need</w:t>
      </w:r>
      <w:r w:rsidR="00AB0792">
        <w:t xml:space="preserve">. </w:t>
      </w:r>
    </w:p>
    <w:p w14:paraId="21DC2FC3" w14:textId="77777777" w:rsidR="00F248AC" w:rsidRPr="00F248AC" w:rsidRDefault="00192D63" w:rsidP="00F248AC">
      <w:pPr>
        <w:spacing w:after="240" w:line="312" w:lineRule="auto"/>
      </w:pPr>
      <w:r w:rsidRPr="005010D3">
        <w:t xml:space="preserve">In November 2010, Australian Health Ministers endorsed the </w:t>
      </w:r>
      <w:r w:rsidRPr="00F248AC">
        <w:rPr>
          <w:i/>
        </w:rPr>
        <w:t>Statement of National Stewardship Expectations for the Supply of Blood and Blood Products</w:t>
      </w:r>
      <w:r w:rsidRPr="005010D3">
        <w:t xml:space="preserve">. </w:t>
      </w:r>
      <w:r w:rsidR="00F248AC" w:rsidRPr="00F248AC">
        <w:t>The Stewardship Statement outlines measures that Health Ministers expect all health providers to adopt within their organisation. This includes the requirement to manage blood and blood products in ways that ensure:</w:t>
      </w:r>
    </w:p>
    <w:p w14:paraId="172116FF" w14:textId="77777777" w:rsidR="00F248AC" w:rsidRPr="00F248AC" w:rsidRDefault="00F248AC" w:rsidP="00F248AC">
      <w:pPr>
        <w:pStyle w:val="ListParagraph"/>
        <w:numPr>
          <w:ilvl w:val="0"/>
          <w:numId w:val="20"/>
        </w:numPr>
        <w:spacing w:after="240" w:line="312" w:lineRule="auto"/>
      </w:pPr>
      <w:r w:rsidRPr="00F248AC">
        <w:t xml:space="preserve">All blood products are used in a clinically appropriate manner in accord with relevant professional guidelines and </w:t>
      </w:r>
      <w:proofErr w:type="gramStart"/>
      <w:r w:rsidRPr="00F248AC">
        <w:t>standards;</w:t>
      </w:r>
      <w:proofErr w:type="gramEnd"/>
    </w:p>
    <w:p w14:paraId="6B7BEF3A" w14:textId="77777777" w:rsidR="00F248AC" w:rsidRPr="00F248AC" w:rsidRDefault="00F248AC" w:rsidP="00F248AC">
      <w:pPr>
        <w:pStyle w:val="ListParagraph"/>
        <w:numPr>
          <w:ilvl w:val="0"/>
          <w:numId w:val="20"/>
        </w:numPr>
        <w:spacing w:after="240" w:line="312" w:lineRule="auto"/>
      </w:pPr>
      <w:r w:rsidRPr="00F248AC">
        <w:t xml:space="preserve">Informed patient consent procedures are implemented for all </w:t>
      </w:r>
      <w:proofErr w:type="gramStart"/>
      <w:r w:rsidRPr="00F248AC">
        <w:t>patients;</w:t>
      </w:r>
      <w:proofErr w:type="gramEnd"/>
    </w:p>
    <w:p w14:paraId="0C9585ED" w14:textId="77777777" w:rsidR="00F248AC" w:rsidRPr="00F248AC" w:rsidRDefault="00F248AC" w:rsidP="00F248AC">
      <w:pPr>
        <w:pStyle w:val="ListParagraph"/>
        <w:numPr>
          <w:ilvl w:val="0"/>
          <w:numId w:val="20"/>
        </w:numPr>
        <w:spacing w:after="240" w:line="312" w:lineRule="auto"/>
      </w:pPr>
      <w:r w:rsidRPr="00F248AC">
        <w:t xml:space="preserve">Processes, programs and facilities are in place to minimise the wastage of blood </w:t>
      </w:r>
      <w:proofErr w:type="gramStart"/>
      <w:r w:rsidRPr="00F248AC">
        <w:t>products;</w:t>
      </w:r>
      <w:proofErr w:type="gramEnd"/>
    </w:p>
    <w:p w14:paraId="5F3F8054" w14:textId="77777777" w:rsidR="00F248AC" w:rsidRPr="00F248AC" w:rsidRDefault="00F248AC" w:rsidP="00F248AC">
      <w:pPr>
        <w:pStyle w:val="ListParagraph"/>
        <w:numPr>
          <w:ilvl w:val="0"/>
          <w:numId w:val="20"/>
        </w:numPr>
        <w:spacing w:after="240" w:line="312" w:lineRule="auto"/>
      </w:pPr>
      <w:r w:rsidRPr="00F248AC">
        <w:t xml:space="preserve">Facilities are accredited with the appropriate bodies to meet all quality and safety </w:t>
      </w:r>
      <w:proofErr w:type="gramStart"/>
      <w:r w:rsidRPr="00F248AC">
        <w:t>obligations;</w:t>
      </w:r>
      <w:proofErr w:type="gramEnd"/>
    </w:p>
    <w:p w14:paraId="222B0F4D" w14:textId="77777777" w:rsidR="00F248AC" w:rsidRPr="00F248AC" w:rsidRDefault="00F248AC" w:rsidP="00F248AC">
      <w:pPr>
        <w:pStyle w:val="ListParagraph"/>
        <w:numPr>
          <w:ilvl w:val="0"/>
          <w:numId w:val="20"/>
        </w:numPr>
        <w:spacing w:after="240" w:line="312" w:lineRule="auto"/>
      </w:pPr>
      <w:r w:rsidRPr="00F248AC">
        <w:t xml:space="preserve">Transfusion related adverse event information is collected and managed according to jurisdictional </w:t>
      </w:r>
      <w:proofErr w:type="gramStart"/>
      <w:r w:rsidRPr="00F248AC">
        <w:t>requirements;</w:t>
      </w:r>
      <w:proofErr w:type="gramEnd"/>
    </w:p>
    <w:p w14:paraId="68F6CF51" w14:textId="77777777" w:rsidR="00F248AC" w:rsidRPr="00F248AC" w:rsidRDefault="00F248AC" w:rsidP="00F248AC">
      <w:pPr>
        <w:pStyle w:val="ListParagraph"/>
        <w:numPr>
          <w:ilvl w:val="0"/>
          <w:numId w:val="20"/>
        </w:numPr>
        <w:spacing w:after="240" w:line="312" w:lineRule="auto"/>
      </w:pPr>
      <w:r w:rsidRPr="00F248AC">
        <w:t>Health providers have an ordering and receipt verification process in place which provides adequate financial accountability as required by governments; and</w:t>
      </w:r>
    </w:p>
    <w:p w14:paraId="5F7C482A" w14:textId="77777777" w:rsidR="00F248AC" w:rsidRPr="00F248AC" w:rsidRDefault="00F248AC" w:rsidP="00F248AC">
      <w:pPr>
        <w:pStyle w:val="ListParagraph"/>
        <w:numPr>
          <w:ilvl w:val="0"/>
          <w:numId w:val="20"/>
        </w:numPr>
        <w:spacing w:after="240" w:line="312" w:lineRule="auto"/>
      </w:pPr>
      <w:r w:rsidRPr="00F248AC">
        <w:t>Inventory data is provided on a regular and timely basis to assist in supply and demand planning, especially in times of national shortages.</w:t>
      </w:r>
    </w:p>
    <w:p w14:paraId="3DE9691F" w14:textId="77777777" w:rsidR="00F248AC" w:rsidRDefault="00F248AC" w:rsidP="003A4C2B">
      <w:pPr>
        <w:spacing w:after="240" w:line="312" w:lineRule="auto"/>
      </w:pPr>
    </w:p>
    <w:p w14:paraId="3E729963" w14:textId="77777777" w:rsidR="00F248AC" w:rsidRDefault="00F248AC" w:rsidP="003A4C2B">
      <w:pPr>
        <w:spacing w:after="240" w:line="312" w:lineRule="auto"/>
      </w:pPr>
    </w:p>
    <w:p w14:paraId="4D733D9C" w14:textId="77777777" w:rsidR="006A0387" w:rsidRDefault="003818E3" w:rsidP="003A4C2B">
      <w:pPr>
        <w:spacing w:after="240" w:line="312" w:lineRule="auto"/>
      </w:pPr>
      <w:r>
        <w:lastRenderedPageBreak/>
        <w:t xml:space="preserve">This </w:t>
      </w:r>
      <w:r w:rsidRPr="00FD0B45">
        <w:t xml:space="preserve">is consistent with the </w:t>
      </w:r>
      <w:r w:rsidRPr="003A4C2B">
        <w:rPr>
          <w:i/>
        </w:rPr>
        <w:t>National Safety and Quality Health Service (NSQHS) Standard 7, “</w:t>
      </w:r>
      <w:r w:rsidR="006406B1" w:rsidRPr="003A4C2B">
        <w:rPr>
          <w:i/>
        </w:rPr>
        <w:t>Blood Management</w:t>
      </w:r>
      <w:r w:rsidRPr="003A4C2B">
        <w:rPr>
          <w:i/>
        </w:rPr>
        <w:t>”</w:t>
      </w:r>
      <w:r w:rsidR="00913DDF" w:rsidRPr="003A4C2B">
        <w:rPr>
          <w:i/>
        </w:rPr>
        <w:t xml:space="preserve"> 2</w:t>
      </w:r>
      <w:r w:rsidR="00913DDF" w:rsidRPr="003A4C2B">
        <w:rPr>
          <w:i/>
          <w:vertAlign w:val="superscript"/>
        </w:rPr>
        <w:t>nd</w:t>
      </w:r>
      <w:r w:rsidR="00913DDF" w:rsidRPr="003A4C2B">
        <w:rPr>
          <w:i/>
        </w:rPr>
        <w:t xml:space="preserve"> edition</w:t>
      </w:r>
      <w:r w:rsidR="00913DDF">
        <w:t xml:space="preserve">, </w:t>
      </w:r>
      <w:r w:rsidRPr="00FD0B45">
        <w:t xml:space="preserve">which requires </w:t>
      </w:r>
      <w:r w:rsidR="003A4C2B">
        <w:t xml:space="preserve">health service organisations </w:t>
      </w:r>
      <w:r w:rsidR="006A0387">
        <w:t xml:space="preserve">to </w:t>
      </w:r>
      <w:r w:rsidR="00547878">
        <w:t xml:space="preserve">effectively </w:t>
      </w:r>
      <w:r w:rsidR="006A0387" w:rsidRPr="003A4C2B">
        <w:t>manage the availability and sa</w:t>
      </w:r>
      <w:r w:rsidR="00547878">
        <w:t>fety of blood and blood product</w:t>
      </w:r>
      <w:r w:rsidR="00B75023">
        <w:t>s</w:t>
      </w:r>
      <w:r w:rsidR="00547878">
        <w:t>, as noted in the following actions</w:t>
      </w:r>
      <w:r w:rsidR="006A0387">
        <w:t>.</w:t>
      </w:r>
    </w:p>
    <w:tbl>
      <w:tblPr>
        <w:tblW w:w="9180" w:type="dxa"/>
        <w:tblInd w:w="106" w:type="dxa"/>
        <w:tblLayout w:type="fixed"/>
        <w:tblCellMar>
          <w:left w:w="0" w:type="dxa"/>
          <w:right w:w="0" w:type="dxa"/>
        </w:tblCellMar>
        <w:tblLook w:val="0000" w:firstRow="0" w:lastRow="0" w:firstColumn="0" w:lastColumn="0" w:noHBand="0" w:noVBand="0"/>
      </w:tblPr>
      <w:tblGrid>
        <w:gridCol w:w="2093"/>
        <w:gridCol w:w="7087"/>
      </w:tblGrid>
      <w:tr w:rsidR="003A4C2B" w:rsidRPr="00FE6EE5" w14:paraId="085A7029" w14:textId="77777777" w:rsidTr="00023302">
        <w:trPr>
          <w:trHeight w:hRule="exact" w:val="372"/>
          <w:tblHeader/>
        </w:trPr>
        <w:tc>
          <w:tcPr>
            <w:tcW w:w="2093" w:type="dxa"/>
            <w:tcBorders>
              <w:top w:val="single" w:sz="4" w:space="0" w:color="B60948"/>
              <w:left w:val="single" w:sz="4" w:space="0" w:color="B60948"/>
              <w:bottom w:val="single" w:sz="4" w:space="0" w:color="B60948"/>
              <w:right w:val="single" w:sz="4" w:space="0" w:color="B60948"/>
            </w:tcBorders>
            <w:shd w:val="clear" w:color="auto" w:fill="D1282E"/>
          </w:tcPr>
          <w:p w14:paraId="590F70EC" w14:textId="77777777" w:rsidR="003A4C2B" w:rsidRPr="00FE6EE5" w:rsidRDefault="003A4C2B">
            <w:pPr>
              <w:autoSpaceDE w:val="0"/>
              <w:autoSpaceDN w:val="0"/>
              <w:adjustRightInd w:val="0"/>
              <w:spacing w:before="54" w:after="0"/>
              <w:ind w:left="102" w:right="-20"/>
              <w:rPr>
                <w:rFonts w:asciiTheme="minorHAnsi" w:hAnsiTheme="minorHAnsi" w:cs="Times New Roman"/>
                <w:lang w:eastAsia="en-AU"/>
              </w:rPr>
            </w:pPr>
            <w:r w:rsidRPr="00FE6EE5">
              <w:rPr>
                <w:rFonts w:asciiTheme="minorHAnsi" w:hAnsiTheme="minorHAnsi" w:cs="Arial"/>
                <w:b/>
                <w:bCs/>
                <w:color w:val="FFFFFF"/>
                <w:spacing w:val="-1"/>
                <w:lang w:eastAsia="en-AU"/>
              </w:rPr>
              <w:t>It</w:t>
            </w:r>
            <w:r w:rsidRPr="00FE6EE5">
              <w:rPr>
                <w:rFonts w:asciiTheme="minorHAnsi" w:hAnsiTheme="minorHAnsi" w:cs="Arial"/>
                <w:b/>
                <w:bCs/>
                <w:color w:val="FFFFFF"/>
                <w:lang w:eastAsia="en-AU"/>
              </w:rPr>
              <w:t>em</w:t>
            </w:r>
          </w:p>
        </w:tc>
        <w:tc>
          <w:tcPr>
            <w:tcW w:w="7087" w:type="dxa"/>
            <w:tcBorders>
              <w:top w:val="single" w:sz="4" w:space="0" w:color="B60948"/>
              <w:left w:val="single" w:sz="4" w:space="0" w:color="B60948"/>
              <w:bottom w:val="single" w:sz="4" w:space="0" w:color="B60948"/>
              <w:right w:val="single" w:sz="4" w:space="0" w:color="B60948"/>
            </w:tcBorders>
            <w:shd w:val="clear" w:color="auto" w:fill="D1282E"/>
          </w:tcPr>
          <w:p w14:paraId="406BF31D" w14:textId="77777777" w:rsidR="003A4C2B" w:rsidRPr="00FE6EE5" w:rsidRDefault="003A4C2B">
            <w:pPr>
              <w:autoSpaceDE w:val="0"/>
              <w:autoSpaceDN w:val="0"/>
              <w:adjustRightInd w:val="0"/>
              <w:spacing w:before="54" w:after="0"/>
              <w:ind w:left="102" w:right="-20"/>
              <w:rPr>
                <w:rFonts w:asciiTheme="minorHAnsi" w:hAnsiTheme="minorHAnsi" w:cs="Times New Roman"/>
                <w:lang w:eastAsia="en-AU"/>
              </w:rPr>
            </w:pPr>
            <w:r w:rsidRPr="00FE6EE5">
              <w:rPr>
                <w:rFonts w:asciiTheme="minorHAnsi" w:hAnsiTheme="minorHAnsi" w:cs="Arial"/>
                <w:b/>
                <w:bCs/>
                <w:color w:val="FFFFFF"/>
                <w:spacing w:val="-4"/>
                <w:lang w:eastAsia="en-AU"/>
              </w:rPr>
              <w:t>A</w:t>
            </w:r>
            <w:r w:rsidRPr="00FE6EE5">
              <w:rPr>
                <w:rFonts w:asciiTheme="minorHAnsi" w:hAnsiTheme="minorHAnsi" w:cs="Arial"/>
                <w:b/>
                <w:bCs/>
                <w:color w:val="FFFFFF"/>
                <w:lang w:eastAsia="en-AU"/>
              </w:rPr>
              <w:t>c</w:t>
            </w:r>
            <w:r w:rsidRPr="00FE6EE5">
              <w:rPr>
                <w:rFonts w:asciiTheme="minorHAnsi" w:hAnsiTheme="minorHAnsi" w:cs="Arial"/>
                <w:b/>
                <w:bCs/>
                <w:color w:val="FFFFFF"/>
                <w:spacing w:val="-1"/>
                <w:lang w:eastAsia="en-AU"/>
              </w:rPr>
              <w:t>ti</w:t>
            </w:r>
            <w:r w:rsidRPr="00FE6EE5">
              <w:rPr>
                <w:rFonts w:asciiTheme="minorHAnsi" w:hAnsiTheme="minorHAnsi" w:cs="Arial"/>
                <w:b/>
                <w:bCs/>
                <w:color w:val="FFFFFF"/>
                <w:spacing w:val="1"/>
                <w:lang w:eastAsia="en-AU"/>
              </w:rPr>
              <w:t>o</w:t>
            </w:r>
            <w:r w:rsidRPr="00FE6EE5">
              <w:rPr>
                <w:rFonts w:asciiTheme="minorHAnsi" w:hAnsiTheme="minorHAnsi" w:cs="Arial"/>
                <w:b/>
                <w:bCs/>
                <w:color w:val="FFFFFF"/>
                <w:lang w:eastAsia="en-AU"/>
              </w:rPr>
              <w:t xml:space="preserve">n </w:t>
            </w:r>
            <w:r w:rsidRPr="00FE6EE5">
              <w:rPr>
                <w:rFonts w:asciiTheme="minorHAnsi" w:hAnsiTheme="minorHAnsi" w:cs="Arial"/>
                <w:b/>
                <w:bCs/>
                <w:color w:val="FFFFFF"/>
                <w:spacing w:val="-1"/>
                <w:lang w:eastAsia="en-AU"/>
              </w:rPr>
              <w:t>r</w:t>
            </w:r>
            <w:r w:rsidRPr="00FE6EE5">
              <w:rPr>
                <w:rFonts w:asciiTheme="minorHAnsi" w:hAnsiTheme="minorHAnsi" w:cs="Arial"/>
                <w:b/>
                <w:bCs/>
                <w:color w:val="FFFFFF"/>
                <w:lang w:eastAsia="en-AU"/>
              </w:rPr>
              <w:t>e</w:t>
            </w:r>
            <w:r w:rsidRPr="00FE6EE5">
              <w:rPr>
                <w:rFonts w:asciiTheme="minorHAnsi" w:hAnsiTheme="minorHAnsi" w:cs="Arial"/>
                <w:b/>
                <w:bCs/>
                <w:color w:val="FFFFFF"/>
                <w:spacing w:val="1"/>
                <w:lang w:eastAsia="en-AU"/>
              </w:rPr>
              <w:t>qu</w:t>
            </w:r>
            <w:r w:rsidRPr="00FE6EE5">
              <w:rPr>
                <w:rFonts w:asciiTheme="minorHAnsi" w:hAnsiTheme="minorHAnsi" w:cs="Arial"/>
                <w:b/>
                <w:bCs/>
                <w:color w:val="FFFFFF"/>
                <w:spacing w:val="-1"/>
                <w:lang w:eastAsia="en-AU"/>
              </w:rPr>
              <w:t>ir</w:t>
            </w:r>
            <w:r w:rsidRPr="00FE6EE5">
              <w:rPr>
                <w:rFonts w:asciiTheme="minorHAnsi" w:hAnsiTheme="minorHAnsi" w:cs="Arial"/>
                <w:b/>
                <w:bCs/>
                <w:color w:val="FFFFFF"/>
                <w:lang w:eastAsia="en-AU"/>
              </w:rPr>
              <w:t>ed</w:t>
            </w:r>
          </w:p>
        </w:tc>
      </w:tr>
      <w:tr w:rsidR="009B3442" w:rsidRPr="00FE6EE5" w14:paraId="233A1189" w14:textId="77777777" w:rsidTr="009B3442">
        <w:trPr>
          <w:trHeight w:hRule="exact" w:val="1014"/>
        </w:trPr>
        <w:tc>
          <w:tcPr>
            <w:tcW w:w="2093" w:type="dxa"/>
            <w:tcBorders>
              <w:top w:val="single" w:sz="4" w:space="0" w:color="B60948"/>
              <w:left w:val="single" w:sz="4" w:space="0" w:color="B60948"/>
              <w:bottom w:val="single" w:sz="4" w:space="0" w:color="B60948"/>
              <w:right w:val="single" w:sz="4" w:space="0" w:color="B60948"/>
            </w:tcBorders>
          </w:tcPr>
          <w:p w14:paraId="108D9975" w14:textId="77777777" w:rsidR="009B3442" w:rsidRPr="00FE6EE5" w:rsidRDefault="009B3442" w:rsidP="009B3442">
            <w:pPr>
              <w:autoSpaceDE w:val="0"/>
              <w:autoSpaceDN w:val="0"/>
              <w:adjustRightInd w:val="0"/>
              <w:spacing w:before="54" w:after="0" w:line="239" w:lineRule="auto"/>
              <w:ind w:left="102" w:right="122"/>
              <w:rPr>
                <w:rFonts w:asciiTheme="minorHAnsi" w:hAnsiTheme="minorHAnsi" w:cs="Arial"/>
                <w:spacing w:val="1"/>
                <w:lang w:eastAsia="en-AU"/>
              </w:rPr>
            </w:pPr>
            <w:r w:rsidRPr="009B3442">
              <w:rPr>
                <w:rFonts w:asciiTheme="minorHAnsi" w:hAnsiTheme="minorHAnsi" w:cs="Arial"/>
                <w:spacing w:val="1"/>
                <w:lang w:eastAsia="en-AU"/>
              </w:rPr>
              <w:t xml:space="preserve">Prescribing and administering blood and blood products </w:t>
            </w:r>
          </w:p>
        </w:tc>
        <w:tc>
          <w:tcPr>
            <w:tcW w:w="7087" w:type="dxa"/>
            <w:tcBorders>
              <w:top w:val="single" w:sz="4" w:space="0" w:color="B60948"/>
              <w:left w:val="single" w:sz="4" w:space="0" w:color="B60948"/>
              <w:bottom w:val="single" w:sz="4" w:space="0" w:color="B60948"/>
              <w:right w:val="single" w:sz="4" w:space="0" w:color="B60948"/>
            </w:tcBorders>
          </w:tcPr>
          <w:p w14:paraId="2344D8B3" w14:textId="77777777" w:rsidR="009B3442" w:rsidRPr="009B3442" w:rsidRDefault="009B3442" w:rsidP="009B3442">
            <w:pPr>
              <w:autoSpaceDE w:val="0"/>
              <w:autoSpaceDN w:val="0"/>
              <w:adjustRightInd w:val="0"/>
              <w:spacing w:before="54" w:after="0"/>
              <w:ind w:left="500" w:right="-20" w:hanging="426"/>
              <w:rPr>
                <w:rFonts w:ascii="Arial" w:hAnsi="Arial" w:cs="Arial"/>
                <w:sz w:val="21"/>
                <w:szCs w:val="21"/>
                <w:lang w:eastAsia="en-AU"/>
              </w:rPr>
            </w:pPr>
            <w:r w:rsidRPr="009B3442">
              <w:rPr>
                <w:rFonts w:asciiTheme="minorHAnsi" w:hAnsiTheme="minorHAnsi" w:cs="Arial"/>
                <w:lang w:eastAsia="en-AU"/>
              </w:rPr>
              <w:t xml:space="preserve">7.6 </w:t>
            </w:r>
            <w:r>
              <w:rPr>
                <w:rFonts w:asciiTheme="minorHAnsi" w:hAnsiTheme="minorHAnsi" w:cs="Arial"/>
                <w:lang w:eastAsia="en-AU"/>
              </w:rPr>
              <w:tab/>
            </w:r>
            <w:r w:rsidRPr="009B3442">
              <w:rPr>
                <w:rFonts w:asciiTheme="minorHAnsi" w:hAnsiTheme="minorHAnsi" w:cs="Arial"/>
                <w:lang w:eastAsia="en-AU"/>
              </w:rPr>
              <w:t xml:space="preserve">The health service organisation supports clinicians to prescribe and administer blood and blood products appropriately, in accordance with national </w:t>
            </w:r>
            <w:r>
              <w:rPr>
                <w:rFonts w:asciiTheme="minorHAnsi" w:hAnsiTheme="minorHAnsi" w:cs="Arial"/>
                <w:lang w:eastAsia="en-AU"/>
              </w:rPr>
              <w:t>guidelines and national criteria</w:t>
            </w:r>
          </w:p>
        </w:tc>
      </w:tr>
      <w:tr w:rsidR="003A4C2B" w:rsidRPr="00FE6EE5" w14:paraId="2317B0BE" w14:textId="77777777" w:rsidTr="00547878">
        <w:trPr>
          <w:trHeight w:hRule="exact" w:val="1821"/>
        </w:trPr>
        <w:tc>
          <w:tcPr>
            <w:tcW w:w="2093" w:type="dxa"/>
            <w:tcBorders>
              <w:top w:val="single" w:sz="4" w:space="0" w:color="B60948"/>
              <w:left w:val="single" w:sz="4" w:space="0" w:color="B60948"/>
              <w:bottom w:val="single" w:sz="4" w:space="0" w:color="B60948"/>
              <w:right w:val="single" w:sz="4" w:space="0" w:color="B60948"/>
            </w:tcBorders>
          </w:tcPr>
          <w:p w14:paraId="05BF8BB1" w14:textId="77777777" w:rsidR="003A4C2B" w:rsidRPr="00FE6EE5" w:rsidRDefault="003A4C2B">
            <w:pPr>
              <w:autoSpaceDE w:val="0"/>
              <w:autoSpaceDN w:val="0"/>
              <w:adjustRightInd w:val="0"/>
              <w:spacing w:before="54" w:after="0" w:line="239" w:lineRule="auto"/>
              <w:ind w:left="102" w:right="122"/>
              <w:rPr>
                <w:rFonts w:asciiTheme="minorHAnsi" w:hAnsiTheme="minorHAnsi" w:cs="Times New Roman"/>
                <w:lang w:eastAsia="en-AU"/>
              </w:rPr>
            </w:pPr>
            <w:r w:rsidRPr="00FE6EE5">
              <w:rPr>
                <w:rFonts w:asciiTheme="minorHAnsi" w:hAnsiTheme="minorHAnsi" w:cs="Arial"/>
                <w:spacing w:val="1"/>
                <w:lang w:eastAsia="en-AU"/>
              </w:rPr>
              <w:t>S</w:t>
            </w:r>
            <w:r w:rsidRPr="00FE6EE5">
              <w:rPr>
                <w:rFonts w:asciiTheme="minorHAnsi" w:hAnsiTheme="minorHAnsi" w:cs="Arial"/>
                <w:spacing w:val="-1"/>
                <w:lang w:eastAsia="en-AU"/>
              </w:rPr>
              <w:t>t</w:t>
            </w:r>
            <w:r w:rsidRPr="00FE6EE5">
              <w:rPr>
                <w:rFonts w:asciiTheme="minorHAnsi" w:hAnsiTheme="minorHAnsi" w:cs="Arial"/>
                <w:lang w:eastAsia="en-AU"/>
              </w:rPr>
              <w:t>o</w:t>
            </w:r>
            <w:r w:rsidRPr="00FE6EE5">
              <w:rPr>
                <w:rFonts w:asciiTheme="minorHAnsi" w:hAnsiTheme="minorHAnsi" w:cs="Arial"/>
                <w:spacing w:val="-1"/>
                <w:lang w:eastAsia="en-AU"/>
              </w:rPr>
              <w:t>r</w:t>
            </w:r>
            <w:r w:rsidRPr="00FE6EE5">
              <w:rPr>
                <w:rFonts w:asciiTheme="minorHAnsi" w:hAnsiTheme="minorHAnsi" w:cs="Arial"/>
                <w:spacing w:val="1"/>
                <w:lang w:eastAsia="en-AU"/>
              </w:rPr>
              <w:t>i</w:t>
            </w:r>
            <w:r w:rsidRPr="00FE6EE5">
              <w:rPr>
                <w:rFonts w:asciiTheme="minorHAnsi" w:hAnsiTheme="minorHAnsi" w:cs="Arial"/>
                <w:spacing w:val="-2"/>
                <w:lang w:eastAsia="en-AU"/>
              </w:rPr>
              <w:t>n</w:t>
            </w:r>
            <w:r w:rsidRPr="00FE6EE5">
              <w:rPr>
                <w:rFonts w:asciiTheme="minorHAnsi" w:hAnsiTheme="minorHAnsi" w:cs="Arial"/>
                <w:lang w:eastAsia="en-AU"/>
              </w:rPr>
              <w:t>g,</w:t>
            </w:r>
            <w:r w:rsidRPr="00FE6EE5">
              <w:rPr>
                <w:rFonts w:asciiTheme="minorHAnsi" w:hAnsiTheme="minorHAnsi" w:cs="Arial"/>
                <w:spacing w:val="-2"/>
                <w:lang w:eastAsia="en-AU"/>
              </w:rPr>
              <w:t xml:space="preserve"> </w:t>
            </w:r>
            <w:proofErr w:type="gramStart"/>
            <w:r w:rsidRPr="00FE6EE5">
              <w:rPr>
                <w:rFonts w:asciiTheme="minorHAnsi" w:hAnsiTheme="minorHAnsi" w:cs="Arial"/>
                <w:lang w:eastAsia="en-AU"/>
              </w:rPr>
              <w:t>d</w:t>
            </w:r>
            <w:r w:rsidRPr="00FE6EE5">
              <w:rPr>
                <w:rFonts w:asciiTheme="minorHAnsi" w:hAnsiTheme="minorHAnsi" w:cs="Arial"/>
                <w:spacing w:val="1"/>
                <w:lang w:eastAsia="en-AU"/>
              </w:rPr>
              <w:t>i</w:t>
            </w:r>
            <w:r w:rsidRPr="00FE6EE5">
              <w:rPr>
                <w:rFonts w:asciiTheme="minorHAnsi" w:hAnsiTheme="minorHAnsi" w:cs="Arial"/>
                <w:lang w:eastAsia="en-AU"/>
              </w:rPr>
              <w:t>s</w:t>
            </w:r>
            <w:r w:rsidRPr="00FE6EE5">
              <w:rPr>
                <w:rFonts w:asciiTheme="minorHAnsi" w:hAnsiTheme="minorHAnsi" w:cs="Arial"/>
                <w:spacing w:val="-1"/>
                <w:lang w:eastAsia="en-AU"/>
              </w:rPr>
              <w:t>tri</w:t>
            </w:r>
            <w:r w:rsidRPr="00FE6EE5">
              <w:rPr>
                <w:rFonts w:asciiTheme="minorHAnsi" w:hAnsiTheme="minorHAnsi" w:cs="Arial"/>
                <w:lang w:eastAsia="en-AU"/>
              </w:rPr>
              <w:t>bu</w:t>
            </w:r>
            <w:r w:rsidRPr="00FE6EE5">
              <w:rPr>
                <w:rFonts w:asciiTheme="minorHAnsi" w:hAnsiTheme="minorHAnsi" w:cs="Arial"/>
                <w:spacing w:val="-1"/>
                <w:lang w:eastAsia="en-AU"/>
              </w:rPr>
              <w:t>ti</w:t>
            </w:r>
            <w:r w:rsidRPr="00FE6EE5">
              <w:rPr>
                <w:rFonts w:asciiTheme="minorHAnsi" w:hAnsiTheme="minorHAnsi" w:cs="Arial"/>
                <w:lang w:eastAsia="en-AU"/>
              </w:rPr>
              <w:t>ng</w:t>
            </w:r>
            <w:proofErr w:type="gramEnd"/>
            <w:r w:rsidRPr="00FE6EE5">
              <w:rPr>
                <w:rFonts w:asciiTheme="minorHAnsi" w:hAnsiTheme="minorHAnsi" w:cs="Arial"/>
                <w:lang w:eastAsia="en-AU"/>
              </w:rPr>
              <w:t xml:space="preserve"> </w:t>
            </w:r>
            <w:r w:rsidRPr="00641C09">
              <w:rPr>
                <w:rFonts w:asciiTheme="minorHAnsi" w:hAnsiTheme="minorHAnsi" w:cs="Arial"/>
                <w:lang w:eastAsia="en-AU"/>
              </w:rPr>
              <w:t xml:space="preserve">and </w:t>
            </w:r>
            <w:r w:rsidRPr="00641C09">
              <w:rPr>
                <w:rFonts w:asciiTheme="minorHAnsi" w:hAnsiTheme="minorHAnsi" w:cs="Arial"/>
                <w:spacing w:val="-1"/>
                <w:lang w:eastAsia="en-AU"/>
              </w:rPr>
              <w:t>tr</w:t>
            </w:r>
            <w:r w:rsidRPr="00641C09">
              <w:rPr>
                <w:rFonts w:asciiTheme="minorHAnsi" w:hAnsiTheme="minorHAnsi" w:cs="Arial"/>
                <w:lang w:eastAsia="en-AU"/>
              </w:rPr>
              <w:t>ac</w:t>
            </w:r>
            <w:r w:rsidRPr="00641C09">
              <w:rPr>
                <w:rFonts w:asciiTheme="minorHAnsi" w:hAnsiTheme="minorHAnsi" w:cs="Arial"/>
                <w:spacing w:val="-1"/>
                <w:lang w:eastAsia="en-AU"/>
              </w:rPr>
              <w:t>i</w:t>
            </w:r>
            <w:r w:rsidRPr="00641C09">
              <w:rPr>
                <w:rFonts w:asciiTheme="minorHAnsi" w:hAnsiTheme="minorHAnsi" w:cs="Arial"/>
                <w:lang w:eastAsia="en-AU"/>
              </w:rPr>
              <w:t>ng</w:t>
            </w:r>
            <w:r w:rsidRPr="00FE6EE5">
              <w:rPr>
                <w:rFonts w:asciiTheme="minorHAnsi" w:hAnsiTheme="minorHAnsi" w:cs="Arial"/>
                <w:lang w:eastAsia="en-AU"/>
              </w:rPr>
              <w:t xml:space="preserve"> </w:t>
            </w:r>
            <w:r w:rsidRPr="00FE6EE5">
              <w:rPr>
                <w:rFonts w:asciiTheme="minorHAnsi" w:hAnsiTheme="minorHAnsi" w:cs="Arial"/>
                <w:spacing w:val="-2"/>
                <w:lang w:eastAsia="en-AU"/>
              </w:rPr>
              <w:t>b</w:t>
            </w:r>
            <w:r w:rsidRPr="00FE6EE5">
              <w:rPr>
                <w:rFonts w:asciiTheme="minorHAnsi" w:hAnsiTheme="minorHAnsi" w:cs="Arial"/>
                <w:spacing w:val="1"/>
                <w:lang w:eastAsia="en-AU"/>
              </w:rPr>
              <w:t>l</w:t>
            </w:r>
            <w:r w:rsidRPr="00FE6EE5">
              <w:rPr>
                <w:rFonts w:asciiTheme="minorHAnsi" w:hAnsiTheme="minorHAnsi" w:cs="Arial"/>
                <w:lang w:eastAsia="en-AU"/>
              </w:rPr>
              <w:t>o</w:t>
            </w:r>
            <w:r w:rsidRPr="00FE6EE5">
              <w:rPr>
                <w:rFonts w:asciiTheme="minorHAnsi" w:hAnsiTheme="minorHAnsi" w:cs="Arial"/>
                <w:spacing w:val="-2"/>
                <w:lang w:eastAsia="en-AU"/>
              </w:rPr>
              <w:t>o</w:t>
            </w:r>
            <w:r w:rsidRPr="00FE6EE5">
              <w:rPr>
                <w:rFonts w:asciiTheme="minorHAnsi" w:hAnsiTheme="minorHAnsi" w:cs="Arial"/>
                <w:lang w:eastAsia="en-AU"/>
              </w:rPr>
              <w:t xml:space="preserve">d and </w:t>
            </w:r>
            <w:r w:rsidRPr="00FE6EE5">
              <w:rPr>
                <w:rFonts w:asciiTheme="minorHAnsi" w:hAnsiTheme="minorHAnsi" w:cs="Arial"/>
                <w:spacing w:val="-2"/>
                <w:lang w:eastAsia="en-AU"/>
              </w:rPr>
              <w:t>b</w:t>
            </w:r>
            <w:r w:rsidRPr="00FE6EE5">
              <w:rPr>
                <w:rFonts w:asciiTheme="minorHAnsi" w:hAnsiTheme="minorHAnsi" w:cs="Arial"/>
                <w:spacing w:val="1"/>
                <w:lang w:eastAsia="en-AU"/>
              </w:rPr>
              <w:t>l</w:t>
            </w:r>
            <w:r w:rsidRPr="00FE6EE5">
              <w:rPr>
                <w:rFonts w:asciiTheme="minorHAnsi" w:hAnsiTheme="minorHAnsi" w:cs="Arial"/>
                <w:lang w:eastAsia="en-AU"/>
              </w:rPr>
              <w:t>o</w:t>
            </w:r>
            <w:r w:rsidRPr="00FE6EE5">
              <w:rPr>
                <w:rFonts w:asciiTheme="minorHAnsi" w:hAnsiTheme="minorHAnsi" w:cs="Arial"/>
                <w:spacing w:val="-2"/>
                <w:lang w:eastAsia="en-AU"/>
              </w:rPr>
              <w:t>o</w:t>
            </w:r>
            <w:r w:rsidRPr="00FE6EE5">
              <w:rPr>
                <w:rFonts w:asciiTheme="minorHAnsi" w:hAnsiTheme="minorHAnsi" w:cs="Arial"/>
                <w:lang w:eastAsia="en-AU"/>
              </w:rPr>
              <w:t>d p</w:t>
            </w:r>
            <w:r w:rsidRPr="00FE6EE5">
              <w:rPr>
                <w:rFonts w:asciiTheme="minorHAnsi" w:hAnsiTheme="minorHAnsi" w:cs="Arial"/>
                <w:spacing w:val="-1"/>
                <w:lang w:eastAsia="en-AU"/>
              </w:rPr>
              <w:t>r</w:t>
            </w:r>
            <w:r w:rsidRPr="00FE6EE5">
              <w:rPr>
                <w:rFonts w:asciiTheme="minorHAnsi" w:hAnsiTheme="minorHAnsi" w:cs="Arial"/>
                <w:lang w:eastAsia="en-AU"/>
              </w:rPr>
              <w:t>od</w:t>
            </w:r>
            <w:r w:rsidRPr="00FE6EE5">
              <w:rPr>
                <w:rFonts w:asciiTheme="minorHAnsi" w:hAnsiTheme="minorHAnsi" w:cs="Arial"/>
                <w:spacing w:val="-2"/>
                <w:lang w:eastAsia="en-AU"/>
              </w:rPr>
              <w:t>u</w:t>
            </w:r>
            <w:r w:rsidRPr="00FE6EE5">
              <w:rPr>
                <w:rFonts w:asciiTheme="minorHAnsi" w:hAnsiTheme="minorHAnsi" w:cs="Arial"/>
                <w:lang w:eastAsia="en-AU"/>
              </w:rPr>
              <w:t>c</w:t>
            </w:r>
            <w:r w:rsidRPr="00FE6EE5">
              <w:rPr>
                <w:rFonts w:asciiTheme="minorHAnsi" w:hAnsiTheme="minorHAnsi" w:cs="Arial"/>
                <w:spacing w:val="-1"/>
                <w:lang w:eastAsia="en-AU"/>
              </w:rPr>
              <w:t>t</w:t>
            </w:r>
            <w:r w:rsidRPr="00FE6EE5">
              <w:rPr>
                <w:rFonts w:asciiTheme="minorHAnsi" w:hAnsiTheme="minorHAnsi" w:cs="Arial"/>
                <w:lang w:eastAsia="en-AU"/>
              </w:rPr>
              <w:t>s</w:t>
            </w:r>
          </w:p>
        </w:tc>
        <w:tc>
          <w:tcPr>
            <w:tcW w:w="7087" w:type="dxa"/>
            <w:tcBorders>
              <w:top w:val="single" w:sz="4" w:space="0" w:color="B60948"/>
              <w:left w:val="single" w:sz="4" w:space="0" w:color="B60948"/>
              <w:bottom w:val="single" w:sz="4" w:space="0" w:color="B60948"/>
              <w:right w:val="single" w:sz="4" w:space="0" w:color="B60948"/>
            </w:tcBorders>
          </w:tcPr>
          <w:p w14:paraId="205EAD64" w14:textId="66D38FC3" w:rsidR="003A4C2B" w:rsidRPr="00FE6EE5" w:rsidRDefault="003A4C2B" w:rsidP="00817ACF">
            <w:pPr>
              <w:autoSpaceDE w:val="0"/>
              <w:autoSpaceDN w:val="0"/>
              <w:adjustRightInd w:val="0"/>
              <w:spacing w:before="54" w:after="0"/>
              <w:ind w:left="500" w:right="-20" w:hanging="426"/>
              <w:rPr>
                <w:rFonts w:asciiTheme="minorHAnsi" w:hAnsiTheme="minorHAnsi" w:cs="Arial"/>
                <w:lang w:eastAsia="en-AU"/>
              </w:rPr>
            </w:pPr>
            <w:r w:rsidRPr="00FE6EE5">
              <w:rPr>
                <w:rFonts w:asciiTheme="minorHAnsi" w:hAnsiTheme="minorHAnsi" w:cs="Arial"/>
                <w:lang w:eastAsia="en-AU"/>
              </w:rPr>
              <w:t>7</w:t>
            </w:r>
            <w:r w:rsidRPr="00FE6EE5">
              <w:rPr>
                <w:rFonts w:asciiTheme="minorHAnsi" w:hAnsiTheme="minorHAnsi" w:cs="Arial"/>
                <w:spacing w:val="-1"/>
                <w:lang w:eastAsia="en-AU"/>
              </w:rPr>
              <w:t>.</w:t>
            </w:r>
            <w:r w:rsidRPr="00FE6EE5">
              <w:rPr>
                <w:rFonts w:asciiTheme="minorHAnsi" w:hAnsiTheme="minorHAnsi" w:cs="Arial"/>
                <w:lang w:eastAsia="en-AU"/>
              </w:rPr>
              <w:t xml:space="preserve">9 </w:t>
            </w:r>
            <w:r w:rsidR="00817ACF">
              <w:rPr>
                <w:rFonts w:asciiTheme="minorHAnsi" w:hAnsiTheme="minorHAnsi" w:cs="Arial"/>
                <w:lang w:eastAsia="en-AU"/>
              </w:rPr>
              <w:tab/>
            </w:r>
            <w:r w:rsidRPr="00817ACF">
              <w:rPr>
                <w:rFonts w:asciiTheme="minorHAnsi" w:hAnsiTheme="minorHAnsi" w:cs="Arial"/>
                <w:lang w:eastAsia="en-AU"/>
              </w:rPr>
              <w:t>The</w:t>
            </w:r>
            <w:r w:rsidRPr="00FE6EE5">
              <w:rPr>
                <w:rFonts w:asciiTheme="minorHAnsi" w:hAnsiTheme="minorHAnsi" w:cs="Arial"/>
                <w:lang w:eastAsia="en-AU"/>
              </w:rPr>
              <w:t xml:space="preserve"> </w:t>
            </w:r>
            <w:r w:rsidRPr="00FE6EE5">
              <w:rPr>
                <w:rFonts w:asciiTheme="minorHAnsi" w:hAnsiTheme="minorHAnsi" w:cs="Arial"/>
                <w:spacing w:val="-2"/>
                <w:lang w:eastAsia="en-AU"/>
              </w:rPr>
              <w:t>h</w:t>
            </w:r>
            <w:r w:rsidRPr="00FE6EE5">
              <w:rPr>
                <w:rFonts w:asciiTheme="minorHAnsi" w:hAnsiTheme="minorHAnsi" w:cs="Arial"/>
                <w:lang w:eastAsia="en-AU"/>
              </w:rPr>
              <w:t>ea</w:t>
            </w:r>
            <w:r w:rsidRPr="00FE6EE5">
              <w:rPr>
                <w:rFonts w:asciiTheme="minorHAnsi" w:hAnsiTheme="minorHAnsi" w:cs="Arial"/>
                <w:spacing w:val="1"/>
                <w:lang w:eastAsia="en-AU"/>
              </w:rPr>
              <w:t>l</w:t>
            </w:r>
            <w:r w:rsidRPr="00FE6EE5">
              <w:rPr>
                <w:rFonts w:asciiTheme="minorHAnsi" w:hAnsiTheme="minorHAnsi" w:cs="Arial"/>
                <w:spacing w:val="-1"/>
                <w:lang w:eastAsia="en-AU"/>
              </w:rPr>
              <w:t>t</w:t>
            </w:r>
            <w:r w:rsidRPr="00FE6EE5">
              <w:rPr>
                <w:rFonts w:asciiTheme="minorHAnsi" w:hAnsiTheme="minorHAnsi" w:cs="Arial"/>
                <w:lang w:eastAsia="en-AU"/>
              </w:rPr>
              <w:t xml:space="preserve">h </w:t>
            </w:r>
            <w:r w:rsidRPr="00FE6EE5">
              <w:rPr>
                <w:rFonts w:asciiTheme="minorHAnsi" w:hAnsiTheme="minorHAnsi" w:cs="Arial"/>
                <w:spacing w:val="-2"/>
                <w:lang w:eastAsia="en-AU"/>
              </w:rPr>
              <w:t>s</w:t>
            </w:r>
            <w:r w:rsidRPr="00FE6EE5">
              <w:rPr>
                <w:rFonts w:asciiTheme="minorHAnsi" w:hAnsiTheme="minorHAnsi" w:cs="Arial"/>
                <w:lang w:eastAsia="en-AU"/>
              </w:rPr>
              <w:t>e</w:t>
            </w:r>
            <w:r w:rsidRPr="00FE6EE5">
              <w:rPr>
                <w:rFonts w:asciiTheme="minorHAnsi" w:hAnsiTheme="minorHAnsi" w:cs="Arial"/>
                <w:spacing w:val="-1"/>
                <w:lang w:eastAsia="en-AU"/>
              </w:rPr>
              <w:t>r</w:t>
            </w:r>
            <w:r w:rsidRPr="00FE6EE5">
              <w:rPr>
                <w:rFonts w:asciiTheme="minorHAnsi" w:hAnsiTheme="minorHAnsi" w:cs="Arial"/>
                <w:spacing w:val="-2"/>
                <w:lang w:eastAsia="en-AU"/>
              </w:rPr>
              <w:t>v</w:t>
            </w:r>
            <w:r w:rsidRPr="00FE6EE5">
              <w:rPr>
                <w:rFonts w:asciiTheme="minorHAnsi" w:hAnsiTheme="minorHAnsi" w:cs="Arial"/>
                <w:spacing w:val="1"/>
                <w:lang w:eastAsia="en-AU"/>
              </w:rPr>
              <w:t>i</w:t>
            </w:r>
            <w:r w:rsidRPr="00FE6EE5">
              <w:rPr>
                <w:rFonts w:asciiTheme="minorHAnsi" w:hAnsiTheme="minorHAnsi" w:cs="Arial"/>
                <w:lang w:eastAsia="en-AU"/>
              </w:rPr>
              <w:t>ce o</w:t>
            </w:r>
            <w:r w:rsidRPr="00FE6EE5">
              <w:rPr>
                <w:rFonts w:asciiTheme="minorHAnsi" w:hAnsiTheme="minorHAnsi" w:cs="Arial"/>
                <w:spacing w:val="-1"/>
                <w:lang w:eastAsia="en-AU"/>
              </w:rPr>
              <w:t>r</w:t>
            </w:r>
            <w:r w:rsidRPr="00FE6EE5">
              <w:rPr>
                <w:rFonts w:asciiTheme="minorHAnsi" w:hAnsiTheme="minorHAnsi" w:cs="Arial"/>
                <w:spacing w:val="-2"/>
                <w:lang w:eastAsia="en-AU"/>
              </w:rPr>
              <w:t>g</w:t>
            </w:r>
            <w:r w:rsidRPr="00FE6EE5">
              <w:rPr>
                <w:rFonts w:asciiTheme="minorHAnsi" w:hAnsiTheme="minorHAnsi" w:cs="Arial"/>
                <w:lang w:eastAsia="en-AU"/>
              </w:rPr>
              <w:t>an</w:t>
            </w:r>
            <w:r w:rsidRPr="00FE6EE5">
              <w:rPr>
                <w:rFonts w:asciiTheme="minorHAnsi" w:hAnsiTheme="minorHAnsi" w:cs="Arial"/>
                <w:spacing w:val="-1"/>
                <w:lang w:eastAsia="en-AU"/>
              </w:rPr>
              <w:t>i</w:t>
            </w:r>
            <w:r w:rsidRPr="00FE6EE5">
              <w:rPr>
                <w:rFonts w:asciiTheme="minorHAnsi" w:hAnsiTheme="minorHAnsi" w:cs="Arial"/>
                <w:lang w:eastAsia="en-AU"/>
              </w:rPr>
              <w:t>sa</w:t>
            </w:r>
            <w:r w:rsidRPr="00FE6EE5">
              <w:rPr>
                <w:rFonts w:asciiTheme="minorHAnsi" w:hAnsiTheme="minorHAnsi" w:cs="Arial"/>
                <w:spacing w:val="-1"/>
                <w:lang w:eastAsia="en-AU"/>
              </w:rPr>
              <w:t>t</w:t>
            </w:r>
            <w:r w:rsidRPr="00FE6EE5">
              <w:rPr>
                <w:rFonts w:asciiTheme="minorHAnsi" w:hAnsiTheme="minorHAnsi" w:cs="Arial"/>
                <w:spacing w:val="1"/>
                <w:lang w:eastAsia="en-AU"/>
              </w:rPr>
              <w:t>i</w:t>
            </w:r>
            <w:r w:rsidRPr="00FE6EE5">
              <w:rPr>
                <w:rFonts w:asciiTheme="minorHAnsi" w:hAnsiTheme="minorHAnsi" w:cs="Arial"/>
                <w:lang w:eastAsia="en-AU"/>
              </w:rPr>
              <w:t>on</w:t>
            </w:r>
            <w:r w:rsidRPr="00FE6EE5">
              <w:rPr>
                <w:rFonts w:asciiTheme="minorHAnsi" w:hAnsiTheme="minorHAnsi" w:cs="Arial"/>
                <w:spacing w:val="-3"/>
                <w:lang w:eastAsia="en-AU"/>
              </w:rPr>
              <w:t xml:space="preserve"> </w:t>
            </w:r>
            <w:r w:rsidRPr="00FE6EE5">
              <w:rPr>
                <w:rFonts w:asciiTheme="minorHAnsi" w:hAnsiTheme="minorHAnsi" w:cs="Arial"/>
                <w:lang w:eastAsia="en-AU"/>
              </w:rPr>
              <w:t>has</w:t>
            </w:r>
            <w:r w:rsidRPr="00FE6EE5">
              <w:rPr>
                <w:rFonts w:asciiTheme="minorHAnsi" w:hAnsiTheme="minorHAnsi" w:cs="Arial"/>
                <w:spacing w:val="-1"/>
                <w:lang w:eastAsia="en-AU"/>
              </w:rPr>
              <w:t xml:space="preserve"> </w:t>
            </w:r>
            <w:r w:rsidRPr="00FE6EE5">
              <w:rPr>
                <w:rFonts w:asciiTheme="minorHAnsi" w:hAnsiTheme="minorHAnsi" w:cs="Arial"/>
                <w:lang w:eastAsia="en-AU"/>
              </w:rPr>
              <w:t>p</w:t>
            </w:r>
            <w:r w:rsidRPr="00FE6EE5">
              <w:rPr>
                <w:rFonts w:asciiTheme="minorHAnsi" w:hAnsiTheme="minorHAnsi" w:cs="Arial"/>
                <w:spacing w:val="-1"/>
                <w:lang w:eastAsia="en-AU"/>
              </w:rPr>
              <w:t>r</w:t>
            </w:r>
            <w:r w:rsidRPr="00FE6EE5">
              <w:rPr>
                <w:rFonts w:asciiTheme="minorHAnsi" w:hAnsiTheme="minorHAnsi" w:cs="Arial"/>
                <w:spacing w:val="-2"/>
                <w:lang w:eastAsia="en-AU"/>
              </w:rPr>
              <w:t>o</w:t>
            </w:r>
            <w:r w:rsidRPr="00FE6EE5">
              <w:rPr>
                <w:rFonts w:asciiTheme="minorHAnsi" w:hAnsiTheme="minorHAnsi" w:cs="Arial"/>
                <w:lang w:eastAsia="en-AU"/>
              </w:rPr>
              <w:t>ces</w:t>
            </w:r>
            <w:r w:rsidRPr="00FE6EE5">
              <w:rPr>
                <w:rFonts w:asciiTheme="minorHAnsi" w:hAnsiTheme="minorHAnsi" w:cs="Arial"/>
                <w:spacing w:val="-2"/>
                <w:lang w:eastAsia="en-AU"/>
              </w:rPr>
              <w:t>s</w:t>
            </w:r>
            <w:r w:rsidRPr="00FE6EE5">
              <w:rPr>
                <w:rFonts w:asciiTheme="minorHAnsi" w:hAnsiTheme="minorHAnsi" w:cs="Arial"/>
                <w:lang w:eastAsia="en-AU"/>
              </w:rPr>
              <w:t>es:</w:t>
            </w:r>
          </w:p>
          <w:p w14:paraId="6B2E8F9F" w14:textId="77777777" w:rsidR="003A4C2B" w:rsidRPr="00FE6EE5" w:rsidRDefault="003A4C2B">
            <w:pPr>
              <w:autoSpaceDE w:val="0"/>
              <w:autoSpaceDN w:val="0"/>
              <w:adjustRightInd w:val="0"/>
              <w:spacing w:before="61" w:after="0" w:line="239" w:lineRule="auto"/>
              <w:ind w:left="868" w:right="72" w:hanging="283"/>
              <w:rPr>
                <w:rFonts w:asciiTheme="minorHAnsi" w:hAnsiTheme="minorHAnsi" w:cs="Arial"/>
                <w:lang w:eastAsia="en-AU"/>
              </w:rPr>
            </w:pPr>
            <w:r w:rsidRPr="00FE6EE5">
              <w:rPr>
                <w:rFonts w:asciiTheme="minorHAnsi" w:hAnsiTheme="minorHAnsi" w:cs="Arial"/>
                <w:lang w:eastAsia="en-AU"/>
              </w:rPr>
              <w:t>a.</w:t>
            </w:r>
            <w:r w:rsidRPr="00FE6EE5">
              <w:rPr>
                <w:rFonts w:asciiTheme="minorHAnsi" w:hAnsiTheme="minorHAnsi" w:cs="Arial"/>
                <w:spacing w:val="48"/>
                <w:lang w:eastAsia="en-AU"/>
              </w:rPr>
              <w:t xml:space="preserve"> </w:t>
            </w:r>
            <w:r w:rsidRPr="00FE6EE5">
              <w:rPr>
                <w:rFonts w:asciiTheme="minorHAnsi" w:hAnsiTheme="minorHAnsi" w:cs="Arial"/>
                <w:spacing w:val="-1"/>
                <w:lang w:eastAsia="en-AU"/>
              </w:rPr>
              <w:t>t</w:t>
            </w:r>
            <w:r w:rsidRPr="00FE6EE5">
              <w:rPr>
                <w:rFonts w:asciiTheme="minorHAnsi" w:hAnsiTheme="minorHAnsi" w:cs="Arial"/>
                <w:lang w:eastAsia="en-AU"/>
              </w:rPr>
              <w:t>hat</w:t>
            </w:r>
            <w:r w:rsidRPr="00FE6EE5">
              <w:rPr>
                <w:rFonts w:asciiTheme="minorHAnsi" w:hAnsiTheme="minorHAnsi" w:cs="Arial"/>
                <w:spacing w:val="-2"/>
                <w:lang w:eastAsia="en-AU"/>
              </w:rPr>
              <w:t xml:space="preserve"> </w:t>
            </w:r>
            <w:proofErr w:type="gramStart"/>
            <w:r w:rsidRPr="00FE6EE5">
              <w:rPr>
                <w:rFonts w:asciiTheme="minorHAnsi" w:hAnsiTheme="minorHAnsi" w:cs="Arial"/>
                <w:lang w:eastAsia="en-AU"/>
              </w:rPr>
              <w:t>co</w:t>
            </w:r>
            <w:r w:rsidRPr="00FE6EE5">
              <w:rPr>
                <w:rFonts w:asciiTheme="minorHAnsi" w:hAnsiTheme="minorHAnsi" w:cs="Arial"/>
                <w:spacing w:val="-1"/>
                <w:lang w:eastAsia="en-AU"/>
              </w:rPr>
              <w:t>m</w:t>
            </w:r>
            <w:r w:rsidRPr="00FE6EE5">
              <w:rPr>
                <w:rFonts w:asciiTheme="minorHAnsi" w:hAnsiTheme="minorHAnsi" w:cs="Arial"/>
                <w:lang w:eastAsia="en-AU"/>
              </w:rPr>
              <w:t>p</w:t>
            </w:r>
            <w:r w:rsidRPr="00FE6EE5">
              <w:rPr>
                <w:rFonts w:asciiTheme="minorHAnsi" w:hAnsiTheme="minorHAnsi" w:cs="Arial"/>
                <w:spacing w:val="1"/>
                <w:lang w:eastAsia="en-AU"/>
              </w:rPr>
              <w:t>l</w:t>
            </w:r>
            <w:r w:rsidRPr="00FE6EE5">
              <w:rPr>
                <w:rFonts w:asciiTheme="minorHAnsi" w:hAnsiTheme="minorHAnsi" w:cs="Arial"/>
                <w:lang w:eastAsia="en-AU"/>
              </w:rPr>
              <w:t>y</w:t>
            </w:r>
            <w:proofErr w:type="gramEnd"/>
            <w:r w:rsidRPr="00FE6EE5">
              <w:rPr>
                <w:rFonts w:asciiTheme="minorHAnsi" w:hAnsiTheme="minorHAnsi" w:cs="Arial"/>
                <w:spacing w:val="-3"/>
                <w:lang w:eastAsia="en-AU"/>
              </w:rPr>
              <w:t xml:space="preserve"> </w:t>
            </w:r>
            <w:r w:rsidRPr="00FE6EE5">
              <w:rPr>
                <w:rFonts w:asciiTheme="minorHAnsi" w:hAnsiTheme="minorHAnsi" w:cs="Arial"/>
                <w:spacing w:val="-1"/>
                <w:lang w:eastAsia="en-AU"/>
              </w:rPr>
              <w:t>w</w:t>
            </w:r>
            <w:r w:rsidRPr="00FE6EE5">
              <w:rPr>
                <w:rFonts w:asciiTheme="minorHAnsi" w:hAnsiTheme="minorHAnsi" w:cs="Arial"/>
                <w:spacing w:val="1"/>
                <w:lang w:eastAsia="en-AU"/>
              </w:rPr>
              <w:t>i</w:t>
            </w:r>
            <w:r w:rsidRPr="00FE6EE5">
              <w:rPr>
                <w:rFonts w:asciiTheme="minorHAnsi" w:hAnsiTheme="minorHAnsi" w:cs="Arial"/>
                <w:spacing w:val="-1"/>
                <w:lang w:eastAsia="en-AU"/>
              </w:rPr>
              <w:t>t</w:t>
            </w:r>
            <w:r w:rsidRPr="00FE6EE5">
              <w:rPr>
                <w:rFonts w:asciiTheme="minorHAnsi" w:hAnsiTheme="minorHAnsi" w:cs="Arial"/>
                <w:lang w:eastAsia="en-AU"/>
              </w:rPr>
              <w:t xml:space="preserve">h </w:t>
            </w:r>
            <w:r w:rsidRPr="00FE6EE5">
              <w:rPr>
                <w:rFonts w:asciiTheme="minorHAnsi" w:hAnsiTheme="minorHAnsi" w:cs="Arial"/>
                <w:spacing w:val="-1"/>
                <w:lang w:eastAsia="en-AU"/>
              </w:rPr>
              <w:t>m</w:t>
            </w:r>
            <w:r w:rsidRPr="00FE6EE5">
              <w:rPr>
                <w:rFonts w:asciiTheme="minorHAnsi" w:hAnsiTheme="minorHAnsi" w:cs="Arial"/>
                <w:lang w:eastAsia="en-AU"/>
              </w:rPr>
              <w:t>an</w:t>
            </w:r>
            <w:r w:rsidRPr="00FE6EE5">
              <w:rPr>
                <w:rFonts w:asciiTheme="minorHAnsi" w:hAnsiTheme="minorHAnsi" w:cs="Arial"/>
                <w:spacing w:val="-2"/>
                <w:lang w:eastAsia="en-AU"/>
              </w:rPr>
              <w:t>u</w:t>
            </w:r>
            <w:r w:rsidRPr="00FE6EE5">
              <w:rPr>
                <w:rFonts w:asciiTheme="minorHAnsi" w:hAnsiTheme="minorHAnsi" w:cs="Arial"/>
                <w:spacing w:val="1"/>
                <w:lang w:eastAsia="en-AU"/>
              </w:rPr>
              <w:t>f</w:t>
            </w:r>
            <w:r w:rsidRPr="00FE6EE5">
              <w:rPr>
                <w:rFonts w:asciiTheme="minorHAnsi" w:hAnsiTheme="minorHAnsi" w:cs="Arial"/>
                <w:spacing w:val="-2"/>
                <w:lang w:eastAsia="en-AU"/>
              </w:rPr>
              <w:t>a</w:t>
            </w:r>
            <w:r w:rsidRPr="00FE6EE5">
              <w:rPr>
                <w:rFonts w:asciiTheme="minorHAnsi" w:hAnsiTheme="minorHAnsi" w:cs="Arial"/>
                <w:lang w:eastAsia="en-AU"/>
              </w:rPr>
              <w:t>c</w:t>
            </w:r>
            <w:r w:rsidRPr="00FE6EE5">
              <w:rPr>
                <w:rFonts w:asciiTheme="minorHAnsi" w:hAnsiTheme="minorHAnsi" w:cs="Arial"/>
                <w:spacing w:val="-1"/>
                <w:lang w:eastAsia="en-AU"/>
              </w:rPr>
              <w:t>t</w:t>
            </w:r>
            <w:r w:rsidRPr="00FE6EE5">
              <w:rPr>
                <w:rFonts w:asciiTheme="minorHAnsi" w:hAnsiTheme="minorHAnsi" w:cs="Arial"/>
                <w:lang w:eastAsia="en-AU"/>
              </w:rPr>
              <w:t>u</w:t>
            </w:r>
            <w:r w:rsidRPr="00FE6EE5">
              <w:rPr>
                <w:rFonts w:asciiTheme="minorHAnsi" w:hAnsiTheme="minorHAnsi" w:cs="Arial"/>
                <w:spacing w:val="-1"/>
                <w:lang w:eastAsia="en-AU"/>
              </w:rPr>
              <w:t>r</w:t>
            </w:r>
            <w:r w:rsidRPr="00FE6EE5">
              <w:rPr>
                <w:rFonts w:asciiTheme="minorHAnsi" w:hAnsiTheme="minorHAnsi" w:cs="Arial"/>
                <w:lang w:eastAsia="en-AU"/>
              </w:rPr>
              <w:t>e</w:t>
            </w:r>
            <w:r w:rsidRPr="00FE6EE5">
              <w:rPr>
                <w:rFonts w:asciiTheme="minorHAnsi" w:hAnsiTheme="minorHAnsi" w:cs="Arial"/>
                <w:spacing w:val="-1"/>
                <w:lang w:eastAsia="en-AU"/>
              </w:rPr>
              <w:t>r</w:t>
            </w:r>
            <w:r w:rsidRPr="00FE6EE5">
              <w:rPr>
                <w:rFonts w:asciiTheme="minorHAnsi" w:hAnsiTheme="minorHAnsi" w:cs="Arial"/>
                <w:lang w:eastAsia="en-AU"/>
              </w:rPr>
              <w:t xml:space="preserve">s’ </w:t>
            </w:r>
            <w:r w:rsidRPr="00FE6EE5">
              <w:rPr>
                <w:rFonts w:asciiTheme="minorHAnsi" w:hAnsiTheme="minorHAnsi" w:cs="Arial"/>
                <w:spacing w:val="-2"/>
                <w:lang w:eastAsia="en-AU"/>
              </w:rPr>
              <w:t>d</w:t>
            </w:r>
            <w:r w:rsidRPr="00FE6EE5">
              <w:rPr>
                <w:rFonts w:asciiTheme="minorHAnsi" w:hAnsiTheme="minorHAnsi" w:cs="Arial"/>
                <w:spacing w:val="1"/>
                <w:lang w:eastAsia="en-AU"/>
              </w:rPr>
              <w:t>i</w:t>
            </w:r>
            <w:r w:rsidRPr="00FE6EE5">
              <w:rPr>
                <w:rFonts w:asciiTheme="minorHAnsi" w:hAnsiTheme="minorHAnsi" w:cs="Arial"/>
                <w:spacing w:val="-1"/>
                <w:lang w:eastAsia="en-AU"/>
              </w:rPr>
              <w:t>r</w:t>
            </w:r>
            <w:r w:rsidRPr="00FE6EE5">
              <w:rPr>
                <w:rFonts w:asciiTheme="minorHAnsi" w:hAnsiTheme="minorHAnsi" w:cs="Arial"/>
                <w:lang w:eastAsia="en-AU"/>
              </w:rPr>
              <w:t>ec</w:t>
            </w:r>
            <w:r w:rsidRPr="00FE6EE5">
              <w:rPr>
                <w:rFonts w:asciiTheme="minorHAnsi" w:hAnsiTheme="minorHAnsi" w:cs="Arial"/>
                <w:spacing w:val="-1"/>
                <w:lang w:eastAsia="en-AU"/>
              </w:rPr>
              <w:t>ti</w:t>
            </w:r>
            <w:r w:rsidRPr="00FE6EE5">
              <w:rPr>
                <w:rFonts w:asciiTheme="minorHAnsi" w:hAnsiTheme="minorHAnsi" w:cs="Arial"/>
                <w:lang w:eastAsia="en-AU"/>
              </w:rPr>
              <w:t>ons,</w:t>
            </w:r>
            <w:r w:rsidRPr="00FE6EE5">
              <w:rPr>
                <w:rFonts w:asciiTheme="minorHAnsi" w:hAnsiTheme="minorHAnsi" w:cs="Arial"/>
                <w:spacing w:val="-2"/>
                <w:lang w:eastAsia="en-AU"/>
              </w:rPr>
              <w:t xml:space="preserve"> </w:t>
            </w:r>
            <w:r w:rsidRPr="00FE6EE5">
              <w:rPr>
                <w:rFonts w:asciiTheme="minorHAnsi" w:hAnsiTheme="minorHAnsi" w:cs="Arial"/>
                <w:spacing w:val="-1"/>
                <w:lang w:eastAsia="en-AU"/>
              </w:rPr>
              <w:t>l</w:t>
            </w:r>
            <w:r w:rsidRPr="00FE6EE5">
              <w:rPr>
                <w:rFonts w:asciiTheme="minorHAnsi" w:hAnsiTheme="minorHAnsi" w:cs="Arial"/>
                <w:lang w:eastAsia="en-AU"/>
              </w:rPr>
              <w:t>e</w:t>
            </w:r>
            <w:r w:rsidRPr="00FE6EE5">
              <w:rPr>
                <w:rFonts w:asciiTheme="minorHAnsi" w:hAnsiTheme="minorHAnsi" w:cs="Arial"/>
                <w:spacing w:val="-2"/>
                <w:lang w:eastAsia="en-AU"/>
              </w:rPr>
              <w:t>g</w:t>
            </w:r>
            <w:r w:rsidRPr="00FE6EE5">
              <w:rPr>
                <w:rFonts w:asciiTheme="minorHAnsi" w:hAnsiTheme="minorHAnsi" w:cs="Arial"/>
                <w:spacing w:val="1"/>
                <w:lang w:eastAsia="en-AU"/>
              </w:rPr>
              <w:t>i</w:t>
            </w:r>
            <w:r w:rsidRPr="00FE6EE5">
              <w:rPr>
                <w:rFonts w:asciiTheme="minorHAnsi" w:hAnsiTheme="minorHAnsi" w:cs="Arial"/>
                <w:lang w:eastAsia="en-AU"/>
              </w:rPr>
              <w:t>s</w:t>
            </w:r>
            <w:r w:rsidRPr="00FE6EE5">
              <w:rPr>
                <w:rFonts w:asciiTheme="minorHAnsi" w:hAnsiTheme="minorHAnsi" w:cs="Arial"/>
                <w:spacing w:val="-1"/>
                <w:lang w:eastAsia="en-AU"/>
              </w:rPr>
              <w:t>l</w:t>
            </w:r>
            <w:r w:rsidRPr="00FE6EE5">
              <w:rPr>
                <w:rFonts w:asciiTheme="minorHAnsi" w:hAnsiTheme="minorHAnsi" w:cs="Arial"/>
                <w:lang w:eastAsia="en-AU"/>
              </w:rPr>
              <w:t>a</w:t>
            </w:r>
            <w:r w:rsidRPr="00FE6EE5">
              <w:rPr>
                <w:rFonts w:asciiTheme="minorHAnsi" w:hAnsiTheme="minorHAnsi" w:cs="Arial"/>
                <w:spacing w:val="-1"/>
                <w:lang w:eastAsia="en-AU"/>
              </w:rPr>
              <w:t>t</w:t>
            </w:r>
            <w:r w:rsidRPr="00FE6EE5">
              <w:rPr>
                <w:rFonts w:asciiTheme="minorHAnsi" w:hAnsiTheme="minorHAnsi" w:cs="Arial"/>
                <w:spacing w:val="1"/>
                <w:lang w:eastAsia="en-AU"/>
              </w:rPr>
              <w:t>i</w:t>
            </w:r>
            <w:r w:rsidRPr="00FE6EE5">
              <w:rPr>
                <w:rFonts w:asciiTheme="minorHAnsi" w:hAnsiTheme="minorHAnsi" w:cs="Arial"/>
                <w:spacing w:val="-2"/>
                <w:lang w:eastAsia="en-AU"/>
              </w:rPr>
              <w:t>o</w:t>
            </w:r>
            <w:r w:rsidRPr="00FE6EE5">
              <w:rPr>
                <w:rFonts w:asciiTheme="minorHAnsi" w:hAnsiTheme="minorHAnsi" w:cs="Arial"/>
                <w:lang w:eastAsia="en-AU"/>
              </w:rPr>
              <w:t xml:space="preserve">n and </w:t>
            </w:r>
            <w:r w:rsidRPr="00FE6EE5">
              <w:rPr>
                <w:rFonts w:asciiTheme="minorHAnsi" w:hAnsiTheme="minorHAnsi" w:cs="Arial"/>
                <w:spacing w:val="-1"/>
                <w:lang w:eastAsia="en-AU"/>
              </w:rPr>
              <w:t>r</w:t>
            </w:r>
            <w:r w:rsidRPr="00FE6EE5">
              <w:rPr>
                <w:rFonts w:asciiTheme="minorHAnsi" w:hAnsiTheme="minorHAnsi" w:cs="Arial"/>
                <w:lang w:eastAsia="en-AU"/>
              </w:rPr>
              <w:t>e</w:t>
            </w:r>
            <w:r w:rsidRPr="00FE6EE5">
              <w:rPr>
                <w:rFonts w:asciiTheme="minorHAnsi" w:hAnsiTheme="minorHAnsi" w:cs="Arial"/>
                <w:spacing w:val="1"/>
                <w:lang w:eastAsia="en-AU"/>
              </w:rPr>
              <w:t>l</w:t>
            </w:r>
            <w:r w:rsidRPr="00FE6EE5">
              <w:rPr>
                <w:rFonts w:asciiTheme="minorHAnsi" w:hAnsiTheme="minorHAnsi" w:cs="Arial"/>
                <w:lang w:eastAsia="en-AU"/>
              </w:rPr>
              <w:t>e</w:t>
            </w:r>
            <w:r w:rsidRPr="00FE6EE5">
              <w:rPr>
                <w:rFonts w:asciiTheme="minorHAnsi" w:hAnsiTheme="minorHAnsi" w:cs="Arial"/>
                <w:spacing w:val="-2"/>
                <w:lang w:eastAsia="en-AU"/>
              </w:rPr>
              <w:t>v</w:t>
            </w:r>
            <w:r w:rsidRPr="00FE6EE5">
              <w:rPr>
                <w:rFonts w:asciiTheme="minorHAnsi" w:hAnsiTheme="minorHAnsi" w:cs="Arial"/>
                <w:lang w:eastAsia="en-AU"/>
              </w:rPr>
              <w:t>ant</w:t>
            </w:r>
            <w:r w:rsidRPr="00FE6EE5">
              <w:rPr>
                <w:rFonts w:asciiTheme="minorHAnsi" w:hAnsiTheme="minorHAnsi" w:cs="Arial"/>
                <w:spacing w:val="-2"/>
                <w:lang w:eastAsia="en-AU"/>
              </w:rPr>
              <w:t xml:space="preserve"> </w:t>
            </w:r>
            <w:r w:rsidRPr="00FE6EE5">
              <w:rPr>
                <w:rFonts w:asciiTheme="minorHAnsi" w:hAnsiTheme="minorHAnsi" w:cs="Arial"/>
                <w:spacing w:val="1"/>
                <w:lang w:eastAsia="en-AU"/>
              </w:rPr>
              <w:t>j</w:t>
            </w:r>
            <w:r w:rsidRPr="00FE6EE5">
              <w:rPr>
                <w:rFonts w:asciiTheme="minorHAnsi" w:hAnsiTheme="minorHAnsi" w:cs="Arial"/>
                <w:lang w:eastAsia="en-AU"/>
              </w:rPr>
              <w:t>u</w:t>
            </w:r>
            <w:r w:rsidRPr="00FE6EE5">
              <w:rPr>
                <w:rFonts w:asciiTheme="minorHAnsi" w:hAnsiTheme="minorHAnsi" w:cs="Arial"/>
                <w:spacing w:val="-3"/>
                <w:lang w:eastAsia="en-AU"/>
              </w:rPr>
              <w:t>r</w:t>
            </w:r>
            <w:r w:rsidRPr="00FE6EE5">
              <w:rPr>
                <w:rFonts w:asciiTheme="minorHAnsi" w:hAnsiTheme="minorHAnsi" w:cs="Arial"/>
                <w:spacing w:val="1"/>
                <w:lang w:eastAsia="en-AU"/>
              </w:rPr>
              <w:t>i</w:t>
            </w:r>
            <w:r w:rsidRPr="00FE6EE5">
              <w:rPr>
                <w:rFonts w:asciiTheme="minorHAnsi" w:hAnsiTheme="minorHAnsi" w:cs="Arial"/>
                <w:lang w:eastAsia="en-AU"/>
              </w:rPr>
              <w:t>s</w:t>
            </w:r>
            <w:r w:rsidRPr="00FE6EE5">
              <w:rPr>
                <w:rFonts w:asciiTheme="minorHAnsi" w:hAnsiTheme="minorHAnsi" w:cs="Arial"/>
                <w:spacing w:val="-2"/>
                <w:lang w:eastAsia="en-AU"/>
              </w:rPr>
              <w:t>d</w:t>
            </w:r>
            <w:r w:rsidRPr="00FE6EE5">
              <w:rPr>
                <w:rFonts w:asciiTheme="minorHAnsi" w:hAnsiTheme="minorHAnsi" w:cs="Arial"/>
                <w:spacing w:val="1"/>
                <w:lang w:eastAsia="en-AU"/>
              </w:rPr>
              <w:t>i</w:t>
            </w:r>
            <w:r w:rsidRPr="00FE6EE5">
              <w:rPr>
                <w:rFonts w:asciiTheme="minorHAnsi" w:hAnsiTheme="minorHAnsi" w:cs="Arial"/>
                <w:lang w:eastAsia="en-AU"/>
              </w:rPr>
              <w:t>c</w:t>
            </w:r>
            <w:r w:rsidRPr="00FE6EE5">
              <w:rPr>
                <w:rFonts w:asciiTheme="minorHAnsi" w:hAnsiTheme="minorHAnsi" w:cs="Arial"/>
                <w:spacing w:val="-1"/>
                <w:lang w:eastAsia="en-AU"/>
              </w:rPr>
              <w:t>ti</w:t>
            </w:r>
            <w:r w:rsidRPr="00FE6EE5">
              <w:rPr>
                <w:rFonts w:asciiTheme="minorHAnsi" w:hAnsiTheme="minorHAnsi" w:cs="Arial"/>
                <w:lang w:eastAsia="en-AU"/>
              </w:rPr>
              <w:t>on</w:t>
            </w:r>
            <w:r w:rsidRPr="00FE6EE5">
              <w:rPr>
                <w:rFonts w:asciiTheme="minorHAnsi" w:hAnsiTheme="minorHAnsi" w:cs="Arial"/>
                <w:spacing w:val="-2"/>
                <w:lang w:eastAsia="en-AU"/>
              </w:rPr>
              <w:t>a</w:t>
            </w:r>
            <w:r w:rsidRPr="00FE6EE5">
              <w:rPr>
                <w:rFonts w:asciiTheme="minorHAnsi" w:hAnsiTheme="minorHAnsi" w:cs="Arial"/>
                <w:lang w:eastAsia="en-AU"/>
              </w:rPr>
              <w:t xml:space="preserve">l </w:t>
            </w:r>
            <w:r w:rsidRPr="00FE6EE5">
              <w:rPr>
                <w:rFonts w:asciiTheme="minorHAnsi" w:hAnsiTheme="minorHAnsi" w:cs="Arial"/>
                <w:spacing w:val="-1"/>
                <w:lang w:eastAsia="en-AU"/>
              </w:rPr>
              <w:t>r</w:t>
            </w:r>
            <w:r w:rsidRPr="00FE6EE5">
              <w:rPr>
                <w:rFonts w:asciiTheme="minorHAnsi" w:hAnsiTheme="minorHAnsi" w:cs="Arial"/>
                <w:lang w:eastAsia="en-AU"/>
              </w:rPr>
              <w:t>eq</w:t>
            </w:r>
            <w:r w:rsidRPr="00FE6EE5">
              <w:rPr>
                <w:rFonts w:asciiTheme="minorHAnsi" w:hAnsiTheme="minorHAnsi" w:cs="Arial"/>
                <w:spacing w:val="-2"/>
                <w:lang w:eastAsia="en-AU"/>
              </w:rPr>
              <w:t>u</w:t>
            </w:r>
            <w:r w:rsidRPr="00FE6EE5">
              <w:rPr>
                <w:rFonts w:asciiTheme="minorHAnsi" w:hAnsiTheme="minorHAnsi" w:cs="Arial"/>
                <w:spacing w:val="1"/>
                <w:lang w:eastAsia="en-AU"/>
              </w:rPr>
              <w:t>i</w:t>
            </w:r>
            <w:r w:rsidRPr="00FE6EE5">
              <w:rPr>
                <w:rFonts w:asciiTheme="minorHAnsi" w:hAnsiTheme="minorHAnsi" w:cs="Arial"/>
                <w:spacing w:val="-1"/>
                <w:lang w:eastAsia="en-AU"/>
              </w:rPr>
              <w:t>r</w:t>
            </w:r>
            <w:r w:rsidRPr="00FE6EE5">
              <w:rPr>
                <w:rFonts w:asciiTheme="minorHAnsi" w:hAnsiTheme="minorHAnsi" w:cs="Arial"/>
                <w:spacing w:val="-2"/>
                <w:lang w:eastAsia="en-AU"/>
              </w:rPr>
              <w:t>e</w:t>
            </w:r>
            <w:r w:rsidRPr="00FE6EE5">
              <w:rPr>
                <w:rFonts w:asciiTheme="minorHAnsi" w:hAnsiTheme="minorHAnsi" w:cs="Arial"/>
                <w:spacing w:val="2"/>
                <w:lang w:eastAsia="en-AU"/>
              </w:rPr>
              <w:t>m</w:t>
            </w:r>
            <w:r w:rsidRPr="00FE6EE5">
              <w:rPr>
                <w:rFonts w:asciiTheme="minorHAnsi" w:hAnsiTheme="minorHAnsi" w:cs="Arial"/>
                <w:spacing w:val="-2"/>
                <w:lang w:eastAsia="en-AU"/>
              </w:rPr>
              <w:t>e</w:t>
            </w:r>
            <w:r w:rsidRPr="00FE6EE5">
              <w:rPr>
                <w:rFonts w:asciiTheme="minorHAnsi" w:hAnsiTheme="minorHAnsi" w:cs="Arial"/>
                <w:lang w:eastAsia="en-AU"/>
              </w:rPr>
              <w:t>n</w:t>
            </w:r>
            <w:r w:rsidRPr="00FE6EE5">
              <w:rPr>
                <w:rFonts w:asciiTheme="minorHAnsi" w:hAnsiTheme="minorHAnsi" w:cs="Arial"/>
                <w:spacing w:val="-1"/>
                <w:lang w:eastAsia="en-AU"/>
              </w:rPr>
              <w:t>t</w:t>
            </w:r>
            <w:r w:rsidRPr="00FE6EE5">
              <w:rPr>
                <w:rFonts w:asciiTheme="minorHAnsi" w:hAnsiTheme="minorHAnsi" w:cs="Arial"/>
                <w:lang w:eastAsia="en-AU"/>
              </w:rPr>
              <w:t>s</w:t>
            </w:r>
            <w:r w:rsidRPr="00FE6EE5">
              <w:rPr>
                <w:rFonts w:asciiTheme="minorHAnsi" w:hAnsiTheme="minorHAnsi" w:cs="Arial"/>
                <w:spacing w:val="-1"/>
                <w:lang w:eastAsia="en-AU"/>
              </w:rPr>
              <w:t xml:space="preserve"> t</w:t>
            </w:r>
            <w:r w:rsidRPr="00FE6EE5">
              <w:rPr>
                <w:rFonts w:asciiTheme="minorHAnsi" w:hAnsiTheme="minorHAnsi" w:cs="Arial"/>
                <w:lang w:eastAsia="en-AU"/>
              </w:rPr>
              <w:t>o s</w:t>
            </w:r>
            <w:r w:rsidRPr="00FE6EE5">
              <w:rPr>
                <w:rFonts w:asciiTheme="minorHAnsi" w:hAnsiTheme="minorHAnsi" w:cs="Arial"/>
                <w:spacing w:val="-1"/>
                <w:lang w:eastAsia="en-AU"/>
              </w:rPr>
              <w:t>t</w:t>
            </w:r>
            <w:r w:rsidRPr="00FE6EE5">
              <w:rPr>
                <w:rFonts w:asciiTheme="minorHAnsi" w:hAnsiTheme="minorHAnsi" w:cs="Arial"/>
                <w:lang w:eastAsia="en-AU"/>
              </w:rPr>
              <w:t>o</w:t>
            </w:r>
            <w:r w:rsidRPr="00FE6EE5">
              <w:rPr>
                <w:rFonts w:asciiTheme="minorHAnsi" w:hAnsiTheme="minorHAnsi" w:cs="Arial"/>
                <w:spacing w:val="-1"/>
                <w:lang w:eastAsia="en-AU"/>
              </w:rPr>
              <w:t>r</w:t>
            </w:r>
            <w:r w:rsidRPr="00FE6EE5">
              <w:rPr>
                <w:rFonts w:asciiTheme="minorHAnsi" w:hAnsiTheme="minorHAnsi" w:cs="Arial"/>
                <w:lang w:eastAsia="en-AU"/>
              </w:rPr>
              <w:t>e,</w:t>
            </w:r>
            <w:r w:rsidRPr="00FE6EE5">
              <w:rPr>
                <w:rFonts w:asciiTheme="minorHAnsi" w:hAnsiTheme="minorHAnsi" w:cs="Arial"/>
                <w:spacing w:val="-2"/>
                <w:lang w:eastAsia="en-AU"/>
              </w:rPr>
              <w:t xml:space="preserve"> </w:t>
            </w:r>
            <w:r w:rsidRPr="00FE6EE5">
              <w:rPr>
                <w:rFonts w:asciiTheme="minorHAnsi" w:hAnsiTheme="minorHAnsi" w:cs="Arial"/>
                <w:lang w:eastAsia="en-AU"/>
              </w:rPr>
              <w:t>d</w:t>
            </w:r>
            <w:r w:rsidRPr="00FE6EE5">
              <w:rPr>
                <w:rFonts w:asciiTheme="minorHAnsi" w:hAnsiTheme="minorHAnsi" w:cs="Arial"/>
                <w:spacing w:val="1"/>
                <w:lang w:eastAsia="en-AU"/>
              </w:rPr>
              <w:t>i</w:t>
            </w:r>
            <w:r w:rsidRPr="00FE6EE5">
              <w:rPr>
                <w:rFonts w:asciiTheme="minorHAnsi" w:hAnsiTheme="minorHAnsi" w:cs="Arial"/>
                <w:lang w:eastAsia="en-AU"/>
              </w:rPr>
              <w:t>s</w:t>
            </w:r>
            <w:r w:rsidRPr="00FE6EE5">
              <w:rPr>
                <w:rFonts w:asciiTheme="minorHAnsi" w:hAnsiTheme="minorHAnsi" w:cs="Arial"/>
                <w:spacing w:val="-1"/>
                <w:lang w:eastAsia="en-AU"/>
              </w:rPr>
              <w:t>tr</w:t>
            </w:r>
            <w:r w:rsidRPr="00FE6EE5">
              <w:rPr>
                <w:rFonts w:asciiTheme="minorHAnsi" w:hAnsiTheme="minorHAnsi" w:cs="Arial"/>
                <w:spacing w:val="1"/>
                <w:lang w:eastAsia="en-AU"/>
              </w:rPr>
              <w:t>i</w:t>
            </w:r>
            <w:r w:rsidRPr="00FE6EE5">
              <w:rPr>
                <w:rFonts w:asciiTheme="minorHAnsi" w:hAnsiTheme="minorHAnsi" w:cs="Arial"/>
                <w:spacing w:val="-2"/>
                <w:lang w:eastAsia="en-AU"/>
              </w:rPr>
              <w:t>b</w:t>
            </w:r>
            <w:r w:rsidRPr="00FE6EE5">
              <w:rPr>
                <w:rFonts w:asciiTheme="minorHAnsi" w:hAnsiTheme="minorHAnsi" w:cs="Arial"/>
                <w:lang w:eastAsia="en-AU"/>
              </w:rPr>
              <w:t>u</w:t>
            </w:r>
            <w:r w:rsidRPr="00FE6EE5">
              <w:rPr>
                <w:rFonts w:asciiTheme="minorHAnsi" w:hAnsiTheme="minorHAnsi" w:cs="Arial"/>
                <w:spacing w:val="-1"/>
                <w:lang w:eastAsia="en-AU"/>
              </w:rPr>
              <w:t>t</w:t>
            </w:r>
            <w:r w:rsidRPr="00FE6EE5">
              <w:rPr>
                <w:rFonts w:asciiTheme="minorHAnsi" w:hAnsiTheme="minorHAnsi" w:cs="Arial"/>
                <w:lang w:eastAsia="en-AU"/>
              </w:rPr>
              <w:t>e and h</w:t>
            </w:r>
            <w:r w:rsidRPr="00FE6EE5">
              <w:rPr>
                <w:rFonts w:asciiTheme="minorHAnsi" w:hAnsiTheme="minorHAnsi" w:cs="Arial"/>
                <w:spacing w:val="-2"/>
                <w:lang w:eastAsia="en-AU"/>
              </w:rPr>
              <w:t>a</w:t>
            </w:r>
            <w:r w:rsidRPr="00FE6EE5">
              <w:rPr>
                <w:rFonts w:asciiTheme="minorHAnsi" w:hAnsiTheme="minorHAnsi" w:cs="Arial"/>
                <w:lang w:eastAsia="en-AU"/>
              </w:rPr>
              <w:t>n</w:t>
            </w:r>
            <w:r w:rsidRPr="00FE6EE5">
              <w:rPr>
                <w:rFonts w:asciiTheme="minorHAnsi" w:hAnsiTheme="minorHAnsi" w:cs="Arial"/>
                <w:spacing w:val="-2"/>
                <w:lang w:eastAsia="en-AU"/>
              </w:rPr>
              <w:t>d</w:t>
            </w:r>
            <w:r w:rsidRPr="00FE6EE5">
              <w:rPr>
                <w:rFonts w:asciiTheme="minorHAnsi" w:hAnsiTheme="minorHAnsi" w:cs="Arial"/>
                <w:spacing w:val="1"/>
                <w:lang w:eastAsia="en-AU"/>
              </w:rPr>
              <w:t>l</w:t>
            </w:r>
            <w:r w:rsidRPr="00FE6EE5">
              <w:rPr>
                <w:rFonts w:asciiTheme="minorHAnsi" w:hAnsiTheme="minorHAnsi" w:cs="Arial"/>
                <w:lang w:eastAsia="en-AU"/>
              </w:rPr>
              <w:t>e b</w:t>
            </w:r>
            <w:r w:rsidRPr="00FE6EE5">
              <w:rPr>
                <w:rFonts w:asciiTheme="minorHAnsi" w:hAnsiTheme="minorHAnsi" w:cs="Arial"/>
                <w:spacing w:val="1"/>
                <w:lang w:eastAsia="en-AU"/>
              </w:rPr>
              <w:t>l</w:t>
            </w:r>
            <w:r w:rsidRPr="00FE6EE5">
              <w:rPr>
                <w:rFonts w:asciiTheme="minorHAnsi" w:hAnsiTheme="minorHAnsi" w:cs="Arial"/>
                <w:spacing w:val="-2"/>
                <w:lang w:eastAsia="en-AU"/>
              </w:rPr>
              <w:t>o</w:t>
            </w:r>
            <w:r w:rsidRPr="00FE6EE5">
              <w:rPr>
                <w:rFonts w:asciiTheme="minorHAnsi" w:hAnsiTheme="minorHAnsi" w:cs="Arial"/>
                <w:lang w:eastAsia="en-AU"/>
              </w:rPr>
              <w:t>od a</w:t>
            </w:r>
            <w:r w:rsidRPr="00FE6EE5">
              <w:rPr>
                <w:rFonts w:asciiTheme="minorHAnsi" w:hAnsiTheme="minorHAnsi" w:cs="Arial"/>
                <w:spacing w:val="-2"/>
                <w:lang w:eastAsia="en-AU"/>
              </w:rPr>
              <w:t>n</w:t>
            </w:r>
            <w:r w:rsidRPr="00FE6EE5">
              <w:rPr>
                <w:rFonts w:asciiTheme="minorHAnsi" w:hAnsiTheme="minorHAnsi" w:cs="Arial"/>
                <w:lang w:eastAsia="en-AU"/>
              </w:rPr>
              <w:t>d b</w:t>
            </w:r>
            <w:r w:rsidRPr="00FE6EE5">
              <w:rPr>
                <w:rFonts w:asciiTheme="minorHAnsi" w:hAnsiTheme="minorHAnsi" w:cs="Arial"/>
                <w:spacing w:val="1"/>
                <w:lang w:eastAsia="en-AU"/>
              </w:rPr>
              <w:t>l</w:t>
            </w:r>
            <w:r w:rsidRPr="00FE6EE5">
              <w:rPr>
                <w:rFonts w:asciiTheme="minorHAnsi" w:hAnsiTheme="minorHAnsi" w:cs="Arial"/>
                <w:spacing w:val="-2"/>
                <w:lang w:eastAsia="en-AU"/>
              </w:rPr>
              <w:t>o</w:t>
            </w:r>
            <w:r w:rsidRPr="00FE6EE5">
              <w:rPr>
                <w:rFonts w:asciiTheme="minorHAnsi" w:hAnsiTheme="minorHAnsi" w:cs="Arial"/>
                <w:lang w:eastAsia="en-AU"/>
              </w:rPr>
              <w:t>od p</w:t>
            </w:r>
            <w:r w:rsidRPr="00FE6EE5">
              <w:rPr>
                <w:rFonts w:asciiTheme="minorHAnsi" w:hAnsiTheme="minorHAnsi" w:cs="Arial"/>
                <w:spacing w:val="-1"/>
                <w:lang w:eastAsia="en-AU"/>
              </w:rPr>
              <w:t>r</w:t>
            </w:r>
            <w:r w:rsidRPr="00FE6EE5">
              <w:rPr>
                <w:rFonts w:asciiTheme="minorHAnsi" w:hAnsiTheme="minorHAnsi" w:cs="Arial"/>
                <w:spacing w:val="-2"/>
                <w:lang w:eastAsia="en-AU"/>
              </w:rPr>
              <w:t>o</w:t>
            </w:r>
            <w:r w:rsidRPr="00FE6EE5">
              <w:rPr>
                <w:rFonts w:asciiTheme="minorHAnsi" w:hAnsiTheme="minorHAnsi" w:cs="Arial"/>
                <w:lang w:eastAsia="en-AU"/>
              </w:rPr>
              <w:t>duc</w:t>
            </w:r>
            <w:r w:rsidRPr="00FE6EE5">
              <w:rPr>
                <w:rFonts w:asciiTheme="minorHAnsi" w:hAnsiTheme="minorHAnsi" w:cs="Arial"/>
                <w:spacing w:val="-1"/>
                <w:lang w:eastAsia="en-AU"/>
              </w:rPr>
              <w:t>t</w:t>
            </w:r>
            <w:r w:rsidRPr="00FE6EE5">
              <w:rPr>
                <w:rFonts w:asciiTheme="minorHAnsi" w:hAnsiTheme="minorHAnsi" w:cs="Arial"/>
                <w:lang w:eastAsia="en-AU"/>
              </w:rPr>
              <w:t>s</w:t>
            </w:r>
            <w:r w:rsidRPr="00FE6EE5">
              <w:rPr>
                <w:rFonts w:asciiTheme="minorHAnsi" w:hAnsiTheme="minorHAnsi" w:cs="Arial"/>
                <w:spacing w:val="-3"/>
                <w:lang w:eastAsia="en-AU"/>
              </w:rPr>
              <w:t xml:space="preserve"> </w:t>
            </w:r>
            <w:r w:rsidRPr="00FE6EE5">
              <w:rPr>
                <w:rFonts w:asciiTheme="minorHAnsi" w:hAnsiTheme="minorHAnsi" w:cs="Arial"/>
                <w:lang w:eastAsia="en-AU"/>
              </w:rPr>
              <w:t>sa</w:t>
            </w:r>
            <w:r w:rsidRPr="00FE6EE5">
              <w:rPr>
                <w:rFonts w:asciiTheme="minorHAnsi" w:hAnsiTheme="minorHAnsi" w:cs="Arial"/>
                <w:spacing w:val="-1"/>
                <w:lang w:eastAsia="en-AU"/>
              </w:rPr>
              <w:t>f</w:t>
            </w:r>
            <w:r w:rsidRPr="00FE6EE5">
              <w:rPr>
                <w:rFonts w:asciiTheme="minorHAnsi" w:hAnsiTheme="minorHAnsi" w:cs="Arial"/>
                <w:lang w:eastAsia="en-AU"/>
              </w:rPr>
              <w:t>e</w:t>
            </w:r>
            <w:r w:rsidRPr="00FE6EE5">
              <w:rPr>
                <w:rFonts w:asciiTheme="minorHAnsi" w:hAnsiTheme="minorHAnsi" w:cs="Arial"/>
                <w:spacing w:val="1"/>
                <w:lang w:eastAsia="en-AU"/>
              </w:rPr>
              <w:t>l</w:t>
            </w:r>
            <w:r w:rsidRPr="00FE6EE5">
              <w:rPr>
                <w:rFonts w:asciiTheme="minorHAnsi" w:hAnsiTheme="minorHAnsi" w:cs="Arial"/>
                <w:lang w:eastAsia="en-AU"/>
              </w:rPr>
              <w:t>y</w:t>
            </w:r>
            <w:r w:rsidRPr="00FE6EE5">
              <w:rPr>
                <w:rFonts w:asciiTheme="minorHAnsi" w:hAnsiTheme="minorHAnsi" w:cs="Arial"/>
                <w:spacing w:val="-3"/>
                <w:lang w:eastAsia="en-AU"/>
              </w:rPr>
              <w:t xml:space="preserve"> </w:t>
            </w:r>
            <w:r w:rsidRPr="00FE6EE5">
              <w:rPr>
                <w:rFonts w:asciiTheme="minorHAnsi" w:hAnsiTheme="minorHAnsi" w:cs="Arial"/>
                <w:lang w:eastAsia="en-AU"/>
              </w:rPr>
              <w:t>and s</w:t>
            </w:r>
            <w:r w:rsidRPr="00FE6EE5">
              <w:rPr>
                <w:rFonts w:asciiTheme="minorHAnsi" w:hAnsiTheme="minorHAnsi" w:cs="Arial"/>
                <w:spacing w:val="-2"/>
                <w:lang w:eastAsia="en-AU"/>
              </w:rPr>
              <w:t>e</w:t>
            </w:r>
            <w:r w:rsidRPr="00FE6EE5">
              <w:rPr>
                <w:rFonts w:asciiTheme="minorHAnsi" w:hAnsiTheme="minorHAnsi" w:cs="Arial"/>
                <w:lang w:eastAsia="en-AU"/>
              </w:rPr>
              <w:t>cu</w:t>
            </w:r>
            <w:r w:rsidRPr="00FE6EE5">
              <w:rPr>
                <w:rFonts w:asciiTheme="minorHAnsi" w:hAnsiTheme="minorHAnsi" w:cs="Arial"/>
                <w:spacing w:val="-1"/>
                <w:lang w:eastAsia="en-AU"/>
              </w:rPr>
              <w:t>r</w:t>
            </w:r>
            <w:r w:rsidRPr="00FE6EE5">
              <w:rPr>
                <w:rFonts w:asciiTheme="minorHAnsi" w:hAnsiTheme="minorHAnsi" w:cs="Arial"/>
                <w:spacing w:val="-2"/>
                <w:lang w:eastAsia="en-AU"/>
              </w:rPr>
              <w:t>e</w:t>
            </w:r>
            <w:r w:rsidRPr="00FE6EE5">
              <w:rPr>
                <w:rFonts w:asciiTheme="minorHAnsi" w:hAnsiTheme="minorHAnsi" w:cs="Arial"/>
                <w:spacing w:val="1"/>
                <w:lang w:eastAsia="en-AU"/>
              </w:rPr>
              <w:t>l</w:t>
            </w:r>
            <w:r w:rsidRPr="00FE6EE5">
              <w:rPr>
                <w:rFonts w:asciiTheme="minorHAnsi" w:hAnsiTheme="minorHAnsi" w:cs="Arial"/>
                <w:lang w:eastAsia="en-AU"/>
              </w:rPr>
              <w:t>y</w:t>
            </w:r>
          </w:p>
          <w:p w14:paraId="7448ACBC" w14:textId="77777777" w:rsidR="003A4C2B" w:rsidRPr="00FE6EE5" w:rsidRDefault="003A4C2B">
            <w:pPr>
              <w:autoSpaceDE w:val="0"/>
              <w:autoSpaceDN w:val="0"/>
              <w:adjustRightInd w:val="0"/>
              <w:spacing w:before="66" w:after="0" w:line="240" w:lineRule="exact"/>
              <w:ind w:left="868" w:right="78" w:hanging="283"/>
              <w:rPr>
                <w:rFonts w:asciiTheme="minorHAnsi" w:hAnsiTheme="minorHAnsi" w:cs="Times New Roman"/>
                <w:lang w:eastAsia="en-AU"/>
              </w:rPr>
            </w:pPr>
            <w:r w:rsidRPr="00FE6EE5">
              <w:rPr>
                <w:rFonts w:asciiTheme="minorHAnsi" w:hAnsiTheme="minorHAnsi" w:cs="Arial"/>
                <w:lang w:eastAsia="en-AU"/>
              </w:rPr>
              <w:t>b.</w:t>
            </w:r>
            <w:r w:rsidRPr="00FE6EE5">
              <w:rPr>
                <w:rFonts w:asciiTheme="minorHAnsi" w:hAnsiTheme="minorHAnsi" w:cs="Arial"/>
                <w:spacing w:val="48"/>
                <w:lang w:eastAsia="en-AU"/>
              </w:rPr>
              <w:t xml:space="preserve"> </w:t>
            </w:r>
            <w:r w:rsidRPr="00FE6EE5">
              <w:rPr>
                <w:rFonts w:asciiTheme="minorHAnsi" w:hAnsiTheme="minorHAnsi" w:cs="Arial"/>
                <w:spacing w:val="-1"/>
                <w:lang w:eastAsia="en-AU"/>
              </w:rPr>
              <w:t>t</w:t>
            </w:r>
            <w:r w:rsidRPr="00FE6EE5">
              <w:rPr>
                <w:rFonts w:asciiTheme="minorHAnsi" w:hAnsiTheme="minorHAnsi" w:cs="Arial"/>
                <w:lang w:eastAsia="en-AU"/>
              </w:rPr>
              <w:t xml:space="preserve">o </w:t>
            </w:r>
            <w:r w:rsidRPr="00FE6EE5">
              <w:rPr>
                <w:rFonts w:asciiTheme="minorHAnsi" w:hAnsiTheme="minorHAnsi" w:cs="Arial"/>
                <w:spacing w:val="-1"/>
                <w:lang w:eastAsia="en-AU"/>
              </w:rPr>
              <w:t>tr</w:t>
            </w:r>
            <w:r w:rsidRPr="00FE6EE5">
              <w:rPr>
                <w:rFonts w:asciiTheme="minorHAnsi" w:hAnsiTheme="minorHAnsi" w:cs="Arial"/>
                <w:lang w:eastAsia="en-AU"/>
              </w:rPr>
              <w:t>ace b</w:t>
            </w:r>
            <w:r w:rsidRPr="00FE6EE5">
              <w:rPr>
                <w:rFonts w:asciiTheme="minorHAnsi" w:hAnsiTheme="minorHAnsi" w:cs="Arial"/>
                <w:spacing w:val="1"/>
                <w:lang w:eastAsia="en-AU"/>
              </w:rPr>
              <w:t>l</w:t>
            </w:r>
            <w:r w:rsidRPr="00FE6EE5">
              <w:rPr>
                <w:rFonts w:asciiTheme="minorHAnsi" w:hAnsiTheme="minorHAnsi" w:cs="Arial"/>
                <w:lang w:eastAsia="en-AU"/>
              </w:rPr>
              <w:t>o</w:t>
            </w:r>
            <w:r w:rsidRPr="00FE6EE5">
              <w:rPr>
                <w:rFonts w:asciiTheme="minorHAnsi" w:hAnsiTheme="minorHAnsi" w:cs="Arial"/>
                <w:spacing w:val="-2"/>
                <w:lang w:eastAsia="en-AU"/>
              </w:rPr>
              <w:t>o</w:t>
            </w:r>
            <w:r w:rsidRPr="00FE6EE5">
              <w:rPr>
                <w:rFonts w:asciiTheme="minorHAnsi" w:hAnsiTheme="minorHAnsi" w:cs="Arial"/>
                <w:lang w:eastAsia="en-AU"/>
              </w:rPr>
              <w:t xml:space="preserve">d and </w:t>
            </w:r>
            <w:r w:rsidRPr="00FE6EE5">
              <w:rPr>
                <w:rFonts w:asciiTheme="minorHAnsi" w:hAnsiTheme="minorHAnsi" w:cs="Arial"/>
                <w:spacing w:val="-2"/>
                <w:lang w:eastAsia="en-AU"/>
              </w:rPr>
              <w:t>b</w:t>
            </w:r>
            <w:r w:rsidRPr="00FE6EE5">
              <w:rPr>
                <w:rFonts w:asciiTheme="minorHAnsi" w:hAnsiTheme="minorHAnsi" w:cs="Arial"/>
                <w:spacing w:val="1"/>
                <w:lang w:eastAsia="en-AU"/>
              </w:rPr>
              <w:t>l</w:t>
            </w:r>
            <w:r w:rsidRPr="00FE6EE5">
              <w:rPr>
                <w:rFonts w:asciiTheme="minorHAnsi" w:hAnsiTheme="minorHAnsi" w:cs="Arial"/>
                <w:spacing w:val="-2"/>
                <w:lang w:eastAsia="en-AU"/>
              </w:rPr>
              <w:t>o</w:t>
            </w:r>
            <w:r w:rsidRPr="00FE6EE5">
              <w:rPr>
                <w:rFonts w:asciiTheme="minorHAnsi" w:hAnsiTheme="minorHAnsi" w:cs="Arial"/>
                <w:lang w:eastAsia="en-AU"/>
              </w:rPr>
              <w:t xml:space="preserve">od </w:t>
            </w:r>
            <w:r w:rsidRPr="00FE6EE5">
              <w:rPr>
                <w:rFonts w:asciiTheme="minorHAnsi" w:hAnsiTheme="minorHAnsi" w:cs="Arial"/>
                <w:spacing w:val="-2"/>
                <w:lang w:eastAsia="en-AU"/>
              </w:rPr>
              <w:t>p</w:t>
            </w:r>
            <w:r w:rsidRPr="00FE6EE5">
              <w:rPr>
                <w:rFonts w:asciiTheme="minorHAnsi" w:hAnsiTheme="minorHAnsi" w:cs="Arial"/>
                <w:spacing w:val="-1"/>
                <w:lang w:eastAsia="en-AU"/>
              </w:rPr>
              <w:t>r</w:t>
            </w:r>
            <w:r w:rsidRPr="00FE6EE5">
              <w:rPr>
                <w:rFonts w:asciiTheme="minorHAnsi" w:hAnsiTheme="minorHAnsi" w:cs="Arial"/>
                <w:lang w:eastAsia="en-AU"/>
              </w:rPr>
              <w:t>oduc</w:t>
            </w:r>
            <w:r w:rsidRPr="00FE6EE5">
              <w:rPr>
                <w:rFonts w:asciiTheme="minorHAnsi" w:hAnsiTheme="minorHAnsi" w:cs="Arial"/>
                <w:spacing w:val="-1"/>
                <w:lang w:eastAsia="en-AU"/>
              </w:rPr>
              <w:t>t</w:t>
            </w:r>
            <w:r w:rsidRPr="00FE6EE5">
              <w:rPr>
                <w:rFonts w:asciiTheme="minorHAnsi" w:hAnsiTheme="minorHAnsi" w:cs="Arial"/>
                <w:lang w:eastAsia="en-AU"/>
              </w:rPr>
              <w:t>s</w:t>
            </w:r>
            <w:r w:rsidRPr="00FE6EE5">
              <w:rPr>
                <w:rFonts w:asciiTheme="minorHAnsi" w:hAnsiTheme="minorHAnsi" w:cs="Arial"/>
                <w:spacing w:val="-1"/>
                <w:lang w:eastAsia="en-AU"/>
              </w:rPr>
              <w:t xml:space="preserve"> </w:t>
            </w:r>
            <w:r w:rsidRPr="00FE6EE5">
              <w:rPr>
                <w:rFonts w:asciiTheme="minorHAnsi" w:hAnsiTheme="minorHAnsi" w:cs="Arial"/>
                <w:spacing w:val="1"/>
                <w:lang w:eastAsia="en-AU"/>
              </w:rPr>
              <w:t>f</w:t>
            </w:r>
            <w:r w:rsidRPr="00FE6EE5">
              <w:rPr>
                <w:rFonts w:asciiTheme="minorHAnsi" w:hAnsiTheme="minorHAnsi" w:cs="Arial"/>
                <w:spacing w:val="-3"/>
                <w:lang w:eastAsia="en-AU"/>
              </w:rPr>
              <w:t>r</w:t>
            </w:r>
            <w:r w:rsidRPr="00FE6EE5">
              <w:rPr>
                <w:rFonts w:asciiTheme="minorHAnsi" w:hAnsiTheme="minorHAnsi" w:cs="Arial"/>
                <w:spacing w:val="-2"/>
                <w:lang w:eastAsia="en-AU"/>
              </w:rPr>
              <w:t>o</w:t>
            </w:r>
            <w:r w:rsidRPr="00FE6EE5">
              <w:rPr>
                <w:rFonts w:asciiTheme="minorHAnsi" w:hAnsiTheme="minorHAnsi" w:cs="Arial"/>
                <w:lang w:eastAsia="en-AU"/>
              </w:rPr>
              <w:t>m</w:t>
            </w:r>
            <w:r w:rsidRPr="00FE6EE5">
              <w:rPr>
                <w:rFonts w:asciiTheme="minorHAnsi" w:hAnsiTheme="minorHAnsi" w:cs="Arial"/>
                <w:spacing w:val="1"/>
                <w:lang w:eastAsia="en-AU"/>
              </w:rPr>
              <w:t xml:space="preserve"> </w:t>
            </w:r>
            <w:r w:rsidRPr="00FE6EE5">
              <w:rPr>
                <w:rFonts w:asciiTheme="minorHAnsi" w:hAnsiTheme="minorHAnsi" w:cs="Arial"/>
                <w:lang w:eastAsia="en-AU"/>
              </w:rPr>
              <w:t>en</w:t>
            </w:r>
            <w:r w:rsidRPr="00FE6EE5">
              <w:rPr>
                <w:rFonts w:asciiTheme="minorHAnsi" w:hAnsiTheme="minorHAnsi" w:cs="Arial"/>
                <w:spacing w:val="-1"/>
                <w:lang w:eastAsia="en-AU"/>
              </w:rPr>
              <w:t>tr</w:t>
            </w:r>
            <w:r w:rsidRPr="00FE6EE5">
              <w:rPr>
                <w:rFonts w:asciiTheme="minorHAnsi" w:hAnsiTheme="minorHAnsi" w:cs="Arial"/>
                <w:lang w:eastAsia="en-AU"/>
              </w:rPr>
              <w:t>y</w:t>
            </w:r>
            <w:r w:rsidRPr="00FE6EE5">
              <w:rPr>
                <w:rFonts w:asciiTheme="minorHAnsi" w:hAnsiTheme="minorHAnsi" w:cs="Arial"/>
                <w:spacing w:val="-3"/>
                <w:lang w:eastAsia="en-AU"/>
              </w:rPr>
              <w:t xml:space="preserve"> </w:t>
            </w:r>
            <w:r w:rsidRPr="00FE6EE5">
              <w:rPr>
                <w:rFonts w:asciiTheme="minorHAnsi" w:hAnsiTheme="minorHAnsi" w:cs="Arial"/>
                <w:spacing w:val="1"/>
                <w:lang w:eastAsia="en-AU"/>
              </w:rPr>
              <w:t>i</w:t>
            </w:r>
            <w:r w:rsidRPr="00FE6EE5">
              <w:rPr>
                <w:rFonts w:asciiTheme="minorHAnsi" w:hAnsiTheme="minorHAnsi" w:cs="Arial"/>
                <w:lang w:eastAsia="en-AU"/>
              </w:rPr>
              <w:t>n</w:t>
            </w:r>
            <w:r w:rsidRPr="00FE6EE5">
              <w:rPr>
                <w:rFonts w:asciiTheme="minorHAnsi" w:hAnsiTheme="minorHAnsi" w:cs="Arial"/>
                <w:spacing w:val="-1"/>
                <w:lang w:eastAsia="en-AU"/>
              </w:rPr>
              <w:t>t</w:t>
            </w:r>
            <w:r w:rsidRPr="00FE6EE5">
              <w:rPr>
                <w:rFonts w:asciiTheme="minorHAnsi" w:hAnsiTheme="minorHAnsi" w:cs="Arial"/>
                <w:lang w:eastAsia="en-AU"/>
              </w:rPr>
              <w:t xml:space="preserve">o </w:t>
            </w:r>
            <w:r w:rsidRPr="00FE6EE5">
              <w:rPr>
                <w:rFonts w:asciiTheme="minorHAnsi" w:hAnsiTheme="minorHAnsi" w:cs="Arial"/>
                <w:spacing w:val="-1"/>
                <w:lang w:eastAsia="en-AU"/>
              </w:rPr>
              <w:t>t</w:t>
            </w:r>
            <w:r w:rsidRPr="00FE6EE5">
              <w:rPr>
                <w:rFonts w:asciiTheme="minorHAnsi" w:hAnsiTheme="minorHAnsi" w:cs="Arial"/>
                <w:lang w:eastAsia="en-AU"/>
              </w:rPr>
              <w:t>he</w:t>
            </w:r>
            <w:r w:rsidRPr="00FE6EE5">
              <w:rPr>
                <w:rFonts w:asciiTheme="minorHAnsi" w:hAnsiTheme="minorHAnsi" w:cs="Arial"/>
                <w:spacing w:val="-3"/>
                <w:lang w:eastAsia="en-AU"/>
              </w:rPr>
              <w:t xml:space="preserve"> </w:t>
            </w:r>
            <w:r w:rsidRPr="00FE6EE5">
              <w:rPr>
                <w:rFonts w:asciiTheme="minorHAnsi" w:hAnsiTheme="minorHAnsi" w:cs="Arial"/>
                <w:lang w:eastAsia="en-AU"/>
              </w:rPr>
              <w:t>o</w:t>
            </w:r>
            <w:r w:rsidRPr="00FE6EE5">
              <w:rPr>
                <w:rFonts w:asciiTheme="minorHAnsi" w:hAnsiTheme="minorHAnsi" w:cs="Arial"/>
                <w:spacing w:val="-1"/>
                <w:lang w:eastAsia="en-AU"/>
              </w:rPr>
              <w:t>r</w:t>
            </w:r>
            <w:r w:rsidRPr="00FE6EE5">
              <w:rPr>
                <w:rFonts w:asciiTheme="minorHAnsi" w:hAnsiTheme="minorHAnsi" w:cs="Arial"/>
                <w:lang w:eastAsia="en-AU"/>
              </w:rPr>
              <w:t>gan</w:t>
            </w:r>
            <w:r w:rsidRPr="00FE6EE5">
              <w:rPr>
                <w:rFonts w:asciiTheme="minorHAnsi" w:hAnsiTheme="minorHAnsi" w:cs="Arial"/>
                <w:spacing w:val="-1"/>
                <w:lang w:eastAsia="en-AU"/>
              </w:rPr>
              <w:t>i</w:t>
            </w:r>
            <w:r w:rsidRPr="00FE6EE5">
              <w:rPr>
                <w:rFonts w:asciiTheme="minorHAnsi" w:hAnsiTheme="minorHAnsi" w:cs="Arial"/>
                <w:lang w:eastAsia="en-AU"/>
              </w:rPr>
              <w:t>sa</w:t>
            </w:r>
            <w:r w:rsidRPr="00FE6EE5">
              <w:rPr>
                <w:rFonts w:asciiTheme="minorHAnsi" w:hAnsiTheme="minorHAnsi" w:cs="Arial"/>
                <w:spacing w:val="-1"/>
                <w:lang w:eastAsia="en-AU"/>
              </w:rPr>
              <w:t>ti</w:t>
            </w:r>
            <w:r w:rsidRPr="00FE6EE5">
              <w:rPr>
                <w:rFonts w:asciiTheme="minorHAnsi" w:hAnsiTheme="minorHAnsi" w:cs="Arial"/>
                <w:lang w:eastAsia="en-AU"/>
              </w:rPr>
              <w:t xml:space="preserve">on </w:t>
            </w:r>
            <w:r w:rsidRPr="00FE6EE5">
              <w:rPr>
                <w:rFonts w:asciiTheme="minorHAnsi" w:hAnsiTheme="minorHAnsi" w:cs="Arial"/>
                <w:spacing w:val="-1"/>
                <w:lang w:eastAsia="en-AU"/>
              </w:rPr>
              <w:t>t</w:t>
            </w:r>
            <w:r w:rsidRPr="00FE6EE5">
              <w:rPr>
                <w:rFonts w:asciiTheme="minorHAnsi" w:hAnsiTheme="minorHAnsi" w:cs="Arial"/>
                <w:lang w:eastAsia="en-AU"/>
              </w:rPr>
              <w:t xml:space="preserve">o </w:t>
            </w:r>
            <w:r w:rsidRPr="00FE6EE5">
              <w:rPr>
                <w:rFonts w:asciiTheme="minorHAnsi" w:hAnsiTheme="minorHAnsi" w:cs="Arial"/>
                <w:spacing w:val="-1"/>
                <w:lang w:eastAsia="en-AU"/>
              </w:rPr>
              <w:t>tr</w:t>
            </w:r>
            <w:r w:rsidRPr="00FE6EE5">
              <w:rPr>
                <w:rFonts w:asciiTheme="minorHAnsi" w:hAnsiTheme="minorHAnsi" w:cs="Arial"/>
                <w:lang w:eastAsia="en-AU"/>
              </w:rPr>
              <w:t>ans</w:t>
            </w:r>
            <w:r w:rsidRPr="00FE6EE5">
              <w:rPr>
                <w:rFonts w:asciiTheme="minorHAnsi" w:hAnsiTheme="minorHAnsi" w:cs="Arial"/>
                <w:spacing w:val="1"/>
                <w:lang w:eastAsia="en-AU"/>
              </w:rPr>
              <w:t>f</w:t>
            </w:r>
            <w:r w:rsidRPr="00FE6EE5">
              <w:rPr>
                <w:rFonts w:asciiTheme="minorHAnsi" w:hAnsiTheme="minorHAnsi" w:cs="Arial"/>
                <w:lang w:eastAsia="en-AU"/>
              </w:rPr>
              <w:t>u</w:t>
            </w:r>
            <w:r w:rsidRPr="00FE6EE5">
              <w:rPr>
                <w:rFonts w:asciiTheme="minorHAnsi" w:hAnsiTheme="minorHAnsi" w:cs="Arial"/>
                <w:spacing w:val="-2"/>
                <w:lang w:eastAsia="en-AU"/>
              </w:rPr>
              <w:t>s</w:t>
            </w:r>
            <w:r w:rsidRPr="00FE6EE5">
              <w:rPr>
                <w:rFonts w:asciiTheme="minorHAnsi" w:hAnsiTheme="minorHAnsi" w:cs="Arial"/>
                <w:spacing w:val="1"/>
                <w:lang w:eastAsia="en-AU"/>
              </w:rPr>
              <w:t>i</w:t>
            </w:r>
            <w:r w:rsidRPr="00FE6EE5">
              <w:rPr>
                <w:rFonts w:asciiTheme="minorHAnsi" w:hAnsiTheme="minorHAnsi" w:cs="Arial"/>
                <w:spacing w:val="-2"/>
                <w:lang w:eastAsia="en-AU"/>
              </w:rPr>
              <w:t>o</w:t>
            </w:r>
            <w:r w:rsidRPr="00FE6EE5">
              <w:rPr>
                <w:rFonts w:asciiTheme="minorHAnsi" w:hAnsiTheme="minorHAnsi" w:cs="Arial"/>
                <w:lang w:eastAsia="en-AU"/>
              </w:rPr>
              <w:t>n,</w:t>
            </w:r>
            <w:r w:rsidRPr="00FE6EE5">
              <w:rPr>
                <w:rFonts w:asciiTheme="minorHAnsi" w:hAnsiTheme="minorHAnsi" w:cs="Arial"/>
                <w:spacing w:val="-2"/>
                <w:lang w:eastAsia="en-AU"/>
              </w:rPr>
              <w:t xml:space="preserve"> </w:t>
            </w:r>
            <w:proofErr w:type="gramStart"/>
            <w:r w:rsidRPr="00FE6EE5">
              <w:rPr>
                <w:rFonts w:asciiTheme="minorHAnsi" w:hAnsiTheme="minorHAnsi" w:cs="Arial"/>
                <w:lang w:eastAsia="en-AU"/>
              </w:rPr>
              <w:t>d</w:t>
            </w:r>
            <w:r w:rsidRPr="00FE6EE5">
              <w:rPr>
                <w:rFonts w:asciiTheme="minorHAnsi" w:hAnsiTheme="minorHAnsi" w:cs="Arial"/>
                <w:spacing w:val="1"/>
                <w:lang w:eastAsia="en-AU"/>
              </w:rPr>
              <w:t>i</w:t>
            </w:r>
            <w:r w:rsidRPr="00FE6EE5">
              <w:rPr>
                <w:rFonts w:asciiTheme="minorHAnsi" w:hAnsiTheme="minorHAnsi" w:cs="Arial"/>
                <w:lang w:eastAsia="en-AU"/>
              </w:rPr>
              <w:t>s</w:t>
            </w:r>
            <w:r w:rsidRPr="00FE6EE5">
              <w:rPr>
                <w:rFonts w:asciiTheme="minorHAnsi" w:hAnsiTheme="minorHAnsi" w:cs="Arial"/>
                <w:spacing w:val="-2"/>
                <w:lang w:eastAsia="en-AU"/>
              </w:rPr>
              <w:t>c</w:t>
            </w:r>
            <w:r w:rsidRPr="00FE6EE5">
              <w:rPr>
                <w:rFonts w:asciiTheme="minorHAnsi" w:hAnsiTheme="minorHAnsi" w:cs="Arial"/>
                <w:lang w:eastAsia="en-AU"/>
              </w:rPr>
              <w:t>a</w:t>
            </w:r>
            <w:r w:rsidRPr="00FE6EE5">
              <w:rPr>
                <w:rFonts w:asciiTheme="minorHAnsi" w:hAnsiTheme="minorHAnsi" w:cs="Arial"/>
                <w:spacing w:val="-1"/>
                <w:lang w:eastAsia="en-AU"/>
              </w:rPr>
              <w:t>r</w:t>
            </w:r>
            <w:r w:rsidRPr="00FE6EE5">
              <w:rPr>
                <w:rFonts w:asciiTheme="minorHAnsi" w:hAnsiTheme="minorHAnsi" w:cs="Arial"/>
                <w:lang w:eastAsia="en-AU"/>
              </w:rPr>
              <w:t>d</w:t>
            </w:r>
            <w:proofErr w:type="gramEnd"/>
            <w:r w:rsidRPr="00FE6EE5">
              <w:rPr>
                <w:rFonts w:asciiTheme="minorHAnsi" w:hAnsiTheme="minorHAnsi" w:cs="Arial"/>
                <w:lang w:eastAsia="en-AU"/>
              </w:rPr>
              <w:t xml:space="preserve"> or</w:t>
            </w:r>
            <w:r w:rsidRPr="00FE6EE5">
              <w:rPr>
                <w:rFonts w:asciiTheme="minorHAnsi" w:hAnsiTheme="minorHAnsi" w:cs="Arial"/>
                <w:spacing w:val="-1"/>
                <w:lang w:eastAsia="en-AU"/>
              </w:rPr>
              <w:t xml:space="preserve"> tr</w:t>
            </w:r>
            <w:r w:rsidRPr="00FE6EE5">
              <w:rPr>
                <w:rFonts w:asciiTheme="minorHAnsi" w:hAnsiTheme="minorHAnsi" w:cs="Arial"/>
                <w:lang w:eastAsia="en-AU"/>
              </w:rPr>
              <w:t>ans</w:t>
            </w:r>
            <w:r w:rsidRPr="00FE6EE5">
              <w:rPr>
                <w:rFonts w:asciiTheme="minorHAnsi" w:hAnsiTheme="minorHAnsi" w:cs="Arial"/>
                <w:spacing w:val="-1"/>
                <w:lang w:eastAsia="en-AU"/>
              </w:rPr>
              <w:t>f</w:t>
            </w:r>
            <w:r w:rsidRPr="00FE6EE5">
              <w:rPr>
                <w:rFonts w:asciiTheme="minorHAnsi" w:hAnsiTheme="minorHAnsi" w:cs="Arial"/>
                <w:lang w:eastAsia="en-AU"/>
              </w:rPr>
              <w:t>er</w:t>
            </w:r>
          </w:p>
        </w:tc>
      </w:tr>
      <w:tr w:rsidR="003A4C2B" w:rsidRPr="00FE6EE5" w14:paraId="63956A73" w14:textId="77777777" w:rsidTr="00547878">
        <w:trPr>
          <w:trHeight w:hRule="exact" w:val="1705"/>
        </w:trPr>
        <w:tc>
          <w:tcPr>
            <w:tcW w:w="2093" w:type="dxa"/>
            <w:tcBorders>
              <w:top w:val="single" w:sz="4" w:space="0" w:color="B60948"/>
              <w:left w:val="single" w:sz="4" w:space="0" w:color="B60948"/>
              <w:bottom w:val="single" w:sz="4" w:space="0" w:color="B60948"/>
              <w:right w:val="single" w:sz="4" w:space="0" w:color="B60948"/>
            </w:tcBorders>
          </w:tcPr>
          <w:p w14:paraId="5EE43A05" w14:textId="77777777" w:rsidR="003A4C2B" w:rsidRPr="00FE6EE5" w:rsidRDefault="003A4C2B">
            <w:pPr>
              <w:autoSpaceDE w:val="0"/>
              <w:autoSpaceDN w:val="0"/>
              <w:adjustRightInd w:val="0"/>
              <w:spacing w:before="54" w:after="0"/>
              <w:ind w:left="102" w:right="-20"/>
              <w:rPr>
                <w:rFonts w:asciiTheme="minorHAnsi" w:hAnsiTheme="minorHAnsi" w:cs="Times New Roman"/>
                <w:lang w:eastAsia="en-AU"/>
              </w:rPr>
            </w:pPr>
            <w:r w:rsidRPr="00FE6EE5">
              <w:rPr>
                <w:rFonts w:asciiTheme="minorHAnsi" w:hAnsiTheme="minorHAnsi" w:cs="Arial"/>
                <w:spacing w:val="1"/>
                <w:lang w:eastAsia="en-AU"/>
              </w:rPr>
              <w:t>A</w:t>
            </w:r>
            <w:r w:rsidRPr="00FE6EE5">
              <w:rPr>
                <w:rFonts w:asciiTheme="minorHAnsi" w:hAnsiTheme="minorHAnsi" w:cs="Arial"/>
                <w:spacing w:val="-2"/>
                <w:lang w:eastAsia="en-AU"/>
              </w:rPr>
              <w:t>v</w:t>
            </w:r>
            <w:r w:rsidRPr="00FE6EE5">
              <w:rPr>
                <w:rFonts w:asciiTheme="minorHAnsi" w:hAnsiTheme="minorHAnsi" w:cs="Arial"/>
                <w:lang w:eastAsia="en-AU"/>
              </w:rPr>
              <w:t>a</w:t>
            </w:r>
            <w:r w:rsidRPr="00FE6EE5">
              <w:rPr>
                <w:rFonts w:asciiTheme="minorHAnsi" w:hAnsiTheme="minorHAnsi" w:cs="Arial"/>
                <w:spacing w:val="1"/>
                <w:lang w:eastAsia="en-AU"/>
              </w:rPr>
              <w:t>i</w:t>
            </w:r>
            <w:r w:rsidRPr="00FE6EE5">
              <w:rPr>
                <w:rFonts w:asciiTheme="minorHAnsi" w:hAnsiTheme="minorHAnsi" w:cs="Arial"/>
                <w:spacing w:val="-1"/>
                <w:lang w:eastAsia="en-AU"/>
              </w:rPr>
              <w:t>l</w:t>
            </w:r>
            <w:r w:rsidRPr="00FE6EE5">
              <w:rPr>
                <w:rFonts w:asciiTheme="minorHAnsi" w:hAnsiTheme="minorHAnsi" w:cs="Arial"/>
                <w:lang w:eastAsia="en-AU"/>
              </w:rPr>
              <w:t>a</w:t>
            </w:r>
            <w:r w:rsidRPr="00FE6EE5">
              <w:rPr>
                <w:rFonts w:asciiTheme="minorHAnsi" w:hAnsiTheme="minorHAnsi" w:cs="Arial"/>
                <w:spacing w:val="-2"/>
                <w:lang w:eastAsia="en-AU"/>
              </w:rPr>
              <w:t>b</w:t>
            </w:r>
            <w:r w:rsidRPr="00FE6EE5">
              <w:rPr>
                <w:rFonts w:asciiTheme="minorHAnsi" w:hAnsiTheme="minorHAnsi" w:cs="Arial"/>
                <w:spacing w:val="1"/>
                <w:lang w:eastAsia="en-AU"/>
              </w:rPr>
              <w:t>i</w:t>
            </w:r>
            <w:r w:rsidRPr="00FE6EE5">
              <w:rPr>
                <w:rFonts w:asciiTheme="minorHAnsi" w:hAnsiTheme="minorHAnsi" w:cs="Arial"/>
                <w:spacing w:val="-1"/>
                <w:lang w:eastAsia="en-AU"/>
              </w:rPr>
              <w:t>l</w:t>
            </w:r>
            <w:r w:rsidRPr="00FE6EE5">
              <w:rPr>
                <w:rFonts w:asciiTheme="minorHAnsi" w:hAnsiTheme="minorHAnsi" w:cs="Arial"/>
                <w:spacing w:val="1"/>
                <w:lang w:eastAsia="en-AU"/>
              </w:rPr>
              <w:t>i</w:t>
            </w:r>
            <w:r w:rsidRPr="00FE6EE5">
              <w:rPr>
                <w:rFonts w:asciiTheme="minorHAnsi" w:hAnsiTheme="minorHAnsi" w:cs="Arial"/>
                <w:spacing w:val="-1"/>
                <w:lang w:eastAsia="en-AU"/>
              </w:rPr>
              <w:t>t</w:t>
            </w:r>
            <w:r w:rsidRPr="00FE6EE5">
              <w:rPr>
                <w:rFonts w:asciiTheme="minorHAnsi" w:hAnsiTheme="minorHAnsi" w:cs="Arial"/>
                <w:lang w:eastAsia="en-AU"/>
              </w:rPr>
              <w:t>y</w:t>
            </w:r>
            <w:r w:rsidRPr="00FE6EE5">
              <w:rPr>
                <w:rFonts w:asciiTheme="minorHAnsi" w:hAnsiTheme="minorHAnsi" w:cs="Arial"/>
                <w:spacing w:val="-3"/>
                <w:lang w:eastAsia="en-AU"/>
              </w:rPr>
              <w:t xml:space="preserve"> </w:t>
            </w:r>
            <w:r w:rsidRPr="00FE6EE5">
              <w:rPr>
                <w:rFonts w:asciiTheme="minorHAnsi" w:hAnsiTheme="minorHAnsi" w:cs="Arial"/>
                <w:lang w:eastAsia="en-AU"/>
              </w:rPr>
              <w:t>of b</w:t>
            </w:r>
            <w:r w:rsidRPr="00FE6EE5">
              <w:rPr>
                <w:rFonts w:asciiTheme="minorHAnsi" w:hAnsiTheme="minorHAnsi" w:cs="Arial"/>
                <w:spacing w:val="1"/>
                <w:lang w:eastAsia="en-AU"/>
              </w:rPr>
              <w:t>l</w:t>
            </w:r>
            <w:r w:rsidRPr="00FE6EE5">
              <w:rPr>
                <w:rFonts w:asciiTheme="minorHAnsi" w:hAnsiTheme="minorHAnsi" w:cs="Arial"/>
                <w:spacing w:val="-2"/>
                <w:lang w:eastAsia="en-AU"/>
              </w:rPr>
              <w:t>o</w:t>
            </w:r>
            <w:r w:rsidRPr="00FE6EE5">
              <w:rPr>
                <w:rFonts w:asciiTheme="minorHAnsi" w:hAnsiTheme="minorHAnsi" w:cs="Arial"/>
                <w:lang w:eastAsia="en-AU"/>
              </w:rPr>
              <w:t>od</w:t>
            </w:r>
          </w:p>
        </w:tc>
        <w:tc>
          <w:tcPr>
            <w:tcW w:w="7087" w:type="dxa"/>
            <w:tcBorders>
              <w:top w:val="single" w:sz="4" w:space="0" w:color="B60948"/>
              <w:left w:val="single" w:sz="4" w:space="0" w:color="B60948"/>
              <w:bottom w:val="single" w:sz="4" w:space="0" w:color="B60948"/>
              <w:right w:val="single" w:sz="4" w:space="0" w:color="B60948"/>
            </w:tcBorders>
          </w:tcPr>
          <w:p w14:paraId="7492B937" w14:textId="3ED408BC" w:rsidR="003A4C2B" w:rsidRPr="00FE6EE5" w:rsidRDefault="003A4C2B" w:rsidP="00817ACF">
            <w:pPr>
              <w:autoSpaceDE w:val="0"/>
              <w:autoSpaceDN w:val="0"/>
              <w:adjustRightInd w:val="0"/>
              <w:spacing w:before="54" w:after="0"/>
              <w:ind w:left="500" w:right="-20" w:hanging="426"/>
              <w:rPr>
                <w:rFonts w:asciiTheme="minorHAnsi" w:hAnsiTheme="minorHAnsi" w:cs="Arial"/>
                <w:lang w:eastAsia="en-AU"/>
              </w:rPr>
            </w:pPr>
            <w:r w:rsidRPr="00FE6EE5">
              <w:rPr>
                <w:rFonts w:asciiTheme="minorHAnsi" w:hAnsiTheme="minorHAnsi" w:cs="Arial"/>
                <w:lang w:eastAsia="en-AU"/>
              </w:rPr>
              <w:t>7</w:t>
            </w:r>
            <w:r w:rsidRPr="00FE6EE5">
              <w:rPr>
                <w:rFonts w:asciiTheme="minorHAnsi" w:hAnsiTheme="minorHAnsi" w:cs="Arial"/>
                <w:spacing w:val="-1"/>
                <w:lang w:eastAsia="en-AU"/>
              </w:rPr>
              <w:t>.</w:t>
            </w:r>
            <w:r w:rsidRPr="00FE6EE5">
              <w:rPr>
                <w:rFonts w:asciiTheme="minorHAnsi" w:hAnsiTheme="minorHAnsi" w:cs="Arial"/>
                <w:lang w:eastAsia="en-AU"/>
              </w:rPr>
              <w:t>10</w:t>
            </w:r>
            <w:r w:rsidR="00817ACF">
              <w:rPr>
                <w:rFonts w:asciiTheme="minorHAnsi" w:hAnsiTheme="minorHAnsi" w:cs="Arial"/>
                <w:lang w:eastAsia="en-AU"/>
              </w:rPr>
              <w:tab/>
            </w:r>
            <w:r w:rsidRPr="00FE6EE5">
              <w:rPr>
                <w:rFonts w:asciiTheme="minorHAnsi" w:hAnsiTheme="minorHAnsi" w:cs="Arial"/>
                <w:spacing w:val="1"/>
                <w:lang w:eastAsia="en-AU"/>
              </w:rPr>
              <w:t>T</w:t>
            </w:r>
            <w:r w:rsidRPr="00FE6EE5">
              <w:rPr>
                <w:rFonts w:asciiTheme="minorHAnsi" w:hAnsiTheme="minorHAnsi" w:cs="Arial"/>
                <w:lang w:eastAsia="en-AU"/>
              </w:rPr>
              <w:t xml:space="preserve">he </w:t>
            </w:r>
            <w:r w:rsidRPr="00FE6EE5">
              <w:rPr>
                <w:rFonts w:asciiTheme="minorHAnsi" w:hAnsiTheme="minorHAnsi" w:cs="Arial"/>
                <w:spacing w:val="-2"/>
                <w:lang w:eastAsia="en-AU"/>
              </w:rPr>
              <w:t>h</w:t>
            </w:r>
            <w:r w:rsidRPr="00FE6EE5">
              <w:rPr>
                <w:rFonts w:asciiTheme="minorHAnsi" w:hAnsiTheme="minorHAnsi" w:cs="Arial"/>
                <w:lang w:eastAsia="en-AU"/>
              </w:rPr>
              <w:t>ea</w:t>
            </w:r>
            <w:r w:rsidRPr="00FE6EE5">
              <w:rPr>
                <w:rFonts w:asciiTheme="minorHAnsi" w:hAnsiTheme="minorHAnsi" w:cs="Arial"/>
                <w:spacing w:val="1"/>
                <w:lang w:eastAsia="en-AU"/>
              </w:rPr>
              <w:t>l</w:t>
            </w:r>
            <w:r w:rsidRPr="00FE6EE5">
              <w:rPr>
                <w:rFonts w:asciiTheme="minorHAnsi" w:hAnsiTheme="minorHAnsi" w:cs="Arial"/>
                <w:spacing w:val="-1"/>
                <w:lang w:eastAsia="en-AU"/>
              </w:rPr>
              <w:t>t</w:t>
            </w:r>
            <w:r w:rsidRPr="00FE6EE5">
              <w:rPr>
                <w:rFonts w:asciiTheme="minorHAnsi" w:hAnsiTheme="minorHAnsi" w:cs="Arial"/>
                <w:lang w:eastAsia="en-AU"/>
              </w:rPr>
              <w:t xml:space="preserve">h </w:t>
            </w:r>
            <w:r w:rsidRPr="00FE6EE5">
              <w:rPr>
                <w:rFonts w:asciiTheme="minorHAnsi" w:hAnsiTheme="minorHAnsi" w:cs="Arial"/>
                <w:spacing w:val="-2"/>
                <w:lang w:eastAsia="en-AU"/>
              </w:rPr>
              <w:t>s</w:t>
            </w:r>
            <w:r w:rsidRPr="00FE6EE5">
              <w:rPr>
                <w:rFonts w:asciiTheme="minorHAnsi" w:hAnsiTheme="minorHAnsi" w:cs="Arial"/>
                <w:lang w:eastAsia="en-AU"/>
              </w:rPr>
              <w:t>e</w:t>
            </w:r>
            <w:r w:rsidRPr="00FE6EE5">
              <w:rPr>
                <w:rFonts w:asciiTheme="minorHAnsi" w:hAnsiTheme="minorHAnsi" w:cs="Arial"/>
                <w:spacing w:val="-1"/>
                <w:lang w:eastAsia="en-AU"/>
              </w:rPr>
              <w:t>r</w:t>
            </w:r>
            <w:r w:rsidRPr="00FE6EE5">
              <w:rPr>
                <w:rFonts w:asciiTheme="minorHAnsi" w:hAnsiTheme="minorHAnsi" w:cs="Arial"/>
                <w:spacing w:val="-2"/>
                <w:lang w:eastAsia="en-AU"/>
              </w:rPr>
              <w:t>v</w:t>
            </w:r>
            <w:r w:rsidRPr="00FE6EE5">
              <w:rPr>
                <w:rFonts w:asciiTheme="minorHAnsi" w:hAnsiTheme="minorHAnsi" w:cs="Arial"/>
                <w:spacing w:val="1"/>
                <w:lang w:eastAsia="en-AU"/>
              </w:rPr>
              <w:t>i</w:t>
            </w:r>
            <w:r w:rsidRPr="00FE6EE5">
              <w:rPr>
                <w:rFonts w:asciiTheme="minorHAnsi" w:hAnsiTheme="minorHAnsi" w:cs="Arial"/>
                <w:lang w:eastAsia="en-AU"/>
              </w:rPr>
              <w:t>ce o</w:t>
            </w:r>
            <w:r w:rsidRPr="00FE6EE5">
              <w:rPr>
                <w:rFonts w:asciiTheme="minorHAnsi" w:hAnsiTheme="minorHAnsi" w:cs="Arial"/>
                <w:spacing w:val="-1"/>
                <w:lang w:eastAsia="en-AU"/>
              </w:rPr>
              <w:t>r</w:t>
            </w:r>
            <w:r w:rsidRPr="00FE6EE5">
              <w:rPr>
                <w:rFonts w:asciiTheme="minorHAnsi" w:hAnsiTheme="minorHAnsi" w:cs="Arial"/>
                <w:spacing w:val="-2"/>
                <w:lang w:eastAsia="en-AU"/>
              </w:rPr>
              <w:t>g</w:t>
            </w:r>
            <w:r w:rsidRPr="00FE6EE5">
              <w:rPr>
                <w:rFonts w:asciiTheme="minorHAnsi" w:hAnsiTheme="minorHAnsi" w:cs="Arial"/>
                <w:lang w:eastAsia="en-AU"/>
              </w:rPr>
              <w:t>an</w:t>
            </w:r>
            <w:r w:rsidRPr="00FE6EE5">
              <w:rPr>
                <w:rFonts w:asciiTheme="minorHAnsi" w:hAnsiTheme="minorHAnsi" w:cs="Arial"/>
                <w:spacing w:val="-1"/>
                <w:lang w:eastAsia="en-AU"/>
              </w:rPr>
              <w:t>i</w:t>
            </w:r>
            <w:r w:rsidRPr="00FE6EE5">
              <w:rPr>
                <w:rFonts w:asciiTheme="minorHAnsi" w:hAnsiTheme="minorHAnsi" w:cs="Arial"/>
                <w:lang w:eastAsia="en-AU"/>
              </w:rPr>
              <w:t>sa</w:t>
            </w:r>
            <w:r w:rsidRPr="00FE6EE5">
              <w:rPr>
                <w:rFonts w:asciiTheme="minorHAnsi" w:hAnsiTheme="minorHAnsi" w:cs="Arial"/>
                <w:spacing w:val="-1"/>
                <w:lang w:eastAsia="en-AU"/>
              </w:rPr>
              <w:t>t</w:t>
            </w:r>
            <w:r w:rsidRPr="00FE6EE5">
              <w:rPr>
                <w:rFonts w:asciiTheme="minorHAnsi" w:hAnsiTheme="minorHAnsi" w:cs="Arial"/>
                <w:spacing w:val="1"/>
                <w:lang w:eastAsia="en-AU"/>
              </w:rPr>
              <w:t>i</w:t>
            </w:r>
            <w:r w:rsidRPr="00FE6EE5">
              <w:rPr>
                <w:rFonts w:asciiTheme="minorHAnsi" w:hAnsiTheme="minorHAnsi" w:cs="Arial"/>
                <w:lang w:eastAsia="en-AU"/>
              </w:rPr>
              <w:t>on</w:t>
            </w:r>
            <w:r w:rsidRPr="00FE6EE5">
              <w:rPr>
                <w:rFonts w:asciiTheme="minorHAnsi" w:hAnsiTheme="minorHAnsi" w:cs="Arial"/>
                <w:spacing w:val="-3"/>
                <w:lang w:eastAsia="en-AU"/>
              </w:rPr>
              <w:t xml:space="preserve"> </w:t>
            </w:r>
            <w:r w:rsidRPr="00FE6EE5">
              <w:rPr>
                <w:rFonts w:asciiTheme="minorHAnsi" w:hAnsiTheme="minorHAnsi" w:cs="Arial"/>
                <w:lang w:eastAsia="en-AU"/>
              </w:rPr>
              <w:t>has</w:t>
            </w:r>
            <w:r w:rsidRPr="00FE6EE5">
              <w:rPr>
                <w:rFonts w:asciiTheme="minorHAnsi" w:hAnsiTheme="minorHAnsi" w:cs="Arial"/>
                <w:spacing w:val="-1"/>
                <w:lang w:eastAsia="en-AU"/>
              </w:rPr>
              <w:t xml:space="preserve"> </w:t>
            </w:r>
            <w:r w:rsidRPr="00FE6EE5">
              <w:rPr>
                <w:rFonts w:asciiTheme="minorHAnsi" w:hAnsiTheme="minorHAnsi" w:cs="Arial"/>
                <w:lang w:eastAsia="en-AU"/>
              </w:rPr>
              <w:t>p</w:t>
            </w:r>
            <w:r w:rsidRPr="00FE6EE5">
              <w:rPr>
                <w:rFonts w:asciiTheme="minorHAnsi" w:hAnsiTheme="minorHAnsi" w:cs="Arial"/>
                <w:spacing w:val="-1"/>
                <w:lang w:eastAsia="en-AU"/>
              </w:rPr>
              <w:t>r</w:t>
            </w:r>
            <w:r w:rsidRPr="00FE6EE5">
              <w:rPr>
                <w:rFonts w:asciiTheme="minorHAnsi" w:hAnsiTheme="minorHAnsi" w:cs="Arial"/>
                <w:spacing w:val="-2"/>
                <w:lang w:eastAsia="en-AU"/>
              </w:rPr>
              <w:t>o</w:t>
            </w:r>
            <w:r w:rsidRPr="00FE6EE5">
              <w:rPr>
                <w:rFonts w:asciiTheme="minorHAnsi" w:hAnsiTheme="minorHAnsi" w:cs="Arial"/>
                <w:lang w:eastAsia="en-AU"/>
              </w:rPr>
              <w:t>ces</w:t>
            </w:r>
            <w:r w:rsidRPr="00FE6EE5">
              <w:rPr>
                <w:rFonts w:asciiTheme="minorHAnsi" w:hAnsiTheme="minorHAnsi" w:cs="Arial"/>
                <w:spacing w:val="-2"/>
                <w:lang w:eastAsia="en-AU"/>
              </w:rPr>
              <w:t>s</w:t>
            </w:r>
            <w:r w:rsidRPr="00FE6EE5">
              <w:rPr>
                <w:rFonts w:asciiTheme="minorHAnsi" w:hAnsiTheme="minorHAnsi" w:cs="Arial"/>
                <w:lang w:eastAsia="en-AU"/>
              </w:rPr>
              <w:t>es</w:t>
            </w:r>
            <w:r w:rsidRPr="00FE6EE5">
              <w:rPr>
                <w:rFonts w:asciiTheme="minorHAnsi" w:hAnsiTheme="minorHAnsi" w:cs="Arial"/>
                <w:spacing w:val="-1"/>
                <w:lang w:eastAsia="en-AU"/>
              </w:rPr>
              <w:t xml:space="preserve"> t</w:t>
            </w:r>
            <w:r w:rsidRPr="00FE6EE5">
              <w:rPr>
                <w:rFonts w:asciiTheme="minorHAnsi" w:hAnsiTheme="minorHAnsi" w:cs="Arial"/>
                <w:lang w:eastAsia="en-AU"/>
              </w:rPr>
              <w:t>o:</w:t>
            </w:r>
          </w:p>
          <w:p w14:paraId="3BD8664C" w14:textId="77777777" w:rsidR="003A4C2B" w:rsidRPr="00FE6EE5" w:rsidRDefault="003A4C2B">
            <w:pPr>
              <w:autoSpaceDE w:val="0"/>
              <w:autoSpaceDN w:val="0"/>
              <w:adjustRightInd w:val="0"/>
              <w:spacing w:before="66" w:after="0" w:line="240" w:lineRule="exact"/>
              <w:ind w:left="868" w:right="600" w:hanging="283"/>
              <w:rPr>
                <w:rFonts w:asciiTheme="minorHAnsi" w:hAnsiTheme="minorHAnsi" w:cs="Arial"/>
                <w:lang w:eastAsia="en-AU"/>
              </w:rPr>
            </w:pPr>
            <w:r w:rsidRPr="00FE6EE5">
              <w:rPr>
                <w:rFonts w:asciiTheme="minorHAnsi" w:hAnsiTheme="minorHAnsi" w:cs="Arial"/>
                <w:lang w:eastAsia="en-AU"/>
              </w:rPr>
              <w:t>a.</w:t>
            </w:r>
            <w:r w:rsidRPr="00FE6EE5">
              <w:rPr>
                <w:rFonts w:asciiTheme="minorHAnsi" w:hAnsiTheme="minorHAnsi" w:cs="Arial"/>
                <w:spacing w:val="48"/>
                <w:lang w:eastAsia="en-AU"/>
              </w:rPr>
              <w:t xml:space="preserve"> </w:t>
            </w:r>
            <w:proofErr w:type="gramStart"/>
            <w:r w:rsidRPr="00FE6EE5">
              <w:rPr>
                <w:rFonts w:asciiTheme="minorHAnsi" w:hAnsiTheme="minorHAnsi" w:cs="Arial"/>
                <w:spacing w:val="2"/>
                <w:lang w:eastAsia="en-AU"/>
              </w:rPr>
              <w:t>m</w:t>
            </w:r>
            <w:r w:rsidRPr="00FE6EE5">
              <w:rPr>
                <w:rFonts w:asciiTheme="minorHAnsi" w:hAnsiTheme="minorHAnsi" w:cs="Arial"/>
                <w:spacing w:val="-2"/>
                <w:lang w:eastAsia="en-AU"/>
              </w:rPr>
              <w:t>a</w:t>
            </w:r>
            <w:r w:rsidRPr="00FE6EE5">
              <w:rPr>
                <w:rFonts w:asciiTheme="minorHAnsi" w:hAnsiTheme="minorHAnsi" w:cs="Arial"/>
                <w:lang w:eastAsia="en-AU"/>
              </w:rPr>
              <w:t>na</w:t>
            </w:r>
            <w:r w:rsidRPr="00FE6EE5">
              <w:rPr>
                <w:rFonts w:asciiTheme="minorHAnsi" w:hAnsiTheme="minorHAnsi" w:cs="Arial"/>
                <w:spacing w:val="-2"/>
                <w:lang w:eastAsia="en-AU"/>
              </w:rPr>
              <w:t>g</w:t>
            </w:r>
            <w:r w:rsidRPr="00FE6EE5">
              <w:rPr>
                <w:rFonts w:asciiTheme="minorHAnsi" w:hAnsiTheme="minorHAnsi" w:cs="Arial"/>
                <w:lang w:eastAsia="en-AU"/>
              </w:rPr>
              <w:t>e</w:t>
            </w:r>
            <w:proofErr w:type="gramEnd"/>
            <w:r w:rsidRPr="00FE6EE5">
              <w:rPr>
                <w:rFonts w:asciiTheme="minorHAnsi" w:hAnsiTheme="minorHAnsi" w:cs="Arial"/>
                <w:lang w:eastAsia="en-AU"/>
              </w:rPr>
              <w:t xml:space="preserve"> </w:t>
            </w:r>
            <w:r w:rsidRPr="00FE6EE5">
              <w:rPr>
                <w:rFonts w:asciiTheme="minorHAnsi" w:hAnsiTheme="minorHAnsi" w:cs="Arial"/>
                <w:spacing w:val="-1"/>
                <w:lang w:eastAsia="en-AU"/>
              </w:rPr>
              <w:t>t</w:t>
            </w:r>
            <w:r w:rsidRPr="00FE6EE5">
              <w:rPr>
                <w:rFonts w:asciiTheme="minorHAnsi" w:hAnsiTheme="minorHAnsi" w:cs="Arial"/>
                <w:lang w:eastAsia="en-AU"/>
              </w:rPr>
              <w:t>he a</w:t>
            </w:r>
            <w:r w:rsidRPr="00FE6EE5">
              <w:rPr>
                <w:rFonts w:asciiTheme="minorHAnsi" w:hAnsiTheme="minorHAnsi" w:cs="Arial"/>
                <w:spacing w:val="-2"/>
                <w:lang w:eastAsia="en-AU"/>
              </w:rPr>
              <w:t>v</w:t>
            </w:r>
            <w:r w:rsidRPr="00FE6EE5">
              <w:rPr>
                <w:rFonts w:asciiTheme="minorHAnsi" w:hAnsiTheme="minorHAnsi" w:cs="Arial"/>
                <w:lang w:eastAsia="en-AU"/>
              </w:rPr>
              <w:t>a</w:t>
            </w:r>
            <w:r w:rsidRPr="00FE6EE5">
              <w:rPr>
                <w:rFonts w:asciiTheme="minorHAnsi" w:hAnsiTheme="minorHAnsi" w:cs="Arial"/>
                <w:spacing w:val="-1"/>
                <w:lang w:eastAsia="en-AU"/>
              </w:rPr>
              <w:t>i</w:t>
            </w:r>
            <w:r w:rsidRPr="00FE6EE5">
              <w:rPr>
                <w:rFonts w:asciiTheme="minorHAnsi" w:hAnsiTheme="minorHAnsi" w:cs="Arial"/>
                <w:spacing w:val="1"/>
                <w:lang w:eastAsia="en-AU"/>
              </w:rPr>
              <w:t>l</w:t>
            </w:r>
            <w:r w:rsidRPr="00FE6EE5">
              <w:rPr>
                <w:rFonts w:asciiTheme="minorHAnsi" w:hAnsiTheme="minorHAnsi" w:cs="Arial"/>
                <w:lang w:eastAsia="en-AU"/>
              </w:rPr>
              <w:t>a</w:t>
            </w:r>
            <w:r w:rsidRPr="00FE6EE5">
              <w:rPr>
                <w:rFonts w:asciiTheme="minorHAnsi" w:hAnsiTheme="minorHAnsi" w:cs="Arial"/>
                <w:spacing w:val="-2"/>
                <w:lang w:eastAsia="en-AU"/>
              </w:rPr>
              <w:t>b</w:t>
            </w:r>
            <w:r w:rsidRPr="00FE6EE5">
              <w:rPr>
                <w:rFonts w:asciiTheme="minorHAnsi" w:hAnsiTheme="minorHAnsi" w:cs="Arial"/>
                <w:spacing w:val="1"/>
                <w:lang w:eastAsia="en-AU"/>
              </w:rPr>
              <w:t>i</w:t>
            </w:r>
            <w:r w:rsidRPr="00FE6EE5">
              <w:rPr>
                <w:rFonts w:asciiTheme="minorHAnsi" w:hAnsiTheme="minorHAnsi" w:cs="Arial"/>
                <w:spacing w:val="-1"/>
                <w:lang w:eastAsia="en-AU"/>
              </w:rPr>
              <w:t>l</w:t>
            </w:r>
            <w:r w:rsidRPr="00FE6EE5">
              <w:rPr>
                <w:rFonts w:asciiTheme="minorHAnsi" w:hAnsiTheme="minorHAnsi" w:cs="Arial"/>
                <w:spacing w:val="1"/>
                <w:lang w:eastAsia="en-AU"/>
              </w:rPr>
              <w:t>i</w:t>
            </w:r>
            <w:r w:rsidRPr="00FE6EE5">
              <w:rPr>
                <w:rFonts w:asciiTheme="minorHAnsi" w:hAnsiTheme="minorHAnsi" w:cs="Arial"/>
                <w:spacing w:val="-1"/>
                <w:lang w:eastAsia="en-AU"/>
              </w:rPr>
              <w:t>t</w:t>
            </w:r>
            <w:r w:rsidRPr="00FE6EE5">
              <w:rPr>
                <w:rFonts w:asciiTheme="minorHAnsi" w:hAnsiTheme="minorHAnsi" w:cs="Arial"/>
                <w:lang w:eastAsia="en-AU"/>
              </w:rPr>
              <w:t>y</w:t>
            </w:r>
            <w:r w:rsidRPr="00FE6EE5">
              <w:rPr>
                <w:rFonts w:asciiTheme="minorHAnsi" w:hAnsiTheme="minorHAnsi" w:cs="Arial"/>
                <w:spacing w:val="-3"/>
                <w:lang w:eastAsia="en-AU"/>
              </w:rPr>
              <w:t xml:space="preserve"> </w:t>
            </w:r>
            <w:r w:rsidRPr="00FE6EE5">
              <w:rPr>
                <w:rFonts w:asciiTheme="minorHAnsi" w:hAnsiTheme="minorHAnsi" w:cs="Arial"/>
                <w:lang w:eastAsia="en-AU"/>
              </w:rPr>
              <w:t>of b</w:t>
            </w:r>
            <w:r w:rsidRPr="00FE6EE5">
              <w:rPr>
                <w:rFonts w:asciiTheme="minorHAnsi" w:hAnsiTheme="minorHAnsi" w:cs="Arial"/>
                <w:spacing w:val="1"/>
                <w:lang w:eastAsia="en-AU"/>
              </w:rPr>
              <w:t>l</w:t>
            </w:r>
            <w:r w:rsidRPr="00FE6EE5">
              <w:rPr>
                <w:rFonts w:asciiTheme="minorHAnsi" w:hAnsiTheme="minorHAnsi" w:cs="Arial"/>
                <w:spacing w:val="-2"/>
                <w:lang w:eastAsia="en-AU"/>
              </w:rPr>
              <w:t>o</w:t>
            </w:r>
            <w:r w:rsidRPr="00FE6EE5">
              <w:rPr>
                <w:rFonts w:asciiTheme="minorHAnsi" w:hAnsiTheme="minorHAnsi" w:cs="Arial"/>
                <w:lang w:eastAsia="en-AU"/>
              </w:rPr>
              <w:t>od a</w:t>
            </w:r>
            <w:r w:rsidRPr="00FE6EE5">
              <w:rPr>
                <w:rFonts w:asciiTheme="minorHAnsi" w:hAnsiTheme="minorHAnsi" w:cs="Arial"/>
                <w:spacing w:val="-2"/>
                <w:lang w:eastAsia="en-AU"/>
              </w:rPr>
              <w:t>n</w:t>
            </w:r>
            <w:r w:rsidRPr="00FE6EE5">
              <w:rPr>
                <w:rFonts w:asciiTheme="minorHAnsi" w:hAnsiTheme="minorHAnsi" w:cs="Arial"/>
                <w:lang w:eastAsia="en-AU"/>
              </w:rPr>
              <w:t>d b</w:t>
            </w:r>
            <w:r w:rsidRPr="00FE6EE5">
              <w:rPr>
                <w:rFonts w:asciiTheme="minorHAnsi" w:hAnsiTheme="minorHAnsi" w:cs="Arial"/>
                <w:spacing w:val="1"/>
                <w:lang w:eastAsia="en-AU"/>
              </w:rPr>
              <w:t>l</w:t>
            </w:r>
            <w:r w:rsidRPr="00FE6EE5">
              <w:rPr>
                <w:rFonts w:asciiTheme="minorHAnsi" w:hAnsiTheme="minorHAnsi" w:cs="Arial"/>
                <w:spacing w:val="-2"/>
                <w:lang w:eastAsia="en-AU"/>
              </w:rPr>
              <w:t>o</w:t>
            </w:r>
            <w:r w:rsidRPr="00FE6EE5">
              <w:rPr>
                <w:rFonts w:asciiTheme="minorHAnsi" w:hAnsiTheme="minorHAnsi" w:cs="Arial"/>
                <w:lang w:eastAsia="en-AU"/>
              </w:rPr>
              <w:t>od p</w:t>
            </w:r>
            <w:r w:rsidRPr="00FE6EE5">
              <w:rPr>
                <w:rFonts w:asciiTheme="minorHAnsi" w:hAnsiTheme="minorHAnsi" w:cs="Arial"/>
                <w:spacing w:val="-1"/>
                <w:lang w:eastAsia="en-AU"/>
              </w:rPr>
              <w:t>r</w:t>
            </w:r>
            <w:r w:rsidRPr="00FE6EE5">
              <w:rPr>
                <w:rFonts w:asciiTheme="minorHAnsi" w:hAnsiTheme="minorHAnsi" w:cs="Arial"/>
                <w:spacing w:val="-2"/>
                <w:lang w:eastAsia="en-AU"/>
              </w:rPr>
              <w:t>o</w:t>
            </w:r>
            <w:r w:rsidRPr="00FE6EE5">
              <w:rPr>
                <w:rFonts w:asciiTheme="minorHAnsi" w:hAnsiTheme="minorHAnsi" w:cs="Arial"/>
                <w:lang w:eastAsia="en-AU"/>
              </w:rPr>
              <w:t>duc</w:t>
            </w:r>
            <w:r w:rsidRPr="00FE6EE5">
              <w:rPr>
                <w:rFonts w:asciiTheme="minorHAnsi" w:hAnsiTheme="minorHAnsi" w:cs="Arial"/>
                <w:spacing w:val="-1"/>
                <w:lang w:eastAsia="en-AU"/>
              </w:rPr>
              <w:t>t</w:t>
            </w:r>
            <w:r w:rsidRPr="00FE6EE5">
              <w:rPr>
                <w:rFonts w:asciiTheme="minorHAnsi" w:hAnsiTheme="minorHAnsi" w:cs="Arial"/>
                <w:lang w:eastAsia="en-AU"/>
              </w:rPr>
              <w:t>s</w:t>
            </w:r>
            <w:r w:rsidRPr="00FE6EE5">
              <w:rPr>
                <w:rFonts w:asciiTheme="minorHAnsi" w:hAnsiTheme="minorHAnsi" w:cs="Arial"/>
                <w:spacing w:val="-3"/>
                <w:lang w:eastAsia="en-AU"/>
              </w:rPr>
              <w:t xml:space="preserve"> </w:t>
            </w:r>
            <w:r w:rsidRPr="00FE6EE5">
              <w:rPr>
                <w:rFonts w:asciiTheme="minorHAnsi" w:hAnsiTheme="minorHAnsi" w:cs="Arial"/>
                <w:spacing w:val="-1"/>
                <w:lang w:eastAsia="en-AU"/>
              </w:rPr>
              <w:t>t</w:t>
            </w:r>
            <w:r w:rsidRPr="00FE6EE5">
              <w:rPr>
                <w:rFonts w:asciiTheme="minorHAnsi" w:hAnsiTheme="minorHAnsi" w:cs="Arial"/>
                <w:lang w:eastAsia="en-AU"/>
              </w:rPr>
              <w:t xml:space="preserve">o </w:t>
            </w:r>
            <w:r w:rsidRPr="00FE6EE5">
              <w:rPr>
                <w:rFonts w:asciiTheme="minorHAnsi" w:hAnsiTheme="minorHAnsi" w:cs="Arial"/>
                <w:spacing w:val="2"/>
                <w:lang w:eastAsia="en-AU"/>
              </w:rPr>
              <w:t>m</w:t>
            </w:r>
            <w:r w:rsidRPr="00FE6EE5">
              <w:rPr>
                <w:rFonts w:asciiTheme="minorHAnsi" w:hAnsiTheme="minorHAnsi" w:cs="Arial"/>
                <w:lang w:eastAsia="en-AU"/>
              </w:rPr>
              <w:t>eet c</w:t>
            </w:r>
            <w:r w:rsidRPr="00FE6EE5">
              <w:rPr>
                <w:rFonts w:asciiTheme="minorHAnsi" w:hAnsiTheme="minorHAnsi" w:cs="Arial"/>
                <w:spacing w:val="1"/>
                <w:lang w:eastAsia="en-AU"/>
              </w:rPr>
              <w:t>l</w:t>
            </w:r>
            <w:r w:rsidRPr="00FE6EE5">
              <w:rPr>
                <w:rFonts w:asciiTheme="minorHAnsi" w:hAnsiTheme="minorHAnsi" w:cs="Arial"/>
                <w:spacing w:val="-1"/>
                <w:lang w:eastAsia="en-AU"/>
              </w:rPr>
              <w:t>i</w:t>
            </w:r>
            <w:r w:rsidRPr="00FE6EE5">
              <w:rPr>
                <w:rFonts w:asciiTheme="minorHAnsi" w:hAnsiTheme="minorHAnsi" w:cs="Arial"/>
                <w:lang w:eastAsia="en-AU"/>
              </w:rPr>
              <w:t>n</w:t>
            </w:r>
            <w:r w:rsidRPr="00FE6EE5">
              <w:rPr>
                <w:rFonts w:asciiTheme="minorHAnsi" w:hAnsiTheme="minorHAnsi" w:cs="Arial"/>
                <w:spacing w:val="-1"/>
                <w:lang w:eastAsia="en-AU"/>
              </w:rPr>
              <w:t>i</w:t>
            </w:r>
            <w:r w:rsidRPr="00FE6EE5">
              <w:rPr>
                <w:rFonts w:asciiTheme="minorHAnsi" w:hAnsiTheme="minorHAnsi" w:cs="Arial"/>
                <w:lang w:eastAsia="en-AU"/>
              </w:rPr>
              <w:t xml:space="preserve">cal </w:t>
            </w:r>
            <w:r w:rsidRPr="00FE6EE5">
              <w:rPr>
                <w:rFonts w:asciiTheme="minorHAnsi" w:hAnsiTheme="minorHAnsi" w:cs="Arial"/>
                <w:spacing w:val="-2"/>
                <w:lang w:eastAsia="en-AU"/>
              </w:rPr>
              <w:t>n</w:t>
            </w:r>
            <w:r w:rsidRPr="00FE6EE5">
              <w:rPr>
                <w:rFonts w:asciiTheme="minorHAnsi" w:hAnsiTheme="minorHAnsi" w:cs="Arial"/>
                <w:lang w:eastAsia="en-AU"/>
              </w:rPr>
              <w:t>eed</w:t>
            </w:r>
          </w:p>
          <w:p w14:paraId="77D93A10" w14:textId="77777777" w:rsidR="003A4C2B" w:rsidRPr="00FE6EE5" w:rsidRDefault="003A4C2B">
            <w:pPr>
              <w:autoSpaceDE w:val="0"/>
              <w:autoSpaceDN w:val="0"/>
              <w:adjustRightInd w:val="0"/>
              <w:spacing w:before="57" w:after="0" w:line="298" w:lineRule="auto"/>
              <w:ind w:left="585" w:right="3499"/>
              <w:rPr>
                <w:rFonts w:asciiTheme="minorHAnsi" w:hAnsiTheme="minorHAnsi" w:cs="Times New Roman"/>
                <w:lang w:eastAsia="en-AU"/>
              </w:rPr>
            </w:pPr>
            <w:r w:rsidRPr="00FE6EE5">
              <w:rPr>
                <w:rFonts w:asciiTheme="minorHAnsi" w:hAnsiTheme="minorHAnsi" w:cs="Arial"/>
                <w:lang w:eastAsia="en-AU"/>
              </w:rPr>
              <w:t>b.</w:t>
            </w:r>
            <w:r w:rsidRPr="00FE6EE5">
              <w:rPr>
                <w:rFonts w:asciiTheme="minorHAnsi" w:hAnsiTheme="minorHAnsi" w:cs="Arial"/>
                <w:spacing w:val="48"/>
                <w:lang w:eastAsia="en-AU"/>
              </w:rPr>
              <w:t xml:space="preserve"> </w:t>
            </w:r>
            <w:proofErr w:type="gramStart"/>
            <w:r w:rsidRPr="00FE6EE5">
              <w:rPr>
                <w:rFonts w:asciiTheme="minorHAnsi" w:hAnsiTheme="minorHAnsi" w:cs="Arial"/>
                <w:lang w:eastAsia="en-AU"/>
              </w:rPr>
              <w:t>e</w:t>
            </w:r>
            <w:r w:rsidRPr="00FE6EE5">
              <w:rPr>
                <w:rFonts w:asciiTheme="minorHAnsi" w:hAnsiTheme="minorHAnsi" w:cs="Arial"/>
                <w:spacing w:val="1"/>
                <w:lang w:eastAsia="en-AU"/>
              </w:rPr>
              <w:t>l</w:t>
            </w:r>
            <w:r w:rsidRPr="00FE6EE5">
              <w:rPr>
                <w:rFonts w:asciiTheme="minorHAnsi" w:hAnsiTheme="minorHAnsi" w:cs="Arial"/>
                <w:spacing w:val="-1"/>
                <w:lang w:eastAsia="en-AU"/>
              </w:rPr>
              <w:t>im</w:t>
            </w:r>
            <w:r w:rsidRPr="00FE6EE5">
              <w:rPr>
                <w:rFonts w:asciiTheme="minorHAnsi" w:hAnsiTheme="minorHAnsi" w:cs="Arial"/>
                <w:spacing w:val="1"/>
                <w:lang w:eastAsia="en-AU"/>
              </w:rPr>
              <w:t>i</w:t>
            </w:r>
            <w:r w:rsidRPr="00FE6EE5">
              <w:rPr>
                <w:rFonts w:asciiTheme="minorHAnsi" w:hAnsiTheme="minorHAnsi" w:cs="Arial"/>
                <w:spacing w:val="-2"/>
                <w:lang w:eastAsia="en-AU"/>
              </w:rPr>
              <w:t>n</w:t>
            </w:r>
            <w:r w:rsidRPr="00FE6EE5">
              <w:rPr>
                <w:rFonts w:asciiTheme="minorHAnsi" w:hAnsiTheme="minorHAnsi" w:cs="Arial"/>
                <w:lang w:eastAsia="en-AU"/>
              </w:rPr>
              <w:t>a</w:t>
            </w:r>
            <w:r w:rsidRPr="00FE6EE5">
              <w:rPr>
                <w:rFonts w:asciiTheme="minorHAnsi" w:hAnsiTheme="minorHAnsi" w:cs="Arial"/>
                <w:spacing w:val="-1"/>
                <w:lang w:eastAsia="en-AU"/>
              </w:rPr>
              <w:t>t</w:t>
            </w:r>
            <w:r w:rsidRPr="00FE6EE5">
              <w:rPr>
                <w:rFonts w:asciiTheme="minorHAnsi" w:hAnsiTheme="minorHAnsi" w:cs="Arial"/>
                <w:lang w:eastAsia="en-AU"/>
              </w:rPr>
              <w:t>e</w:t>
            </w:r>
            <w:proofErr w:type="gramEnd"/>
            <w:r w:rsidRPr="00FE6EE5">
              <w:rPr>
                <w:rFonts w:asciiTheme="minorHAnsi" w:hAnsiTheme="minorHAnsi" w:cs="Arial"/>
                <w:lang w:eastAsia="en-AU"/>
              </w:rPr>
              <w:t xml:space="preserve"> a</w:t>
            </w:r>
            <w:r w:rsidRPr="00FE6EE5">
              <w:rPr>
                <w:rFonts w:asciiTheme="minorHAnsi" w:hAnsiTheme="minorHAnsi" w:cs="Arial"/>
                <w:spacing w:val="-2"/>
                <w:lang w:eastAsia="en-AU"/>
              </w:rPr>
              <w:t>v</w:t>
            </w:r>
            <w:r w:rsidRPr="00FE6EE5">
              <w:rPr>
                <w:rFonts w:asciiTheme="minorHAnsi" w:hAnsiTheme="minorHAnsi" w:cs="Arial"/>
                <w:lang w:eastAsia="en-AU"/>
              </w:rPr>
              <w:t>o</w:t>
            </w:r>
            <w:r w:rsidRPr="00FE6EE5">
              <w:rPr>
                <w:rFonts w:asciiTheme="minorHAnsi" w:hAnsiTheme="minorHAnsi" w:cs="Arial"/>
                <w:spacing w:val="1"/>
                <w:lang w:eastAsia="en-AU"/>
              </w:rPr>
              <w:t>i</w:t>
            </w:r>
            <w:r w:rsidRPr="00FE6EE5">
              <w:rPr>
                <w:rFonts w:asciiTheme="minorHAnsi" w:hAnsiTheme="minorHAnsi" w:cs="Arial"/>
                <w:spacing w:val="-2"/>
                <w:lang w:eastAsia="en-AU"/>
              </w:rPr>
              <w:t>d</w:t>
            </w:r>
            <w:r w:rsidRPr="00FE6EE5">
              <w:rPr>
                <w:rFonts w:asciiTheme="minorHAnsi" w:hAnsiTheme="minorHAnsi" w:cs="Arial"/>
                <w:lang w:eastAsia="en-AU"/>
              </w:rPr>
              <w:t>a</w:t>
            </w:r>
            <w:r w:rsidRPr="00FE6EE5">
              <w:rPr>
                <w:rFonts w:asciiTheme="minorHAnsi" w:hAnsiTheme="minorHAnsi" w:cs="Arial"/>
                <w:spacing w:val="-2"/>
                <w:lang w:eastAsia="en-AU"/>
              </w:rPr>
              <w:t>b</w:t>
            </w:r>
            <w:r w:rsidRPr="00FE6EE5">
              <w:rPr>
                <w:rFonts w:asciiTheme="minorHAnsi" w:hAnsiTheme="minorHAnsi" w:cs="Arial"/>
                <w:spacing w:val="1"/>
                <w:lang w:eastAsia="en-AU"/>
              </w:rPr>
              <w:t>l</w:t>
            </w:r>
            <w:r w:rsidRPr="00FE6EE5">
              <w:rPr>
                <w:rFonts w:asciiTheme="minorHAnsi" w:hAnsiTheme="minorHAnsi" w:cs="Arial"/>
                <w:lang w:eastAsia="en-AU"/>
              </w:rPr>
              <w:t xml:space="preserve">e </w:t>
            </w:r>
            <w:r w:rsidRPr="00FE6EE5">
              <w:rPr>
                <w:rFonts w:asciiTheme="minorHAnsi" w:hAnsiTheme="minorHAnsi" w:cs="Arial"/>
                <w:spacing w:val="-1"/>
                <w:lang w:eastAsia="en-AU"/>
              </w:rPr>
              <w:t>w</w:t>
            </w:r>
            <w:r w:rsidRPr="00FE6EE5">
              <w:rPr>
                <w:rFonts w:asciiTheme="minorHAnsi" w:hAnsiTheme="minorHAnsi" w:cs="Arial"/>
                <w:lang w:eastAsia="en-AU"/>
              </w:rPr>
              <w:t>as</w:t>
            </w:r>
            <w:r w:rsidRPr="00FE6EE5">
              <w:rPr>
                <w:rFonts w:asciiTheme="minorHAnsi" w:hAnsiTheme="minorHAnsi" w:cs="Arial"/>
                <w:spacing w:val="-1"/>
                <w:lang w:eastAsia="en-AU"/>
              </w:rPr>
              <w:t>t</w:t>
            </w:r>
            <w:r w:rsidRPr="00FE6EE5">
              <w:rPr>
                <w:rFonts w:asciiTheme="minorHAnsi" w:hAnsiTheme="minorHAnsi" w:cs="Arial"/>
                <w:spacing w:val="-2"/>
                <w:lang w:eastAsia="en-AU"/>
              </w:rPr>
              <w:t>a</w:t>
            </w:r>
            <w:r w:rsidRPr="00FE6EE5">
              <w:rPr>
                <w:rFonts w:asciiTheme="minorHAnsi" w:hAnsiTheme="minorHAnsi" w:cs="Arial"/>
                <w:lang w:eastAsia="en-AU"/>
              </w:rPr>
              <w:t xml:space="preserve">ge c. </w:t>
            </w:r>
            <w:r w:rsidRPr="00FE6EE5">
              <w:rPr>
                <w:rFonts w:asciiTheme="minorHAnsi" w:hAnsiTheme="minorHAnsi" w:cs="Arial"/>
                <w:spacing w:val="2"/>
                <w:lang w:eastAsia="en-AU"/>
              </w:rPr>
              <w:t xml:space="preserve"> </w:t>
            </w:r>
            <w:r w:rsidRPr="00FE6EE5">
              <w:rPr>
                <w:rFonts w:asciiTheme="minorHAnsi" w:hAnsiTheme="minorHAnsi" w:cs="Arial"/>
                <w:spacing w:val="-1"/>
                <w:lang w:eastAsia="en-AU"/>
              </w:rPr>
              <w:t>r</w:t>
            </w:r>
            <w:r w:rsidRPr="00FE6EE5">
              <w:rPr>
                <w:rFonts w:asciiTheme="minorHAnsi" w:hAnsiTheme="minorHAnsi" w:cs="Arial"/>
                <w:lang w:eastAsia="en-AU"/>
              </w:rPr>
              <w:t>espo</w:t>
            </w:r>
            <w:r w:rsidRPr="00FE6EE5">
              <w:rPr>
                <w:rFonts w:asciiTheme="minorHAnsi" w:hAnsiTheme="minorHAnsi" w:cs="Arial"/>
                <w:spacing w:val="-2"/>
                <w:lang w:eastAsia="en-AU"/>
              </w:rPr>
              <w:t>n</w:t>
            </w:r>
            <w:r w:rsidRPr="00FE6EE5">
              <w:rPr>
                <w:rFonts w:asciiTheme="minorHAnsi" w:hAnsiTheme="minorHAnsi" w:cs="Arial"/>
                <w:lang w:eastAsia="en-AU"/>
              </w:rPr>
              <w:t xml:space="preserve">d </w:t>
            </w:r>
            <w:r w:rsidRPr="00FE6EE5">
              <w:rPr>
                <w:rFonts w:asciiTheme="minorHAnsi" w:hAnsiTheme="minorHAnsi" w:cs="Arial"/>
                <w:spacing w:val="1"/>
                <w:lang w:eastAsia="en-AU"/>
              </w:rPr>
              <w:t>i</w:t>
            </w:r>
            <w:r w:rsidRPr="00FE6EE5">
              <w:rPr>
                <w:rFonts w:asciiTheme="minorHAnsi" w:hAnsiTheme="minorHAnsi" w:cs="Arial"/>
                <w:lang w:eastAsia="en-AU"/>
              </w:rPr>
              <w:t xml:space="preserve">n </w:t>
            </w:r>
            <w:r w:rsidRPr="00FE6EE5">
              <w:rPr>
                <w:rFonts w:asciiTheme="minorHAnsi" w:hAnsiTheme="minorHAnsi" w:cs="Arial"/>
                <w:spacing w:val="-1"/>
                <w:lang w:eastAsia="en-AU"/>
              </w:rPr>
              <w:t>tim</w:t>
            </w:r>
            <w:r w:rsidRPr="00FE6EE5">
              <w:rPr>
                <w:rFonts w:asciiTheme="minorHAnsi" w:hAnsiTheme="minorHAnsi" w:cs="Arial"/>
                <w:lang w:eastAsia="en-AU"/>
              </w:rPr>
              <w:t>es</w:t>
            </w:r>
            <w:r w:rsidRPr="00FE6EE5">
              <w:rPr>
                <w:rFonts w:asciiTheme="minorHAnsi" w:hAnsiTheme="minorHAnsi" w:cs="Arial"/>
                <w:spacing w:val="-1"/>
                <w:lang w:eastAsia="en-AU"/>
              </w:rPr>
              <w:t xml:space="preserve"> </w:t>
            </w:r>
            <w:r w:rsidRPr="00FE6EE5">
              <w:rPr>
                <w:rFonts w:asciiTheme="minorHAnsi" w:hAnsiTheme="minorHAnsi" w:cs="Arial"/>
                <w:spacing w:val="-2"/>
                <w:lang w:eastAsia="en-AU"/>
              </w:rPr>
              <w:t>o</w:t>
            </w:r>
            <w:r w:rsidRPr="00FE6EE5">
              <w:rPr>
                <w:rFonts w:asciiTheme="minorHAnsi" w:hAnsiTheme="minorHAnsi" w:cs="Arial"/>
                <w:lang w:eastAsia="en-AU"/>
              </w:rPr>
              <w:t>f sho</w:t>
            </w:r>
            <w:r w:rsidRPr="00FE6EE5">
              <w:rPr>
                <w:rFonts w:asciiTheme="minorHAnsi" w:hAnsiTheme="minorHAnsi" w:cs="Arial"/>
                <w:spacing w:val="-1"/>
                <w:lang w:eastAsia="en-AU"/>
              </w:rPr>
              <w:t>rt</w:t>
            </w:r>
            <w:r w:rsidRPr="00FE6EE5">
              <w:rPr>
                <w:rFonts w:asciiTheme="minorHAnsi" w:hAnsiTheme="minorHAnsi" w:cs="Arial"/>
                <w:spacing w:val="-2"/>
                <w:lang w:eastAsia="en-AU"/>
              </w:rPr>
              <w:t>a</w:t>
            </w:r>
            <w:r w:rsidRPr="00FE6EE5">
              <w:rPr>
                <w:rFonts w:asciiTheme="minorHAnsi" w:hAnsiTheme="minorHAnsi" w:cs="Arial"/>
                <w:lang w:eastAsia="en-AU"/>
              </w:rPr>
              <w:t>ge</w:t>
            </w:r>
          </w:p>
        </w:tc>
      </w:tr>
    </w:tbl>
    <w:p w14:paraId="7621BAAE" w14:textId="77777777" w:rsidR="00913DDF" w:rsidRDefault="00913DDF" w:rsidP="00192D63">
      <w:pPr>
        <w:spacing w:after="240" w:line="312" w:lineRule="auto"/>
      </w:pPr>
    </w:p>
    <w:p w14:paraId="07039D8D" w14:textId="77777777" w:rsidR="009E7163" w:rsidRDefault="009E7163" w:rsidP="009E7163">
      <w:pPr>
        <w:pStyle w:val="Heading3"/>
      </w:pPr>
      <w:bookmarkStart w:id="2" w:name="_Toc485589876"/>
      <w:r>
        <w:t xml:space="preserve">A National BLOOD PRODUCT Management </w:t>
      </w:r>
      <w:r w:rsidR="009B3442">
        <w:t xml:space="preserve">IMPROVEMENT </w:t>
      </w:r>
      <w:r>
        <w:t>Strategy</w:t>
      </w:r>
      <w:bookmarkEnd w:id="2"/>
      <w:r>
        <w:t xml:space="preserve"> </w:t>
      </w:r>
    </w:p>
    <w:p w14:paraId="30BFD2E9" w14:textId="77777777" w:rsidR="00192D63" w:rsidRPr="00547878" w:rsidRDefault="00192D63" w:rsidP="00192D63">
      <w:pPr>
        <w:spacing w:after="240" w:line="312" w:lineRule="auto"/>
      </w:pPr>
      <w:r w:rsidRPr="00547878">
        <w:t>Th</w:t>
      </w:r>
      <w:r w:rsidR="006A0387" w:rsidRPr="00547878">
        <w:t>is</w:t>
      </w:r>
      <w:r w:rsidRPr="00547878">
        <w:t xml:space="preserve"> Strategy seeks to reduce wastage </w:t>
      </w:r>
      <w:r w:rsidR="00547878" w:rsidRPr="00547878">
        <w:t>and ensur</w:t>
      </w:r>
      <w:r w:rsidR="0048786B">
        <w:t>e</w:t>
      </w:r>
      <w:r w:rsidR="00547878" w:rsidRPr="00547878">
        <w:t xml:space="preserve"> blood and blood products are available to meet clinical need</w:t>
      </w:r>
      <w:r w:rsidRPr="00547878">
        <w:t xml:space="preserve"> through </w:t>
      </w:r>
      <w:r w:rsidR="004E6736">
        <w:t xml:space="preserve">three </w:t>
      </w:r>
      <w:r w:rsidRPr="00547878">
        <w:t>streams of work:</w:t>
      </w:r>
    </w:p>
    <w:p w14:paraId="4A0B0052" w14:textId="38D20493" w:rsidR="00192D63" w:rsidRPr="00547878" w:rsidRDefault="005C3802" w:rsidP="00192D63">
      <w:pPr>
        <w:pStyle w:val="ListParagraph"/>
        <w:numPr>
          <w:ilvl w:val="0"/>
          <w:numId w:val="1"/>
        </w:numPr>
        <w:spacing w:after="240" w:line="312" w:lineRule="auto"/>
      </w:pPr>
      <w:r>
        <w:rPr>
          <w:b/>
        </w:rPr>
        <w:t xml:space="preserve">Manufacturing and </w:t>
      </w:r>
      <w:r w:rsidR="004E6736">
        <w:rPr>
          <w:b/>
        </w:rPr>
        <w:t>distribution</w:t>
      </w:r>
      <w:r>
        <w:rPr>
          <w:b/>
        </w:rPr>
        <w:t xml:space="preserve"> e</w:t>
      </w:r>
      <w:r w:rsidR="00192D63" w:rsidRPr="00547878">
        <w:rPr>
          <w:b/>
        </w:rPr>
        <w:t>fficiencies</w:t>
      </w:r>
      <w:r w:rsidR="00192D63" w:rsidRPr="00547878">
        <w:t xml:space="preserve"> from the point of collection to the point of issue of blood and blood products to health </w:t>
      </w:r>
      <w:r w:rsidR="00547878">
        <w:t xml:space="preserve">providers </w:t>
      </w:r>
      <w:r w:rsidR="00192D63" w:rsidRPr="00547878">
        <w:t xml:space="preserve">from suppliers and </w:t>
      </w:r>
      <w:proofErr w:type="gramStart"/>
      <w:r w:rsidR="00192D63" w:rsidRPr="00547878">
        <w:t>distributors;</w:t>
      </w:r>
      <w:proofErr w:type="gramEnd"/>
      <w:r w:rsidR="00192D63" w:rsidRPr="00547878">
        <w:t xml:space="preserve"> </w:t>
      </w:r>
    </w:p>
    <w:p w14:paraId="2318352A" w14:textId="77777777" w:rsidR="00192D63" w:rsidRPr="00547878" w:rsidRDefault="00192D63" w:rsidP="00192D63">
      <w:pPr>
        <w:pStyle w:val="ListParagraph"/>
        <w:numPr>
          <w:ilvl w:val="0"/>
          <w:numId w:val="1"/>
        </w:numPr>
        <w:spacing w:after="240" w:line="312" w:lineRule="auto"/>
      </w:pPr>
      <w:r w:rsidRPr="00547878">
        <w:rPr>
          <w:b/>
        </w:rPr>
        <w:t xml:space="preserve">Improving </w:t>
      </w:r>
      <w:r w:rsidR="005C3802">
        <w:rPr>
          <w:b/>
        </w:rPr>
        <w:t>h</w:t>
      </w:r>
      <w:r w:rsidRPr="00547878">
        <w:rPr>
          <w:b/>
        </w:rPr>
        <w:t xml:space="preserve">ealth </w:t>
      </w:r>
      <w:r w:rsidR="005C3802">
        <w:rPr>
          <w:b/>
        </w:rPr>
        <w:t>p</w:t>
      </w:r>
      <w:r w:rsidRPr="00547878">
        <w:rPr>
          <w:b/>
        </w:rPr>
        <w:t xml:space="preserve">rovider </w:t>
      </w:r>
      <w:r w:rsidR="005C3802">
        <w:rPr>
          <w:b/>
        </w:rPr>
        <w:t>i</w:t>
      </w:r>
      <w:r w:rsidRPr="00547878">
        <w:rPr>
          <w:b/>
        </w:rPr>
        <w:t xml:space="preserve">nventory </w:t>
      </w:r>
      <w:r w:rsidR="005C3802">
        <w:rPr>
          <w:b/>
        </w:rPr>
        <w:t>m</w:t>
      </w:r>
      <w:r w:rsidRPr="00547878">
        <w:rPr>
          <w:b/>
        </w:rPr>
        <w:t>anagement</w:t>
      </w:r>
      <w:r w:rsidRPr="00547878">
        <w:t xml:space="preserve"> from the point of receipt of blood and blood products to the transfusion of these units to patients</w:t>
      </w:r>
      <w:r w:rsidR="0048786B">
        <w:t>;</w:t>
      </w:r>
      <w:r w:rsidRPr="00547878">
        <w:t xml:space="preserve"> </w:t>
      </w:r>
      <w:r w:rsidR="0048786B" w:rsidRPr="00547878">
        <w:t>and</w:t>
      </w:r>
    </w:p>
    <w:p w14:paraId="72BC4AE5" w14:textId="77777777" w:rsidR="00431818" w:rsidRPr="005540AB" w:rsidRDefault="009E7163" w:rsidP="00192D63">
      <w:pPr>
        <w:pStyle w:val="ListParagraph"/>
        <w:numPr>
          <w:ilvl w:val="0"/>
          <w:numId w:val="1"/>
        </w:numPr>
        <w:spacing w:after="240" w:line="312" w:lineRule="auto"/>
      </w:pPr>
      <w:r w:rsidRPr="005540AB">
        <w:rPr>
          <w:b/>
        </w:rPr>
        <w:t>Engag</w:t>
      </w:r>
      <w:r w:rsidR="005540AB">
        <w:rPr>
          <w:b/>
        </w:rPr>
        <w:t>ing</w:t>
      </w:r>
      <w:r w:rsidRPr="005540AB">
        <w:rPr>
          <w:b/>
        </w:rPr>
        <w:t xml:space="preserve"> with h</w:t>
      </w:r>
      <w:r w:rsidR="00431818" w:rsidRPr="005540AB">
        <w:rPr>
          <w:b/>
        </w:rPr>
        <w:t xml:space="preserve">ealth </w:t>
      </w:r>
      <w:r w:rsidRPr="005540AB">
        <w:rPr>
          <w:b/>
        </w:rPr>
        <w:t>p</w:t>
      </w:r>
      <w:r w:rsidR="0048786B" w:rsidRPr="005540AB">
        <w:rPr>
          <w:b/>
        </w:rPr>
        <w:t>rovider</w:t>
      </w:r>
      <w:r w:rsidRPr="005540AB">
        <w:rPr>
          <w:b/>
        </w:rPr>
        <w:t>s</w:t>
      </w:r>
      <w:r w:rsidR="00431818" w:rsidRPr="005540AB">
        <w:rPr>
          <w:b/>
        </w:rPr>
        <w:t xml:space="preserve"> </w:t>
      </w:r>
      <w:r w:rsidR="006D23F0" w:rsidRPr="005540AB">
        <w:t xml:space="preserve">to </w:t>
      </w:r>
      <w:r w:rsidR="005540AB" w:rsidRPr="005540AB">
        <w:t>reduce inappropriate use and wastage of blood and blood products in the sector.</w:t>
      </w:r>
    </w:p>
    <w:p w14:paraId="3C922DB3" w14:textId="6C064FFE" w:rsidR="00192D63" w:rsidRDefault="00192D63" w:rsidP="00192D63">
      <w:pPr>
        <w:spacing w:after="240" w:line="312" w:lineRule="auto"/>
      </w:pPr>
      <w:r w:rsidRPr="0025628A">
        <w:t xml:space="preserve">Regular updates on progress against items identified in this Strategy will be available online at </w:t>
      </w:r>
      <w:hyperlink r:id="rId20" w:history="1">
        <w:r w:rsidR="005F50B7" w:rsidRPr="0025628A">
          <w:rPr>
            <w:rStyle w:val="Hyperlink"/>
          </w:rPr>
          <w:t>www.blood.gov.au/wastage</w:t>
        </w:r>
      </w:hyperlink>
      <w:r w:rsidR="005F50B7" w:rsidRPr="0025628A">
        <w:t xml:space="preserve"> </w:t>
      </w:r>
      <w:r w:rsidRPr="0025628A">
        <w:t>. We will review this Strategy on a regular basis to ensure its ongoing effectiveness in the campaign to eliminate unnecessary wastage</w:t>
      </w:r>
      <w:r w:rsidR="005540AB">
        <w:t xml:space="preserve"> </w:t>
      </w:r>
      <w:r w:rsidR="005540AB">
        <w:rPr>
          <w:rFonts w:cs="Arial"/>
        </w:rPr>
        <w:t>and ensure blood and blood products are available to meet clinical needs</w:t>
      </w:r>
      <w:r w:rsidRPr="0025628A">
        <w:t>.</w:t>
      </w:r>
    </w:p>
    <w:p w14:paraId="4EF00544" w14:textId="77777777" w:rsidR="00C422C6" w:rsidRDefault="00C422C6" w:rsidP="009E7163">
      <w:pPr>
        <w:pStyle w:val="Heading3"/>
      </w:pPr>
      <w:r>
        <w:t>Scope</w:t>
      </w:r>
    </w:p>
    <w:p w14:paraId="6906E85A" w14:textId="77777777" w:rsidR="00F4411B" w:rsidRPr="0087080A" w:rsidRDefault="00C422C6" w:rsidP="00C422C6">
      <w:pPr>
        <w:spacing w:after="240" w:line="312" w:lineRule="auto"/>
      </w:pPr>
      <w:r w:rsidRPr="0087080A">
        <w:t xml:space="preserve">The scope of the Strategy covers elements in the </w:t>
      </w:r>
      <w:r w:rsidR="009E7163" w:rsidRPr="0087080A">
        <w:t xml:space="preserve">supply chain </w:t>
      </w:r>
      <w:r w:rsidRPr="0087080A">
        <w:t>for blood and blood products</w:t>
      </w:r>
      <w:r w:rsidR="00F4411B" w:rsidRPr="0087080A">
        <w:t xml:space="preserve">. </w:t>
      </w:r>
      <w:r w:rsidR="000A53DE" w:rsidRPr="0087080A">
        <w:t xml:space="preserve"> </w:t>
      </w:r>
    </w:p>
    <w:p w14:paraId="490CBF0E" w14:textId="77777777" w:rsidR="0048786B" w:rsidRDefault="00F4411B" w:rsidP="00C422C6">
      <w:pPr>
        <w:spacing w:after="240" w:line="312" w:lineRule="auto"/>
      </w:pPr>
      <w:r w:rsidRPr="0087080A">
        <w:t xml:space="preserve">The Strategy excludes </w:t>
      </w:r>
      <w:r w:rsidR="000A53DE" w:rsidRPr="0087080A">
        <w:t>supplier</w:t>
      </w:r>
      <w:r w:rsidR="00D93FC7" w:rsidRPr="0087080A">
        <w:t xml:space="preserve"> </w:t>
      </w:r>
      <w:r w:rsidR="000A53DE" w:rsidRPr="0087080A">
        <w:t xml:space="preserve">efficiencies as these are handled by contract management obligations between the </w:t>
      </w:r>
      <w:r w:rsidRPr="0087080A">
        <w:t>National Blood Authority (</w:t>
      </w:r>
      <w:r w:rsidR="000A53DE" w:rsidRPr="0087080A">
        <w:t>NBA</w:t>
      </w:r>
      <w:r w:rsidRPr="0087080A">
        <w:t>)</w:t>
      </w:r>
      <w:r w:rsidR="000A53DE" w:rsidRPr="0087080A">
        <w:t xml:space="preserve"> and </w:t>
      </w:r>
      <w:r w:rsidRPr="0087080A">
        <w:t>s</w:t>
      </w:r>
      <w:r w:rsidR="000A53DE" w:rsidRPr="0087080A">
        <w:t>upplier</w:t>
      </w:r>
      <w:r w:rsidRPr="0087080A">
        <w:t>s</w:t>
      </w:r>
      <w:r w:rsidR="000A53DE" w:rsidRPr="0087080A">
        <w:t>.</w:t>
      </w:r>
      <w:r w:rsidR="00C422C6">
        <w:t xml:space="preserve"> </w:t>
      </w:r>
    </w:p>
    <w:p w14:paraId="090A4751" w14:textId="77777777" w:rsidR="00F248AC" w:rsidRDefault="00F248AC">
      <w:pPr>
        <w:spacing w:after="0"/>
        <w:rPr>
          <w:rFonts w:eastAsia="HYGothic-Extra" w:cs="Tahoma"/>
          <w:b/>
          <w:bCs/>
          <w:caps/>
          <w:color w:val="D1282E"/>
        </w:rPr>
      </w:pPr>
      <w:bookmarkStart w:id="3" w:name="_Toc485589880"/>
      <w:r>
        <w:br w:type="page"/>
      </w:r>
    </w:p>
    <w:p w14:paraId="6A5EAFFC" w14:textId="77777777" w:rsidR="00F4411B" w:rsidRDefault="00F4411B" w:rsidP="009E7163">
      <w:pPr>
        <w:pStyle w:val="Heading3"/>
      </w:pPr>
      <w:r>
        <w:lastRenderedPageBreak/>
        <w:t xml:space="preserve">RELATIONSHIP TO OTHER </w:t>
      </w:r>
      <w:r w:rsidR="00D85F77">
        <w:t xml:space="preserve">NBA </w:t>
      </w:r>
      <w:r>
        <w:t>STRATEGIES</w:t>
      </w:r>
      <w:r w:rsidR="00D85F77">
        <w:t xml:space="preserve"> and PROGRAMS</w:t>
      </w:r>
    </w:p>
    <w:p w14:paraId="4D925447" w14:textId="77777777" w:rsidR="00D85F77" w:rsidRDefault="00F4411B" w:rsidP="00F4411B">
      <w:pPr>
        <w:spacing w:after="240" w:line="312" w:lineRule="auto"/>
      </w:pPr>
      <w:r>
        <w:t xml:space="preserve">The NBA </w:t>
      </w:r>
      <w:r w:rsidR="00D85F77">
        <w:t xml:space="preserve">has </w:t>
      </w:r>
      <w:proofErr w:type="gramStart"/>
      <w:r w:rsidR="00D85F77">
        <w:t>a number of</w:t>
      </w:r>
      <w:proofErr w:type="gramEnd"/>
      <w:r w:rsidR="00D85F77">
        <w:t xml:space="preserve"> strategies and programs that address performance improvement and governance in the blood sector</w:t>
      </w:r>
      <w:r w:rsidR="006A311C">
        <w:t>;</w:t>
      </w:r>
      <w:r w:rsidR="00D57834">
        <w:t xml:space="preserve"> and support the </w:t>
      </w:r>
      <w:r w:rsidR="00D57834" w:rsidRPr="00F248AC">
        <w:t>Stewardship Statement</w:t>
      </w:r>
      <w:r w:rsidR="00D85F77">
        <w:t>, namely</w:t>
      </w:r>
      <w:r w:rsidR="0087080A">
        <w:t xml:space="preserve"> the</w:t>
      </w:r>
      <w:r w:rsidR="00D85F77">
        <w:t>:</w:t>
      </w:r>
    </w:p>
    <w:p w14:paraId="01B7F9B2" w14:textId="77777777" w:rsidR="00D85F77" w:rsidRDefault="00D85F77" w:rsidP="00D57834">
      <w:pPr>
        <w:pStyle w:val="ListParagraph"/>
        <w:numPr>
          <w:ilvl w:val="0"/>
          <w:numId w:val="21"/>
        </w:numPr>
        <w:spacing w:after="120"/>
      </w:pPr>
      <w:r>
        <w:t xml:space="preserve">National Immunoglobulin Governance </w:t>
      </w:r>
      <w:proofErr w:type="gramStart"/>
      <w:r>
        <w:t>Program;</w:t>
      </w:r>
      <w:proofErr w:type="gramEnd"/>
    </w:p>
    <w:p w14:paraId="09F2C33C" w14:textId="6AA80C83" w:rsidR="00D85F77" w:rsidRPr="00D57834" w:rsidRDefault="00D85F77" w:rsidP="00D57834">
      <w:pPr>
        <w:pStyle w:val="ListParagraph"/>
        <w:numPr>
          <w:ilvl w:val="0"/>
          <w:numId w:val="21"/>
        </w:numPr>
        <w:spacing w:after="120"/>
        <w:rPr>
          <w:iCs/>
        </w:rPr>
      </w:pPr>
      <w:r w:rsidRPr="00D85F77">
        <w:t xml:space="preserve">National Patient Blood Management Implementation Strategy </w:t>
      </w:r>
      <w:proofErr w:type="gramStart"/>
      <w:r w:rsidRPr="00D85F77">
        <w:t>2017-</w:t>
      </w:r>
      <w:r w:rsidR="002271B7" w:rsidRPr="00D85F77">
        <w:t>202</w:t>
      </w:r>
      <w:r w:rsidR="002271B7">
        <w:t>4</w:t>
      </w:r>
      <w:r>
        <w:t>;</w:t>
      </w:r>
      <w:proofErr w:type="gramEnd"/>
    </w:p>
    <w:p w14:paraId="413896A9" w14:textId="4937C63F" w:rsidR="0087080A" w:rsidRDefault="00D85F77" w:rsidP="00D57834">
      <w:pPr>
        <w:pStyle w:val="ListParagraph"/>
        <w:numPr>
          <w:ilvl w:val="0"/>
          <w:numId w:val="21"/>
        </w:numPr>
        <w:spacing w:after="120"/>
      </w:pPr>
      <w:r w:rsidRPr="00F248AC">
        <w:t xml:space="preserve">Guidelines for the </w:t>
      </w:r>
      <w:r w:rsidR="005A17CD">
        <w:t>M</w:t>
      </w:r>
      <w:r w:rsidR="005A17CD" w:rsidRPr="00F248AC">
        <w:t xml:space="preserve">anagement </w:t>
      </w:r>
      <w:r w:rsidRPr="00F248AC">
        <w:t xml:space="preserve">of </w:t>
      </w:r>
      <w:r w:rsidR="0087080A">
        <w:t>H</w:t>
      </w:r>
      <w:r w:rsidRPr="00F248AC">
        <w:t xml:space="preserve">aemophilia in </w:t>
      </w:r>
      <w:proofErr w:type="gramStart"/>
      <w:r w:rsidRPr="00F248AC">
        <w:t>Australia</w:t>
      </w:r>
      <w:r w:rsidR="00747796">
        <w:t>;</w:t>
      </w:r>
      <w:proofErr w:type="gramEnd"/>
    </w:p>
    <w:p w14:paraId="32F8B544" w14:textId="77777777" w:rsidR="00D85F77" w:rsidRPr="00F248AC" w:rsidRDefault="0087080A" w:rsidP="00D57834">
      <w:pPr>
        <w:pStyle w:val="ListParagraph"/>
        <w:numPr>
          <w:ilvl w:val="0"/>
          <w:numId w:val="21"/>
        </w:numPr>
        <w:spacing w:after="120"/>
      </w:pPr>
      <w:r>
        <w:t xml:space="preserve">Revised Patient Blood Management Guideline Review </w:t>
      </w:r>
      <w:proofErr w:type="gramStart"/>
      <w:r>
        <w:t>Project</w:t>
      </w:r>
      <w:r w:rsidR="00F248AC" w:rsidRPr="00F248AC">
        <w:t>;</w:t>
      </w:r>
      <w:proofErr w:type="gramEnd"/>
    </w:p>
    <w:p w14:paraId="0A4EC121" w14:textId="77777777" w:rsidR="00F248AC" w:rsidRPr="009E6B53" w:rsidRDefault="00F248AC" w:rsidP="00D57834">
      <w:pPr>
        <w:pStyle w:val="ListParagraph"/>
        <w:numPr>
          <w:ilvl w:val="0"/>
          <w:numId w:val="21"/>
        </w:numPr>
        <w:spacing w:after="120"/>
      </w:pPr>
      <w:r w:rsidRPr="00D57834">
        <w:rPr>
          <w:iCs/>
        </w:rPr>
        <w:t>National Blood Sector Data and</w:t>
      </w:r>
      <w:r w:rsidR="009E6B53">
        <w:rPr>
          <w:iCs/>
        </w:rPr>
        <w:t xml:space="preserve"> ICT</w:t>
      </w:r>
      <w:r w:rsidRPr="00D57834">
        <w:rPr>
          <w:iCs/>
        </w:rPr>
        <w:t xml:space="preserve"> Strategy;</w:t>
      </w:r>
      <w:r w:rsidR="009E6B53">
        <w:rPr>
          <w:iCs/>
        </w:rPr>
        <w:t xml:space="preserve"> and</w:t>
      </w:r>
    </w:p>
    <w:p w14:paraId="0A53D726" w14:textId="77777777" w:rsidR="009E6B53" w:rsidRPr="00D85F77" w:rsidRDefault="009E6B53" w:rsidP="00D57834">
      <w:pPr>
        <w:pStyle w:val="ListParagraph"/>
        <w:numPr>
          <w:ilvl w:val="0"/>
          <w:numId w:val="21"/>
        </w:numPr>
        <w:spacing w:after="120"/>
      </w:pPr>
      <w:r>
        <w:rPr>
          <w:iCs/>
        </w:rPr>
        <w:t xml:space="preserve">Strategic Framework for National </w:t>
      </w:r>
      <w:proofErr w:type="spellStart"/>
      <w:r>
        <w:rPr>
          <w:iCs/>
        </w:rPr>
        <w:t>Haemovigilance</w:t>
      </w:r>
      <w:proofErr w:type="spellEnd"/>
      <w:r>
        <w:rPr>
          <w:iCs/>
        </w:rPr>
        <w:t xml:space="preserve"> Program.</w:t>
      </w:r>
    </w:p>
    <w:p w14:paraId="4D717D35" w14:textId="77777777" w:rsidR="00F4411B" w:rsidRDefault="00D57834" w:rsidP="006C6267">
      <w:pPr>
        <w:spacing w:after="240" w:line="312" w:lineRule="auto"/>
      </w:pPr>
      <w:r>
        <w:t xml:space="preserve">This </w:t>
      </w:r>
      <w:r w:rsidR="00D85F77">
        <w:t xml:space="preserve">Strategy </w:t>
      </w:r>
      <w:r>
        <w:t xml:space="preserve">will </w:t>
      </w:r>
      <w:r w:rsidR="006A311C">
        <w:t>c</w:t>
      </w:r>
      <w:r w:rsidR="00F4411B">
        <w:t xml:space="preserve">onsider </w:t>
      </w:r>
      <w:r w:rsidR="006A311C">
        <w:t xml:space="preserve">and support </w:t>
      </w:r>
      <w:r w:rsidR="006C6267">
        <w:t>the activities identified in these strategies and programs to ensure there is consistent implementation.</w:t>
      </w:r>
    </w:p>
    <w:p w14:paraId="15DD4122" w14:textId="77777777" w:rsidR="009E7163" w:rsidRDefault="009E7163" w:rsidP="009E7163">
      <w:pPr>
        <w:pStyle w:val="Heading3"/>
      </w:pPr>
      <w:r>
        <w:t>Partners</w:t>
      </w:r>
      <w:bookmarkEnd w:id="3"/>
    </w:p>
    <w:p w14:paraId="641877E3" w14:textId="77777777" w:rsidR="009E7163" w:rsidRDefault="009E7163" w:rsidP="005540AB">
      <w:pPr>
        <w:spacing w:after="240" w:line="312" w:lineRule="auto"/>
      </w:pPr>
      <w:r>
        <w:t xml:space="preserve">The NBA will consider </w:t>
      </w:r>
      <w:proofErr w:type="gramStart"/>
      <w:r>
        <w:t>a number of</w:t>
      </w:r>
      <w:proofErr w:type="gramEnd"/>
      <w:r>
        <w:t xml:space="preserve"> stakeholders in the health sector as partners in delivering efficiencies in the supply chain, including the Australian &amp; New Zealand Society of Blood Transfusions Ltd (ANZSBT), suppliers and distributors, public and private health service organisations, health providers and general practitioners. </w:t>
      </w:r>
    </w:p>
    <w:p w14:paraId="19BC24B2" w14:textId="77777777" w:rsidR="009E7163" w:rsidRDefault="009E7163" w:rsidP="005540AB">
      <w:pPr>
        <w:spacing w:after="240" w:line="312" w:lineRule="auto"/>
      </w:pPr>
      <w:r>
        <w:t xml:space="preserve">More broadly, key partners could include: </w:t>
      </w:r>
    </w:p>
    <w:p w14:paraId="61D88359" w14:textId="77777777" w:rsidR="009E7163" w:rsidRDefault="009E7163" w:rsidP="00D85F77">
      <w:pPr>
        <w:pStyle w:val="ListParagraph"/>
        <w:numPr>
          <w:ilvl w:val="0"/>
          <w:numId w:val="14"/>
        </w:numPr>
        <w:spacing w:before="60"/>
        <w:ind w:left="714" w:hanging="357"/>
      </w:pPr>
      <w:r>
        <w:t xml:space="preserve">those who assist people in learning more about blood </w:t>
      </w:r>
      <w:proofErr w:type="gramStart"/>
      <w:r>
        <w:t>management</w:t>
      </w:r>
      <w:r w:rsidR="006C6267">
        <w:t>;</w:t>
      </w:r>
      <w:proofErr w:type="gramEnd"/>
    </w:p>
    <w:p w14:paraId="4A33E07F" w14:textId="77777777" w:rsidR="009E7163" w:rsidRDefault="009E7163" w:rsidP="00D85F77">
      <w:pPr>
        <w:pStyle w:val="ListParagraph"/>
        <w:numPr>
          <w:ilvl w:val="0"/>
          <w:numId w:val="14"/>
        </w:numPr>
        <w:spacing w:before="60"/>
        <w:ind w:left="714" w:hanging="357"/>
      </w:pPr>
      <w:r>
        <w:t xml:space="preserve">those who handle blood and blood </w:t>
      </w:r>
      <w:proofErr w:type="gramStart"/>
      <w:r>
        <w:t>products</w:t>
      </w:r>
      <w:r w:rsidR="006C6267">
        <w:t>;</w:t>
      </w:r>
      <w:proofErr w:type="gramEnd"/>
    </w:p>
    <w:p w14:paraId="433848F2" w14:textId="77777777" w:rsidR="009E7163" w:rsidRDefault="009E7163" w:rsidP="00D85F77">
      <w:pPr>
        <w:pStyle w:val="ListParagraph"/>
        <w:numPr>
          <w:ilvl w:val="0"/>
          <w:numId w:val="14"/>
        </w:numPr>
        <w:spacing w:before="60"/>
        <w:ind w:left="714" w:hanging="357"/>
      </w:pPr>
      <w:r>
        <w:t xml:space="preserve">those who provide health services (public and private) for people who may need blood and blood </w:t>
      </w:r>
      <w:proofErr w:type="gramStart"/>
      <w:r>
        <w:t>products</w:t>
      </w:r>
      <w:r w:rsidR="006C6267">
        <w:t>;</w:t>
      </w:r>
      <w:proofErr w:type="gramEnd"/>
    </w:p>
    <w:p w14:paraId="61533977" w14:textId="77777777" w:rsidR="009E7163" w:rsidRDefault="009E7163" w:rsidP="00D85F77">
      <w:pPr>
        <w:pStyle w:val="ListParagraph"/>
        <w:numPr>
          <w:ilvl w:val="0"/>
          <w:numId w:val="14"/>
        </w:numPr>
        <w:spacing w:before="60"/>
        <w:ind w:left="714" w:hanging="357"/>
      </w:pPr>
      <w:r>
        <w:t xml:space="preserve">those who prescribe blood and blood </w:t>
      </w:r>
      <w:proofErr w:type="gramStart"/>
      <w:r>
        <w:t>products</w:t>
      </w:r>
      <w:r w:rsidR="006C6267">
        <w:t>;</w:t>
      </w:r>
      <w:proofErr w:type="gramEnd"/>
    </w:p>
    <w:p w14:paraId="50D063FE" w14:textId="77777777" w:rsidR="009E7163" w:rsidRDefault="009E7163" w:rsidP="00D85F77">
      <w:pPr>
        <w:pStyle w:val="ListParagraph"/>
        <w:numPr>
          <w:ilvl w:val="0"/>
          <w:numId w:val="14"/>
        </w:numPr>
        <w:spacing w:before="60"/>
        <w:ind w:left="714" w:hanging="357"/>
      </w:pPr>
      <w:r>
        <w:t xml:space="preserve">those who produce, report and publish information about blood and blood </w:t>
      </w:r>
      <w:proofErr w:type="gramStart"/>
      <w:r>
        <w:t>products</w:t>
      </w:r>
      <w:r w:rsidR="006C6267">
        <w:t>;</w:t>
      </w:r>
      <w:proofErr w:type="gramEnd"/>
    </w:p>
    <w:p w14:paraId="6598F857" w14:textId="77777777" w:rsidR="009E7163" w:rsidRDefault="009E7163" w:rsidP="00D85F77">
      <w:pPr>
        <w:pStyle w:val="ListParagraph"/>
        <w:numPr>
          <w:ilvl w:val="0"/>
          <w:numId w:val="14"/>
        </w:numPr>
        <w:spacing w:before="60"/>
        <w:ind w:left="714" w:hanging="357"/>
      </w:pPr>
      <w:r>
        <w:t xml:space="preserve">those who manufacture, </w:t>
      </w:r>
      <w:proofErr w:type="gramStart"/>
      <w:r>
        <w:t>market</w:t>
      </w:r>
      <w:proofErr w:type="gramEnd"/>
      <w:r>
        <w:t xml:space="preserve"> and distribute blood and blood products</w:t>
      </w:r>
      <w:r w:rsidR="006C6267">
        <w:t>; and</w:t>
      </w:r>
    </w:p>
    <w:p w14:paraId="387BFF1E" w14:textId="77777777" w:rsidR="009E7163" w:rsidRDefault="009E7163" w:rsidP="00D85F77">
      <w:pPr>
        <w:pStyle w:val="ListParagraph"/>
        <w:numPr>
          <w:ilvl w:val="0"/>
          <w:numId w:val="14"/>
        </w:numPr>
        <w:spacing w:before="60" w:line="276" w:lineRule="auto"/>
        <w:ind w:left="714" w:hanging="357"/>
      </w:pPr>
      <w:r>
        <w:t>local, state/territory and federal governments</w:t>
      </w:r>
      <w:r w:rsidR="006C6267">
        <w:t>.</w:t>
      </w:r>
      <w:r>
        <w:br w:type="page"/>
      </w:r>
    </w:p>
    <w:p w14:paraId="07F6EFC1" w14:textId="77777777" w:rsidR="003335D3" w:rsidRPr="00270DA6" w:rsidRDefault="00F747F1" w:rsidP="00270DA6">
      <w:pPr>
        <w:pStyle w:val="Heading1"/>
      </w:pPr>
      <w:bookmarkStart w:id="4" w:name="_Toc498963430"/>
      <w:r w:rsidRPr="00270DA6">
        <w:lastRenderedPageBreak/>
        <w:t xml:space="preserve">Current </w:t>
      </w:r>
      <w:r w:rsidR="00AD4DA2" w:rsidRPr="00270DA6">
        <w:t>p</w:t>
      </w:r>
      <w:r w:rsidRPr="00270DA6">
        <w:t>osition</w:t>
      </w:r>
      <w:bookmarkEnd w:id="4"/>
    </w:p>
    <w:p w14:paraId="27586807" w14:textId="77777777" w:rsidR="00B27B42" w:rsidRPr="00115937" w:rsidRDefault="004951DD" w:rsidP="004951DD">
      <w:pPr>
        <w:spacing w:after="240" w:line="312" w:lineRule="auto"/>
      </w:pPr>
      <w:r>
        <w:t>T</w:t>
      </w:r>
      <w:r w:rsidR="00B27B42" w:rsidRPr="00B1068A">
        <w:t xml:space="preserve">he implementation of the </w:t>
      </w:r>
      <w:r w:rsidR="00B27B42" w:rsidRPr="004951DD">
        <w:rPr>
          <w:i/>
        </w:rPr>
        <w:t>National Blood and Blood Product Wastage Reduction Strategy 2013-2017</w:t>
      </w:r>
      <w:r w:rsidR="00B27B42" w:rsidRPr="004951DD">
        <w:t xml:space="preserve"> (</w:t>
      </w:r>
      <w:r w:rsidR="00B27B42" w:rsidRPr="00B1068A">
        <w:t>2013-17 Strategy)</w:t>
      </w:r>
      <w:r w:rsidR="00B732C8" w:rsidRPr="00B1068A">
        <w:t xml:space="preserve">; </w:t>
      </w:r>
      <w:r w:rsidR="003F5A64" w:rsidRPr="00B1068A">
        <w:t xml:space="preserve">fresh blood product discard </w:t>
      </w:r>
      <w:r w:rsidR="00B1068A">
        <w:t xml:space="preserve">rate </w:t>
      </w:r>
      <w:r w:rsidR="003F5A64" w:rsidRPr="00B1068A">
        <w:t>targets</w:t>
      </w:r>
      <w:r w:rsidR="00B1068A">
        <w:t>;</w:t>
      </w:r>
      <w:r w:rsidR="003F5A64" w:rsidRPr="00B1068A">
        <w:t xml:space="preserve"> </w:t>
      </w:r>
      <w:r w:rsidR="00B27B42" w:rsidRPr="00B1068A">
        <w:t xml:space="preserve">and the Fate module in </w:t>
      </w:r>
      <w:proofErr w:type="spellStart"/>
      <w:r w:rsidR="00B27B42" w:rsidRPr="00B1068A">
        <w:t>BloodNet</w:t>
      </w:r>
      <w:proofErr w:type="spellEnd"/>
      <w:r w:rsidR="00B27B42" w:rsidRPr="00B1068A">
        <w:t xml:space="preserve"> (the national online ordering and inventory management system operated by the </w:t>
      </w:r>
      <w:r w:rsidR="006718F5">
        <w:t>NBA</w:t>
      </w:r>
      <w:r w:rsidR="00B27B42" w:rsidRPr="00B1068A">
        <w:t>)</w:t>
      </w:r>
      <w:r w:rsidR="003F5A64" w:rsidRPr="00B1068A">
        <w:t xml:space="preserve">, </w:t>
      </w:r>
      <w:r>
        <w:t>have successfully saved governments over $28 million as highlighted in Table 1.</w:t>
      </w:r>
    </w:p>
    <w:p w14:paraId="059B8EC4" w14:textId="610C2483" w:rsidR="00B732C8" w:rsidRPr="0027116E" w:rsidRDefault="00B732C8" w:rsidP="004951DD">
      <w:pPr>
        <w:spacing w:after="240" w:line="312" w:lineRule="auto"/>
      </w:pPr>
      <w:r w:rsidRPr="0027116E">
        <w:t xml:space="preserve">Implementation of the Fate module in </w:t>
      </w:r>
      <w:proofErr w:type="spellStart"/>
      <w:r w:rsidRPr="0027116E">
        <w:t>BloodNet</w:t>
      </w:r>
      <w:proofErr w:type="spellEnd"/>
      <w:r w:rsidRPr="0027116E">
        <w:t xml:space="preserve"> </w:t>
      </w:r>
      <w:r w:rsidR="0027116E" w:rsidRPr="0027116E">
        <w:t>in 20</w:t>
      </w:r>
      <w:r w:rsidR="00817ACF">
        <w:t>16-17</w:t>
      </w:r>
      <w:r w:rsidRPr="0027116E">
        <w:t xml:space="preserve"> covers approximately </w:t>
      </w:r>
      <w:r w:rsidR="0027116E" w:rsidRPr="0027116E">
        <w:t>99</w:t>
      </w:r>
      <w:r w:rsidRPr="0027116E">
        <w:t xml:space="preserve">% of national </w:t>
      </w:r>
      <w:r w:rsidR="00C71644">
        <w:t xml:space="preserve">fresh blood product </w:t>
      </w:r>
      <w:r w:rsidRPr="0027116E">
        <w:t>issues.</w:t>
      </w:r>
    </w:p>
    <w:p w14:paraId="3BC0ADD9" w14:textId="77777777" w:rsidR="0027116E" w:rsidRPr="0027116E" w:rsidRDefault="0027116E" w:rsidP="0027116E">
      <w:pPr>
        <w:spacing w:after="0"/>
      </w:pPr>
      <w:r w:rsidRPr="0027116E">
        <w:t xml:space="preserve">Table 1: Savings achieved with introduction of wastage reduction strategy 2012-13 to 2016-17 </w:t>
      </w:r>
    </w:p>
    <w:tbl>
      <w:tblPr>
        <w:tblStyle w:val="TableGrid"/>
        <w:tblW w:w="0" w:type="auto"/>
        <w:tblLook w:val="04A0" w:firstRow="1" w:lastRow="0" w:firstColumn="1" w:lastColumn="0" w:noHBand="0" w:noVBand="1"/>
      </w:tblPr>
      <w:tblGrid>
        <w:gridCol w:w="1845"/>
        <w:gridCol w:w="1444"/>
        <w:gridCol w:w="1447"/>
        <w:gridCol w:w="829"/>
        <w:gridCol w:w="1615"/>
        <w:gridCol w:w="2029"/>
      </w:tblGrid>
      <w:tr w:rsidR="0027116E" w:rsidRPr="0027116E" w14:paraId="2851A195" w14:textId="77777777" w:rsidTr="00023302">
        <w:tc>
          <w:tcPr>
            <w:tcW w:w="19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1282E"/>
          </w:tcPr>
          <w:p w14:paraId="69DA43F5" w14:textId="77777777" w:rsidR="0027116E" w:rsidRPr="00023302" w:rsidRDefault="0027116E" w:rsidP="0027116E">
            <w:pPr>
              <w:spacing w:after="0"/>
              <w:rPr>
                <w:color w:val="FFFFFF" w:themeColor="background1"/>
              </w:rPr>
            </w:pPr>
            <w:r w:rsidRPr="00023302">
              <w:rPr>
                <w:b/>
                <w:bCs/>
                <w:color w:val="FFFFFF" w:themeColor="background1"/>
              </w:rPr>
              <w:t>Financial Year</w:t>
            </w:r>
          </w:p>
        </w:tc>
        <w:tc>
          <w:tcPr>
            <w:tcW w:w="14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1282E"/>
          </w:tcPr>
          <w:p w14:paraId="756DFDF2" w14:textId="77777777" w:rsidR="0027116E" w:rsidRPr="00023302" w:rsidRDefault="0027116E" w:rsidP="0027116E">
            <w:pPr>
              <w:spacing w:after="0"/>
              <w:jc w:val="right"/>
              <w:rPr>
                <w:color w:val="FFFFFF" w:themeColor="background1"/>
              </w:rPr>
            </w:pPr>
            <w:r w:rsidRPr="00023302">
              <w:rPr>
                <w:b/>
                <w:bCs/>
                <w:color w:val="FFFFFF" w:themeColor="background1"/>
              </w:rPr>
              <w:t>NET Units Issued</w:t>
            </w:r>
          </w:p>
        </w:tc>
        <w:tc>
          <w:tcPr>
            <w:tcW w:w="1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1282E"/>
          </w:tcPr>
          <w:p w14:paraId="17B414FE" w14:textId="77777777" w:rsidR="0027116E" w:rsidRPr="00023302" w:rsidRDefault="0027116E" w:rsidP="0027116E">
            <w:pPr>
              <w:spacing w:after="0"/>
              <w:jc w:val="right"/>
              <w:rPr>
                <w:color w:val="FFFFFF" w:themeColor="background1"/>
              </w:rPr>
            </w:pPr>
            <w:r w:rsidRPr="00023302">
              <w:rPr>
                <w:b/>
                <w:bCs/>
                <w:color w:val="FFFFFF" w:themeColor="background1"/>
              </w:rPr>
              <w:t>Units Discarded</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1282E"/>
          </w:tcPr>
          <w:p w14:paraId="72961349" w14:textId="77777777" w:rsidR="0027116E" w:rsidRPr="00023302" w:rsidRDefault="0027116E" w:rsidP="0027116E">
            <w:pPr>
              <w:spacing w:after="0"/>
              <w:jc w:val="right"/>
              <w:rPr>
                <w:color w:val="FFFFFF" w:themeColor="background1"/>
              </w:rPr>
            </w:pPr>
            <w:r w:rsidRPr="00023302">
              <w:rPr>
                <w:b/>
                <w:bCs/>
                <w:color w:val="FFFFFF" w:themeColor="background1"/>
              </w:rPr>
              <w:t>DAPI</w:t>
            </w:r>
          </w:p>
        </w:tc>
        <w:tc>
          <w:tcPr>
            <w:tcW w:w="16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1282E"/>
          </w:tcPr>
          <w:p w14:paraId="026ECE82" w14:textId="77777777" w:rsidR="0027116E" w:rsidRPr="00023302" w:rsidRDefault="0027116E" w:rsidP="0027116E">
            <w:pPr>
              <w:spacing w:after="0"/>
              <w:jc w:val="right"/>
              <w:rPr>
                <w:color w:val="FFFFFF" w:themeColor="background1"/>
              </w:rPr>
            </w:pPr>
            <w:r w:rsidRPr="00023302">
              <w:rPr>
                <w:b/>
                <w:bCs/>
                <w:color w:val="FFFFFF" w:themeColor="background1"/>
              </w:rPr>
              <w:t>Discard Cost</w:t>
            </w:r>
          </w:p>
        </w:tc>
        <w:tc>
          <w:tcPr>
            <w:tcW w:w="2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1282E"/>
          </w:tcPr>
          <w:p w14:paraId="6FF515C9" w14:textId="77777777" w:rsidR="0027116E" w:rsidRPr="00023302" w:rsidRDefault="0027116E" w:rsidP="0027116E">
            <w:pPr>
              <w:spacing w:after="0"/>
              <w:jc w:val="right"/>
              <w:rPr>
                <w:color w:val="FFFFFF" w:themeColor="background1"/>
              </w:rPr>
            </w:pPr>
            <w:r w:rsidRPr="00023302">
              <w:rPr>
                <w:b/>
                <w:bCs/>
                <w:color w:val="FFFFFF" w:themeColor="background1"/>
              </w:rPr>
              <w:t>Savings compared to 2012-13 FY</w:t>
            </w:r>
          </w:p>
        </w:tc>
      </w:tr>
      <w:tr w:rsidR="0027116E" w:rsidRPr="0027116E" w14:paraId="4B1A3F51" w14:textId="77777777" w:rsidTr="00837425">
        <w:tc>
          <w:tcPr>
            <w:tcW w:w="19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B08859" w14:textId="77777777" w:rsidR="0027116E" w:rsidRPr="0027116E" w:rsidRDefault="0027116E" w:rsidP="0027116E">
            <w:pPr>
              <w:spacing w:after="0"/>
            </w:pPr>
            <w:r w:rsidRPr="0027116E">
              <w:t>2012-13</w:t>
            </w:r>
          </w:p>
        </w:tc>
        <w:tc>
          <w:tcPr>
            <w:tcW w:w="14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6BB984" w14:textId="77777777" w:rsidR="0027116E" w:rsidRPr="0027116E" w:rsidRDefault="0027116E" w:rsidP="0027116E">
            <w:pPr>
              <w:spacing w:after="0"/>
              <w:jc w:val="right"/>
            </w:pPr>
            <w:r w:rsidRPr="0027116E">
              <w:t>1,153,907</w:t>
            </w:r>
          </w:p>
        </w:tc>
        <w:tc>
          <w:tcPr>
            <w:tcW w:w="1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B8C81C" w14:textId="77777777" w:rsidR="0027116E" w:rsidRPr="0027116E" w:rsidRDefault="0027116E" w:rsidP="0027116E">
            <w:pPr>
              <w:spacing w:after="0"/>
              <w:jc w:val="right"/>
            </w:pPr>
            <w:r w:rsidRPr="0027116E">
              <w:t>83,937</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E194C4" w14:textId="77777777" w:rsidR="0027116E" w:rsidRPr="0027116E" w:rsidRDefault="0027116E" w:rsidP="0027116E">
            <w:pPr>
              <w:spacing w:after="0"/>
              <w:jc w:val="right"/>
            </w:pPr>
            <w:r w:rsidRPr="0027116E">
              <w:t>7.3%</w:t>
            </w:r>
          </w:p>
        </w:tc>
        <w:tc>
          <w:tcPr>
            <w:tcW w:w="16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14FEB2" w14:textId="77777777" w:rsidR="0027116E" w:rsidRPr="0027116E" w:rsidRDefault="0027116E" w:rsidP="0027116E">
            <w:pPr>
              <w:spacing w:after="0"/>
              <w:jc w:val="right"/>
            </w:pPr>
            <w:r w:rsidRPr="0027116E">
              <w:t>$28,161,793</w:t>
            </w:r>
          </w:p>
        </w:tc>
        <w:tc>
          <w:tcPr>
            <w:tcW w:w="2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7BA949" w14:textId="77777777" w:rsidR="0027116E" w:rsidRPr="0027116E" w:rsidRDefault="0027116E" w:rsidP="0027116E">
            <w:pPr>
              <w:spacing w:after="0"/>
              <w:jc w:val="right"/>
            </w:pPr>
            <w:r w:rsidRPr="0027116E">
              <w:t> </w:t>
            </w:r>
          </w:p>
        </w:tc>
      </w:tr>
      <w:tr w:rsidR="0027116E" w:rsidRPr="0027116E" w14:paraId="75BE5492" w14:textId="77777777" w:rsidTr="00837425">
        <w:tc>
          <w:tcPr>
            <w:tcW w:w="19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FBF28C" w14:textId="77777777" w:rsidR="0027116E" w:rsidRPr="0027116E" w:rsidRDefault="0027116E" w:rsidP="0027116E">
            <w:pPr>
              <w:spacing w:after="0"/>
            </w:pPr>
            <w:r w:rsidRPr="0027116E">
              <w:t>2013-14</w:t>
            </w:r>
          </w:p>
        </w:tc>
        <w:tc>
          <w:tcPr>
            <w:tcW w:w="14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94C2D3" w14:textId="77777777" w:rsidR="0027116E" w:rsidRPr="0027116E" w:rsidRDefault="0027116E" w:rsidP="0027116E">
            <w:pPr>
              <w:spacing w:after="0"/>
              <w:jc w:val="right"/>
            </w:pPr>
            <w:r w:rsidRPr="0027116E">
              <w:t>1,067,001</w:t>
            </w:r>
          </w:p>
        </w:tc>
        <w:tc>
          <w:tcPr>
            <w:tcW w:w="1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02C396" w14:textId="77777777" w:rsidR="0027116E" w:rsidRPr="0027116E" w:rsidRDefault="0027116E" w:rsidP="0027116E">
            <w:pPr>
              <w:spacing w:after="0"/>
              <w:jc w:val="right"/>
            </w:pPr>
            <w:r w:rsidRPr="0027116E">
              <w:t>83,768</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7162E67" w14:textId="77777777" w:rsidR="0027116E" w:rsidRPr="0027116E" w:rsidRDefault="0027116E" w:rsidP="0027116E">
            <w:pPr>
              <w:spacing w:after="0"/>
              <w:jc w:val="right"/>
            </w:pPr>
            <w:r w:rsidRPr="0027116E">
              <w:t>7.9%</w:t>
            </w:r>
          </w:p>
        </w:tc>
        <w:tc>
          <w:tcPr>
            <w:tcW w:w="16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FF083F" w14:textId="77777777" w:rsidR="0027116E" w:rsidRPr="0027116E" w:rsidRDefault="0027116E" w:rsidP="0027116E">
            <w:pPr>
              <w:spacing w:after="0"/>
              <w:jc w:val="right"/>
            </w:pPr>
            <w:r w:rsidRPr="0027116E">
              <w:t>$26,191,588</w:t>
            </w:r>
          </w:p>
        </w:tc>
        <w:tc>
          <w:tcPr>
            <w:tcW w:w="2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EC4922" w14:textId="77777777" w:rsidR="0027116E" w:rsidRPr="0027116E" w:rsidRDefault="0027116E" w:rsidP="0027116E">
            <w:pPr>
              <w:spacing w:after="0"/>
              <w:jc w:val="right"/>
            </w:pPr>
            <w:r w:rsidRPr="0027116E">
              <w:t>$1,970,205</w:t>
            </w:r>
          </w:p>
        </w:tc>
      </w:tr>
      <w:tr w:rsidR="0027116E" w:rsidRPr="0027116E" w14:paraId="448E17F2" w14:textId="77777777" w:rsidTr="00837425">
        <w:tc>
          <w:tcPr>
            <w:tcW w:w="19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BF6039" w14:textId="77777777" w:rsidR="0027116E" w:rsidRPr="0027116E" w:rsidRDefault="0027116E" w:rsidP="0027116E">
            <w:pPr>
              <w:spacing w:after="0"/>
            </w:pPr>
            <w:r w:rsidRPr="0027116E">
              <w:t>2014-15</w:t>
            </w:r>
          </w:p>
        </w:tc>
        <w:tc>
          <w:tcPr>
            <w:tcW w:w="14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DB35DC" w14:textId="77777777" w:rsidR="0027116E" w:rsidRPr="0027116E" w:rsidRDefault="0027116E" w:rsidP="0027116E">
            <w:pPr>
              <w:spacing w:after="0"/>
              <w:jc w:val="right"/>
            </w:pPr>
            <w:r w:rsidRPr="0027116E">
              <w:t>1,025,545</w:t>
            </w:r>
          </w:p>
        </w:tc>
        <w:tc>
          <w:tcPr>
            <w:tcW w:w="1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AE19E2" w14:textId="77777777" w:rsidR="0027116E" w:rsidRPr="0027116E" w:rsidRDefault="0027116E" w:rsidP="0027116E">
            <w:pPr>
              <w:spacing w:after="0"/>
              <w:jc w:val="right"/>
            </w:pPr>
            <w:r w:rsidRPr="0027116E">
              <w:t>69,990</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23A83B" w14:textId="77777777" w:rsidR="0027116E" w:rsidRPr="0027116E" w:rsidRDefault="0027116E" w:rsidP="0027116E">
            <w:pPr>
              <w:spacing w:after="0"/>
              <w:jc w:val="right"/>
            </w:pPr>
            <w:r w:rsidRPr="0027116E">
              <w:t>6.8%</w:t>
            </w:r>
          </w:p>
        </w:tc>
        <w:tc>
          <w:tcPr>
            <w:tcW w:w="16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F98A99" w14:textId="77777777" w:rsidR="0027116E" w:rsidRPr="0027116E" w:rsidRDefault="0027116E" w:rsidP="0027116E">
            <w:pPr>
              <w:spacing w:after="0"/>
              <w:jc w:val="right"/>
            </w:pPr>
            <w:r w:rsidRPr="0027116E">
              <w:t>$22,060,486</w:t>
            </w:r>
          </w:p>
        </w:tc>
        <w:tc>
          <w:tcPr>
            <w:tcW w:w="2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546B4AD" w14:textId="77777777" w:rsidR="0027116E" w:rsidRPr="0027116E" w:rsidRDefault="0027116E" w:rsidP="0027116E">
            <w:pPr>
              <w:spacing w:after="0"/>
              <w:jc w:val="right"/>
            </w:pPr>
            <w:r w:rsidRPr="0027116E">
              <w:t>$6,101,307</w:t>
            </w:r>
          </w:p>
        </w:tc>
      </w:tr>
      <w:tr w:rsidR="0027116E" w:rsidRPr="0027116E" w14:paraId="1A33CB4A" w14:textId="77777777" w:rsidTr="00837425">
        <w:tc>
          <w:tcPr>
            <w:tcW w:w="19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3977EE" w14:textId="77777777" w:rsidR="0027116E" w:rsidRPr="0027116E" w:rsidRDefault="0027116E" w:rsidP="0027116E">
            <w:pPr>
              <w:spacing w:after="0"/>
            </w:pPr>
            <w:r w:rsidRPr="0027116E">
              <w:t xml:space="preserve">2015-16 </w:t>
            </w:r>
          </w:p>
        </w:tc>
        <w:tc>
          <w:tcPr>
            <w:tcW w:w="14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BAB736" w14:textId="77777777" w:rsidR="0027116E" w:rsidRPr="0027116E" w:rsidRDefault="0027116E" w:rsidP="0027116E">
            <w:pPr>
              <w:spacing w:after="0"/>
              <w:jc w:val="right"/>
            </w:pPr>
            <w:r w:rsidRPr="0027116E">
              <w:t>995,131</w:t>
            </w:r>
          </w:p>
        </w:tc>
        <w:tc>
          <w:tcPr>
            <w:tcW w:w="1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134C9C" w14:textId="77777777" w:rsidR="0027116E" w:rsidRPr="0027116E" w:rsidRDefault="0027116E" w:rsidP="0027116E">
            <w:pPr>
              <w:spacing w:after="0"/>
              <w:jc w:val="right"/>
            </w:pPr>
            <w:r w:rsidRPr="0027116E">
              <w:t>57,822</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6EED24" w14:textId="77777777" w:rsidR="0027116E" w:rsidRPr="0027116E" w:rsidRDefault="0027116E" w:rsidP="0027116E">
            <w:pPr>
              <w:spacing w:after="0"/>
              <w:jc w:val="right"/>
            </w:pPr>
            <w:r w:rsidRPr="0027116E">
              <w:t>5.8%</w:t>
            </w:r>
          </w:p>
        </w:tc>
        <w:tc>
          <w:tcPr>
            <w:tcW w:w="16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8C4A47" w14:textId="77777777" w:rsidR="0027116E" w:rsidRPr="0027116E" w:rsidRDefault="0027116E" w:rsidP="0027116E">
            <w:pPr>
              <w:spacing w:after="0"/>
              <w:jc w:val="right"/>
            </w:pPr>
            <w:r w:rsidRPr="0027116E">
              <w:t>$19,816,715</w:t>
            </w:r>
          </w:p>
        </w:tc>
        <w:tc>
          <w:tcPr>
            <w:tcW w:w="2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0A7B94" w14:textId="77777777" w:rsidR="0027116E" w:rsidRPr="0027116E" w:rsidRDefault="0027116E" w:rsidP="0027116E">
            <w:pPr>
              <w:spacing w:after="0"/>
              <w:jc w:val="right"/>
            </w:pPr>
            <w:r w:rsidRPr="0027116E">
              <w:t>$8,345,078</w:t>
            </w:r>
          </w:p>
        </w:tc>
      </w:tr>
      <w:tr w:rsidR="0027116E" w:rsidRPr="0027116E" w14:paraId="02EE6BE7" w14:textId="77777777" w:rsidTr="00837425">
        <w:tc>
          <w:tcPr>
            <w:tcW w:w="19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0A8649" w14:textId="77777777" w:rsidR="0027116E" w:rsidRPr="0027116E" w:rsidRDefault="0027116E" w:rsidP="0027116E">
            <w:pPr>
              <w:spacing w:after="0"/>
            </w:pPr>
            <w:r w:rsidRPr="0027116E">
              <w:t>2016-17</w:t>
            </w:r>
          </w:p>
        </w:tc>
        <w:tc>
          <w:tcPr>
            <w:tcW w:w="14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CE8565" w14:textId="77777777" w:rsidR="0027116E" w:rsidRPr="0027116E" w:rsidRDefault="0027116E" w:rsidP="0027116E">
            <w:pPr>
              <w:spacing w:after="0"/>
              <w:jc w:val="right"/>
            </w:pPr>
            <w:r w:rsidRPr="0027116E">
              <w:t>973,786</w:t>
            </w:r>
          </w:p>
        </w:tc>
        <w:tc>
          <w:tcPr>
            <w:tcW w:w="1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E05C98" w14:textId="77777777" w:rsidR="0027116E" w:rsidRPr="0027116E" w:rsidRDefault="0027116E" w:rsidP="0027116E">
            <w:pPr>
              <w:spacing w:after="0"/>
              <w:jc w:val="right"/>
            </w:pPr>
            <w:r w:rsidRPr="0027116E">
              <w:t>52,414</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4CF216" w14:textId="77777777" w:rsidR="0027116E" w:rsidRPr="0027116E" w:rsidRDefault="0027116E" w:rsidP="0027116E">
            <w:pPr>
              <w:spacing w:after="0"/>
              <w:jc w:val="right"/>
            </w:pPr>
            <w:r w:rsidRPr="0027116E">
              <w:t>5.4%</w:t>
            </w:r>
          </w:p>
        </w:tc>
        <w:tc>
          <w:tcPr>
            <w:tcW w:w="16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EFF8AE" w14:textId="77777777" w:rsidR="0027116E" w:rsidRPr="0027116E" w:rsidRDefault="0027116E" w:rsidP="0027116E">
            <w:pPr>
              <w:spacing w:after="0"/>
              <w:jc w:val="right"/>
            </w:pPr>
            <w:r w:rsidRPr="0027116E">
              <w:t>$16,201,500</w:t>
            </w:r>
          </w:p>
        </w:tc>
        <w:tc>
          <w:tcPr>
            <w:tcW w:w="2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23F803" w14:textId="77777777" w:rsidR="0027116E" w:rsidRPr="0027116E" w:rsidRDefault="0027116E" w:rsidP="0027116E">
            <w:pPr>
              <w:spacing w:after="0"/>
              <w:jc w:val="right"/>
            </w:pPr>
            <w:r w:rsidRPr="0027116E">
              <w:t>$11,960,293</w:t>
            </w:r>
          </w:p>
        </w:tc>
      </w:tr>
      <w:tr w:rsidR="0027116E" w:rsidRPr="0027116E" w14:paraId="2E925E1C" w14:textId="77777777" w:rsidTr="0027116E">
        <w:trPr>
          <w:trHeight w:val="417"/>
        </w:trPr>
        <w:tc>
          <w:tcPr>
            <w:tcW w:w="7430"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0FAE241C" w14:textId="77777777" w:rsidR="0027116E" w:rsidRPr="0027116E" w:rsidRDefault="0027116E" w:rsidP="0027116E">
            <w:pPr>
              <w:spacing w:after="0"/>
              <w:jc w:val="right"/>
              <w:rPr>
                <w:b/>
              </w:rPr>
            </w:pPr>
            <w:r w:rsidRPr="0027116E">
              <w:rPr>
                <w:b/>
              </w:rPr>
              <w:t xml:space="preserve">Total </w:t>
            </w:r>
          </w:p>
        </w:tc>
        <w:tc>
          <w:tcPr>
            <w:tcW w:w="2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26ABF994" w14:textId="77777777" w:rsidR="0027116E" w:rsidRPr="0027116E" w:rsidRDefault="0027116E" w:rsidP="0027116E">
            <w:pPr>
              <w:spacing w:after="0"/>
              <w:jc w:val="right"/>
            </w:pPr>
            <w:r w:rsidRPr="0027116E">
              <w:rPr>
                <w:b/>
                <w:bCs/>
              </w:rPr>
              <w:t>$28,376,883</w:t>
            </w:r>
          </w:p>
        </w:tc>
      </w:tr>
    </w:tbl>
    <w:p w14:paraId="40312C9E" w14:textId="77777777" w:rsidR="00232707" w:rsidRDefault="00232707" w:rsidP="004C5C6A">
      <w:pPr>
        <w:spacing w:after="0"/>
      </w:pPr>
    </w:p>
    <w:p w14:paraId="39897813" w14:textId="29E19D84" w:rsidR="00C71644" w:rsidRDefault="00C71644" w:rsidP="004C5C6A">
      <w:pPr>
        <w:spacing w:after="0"/>
        <w:rPr>
          <w:rFonts w:ascii="Gill Sans MT" w:hAnsi="Gill Sans MT"/>
        </w:rPr>
      </w:pPr>
      <w:r>
        <w:rPr>
          <w:rFonts w:ascii="Gill Sans MT" w:hAnsi="Gill Sans MT"/>
        </w:rPr>
        <w:t>Red Blood Cell (RBC) n</w:t>
      </w:r>
      <w:r w:rsidRPr="00D334D3">
        <w:rPr>
          <w:rFonts w:ascii="Gill Sans MT" w:hAnsi="Gill Sans MT"/>
        </w:rPr>
        <w:t xml:space="preserve">ational discards as a percentage of issues (DAPI) </w:t>
      </w:r>
      <w:r>
        <w:rPr>
          <w:rFonts w:ascii="Gill Sans MT" w:hAnsi="Gill Sans MT"/>
        </w:rPr>
        <w:t>decreased from 5</w:t>
      </w:r>
      <w:r w:rsidR="006C6267">
        <w:rPr>
          <w:rFonts w:ascii="Gill Sans MT" w:hAnsi="Gill Sans MT"/>
        </w:rPr>
        <w:t>.0</w:t>
      </w:r>
      <w:r>
        <w:rPr>
          <w:rFonts w:ascii="Gill Sans MT" w:hAnsi="Gill Sans MT"/>
        </w:rPr>
        <w:t xml:space="preserve">% to </w:t>
      </w:r>
      <w:r w:rsidR="00817ACF">
        <w:rPr>
          <w:rFonts w:ascii="Gill Sans MT" w:hAnsi="Gill Sans MT"/>
        </w:rPr>
        <w:t>2.3</w:t>
      </w:r>
      <w:r>
        <w:rPr>
          <w:rFonts w:ascii="Gill Sans MT" w:hAnsi="Gill Sans MT"/>
        </w:rPr>
        <w:t>%.</w:t>
      </w:r>
    </w:p>
    <w:p w14:paraId="69D04019" w14:textId="77777777" w:rsidR="00C71644" w:rsidRDefault="00C71644" w:rsidP="004C5C6A">
      <w:pPr>
        <w:spacing w:after="0"/>
        <w:rPr>
          <w:rFonts w:ascii="Gill Sans MT" w:hAnsi="Gill Sans MT"/>
        </w:rPr>
      </w:pPr>
    </w:p>
    <w:p w14:paraId="7537FF0E" w14:textId="1537792B" w:rsidR="00C71644" w:rsidRDefault="00C71644" w:rsidP="004C5C6A">
      <w:pPr>
        <w:spacing w:after="0"/>
      </w:pPr>
      <w:r w:rsidRPr="00C71644">
        <w:rPr>
          <w:noProof/>
          <w:lang w:eastAsia="en-AU"/>
        </w:rPr>
        <w:drawing>
          <wp:inline distT="0" distB="0" distL="0" distR="0" wp14:anchorId="3105B054" wp14:editId="0C30112F">
            <wp:extent cx="5854065" cy="302449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54065" cy="3024495"/>
                    </a:xfrm>
                    <a:prstGeom prst="rect">
                      <a:avLst/>
                    </a:prstGeom>
                    <a:noFill/>
                    <a:ln>
                      <a:noFill/>
                    </a:ln>
                  </pic:spPr>
                </pic:pic>
              </a:graphicData>
            </a:graphic>
          </wp:inline>
        </w:drawing>
      </w:r>
    </w:p>
    <w:p w14:paraId="0040C595" w14:textId="79189D74" w:rsidR="00C71644" w:rsidRPr="0027116E" w:rsidRDefault="00C71644" w:rsidP="00C71644">
      <w:pPr>
        <w:spacing w:after="0"/>
      </w:pPr>
      <w:r>
        <w:t>Figure 1</w:t>
      </w:r>
      <w:r w:rsidRPr="0027116E">
        <w:t xml:space="preserve">: </w:t>
      </w:r>
      <w:r>
        <w:t>RBC DAPI from 2012-13 to 2016-17</w:t>
      </w:r>
      <w:r w:rsidRPr="0027116E">
        <w:t xml:space="preserve"> </w:t>
      </w:r>
    </w:p>
    <w:p w14:paraId="6AE98E36" w14:textId="77777777" w:rsidR="00817ACF" w:rsidRDefault="00817ACF" w:rsidP="00C71644">
      <w:pPr>
        <w:spacing w:after="240" w:line="312" w:lineRule="auto"/>
      </w:pPr>
    </w:p>
    <w:p w14:paraId="2AFF2F4B" w14:textId="5EF15227" w:rsidR="004226E3" w:rsidRDefault="004951DD" w:rsidP="00C71644">
      <w:pPr>
        <w:spacing w:after="240" w:line="312" w:lineRule="auto"/>
      </w:pPr>
      <w:r w:rsidRPr="004951DD">
        <w:t xml:space="preserve">While the </w:t>
      </w:r>
      <w:r w:rsidR="006C6267">
        <w:t xml:space="preserve">previous </w:t>
      </w:r>
      <w:r w:rsidRPr="004951DD">
        <w:t xml:space="preserve">Wastage Strategy has been successful, a certain level of discards of blood and blood products, particularly fresh products with short expiry dates </w:t>
      </w:r>
      <w:proofErr w:type="gramStart"/>
      <w:r w:rsidRPr="004951DD">
        <w:t>is</w:t>
      </w:r>
      <w:proofErr w:type="gramEnd"/>
      <w:r w:rsidRPr="004951DD">
        <w:t xml:space="preserve"> both inevitable and appropriate to ensure that products are available where and when they are clinically necessary.</w:t>
      </w:r>
      <w:r>
        <w:t xml:space="preserve"> </w:t>
      </w:r>
    </w:p>
    <w:p w14:paraId="3A8C563D" w14:textId="77777777" w:rsidR="000B0AB6" w:rsidRDefault="005C3802" w:rsidP="00270DA6">
      <w:pPr>
        <w:pStyle w:val="Heading1"/>
      </w:pPr>
      <w:bookmarkStart w:id="5" w:name="_Toc343260141"/>
      <w:bookmarkStart w:id="6" w:name="_Toc498963431"/>
      <w:r>
        <w:lastRenderedPageBreak/>
        <w:t>Supporting Activities</w:t>
      </w:r>
      <w:bookmarkEnd w:id="5"/>
      <w:bookmarkEnd w:id="6"/>
    </w:p>
    <w:p w14:paraId="34D5484A" w14:textId="3812A548" w:rsidR="000A34B7" w:rsidRDefault="00E16CE2" w:rsidP="008B2823">
      <w:pPr>
        <w:spacing w:after="240" w:line="312" w:lineRule="auto"/>
      </w:pPr>
      <w:r>
        <w:t>The N</w:t>
      </w:r>
      <w:r w:rsidR="006718F5">
        <w:t>BA</w:t>
      </w:r>
      <w:r>
        <w:t xml:space="preserve"> will continue to </w:t>
      </w:r>
      <w:r w:rsidR="00D4074F">
        <w:t xml:space="preserve">work collaboratively with all Australian governments and suppliers to improve the efficiency of the supply chain. </w:t>
      </w:r>
      <w:r w:rsidR="000A34B7">
        <w:t xml:space="preserve">The </w:t>
      </w:r>
      <w:r w:rsidR="000A34B7" w:rsidRPr="007345EB">
        <w:t xml:space="preserve">over-arching coordination of all strategic activities </w:t>
      </w:r>
      <w:r w:rsidR="000A34B7">
        <w:t xml:space="preserve">and development and adoption of national reference tools will be guided by the Jurisdictional Blood Committee (JBC), and through health provider engagement. </w:t>
      </w:r>
    </w:p>
    <w:p w14:paraId="75430876" w14:textId="77777777" w:rsidR="005C3802" w:rsidRDefault="005C3802" w:rsidP="008B2823">
      <w:pPr>
        <w:spacing w:after="240" w:line="312" w:lineRule="auto"/>
      </w:pPr>
      <w:r>
        <w:t xml:space="preserve">There are </w:t>
      </w:r>
      <w:proofErr w:type="gramStart"/>
      <w:r>
        <w:t>a number of</w:t>
      </w:r>
      <w:proofErr w:type="gramEnd"/>
      <w:r>
        <w:t xml:space="preserve"> existing activities that have been rolled over from the previous strategy that are underway at the national level that directly or indirectly, </w:t>
      </w:r>
      <w:r w:rsidR="00B47083">
        <w:t xml:space="preserve">impact </w:t>
      </w:r>
      <w:r w:rsidR="006718F5">
        <w:t xml:space="preserve">blood product management improvement in the </w:t>
      </w:r>
      <w:r>
        <w:t>supply chain</w:t>
      </w:r>
      <w:r w:rsidR="006718F5">
        <w:t>.</w:t>
      </w:r>
      <w:r>
        <w:t xml:space="preserve"> </w:t>
      </w:r>
      <w:r w:rsidRPr="00FD0DC2">
        <w:t>Activities under this strategy are intended to build</w:t>
      </w:r>
      <w:r>
        <w:t xml:space="preserve"> </w:t>
      </w:r>
      <w:r w:rsidRPr="00FD0DC2">
        <w:t xml:space="preserve">on or augment these existing initiatives. </w:t>
      </w:r>
    </w:p>
    <w:p w14:paraId="27A87EF2" w14:textId="77777777" w:rsidR="005C3802" w:rsidRDefault="005C3802" w:rsidP="008B2823">
      <w:pPr>
        <w:spacing w:after="240" w:line="312" w:lineRule="auto"/>
      </w:pPr>
      <w:r>
        <w:t xml:space="preserve">New and rolled over activities </w:t>
      </w:r>
      <w:r w:rsidR="000A34B7">
        <w:t>are</w:t>
      </w:r>
      <w:r>
        <w:t xml:space="preserve"> categorised into six key themes: </w:t>
      </w:r>
    </w:p>
    <w:p w14:paraId="061AC8EF" w14:textId="77777777" w:rsidR="006C6267" w:rsidRDefault="006C6267" w:rsidP="006C6267">
      <w:pPr>
        <w:pStyle w:val="ListParagraph"/>
        <w:numPr>
          <w:ilvl w:val="0"/>
          <w:numId w:val="16"/>
        </w:numPr>
        <w:spacing w:after="240" w:line="312" w:lineRule="auto"/>
      </w:pPr>
      <w:r>
        <w:t xml:space="preserve">Data and System </w:t>
      </w:r>
      <w:proofErr w:type="gramStart"/>
      <w:r>
        <w:t>Enhancements;</w:t>
      </w:r>
      <w:proofErr w:type="gramEnd"/>
      <w:r>
        <w:t xml:space="preserve"> </w:t>
      </w:r>
    </w:p>
    <w:p w14:paraId="4C9B2315" w14:textId="77777777" w:rsidR="005C3802" w:rsidRDefault="00F439D3" w:rsidP="008B2823">
      <w:pPr>
        <w:pStyle w:val="ListParagraph"/>
        <w:numPr>
          <w:ilvl w:val="0"/>
          <w:numId w:val="16"/>
        </w:numPr>
        <w:spacing w:after="240" w:line="312" w:lineRule="auto"/>
      </w:pPr>
      <w:r>
        <w:t>Guidelines</w:t>
      </w:r>
      <w:r w:rsidR="001D337C">
        <w:t xml:space="preserve"> and </w:t>
      </w:r>
      <w:proofErr w:type="gramStart"/>
      <w:r w:rsidR="001D337C">
        <w:t>Governance</w:t>
      </w:r>
      <w:r>
        <w:t>;</w:t>
      </w:r>
      <w:proofErr w:type="gramEnd"/>
    </w:p>
    <w:p w14:paraId="769DC78C" w14:textId="77777777" w:rsidR="005C3802" w:rsidRDefault="00F439D3" w:rsidP="008B2823">
      <w:pPr>
        <w:pStyle w:val="ListParagraph"/>
        <w:numPr>
          <w:ilvl w:val="0"/>
          <w:numId w:val="16"/>
        </w:numPr>
        <w:spacing w:after="240" w:line="312" w:lineRule="auto"/>
      </w:pPr>
      <w:r>
        <w:t xml:space="preserve">Tools and </w:t>
      </w:r>
      <w:proofErr w:type="gramStart"/>
      <w:r>
        <w:t>Resources;</w:t>
      </w:r>
      <w:proofErr w:type="gramEnd"/>
    </w:p>
    <w:p w14:paraId="1DFD4DC8" w14:textId="77777777" w:rsidR="005C3802" w:rsidRDefault="00F439D3" w:rsidP="008B2823">
      <w:pPr>
        <w:pStyle w:val="ListParagraph"/>
        <w:numPr>
          <w:ilvl w:val="0"/>
          <w:numId w:val="16"/>
        </w:numPr>
        <w:spacing w:after="240" w:line="312" w:lineRule="auto"/>
      </w:pPr>
      <w:r>
        <w:t xml:space="preserve">Education and </w:t>
      </w:r>
      <w:proofErr w:type="gramStart"/>
      <w:r>
        <w:t>Training;</w:t>
      </w:r>
      <w:proofErr w:type="gramEnd"/>
      <w:r w:rsidR="00C03385" w:rsidRPr="00C03385">
        <w:t xml:space="preserve"> </w:t>
      </w:r>
    </w:p>
    <w:p w14:paraId="199DB851" w14:textId="3E5B894F" w:rsidR="00894297" w:rsidRDefault="00C03385" w:rsidP="008B2823">
      <w:pPr>
        <w:pStyle w:val="ListParagraph"/>
        <w:numPr>
          <w:ilvl w:val="0"/>
          <w:numId w:val="16"/>
        </w:numPr>
        <w:spacing w:after="240" w:line="312" w:lineRule="auto"/>
      </w:pPr>
      <w:r>
        <w:t>Promotion and Communication</w:t>
      </w:r>
      <w:r w:rsidR="00894297">
        <w:t>; and</w:t>
      </w:r>
    </w:p>
    <w:p w14:paraId="52B4B9EA" w14:textId="77777777" w:rsidR="005C3802" w:rsidRDefault="00894297" w:rsidP="008B2823">
      <w:pPr>
        <w:pStyle w:val="ListParagraph"/>
        <w:numPr>
          <w:ilvl w:val="0"/>
          <w:numId w:val="16"/>
        </w:numPr>
        <w:spacing w:after="240" w:line="312" w:lineRule="auto"/>
      </w:pPr>
      <w:r>
        <w:t>Research and Development</w:t>
      </w:r>
      <w:r w:rsidR="00C03385">
        <w:t>.</w:t>
      </w:r>
      <w:r w:rsidR="006C6267" w:rsidRPr="006C6267">
        <w:t xml:space="preserve"> </w:t>
      </w:r>
    </w:p>
    <w:p w14:paraId="7A4D3293" w14:textId="77777777" w:rsidR="005C3802" w:rsidRDefault="005C3802" w:rsidP="008B2823">
      <w:pPr>
        <w:spacing w:after="240" w:line="312" w:lineRule="auto"/>
      </w:pPr>
      <w:r>
        <w:t xml:space="preserve">The strategies to implement </w:t>
      </w:r>
      <w:r w:rsidR="006718F5">
        <w:t>blood product management improvement</w:t>
      </w:r>
      <w:r w:rsidR="0087080A">
        <w:t>s</w:t>
      </w:r>
      <w:r w:rsidR="006718F5">
        <w:t xml:space="preserve"> in the supply chain </w:t>
      </w:r>
      <w:r w:rsidR="0087080A">
        <w:t xml:space="preserve">under </w:t>
      </w:r>
      <w:r>
        <w:t xml:space="preserve">each of these broad themes are described below. </w:t>
      </w:r>
    </w:p>
    <w:p w14:paraId="7E9A392B" w14:textId="77777777" w:rsidR="00D93FC7" w:rsidRDefault="00D93FC7" w:rsidP="00D93FC7">
      <w:pPr>
        <w:pStyle w:val="Heading2"/>
      </w:pPr>
      <w:bookmarkStart w:id="7" w:name="_Toc498963432"/>
      <w:bookmarkStart w:id="8" w:name="_Toc343001223"/>
      <w:bookmarkStart w:id="9" w:name="_Toc343260142"/>
      <w:r>
        <w:t>DATA AND SYSTEM ENHANCEMENTS</w:t>
      </w:r>
      <w:bookmarkEnd w:id="7"/>
    </w:p>
    <w:p w14:paraId="7D902BEA" w14:textId="58AF607B" w:rsidR="00D93FC7" w:rsidRDefault="00D93FC7" w:rsidP="00D93FC7">
      <w:pPr>
        <w:spacing w:after="240" w:line="312" w:lineRule="auto"/>
      </w:pPr>
      <w:r>
        <w:t xml:space="preserve">Reporting from </w:t>
      </w:r>
      <w:proofErr w:type="spellStart"/>
      <w:r>
        <w:t>BloodNet</w:t>
      </w:r>
      <w:proofErr w:type="spellEnd"/>
      <w:r>
        <w:t xml:space="preserve"> will continue to be enhanced to provide a suite of reports relating to inventory levels, alerts, maximum stock levels, unit discards and associated costs, at the levels of health provider and organisational unit (</w:t>
      </w:r>
      <w:proofErr w:type="gramStart"/>
      <w:r>
        <w:t>e.g.</w:t>
      </w:r>
      <w:proofErr w:type="gramEnd"/>
      <w:r>
        <w:t xml:space="preserve"> a Local Health District or Pathology Service). These reports will be made available on demand to health providers and their use within existing governance frameworks in health providers and States and Territories will be strongly encouraged. </w:t>
      </w:r>
    </w:p>
    <w:p w14:paraId="1EF1B59B" w14:textId="77777777" w:rsidR="0087080A" w:rsidRDefault="0087080A" w:rsidP="00641C09">
      <w:pPr>
        <w:spacing w:after="240" w:line="312" w:lineRule="auto"/>
      </w:pPr>
      <w:r>
        <w:t xml:space="preserve">Expanding the current voluntary collection of discard data to cover all blood and blood product discards by all health providers. Data relating to discards of non-fresh blood products will occur when commercial suppliers are implemented in </w:t>
      </w:r>
      <w:proofErr w:type="spellStart"/>
      <w:r>
        <w:t>BloodNet</w:t>
      </w:r>
      <w:proofErr w:type="spellEnd"/>
      <w:r>
        <w:t>.</w:t>
      </w:r>
    </w:p>
    <w:p w14:paraId="39D0D00E" w14:textId="77777777" w:rsidR="00D93FC7" w:rsidRDefault="00D93FC7" w:rsidP="00D93FC7">
      <w:pPr>
        <w:spacing w:after="240" w:line="312" w:lineRule="auto"/>
      </w:pPr>
      <w:r>
        <w:t xml:space="preserve">Public release through the NBA website of </w:t>
      </w:r>
      <w:proofErr w:type="gramStart"/>
      <w:r>
        <w:t>high level</w:t>
      </w:r>
      <w:proofErr w:type="gramEnd"/>
      <w:r>
        <w:t xml:space="preserve"> summary discard data by health provider will enhance transparency and accountability. The NBA will continue to w</w:t>
      </w:r>
      <w:r w:rsidRPr="00FD0B45">
        <w:t xml:space="preserve">ork with all jurisdictions to </w:t>
      </w:r>
      <w:r>
        <w:t>e</w:t>
      </w:r>
      <w:r w:rsidRPr="003F3FB1">
        <w:t xml:space="preserve">stablish </w:t>
      </w:r>
      <w:r>
        <w:t>targets</w:t>
      </w:r>
      <w:r w:rsidRPr="003F3FB1">
        <w:t xml:space="preserve"> for </w:t>
      </w:r>
      <w:r>
        <w:t>discard rates for blood products</w:t>
      </w:r>
      <w:r w:rsidRPr="00FD0B45">
        <w:t xml:space="preserve"> for the public and private sectors</w:t>
      </w:r>
      <w:r>
        <w:t xml:space="preserve"> for 2018-19 onwards</w:t>
      </w:r>
      <w:r w:rsidRPr="00FD0B45">
        <w:t>.</w:t>
      </w:r>
    </w:p>
    <w:p w14:paraId="1ACA6D46" w14:textId="77777777" w:rsidR="00D93FC7" w:rsidRDefault="00D93FC7" w:rsidP="00D93FC7">
      <w:pPr>
        <w:spacing w:after="240" w:line="312" w:lineRule="auto"/>
      </w:pPr>
      <w:r w:rsidRPr="00FD0B45">
        <w:lastRenderedPageBreak/>
        <w:t xml:space="preserve">The performance data will help target waste reduction initiatives and is consistent with the National Safety and Quality Health Service (NSQHS) </w:t>
      </w:r>
      <w:r>
        <w:t>2</w:t>
      </w:r>
      <w:r w:rsidRPr="008B2823">
        <w:rPr>
          <w:vertAlign w:val="superscript"/>
        </w:rPr>
        <w:t>nd</w:t>
      </w:r>
      <w:r>
        <w:t xml:space="preserve"> edition, </w:t>
      </w:r>
      <w:r w:rsidRPr="00FD0B45">
        <w:t>Standard 7, “</w:t>
      </w:r>
      <w:r>
        <w:t>Blood Management</w:t>
      </w:r>
      <w:r w:rsidRPr="00FD0B45">
        <w:t>” which requires health service organisations to have systems to monitor wastage of blood and blood products.</w:t>
      </w:r>
    </w:p>
    <w:tbl>
      <w:tblPr>
        <w:tblStyle w:val="TableGrid"/>
        <w:tblW w:w="9209" w:type="dxa"/>
        <w:tblLook w:val="04A0" w:firstRow="1" w:lastRow="0" w:firstColumn="1" w:lastColumn="0" w:noHBand="0" w:noVBand="1"/>
      </w:tblPr>
      <w:tblGrid>
        <w:gridCol w:w="3903"/>
        <w:gridCol w:w="758"/>
        <w:gridCol w:w="758"/>
        <w:gridCol w:w="758"/>
        <w:gridCol w:w="758"/>
        <w:gridCol w:w="758"/>
        <w:gridCol w:w="758"/>
        <w:gridCol w:w="758"/>
      </w:tblGrid>
      <w:tr w:rsidR="00776133" w:rsidRPr="001051F9" w14:paraId="39C1D712" w14:textId="0A4EA058" w:rsidTr="00776133">
        <w:trPr>
          <w:tblHeader/>
        </w:trPr>
        <w:tc>
          <w:tcPr>
            <w:tcW w:w="3903" w:type="dxa"/>
          </w:tcPr>
          <w:p w14:paraId="62CED525" w14:textId="77777777" w:rsidR="00776133" w:rsidRPr="001051F9" w:rsidRDefault="00776133" w:rsidP="00B142FF">
            <w:pPr>
              <w:jc w:val="center"/>
              <w:rPr>
                <w:b/>
              </w:rPr>
            </w:pPr>
            <w:r>
              <w:rPr>
                <w:b/>
              </w:rPr>
              <w:t>Activities</w:t>
            </w:r>
          </w:p>
        </w:tc>
        <w:tc>
          <w:tcPr>
            <w:tcW w:w="758" w:type="dxa"/>
          </w:tcPr>
          <w:p w14:paraId="33D3C78E" w14:textId="77777777" w:rsidR="00776133" w:rsidRPr="001051F9" w:rsidRDefault="00776133" w:rsidP="00D93FC7">
            <w:pPr>
              <w:jc w:val="center"/>
              <w:rPr>
                <w:b/>
              </w:rPr>
            </w:pPr>
            <w:r w:rsidRPr="001051F9">
              <w:rPr>
                <w:b/>
              </w:rPr>
              <w:t>201</w:t>
            </w:r>
            <w:r>
              <w:rPr>
                <w:b/>
              </w:rPr>
              <w:t>8</w:t>
            </w:r>
          </w:p>
        </w:tc>
        <w:tc>
          <w:tcPr>
            <w:tcW w:w="758" w:type="dxa"/>
          </w:tcPr>
          <w:p w14:paraId="5E9B67A1" w14:textId="77777777" w:rsidR="00776133" w:rsidRPr="001051F9" w:rsidRDefault="00776133" w:rsidP="00D93FC7">
            <w:pPr>
              <w:jc w:val="center"/>
              <w:rPr>
                <w:b/>
              </w:rPr>
            </w:pPr>
            <w:r w:rsidRPr="001051F9">
              <w:rPr>
                <w:b/>
              </w:rPr>
              <w:t>201</w:t>
            </w:r>
            <w:r>
              <w:rPr>
                <w:b/>
              </w:rPr>
              <w:t>9</w:t>
            </w:r>
          </w:p>
        </w:tc>
        <w:tc>
          <w:tcPr>
            <w:tcW w:w="758" w:type="dxa"/>
          </w:tcPr>
          <w:p w14:paraId="0AE36B8D" w14:textId="77777777" w:rsidR="00776133" w:rsidRPr="001051F9" w:rsidRDefault="00776133" w:rsidP="00D93FC7">
            <w:pPr>
              <w:jc w:val="center"/>
              <w:rPr>
                <w:b/>
              </w:rPr>
            </w:pPr>
            <w:r w:rsidRPr="001051F9">
              <w:rPr>
                <w:b/>
              </w:rPr>
              <w:t>20</w:t>
            </w:r>
            <w:r>
              <w:rPr>
                <w:b/>
              </w:rPr>
              <w:t>20</w:t>
            </w:r>
          </w:p>
        </w:tc>
        <w:tc>
          <w:tcPr>
            <w:tcW w:w="758" w:type="dxa"/>
          </w:tcPr>
          <w:p w14:paraId="51A1AE74" w14:textId="77777777" w:rsidR="00776133" w:rsidRPr="001051F9" w:rsidRDefault="00776133" w:rsidP="00D93FC7">
            <w:pPr>
              <w:jc w:val="center"/>
              <w:rPr>
                <w:b/>
              </w:rPr>
            </w:pPr>
            <w:r w:rsidRPr="001051F9">
              <w:rPr>
                <w:b/>
              </w:rPr>
              <w:t>202</w:t>
            </w:r>
            <w:r>
              <w:rPr>
                <w:b/>
              </w:rPr>
              <w:t>1</w:t>
            </w:r>
          </w:p>
        </w:tc>
        <w:tc>
          <w:tcPr>
            <w:tcW w:w="758" w:type="dxa"/>
          </w:tcPr>
          <w:p w14:paraId="42AE74C1" w14:textId="77777777" w:rsidR="00776133" w:rsidRPr="001051F9" w:rsidRDefault="00776133" w:rsidP="00D93FC7">
            <w:pPr>
              <w:jc w:val="center"/>
              <w:rPr>
                <w:b/>
              </w:rPr>
            </w:pPr>
            <w:r w:rsidRPr="001051F9">
              <w:rPr>
                <w:b/>
              </w:rPr>
              <w:t>202</w:t>
            </w:r>
            <w:r>
              <w:rPr>
                <w:b/>
              </w:rPr>
              <w:t>2</w:t>
            </w:r>
          </w:p>
        </w:tc>
        <w:tc>
          <w:tcPr>
            <w:tcW w:w="758" w:type="dxa"/>
          </w:tcPr>
          <w:p w14:paraId="5CDC1930" w14:textId="736A2416" w:rsidR="00776133" w:rsidRPr="001051F9" w:rsidRDefault="00776133" w:rsidP="00D93FC7">
            <w:pPr>
              <w:jc w:val="center"/>
              <w:rPr>
                <w:b/>
              </w:rPr>
            </w:pPr>
            <w:r>
              <w:rPr>
                <w:b/>
              </w:rPr>
              <w:t>2023</w:t>
            </w:r>
          </w:p>
        </w:tc>
        <w:tc>
          <w:tcPr>
            <w:tcW w:w="758" w:type="dxa"/>
          </w:tcPr>
          <w:p w14:paraId="056A0C24" w14:textId="5A57BC16" w:rsidR="00776133" w:rsidRPr="001051F9" w:rsidRDefault="00776133" w:rsidP="00D93FC7">
            <w:pPr>
              <w:jc w:val="center"/>
              <w:rPr>
                <w:b/>
              </w:rPr>
            </w:pPr>
            <w:r>
              <w:rPr>
                <w:b/>
              </w:rPr>
              <w:t>2024</w:t>
            </w:r>
          </w:p>
        </w:tc>
      </w:tr>
      <w:tr w:rsidR="00776133" w14:paraId="06E2DBD8" w14:textId="50606F15" w:rsidTr="00776133">
        <w:tc>
          <w:tcPr>
            <w:tcW w:w="3903" w:type="dxa"/>
          </w:tcPr>
          <w:p w14:paraId="5C64A7E7" w14:textId="77777777" w:rsidR="00776133" w:rsidRDefault="00776133" w:rsidP="00D93FC7">
            <w:r>
              <w:rPr>
                <w:rFonts w:asciiTheme="minorHAnsi" w:hAnsiTheme="minorHAnsi" w:cstheme="minorHAnsi"/>
              </w:rPr>
              <w:t xml:space="preserve">Further detailed discard analysis and updated targets for fresh blood products; including consideration of return time wastage </w:t>
            </w:r>
          </w:p>
        </w:tc>
        <w:tc>
          <w:tcPr>
            <w:tcW w:w="758" w:type="dxa"/>
            <w:shd w:val="clear" w:color="auto" w:fill="00B0F0"/>
          </w:tcPr>
          <w:p w14:paraId="1C8A2502" w14:textId="77777777" w:rsidR="00776133" w:rsidRDefault="00776133" w:rsidP="00D93FC7"/>
        </w:tc>
        <w:tc>
          <w:tcPr>
            <w:tcW w:w="758" w:type="dxa"/>
            <w:shd w:val="clear" w:color="auto" w:fill="auto"/>
          </w:tcPr>
          <w:p w14:paraId="7ABA7A44" w14:textId="77777777" w:rsidR="00776133" w:rsidRPr="00747796" w:rsidRDefault="00776133" w:rsidP="00D93FC7"/>
        </w:tc>
        <w:tc>
          <w:tcPr>
            <w:tcW w:w="758" w:type="dxa"/>
            <w:shd w:val="clear" w:color="auto" w:fill="auto"/>
          </w:tcPr>
          <w:p w14:paraId="5EF179EA" w14:textId="77777777" w:rsidR="00776133" w:rsidRPr="00747796" w:rsidRDefault="00776133" w:rsidP="00D93FC7"/>
        </w:tc>
        <w:tc>
          <w:tcPr>
            <w:tcW w:w="758" w:type="dxa"/>
            <w:shd w:val="clear" w:color="auto" w:fill="auto"/>
          </w:tcPr>
          <w:p w14:paraId="70DEDF8B" w14:textId="77777777" w:rsidR="00776133" w:rsidRPr="00747796" w:rsidRDefault="00776133" w:rsidP="00D93FC7"/>
        </w:tc>
        <w:tc>
          <w:tcPr>
            <w:tcW w:w="758" w:type="dxa"/>
            <w:shd w:val="clear" w:color="auto" w:fill="00B0F0"/>
          </w:tcPr>
          <w:p w14:paraId="3132DA06" w14:textId="77777777" w:rsidR="00776133" w:rsidRPr="00747796" w:rsidRDefault="00776133" w:rsidP="00D93FC7"/>
        </w:tc>
        <w:tc>
          <w:tcPr>
            <w:tcW w:w="758" w:type="dxa"/>
            <w:shd w:val="clear" w:color="auto" w:fill="00B0F0"/>
          </w:tcPr>
          <w:p w14:paraId="7B14E0A4" w14:textId="77777777" w:rsidR="00776133" w:rsidRPr="00747796" w:rsidRDefault="00776133" w:rsidP="00D93FC7"/>
        </w:tc>
        <w:tc>
          <w:tcPr>
            <w:tcW w:w="758" w:type="dxa"/>
          </w:tcPr>
          <w:p w14:paraId="1E9266B3" w14:textId="77777777" w:rsidR="00776133" w:rsidRPr="00747796" w:rsidRDefault="00776133" w:rsidP="00D93FC7"/>
        </w:tc>
      </w:tr>
      <w:tr w:rsidR="00776133" w14:paraId="789DA1A6" w14:textId="717AB458" w:rsidTr="00776133">
        <w:tc>
          <w:tcPr>
            <w:tcW w:w="3903" w:type="dxa"/>
          </w:tcPr>
          <w:p w14:paraId="4818A1C5" w14:textId="77777777" w:rsidR="00776133" w:rsidRDefault="00776133" w:rsidP="00D93FC7">
            <w:r>
              <w:t xml:space="preserve">Enhanced </w:t>
            </w:r>
            <w:proofErr w:type="spellStart"/>
            <w:r>
              <w:t>BloodNet</w:t>
            </w:r>
            <w:proofErr w:type="spellEnd"/>
            <w:r>
              <w:t xml:space="preserve"> reporting</w:t>
            </w:r>
          </w:p>
        </w:tc>
        <w:tc>
          <w:tcPr>
            <w:tcW w:w="758" w:type="dxa"/>
            <w:shd w:val="clear" w:color="auto" w:fill="00B0F0"/>
          </w:tcPr>
          <w:p w14:paraId="7402D429" w14:textId="77777777" w:rsidR="00776133" w:rsidRDefault="00776133" w:rsidP="00D93FC7"/>
        </w:tc>
        <w:tc>
          <w:tcPr>
            <w:tcW w:w="758" w:type="dxa"/>
            <w:shd w:val="clear" w:color="auto" w:fill="00B0F0"/>
          </w:tcPr>
          <w:p w14:paraId="2B9221AE" w14:textId="77777777" w:rsidR="00776133" w:rsidRDefault="00776133" w:rsidP="00D93FC7"/>
        </w:tc>
        <w:tc>
          <w:tcPr>
            <w:tcW w:w="758" w:type="dxa"/>
            <w:shd w:val="clear" w:color="auto" w:fill="00B0F0"/>
          </w:tcPr>
          <w:p w14:paraId="2022E28F" w14:textId="77777777" w:rsidR="00776133" w:rsidRDefault="00776133" w:rsidP="00D93FC7"/>
        </w:tc>
        <w:tc>
          <w:tcPr>
            <w:tcW w:w="758" w:type="dxa"/>
            <w:shd w:val="clear" w:color="auto" w:fill="00B0F0"/>
          </w:tcPr>
          <w:p w14:paraId="755A5353" w14:textId="77777777" w:rsidR="00776133" w:rsidRDefault="00776133" w:rsidP="00D93FC7"/>
        </w:tc>
        <w:tc>
          <w:tcPr>
            <w:tcW w:w="758" w:type="dxa"/>
            <w:shd w:val="clear" w:color="auto" w:fill="00B0F0"/>
          </w:tcPr>
          <w:p w14:paraId="253B8D04" w14:textId="77777777" w:rsidR="00776133" w:rsidRDefault="00776133" w:rsidP="00D93FC7"/>
        </w:tc>
        <w:tc>
          <w:tcPr>
            <w:tcW w:w="758" w:type="dxa"/>
            <w:shd w:val="clear" w:color="auto" w:fill="00B0F0"/>
          </w:tcPr>
          <w:p w14:paraId="36A3DCB6" w14:textId="77777777" w:rsidR="00776133" w:rsidRDefault="00776133" w:rsidP="00D93FC7"/>
        </w:tc>
        <w:tc>
          <w:tcPr>
            <w:tcW w:w="758" w:type="dxa"/>
            <w:shd w:val="clear" w:color="auto" w:fill="00B0F0"/>
          </w:tcPr>
          <w:p w14:paraId="0B659393" w14:textId="77777777" w:rsidR="00776133" w:rsidRDefault="00776133" w:rsidP="00D93FC7"/>
        </w:tc>
      </w:tr>
      <w:tr w:rsidR="00776133" w14:paraId="6CD8897A" w14:textId="52DB2EC4" w:rsidTr="00776133">
        <w:tc>
          <w:tcPr>
            <w:tcW w:w="3903" w:type="dxa"/>
          </w:tcPr>
          <w:p w14:paraId="524F5D48" w14:textId="77777777" w:rsidR="00776133" w:rsidRDefault="00776133" w:rsidP="00D93FC7">
            <w:r>
              <w:t>Publication of discard data at levels agreed with jurisdictions</w:t>
            </w:r>
          </w:p>
        </w:tc>
        <w:tc>
          <w:tcPr>
            <w:tcW w:w="758" w:type="dxa"/>
            <w:shd w:val="clear" w:color="auto" w:fill="00B0F0"/>
          </w:tcPr>
          <w:p w14:paraId="49BA7649" w14:textId="77777777" w:rsidR="00776133" w:rsidRDefault="00776133" w:rsidP="00D93FC7"/>
        </w:tc>
        <w:tc>
          <w:tcPr>
            <w:tcW w:w="758" w:type="dxa"/>
            <w:shd w:val="clear" w:color="auto" w:fill="00B0F0"/>
          </w:tcPr>
          <w:p w14:paraId="1158B446" w14:textId="77777777" w:rsidR="00776133" w:rsidRDefault="00776133" w:rsidP="00D93FC7"/>
        </w:tc>
        <w:tc>
          <w:tcPr>
            <w:tcW w:w="758" w:type="dxa"/>
            <w:shd w:val="clear" w:color="auto" w:fill="00B0F0"/>
          </w:tcPr>
          <w:p w14:paraId="1308AE89" w14:textId="77777777" w:rsidR="00776133" w:rsidRDefault="00776133" w:rsidP="00D93FC7"/>
        </w:tc>
        <w:tc>
          <w:tcPr>
            <w:tcW w:w="758" w:type="dxa"/>
            <w:shd w:val="clear" w:color="auto" w:fill="00B0F0"/>
          </w:tcPr>
          <w:p w14:paraId="4F1C6DB9" w14:textId="77777777" w:rsidR="00776133" w:rsidRDefault="00776133" w:rsidP="00D93FC7"/>
        </w:tc>
        <w:tc>
          <w:tcPr>
            <w:tcW w:w="758" w:type="dxa"/>
            <w:shd w:val="clear" w:color="auto" w:fill="00B0F0"/>
          </w:tcPr>
          <w:p w14:paraId="10AA35A4" w14:textId="77777777" w:rsidR="00776133" w:rsidRDefault="00776133" w:rsidP="00D93FC7"/>
        </w:tc>
        <w:tc>
          <w:tcPr>
            <w:tcW w:w="758" w:type="dxa"/>
            <w:shd w:val="clear" w:color="auto" w:fill="00B0F0"/>
          </w:tcPr>
          <w:p w14:paraId="704D54DD" w14:textId="77777777" w:rsidR="00776133" w:rsidRDefault="00776133" w:rsidP="00D93FC7"/>
        </w:tc>
        <w:tc>
          <w:tcPr>
            <w:tcW w:w="758" w:type="dxa"/>
            <w:shd w:val="clear" w:color="auto" w:fill="00B0F0"/>
          </w:tcPr>
          <w:p w14:paraId="3D9DF02B" w14:textId="77777777" w:rsidR="00776133" w:rsidRDefault="00776133" w:rsidP="00D93FC7"/>
        </w:tc>
      </w:tr>
      <w:tr w:rsidR="00776133" w14:paraId="393FC100" w14:textId="6F1368BA" w:rsidTr="00776133">
        <w:tc>
          <w:tcPr>
            <w:tcW w:w="3903" w:type="dxa"/>
          </w:tcPr>
          <w:p w14:paraId="4A1EF04D" w14:textId="77777777" w:rsidR="00776133" w:rsidRDefault="00776133" w:rsidP="00D93FC7">
            <w:r>
              <w:t>Develop targets for non-fresh products</w:t>
            </w:r>
          </w:p>
        </w:tc>
        <w:tc>
          <w:tcPr>
            <w:tcW w:w="758" w:type="dxa"/>
            <w:shd w:val="clear" w:color="auto" w:fill="auto"/>
          </w:tcPr>
          <w:p w14:paraId="1FF591DE" w14:textId="77777777" w:rsidR="00776133" w:rsidRPr="00747796" w:rsidRDefault="00776133" w:rsidP="00D93FC7"/>
        </w:tc>
        <w:tc>
          <w:tcPr>
            <w:tcW w:w="758" w:type="dxa"/>
            <w:shd w:val="clear" w:color="auto" w:fill="auto"/>
          </w:tcPr>
          <w:p w14:paraId="2AE9A799" w14:textId="77777777" w:rsidR="00776133" w:rsidRPr="00747796" w:rsidRDefault="00776133" w:rsidP="00D93FC7"/>
        </w:tc>
        <w:tc>
          <w:tcPr>
            <w:tcW w:w="758" w:type="dxa"/>
            <w:shd w:val="clear" w:color="auto" w:fill="00B0F0"/>
          </w:tcPr>
          <w:p w14:paraId="60CF6A07" w14:textId="77777777" w:rsidR="00776133" w:rsidRDefault="00776133" w:rsidP="00D93FC7"/>
        </w:tc>
        <w:tc>
          <w:tcPr>
            <w:tcW w:w="758" w:type="dxa"/>
            <w:shd w:val="clear" w:color="auto" w:fill="00B0F0"/>
          </w:tcPr>
          <w:p w14:paraId="10237965" w14:textId="77777777" w:rsidR="00776133" w:rsidRDefault="00776133" w:rsidP="00D93FC7"/>
        </w:tc>
        <w:tc>
          <w:tcPr>
            <w:tcW w:w="758" w:type="dxa"/>
            <w:shd w:val="clear" w:color="auto" w:fill="00B0F0"/>
          </w:tcPr>
          <w:p w14:paraId="3BF4CBEB" w14:textId="77777777" w:rsidR="00776133" w:rsidRDefault="00776133" w:rsidP="00D93FC7"/>
        </w:tc>
        <w:tc>
          <w:tcPr>
            <w:tcW w:w="758" w:type="dxa"/>
            <w:shd w:val="clear" w:color="auto" w:fill="00B0F0"/>
          </w:tcPr>
          <w:p w14:paraId="42BEEAC7" w14:textId="77777777" w:rsidR="00776133" w:rsidRDefault="00776133" w:rsidP="00D93FC7"/>
        </w:tc>
        <w:tc>
          <w:tcPr>
            <w:tcW w:w="758" w:type="dxa"/>
            <w:shd w:val="clear" w:color="auto" w:fill="auto"/>
          </w:tcPr>
          <w:p w14:paraId="56A58FDF" w14:textId="77777777" w:rsidR="00776133" w:rsidRDefault="00776133" w:rsidP="00D93FC7"/>
        </w:tc>
      </w:tr>
      <w:tr w:rsidR="00776133" w14:paraId="7901AC50" w14:textId="288D31DC" w:rsidTr="00776133">
        <w:tc>
          <w:tcPr>
            <w:tcW w:w="3903" w:type="dxa"/>
          </w:tcPr>
          <w:p w14:paraId="5DDBF38A" w14:textId="77777777" w:rsidR="00776133" w:rsidRDefault="00776133" w:rsidP="00D93FC7">
            <w:r>
              <w:t>Continue to implement the national barcoding policy</w:t>
            </w:r>
          </w:p>
        </w:tc>
        <w:tc>
          <w:tcPr>
            <w:tcW w:w="758" w:type="dxa"/>
            <w:shd w:val="clear" w:color="auto" w:fill="00B0F0"/>
          </w:tcPr>
          <w:p w14:paraId="5A1AED77" w14:textId="77777777" w:rsidR="00776133" w:rsidRDefault="00776133" w:rsidP="00D93FC7"/>
        </w:tc>
        <w:tc>
          <w:tcPr>
            <w:tcW w:w="758" w:type="dxa"/>
            <w:shd w:val="clear" w:color="auto" w:fill="00B0F0"/>
          </w:tcPr>
          <w:p w14:paraId="5614E37E" w14:textId="77777777" w:rsidR="00776133" w:rsidRDefault="00776133" w:rsidP="00D93FC7"/>
        </w:tc>
        <w:tc>
          <w:tcPr>
            <w:tcW w:w="758" w:type="dxa"/>
            <w:shd w:val="clear" w:color="auto" w:fill="00B0F0"/>
          </w:tcPr>
          <w:p w14:paraId="7A683CE0" w14:textId="77777777" w:rsidR="00776133" w:rsidRPr="00747796" w:rsidRDefault="00776133" w:rsidP="00D93FC7"/>
        </w:tc>
        <w:tc>
          <w:tcPr>
            <w:tcW w:w="758" w:type="dxa"/>
            <w:shd w:val="clear" w:color="auto" w:fill="00B0F0"/>
          </w:tcPr>
          <w:p w14:paraId="0BF450FE" w14:textId="77777777" w:rsidR="00776133" w:rsidRPr="00747796" w:rsidRDefault="00776133" w:rsidP="00D93FC7"/>
        </w:tc>
        <w:tc>
          <w:tcPr>
            <w:tcW w:w="758" w:type="dxa"/>
            <w:shd w:val="clear" w:color="auto" w:fill="00B0F0"/>
          </w:tcPr>
          <w:p w14:paraId="36D3DE3D" w14:textId="77777777" w:rsidR="00776133" w:rsidRPr="00747796" w:rsidRDefault="00776133" w:rsidP="00D93FC7"/>
        </w:tc>
        <w:tc>
          <w:tcPr>
            <w:tcW w:w="758" w:type="dxa"/>
            <w:shd w:val="clear" w:color="auto" w:fill="00B0F0"/>
          </w:tcPr>
          <w:p w14:paraId="40C7B441" w14:textId="77777777" w:rsidR="00776133" w:rsidRPr="00747796" w:rsidRDefault="00776133" w:rsidP="00D93FC7"/>
        </w:tc>
        <w:tc>
          <w:tcPr>
            <w:tcW w:w="758" w:type="dxa"/>
            <w:shd w:val="clear" w:color="auto" w:fill="00B0F0"/>
          </w:tcPr>
          <w:p w14:paraId="4BBE8236" w14:textId="77777777" w:rsidR="00776133" w:rsidRPr="00747796" w:rsidRDefault="00776133" w:rsidP="00D93FC7"/>
        </w:tc>
      </w:tr>
      <w:tr w:rsidR="00776133" w14:paraId="1CE0DEDB" w14:textId="669641C8" w:rsidTr="00776133">
        <w:tc>
          <w:tcPr>
            <w:tcW w:w="3903" w:type="dxa"/>
          </w:tcPr>
          <w:p w14:paraId="503C7751" w14:textId="77777777" w:rsidR="00776133" w:rsidRDefault="00776133" w:rsidP="00D93FC7">
            <w:r>
              <w:t xml:space="preserve">Continue to implement the </w:t>
            </w:r>
            <w:proofErr w:type="spellStart"/>
            <w:r>
              <w:t>BloodNet</w:t>
            </w:r>
            <w:proofErr w:type="spellEnd"/>
            <w:r>
              <w:t xml:space="preserve"> / LIS interface</w:t>
            </w:r>
          </w:p>
        </w:tc>
        <w:tc>
          <w:tcPr>
            <w:tcW w:w="758" w:type="dxa"/>
            <w:shd w:val="clear" w:color="auto" w:fill="00B0F0"/>
          </w:tcPr>
          <w:p w14:paraId="3ABA3AD0" w14:textId="77777777" w:rsidR="00776133" w:rsidRDefault="00776133" w:rsidP="00D93FC7"/>
        </w:tc>
        <w:tc>
          <w:tcPr>
            <w:tcW w:w="758" w:type="dxa"/>
            <w:shd w:val="clear" w:color="auto" w:fill="00B0F0"/>
          </w:tcPr>
          <w:p w14:paraId="156F15FB" w14:textId="77777777" w:rsidR="00776133" w:rsidRDefault="00776133" w:rsidP="00D93FC7"/>
        </w:tc>
        <w:tc>
          <w:tcPr>
            <w:tcW w:w="758" w:type="dxa"/>
            <w:shd w:val="clear" w:color="auto" w:fill="00B0F0"/>
          </w:tcPr>
          <w:p w14:paraId="61AAFE8C" w14:textId="77777777" w:rsidR="00776133" w:rsidRDefault="00776133" w:rsidP="00D93FC7"/>
        </w:tc>
        <w:tc>
          <w:tcPr>
            <w:tcW w:w="758" w:type="dxa"/>
            <w:shd w:val="clear" w:color="auto" w:fill="00B0F0"/>
          </w:tcPr>
          <w:p w14:paraId="77F41BD2" w14:textId="77777777" w:rsidR="00776133" w:rsidRDefault="00776133" w:rsidP="00D93FC7"/>
        </w:tc>
        <w:tc>
          <w:tcPr>
            <w:tcW w:w="758" w:type="dxa"/>
            <w:shd w:val="clear" w:color="auto" w:fill="00B0F0"/>
          </w:tcPr>
          <w:p w14:paraId="6ADC34C2" w14:textId="77777777" w:rsidR="00776133" w:rsidRDefault="00776133" w:rsidP="00D93FC7"/>
        </w:tc>
        <w:tc>
          <w:tcPr>
            <w:tcW w:w="758" w:type="dxa"/>
            <w:shd w:val="clear" w:color="auto" w:fill="00B0F0"/>
          </w:tcPr>
          <w:p w14:paraId="66A6B4B7" w14:textId="77777777" w:rsidR="00776133" w:rsidRDefault="00776133" w:rsidP="00D93FC7"/>
        </w:tc>
        <w:tc>
          <w:tcPr>
            <w:tcW w:w="758" w:type="dxa"/>
            <w:shd w:val="clear" w:color="auto" w:fill="00B0F0"/>
          </w:tcPr>
          <w:p w14:paraId="2D6692A3" w14:textId="77777777" w:rsidR="00776133" w:rsidRDefault="00776133" w:rsidP="00D93FC7"/>
        </w:tc>
      </w:tr>
      <w:tr w:rsidR="00776133" w14:paraId="73AFC1F0" w14:textId="53145027" w:rsidTr="00776133">
        <w:tc>
          <w:tcPr>
            <w:tcW w:w="3903" w:type="dxa"/>
          </w:tcPr>
          <w:p w14:paraId="79D22C15" w14:textId="77777777" w:rsidR="00776133" w:rsidRDefault="00776133" w:rsidP="00D93FC7">
            <w:r>
              <w:t xml:space="preserve">Continue to implement the </w:t>
            </w:r>
            <w:proofErr w:type="spellStart"/>
            <w:r>
              <w:t>BloodNet</w:t>
            </w:r>
            <w:proofErr w:type="spellEnd"/>
            <w:r>
              <w:t xml:space="preserve"> and Blood Service NBMS integration</w:t>
            </w:r>
          </w:p>
        </w:tc>
        <w:tc>
          <w:tcPr>
            <w:tcW w:w="758" w:type="dxa"/>
            <w:shd w:val="clear" w:color="auto" w:fill="00B0F0"/>
          </w:tcPr>
          <w:p w14:paraId="0EF20822" w14:textId="77777777" w:rsidR="00776133" w:rsidRDefault="00776133" w:rsidP="00D93FC7"/>
        </w:tc>
        <w:tc>
          <w:tcPr>
            <w:tcW w:w="758" w:type="dxa"/>
            <w:shd w:val="clear" w:color="auto" w:fill="00B0F0"/>
          </w:tcPr>
          <w:p w14:paraId="762EC668" w14:textId="77777777" w:rsidR="00776133" w:rsidRDefault="00776133" w:rsidP="00D93FC7"/>
        </w:tc>
        <w:tc>
          <w:tcPr>
            <w:tcW w:w="758" w:type="dxa"/>
            <w:shd w:val="clear" w:color="auto" w:fill="00B0F0"/>
          </w:tcPr>
          <w:p w14:paraId="7B7E7D9D" w14:textId="77777777" w:rsidR="00776133" w:rsidRDefault="00776133" w:rsidP="00D93FC7"/>
        </w:tc>
        <w:tc>
          <w:tcPr>
            <w:tcW w:w="758" w:type="dxa"/>
            <w:shd w:val="clear" w:color="auto" w:fill="00B0F0"/>
          </w:tcPr>
          <w:p w14:paraId="3EA5D75D" w14:textId="77777777" w:rsidR="00776133" w:rsidRDefault="00776133" w:rsidP="00D93FC7"/>
        </w:tc>
        <w:tc>
          <w:tcPr>
            <w:tcW w:w="758" w:type="dxa"/>
            <w:shd w:val="clear" w:color="auto" w:fill="00B0F0"/>
          </w:tcPr>
          <w:p w14:paraId="7B43D0D7" w14:textId="77777777" w:rsidR="00776133" w:rsidRDefault="00776133" w:rsidP="00D93FC7"/>
        </w:tc>
        <w:tc>
          <w:tcPr>
            <w:tcW w:w="758" w:type="dxa"/>
            <w:shd w:val="clear" w:color="auto" w:fill="00B0F0"/>
          </w:tcPr>
          <w:p w14:paraId="6C80EAF7" w14:textId="77777777" w:rsidR="00776133" w:rsidRDefault="00776133" w:rsidP="00D93FC7"/>
        </w:tc>
        <w:tc>
          <w:tcPr>
            <w:tcW w:w="758" w:type="dxa"/>
            <w:shd w:val="clear" w:color="auto" w:fill="00B0F0"/>
          </w:tcPr>
          <w:p w14:paraId="4D53D94F" w14:textId="77777777" w:rsidR="00776133" w:rsidRDefault="00776133" w:rsidP="00D93FC7"/>
        </w:tc>
      </w:tr>
    </w:tbl>
    <w:p w14:paraId="38AFFB84" w14:textId="77777777" w:rsidR="003B27A3" w:rsidRPr="00D93FC7" w:rsidRDefault="00C67CE5" w:rsidP="008B2823">
      <w:pPr>
        <w:pStyle w:val="Heading2"/>
        <w:spacing w:after="240" w:line="312" w:lineRule="auto"/>
      </w:pPr>
      <w:bookmarkStart w:id="10" w:name="_Toc498963433"/>
      <w:r w:rsidRPr="00D93FC7">
        <w:t>GUIDELINES</w:t>
      </w:r>
      <w:bookmarkEnd w:id="8"/>
      <w:bookmarkEnd w:id="9"/>
      <w:r w:rsidR="001D337C">
        <w:t xml:space="preserve"> AND GOVERNANCE</w:t>
      </w:r>
      <w:bookmarkEnd w:id="10"/>
    </w:p>
    <w:p w14:paraId="5250BD03" w14:textId="77777777" w:rsidR="00B23E9C" w:rsidRDefault="008B2823" w:rsidP="008B2823">
      <w:pPr>
        <w:spacing w:after="240" w:line="312" w:lineRule="auto"/>
        <w:rPr>
          <w:rFonts w:asciiTheme="minorHAnsi" w:hAnsiTheme="minorHAnsi" w:cstheme="minorHAnsi"/>
        </w:rPr>
      </w:pPr>
      <w:r w:rsidRPr="00D93FC7">
        <w:rPr>
          <w:rFonts w:asciiTheme="minorHAnsi" w:hAnsiTheme="minorHAnsi" w:cstheme="minorHAnsi"/>
        </w:rPr>
        <w:t xml:space="preserve">The </w:t>
      </w:r>
      <w:r w:rsidR="00B23E9C" w:rsidRPr="00D93FC7">
        <w:rPr>
          <w:rFonts w:asciiTheme="minorHAnsi" w:hAnsiTheme="minorHAnsi" w:cstheme="minorHAnsi"/>
        </w:rPr>
        <w:t xml:space="preserve">second edition of the </w:t>
      </w:r>
      <w:r w:rsidR="00D93FC7" w:rsidRPr="00D93FC7">
        <w:rPr>
          <w:rFonts w:asciiTheme="minorHAnsi" w:hAnsiTheme="minorHAnsi" w:cstheme="minorHAnsi"/>
          <w:i/>
        </w:rPr>
        <w:t>Managing Blood and Blood Product Inventory: Guidelines for Australian Health Providers</w:t>
      </w:r>
      <w:r w:rsidR="00D93FC7" w:rsidRPr="00D93FC7">
        <w:rPr>
          <w:rFonts w:asciiTheme="minorHAnsi" w:hAnsiTheme="minorHAnsi" w:cstheme="minorHAnsi"/>
        </w:rPr>
        <w:t xml:space="preserve"> </w:t>
      </w:r>
      <w:r w:rsidR="00B23E9C" w:rsidRPr="00D93FC7">
        <w:rPr>
          <w:rFonts w:asciiTheme="minorHAnsi" w:hAnsiTheme="minorHAnsi" w:cstheme="minorHAnsi"/>
        </w:rPr>
        <w:t xml:space="preserve">has been published and is available from the </w:t>
      </w:r>
      <w:hyperlink r:id="rId22" w:history="1">
        <w:r w:rsidR="00B23E9C" w:rsidRPr="00D93FC7">
          <w:rPr>
            <w:rStyle w:val="Hyperlink"/>
            <w:rFonts w:asciiTheme="minorHAnsi" w:hAnsiTheme="minorHAnsi" w:cstheme="minorHAnsi"/>
          </w:rPr>
          <w:t>NBA website</w:t>
        </w:r>
      </w:hyperlink>
      <w:r w:rsidR="00B23E9C" w:rsidRPr="00D93FC7">
        <w:rPr>
          <w:rFonts w:asciiTheme="minorHAnsi" w:hAnsiTheme="minorHAnsi" w:cstheme="minorHAnsi"/>
        </w:rPr>
        <w:t>. The new edition was endorsed by the Royal College of Pathologists of Australia (RCPA) and the Australian and New Zealand Society for Blood Transfusion (ANZSBT) and supported by the National Association of Testing Authorities, Australia (NATA).</w:t>
      </w:r>
      <w:r w:rsidR="00B23E9C" w:rsidRPr="00B23E9C">
        <w:rPr>
          <w:rFonts w:asciiTheme="minorHAnsi" w:hAnsiTheme="minorHAnsi" w:cstheme="minorHAnsi"/>
        </w:rPr>
        <w:t xml:space="preserve"> </w:t>
      </w:r>
    </w:p>
    <w:p w14:paraId="7E6FEF8E" w14:textId="77777777" w:rsidR="00536934" w:rsidRDefault="00B23E9C" w:rsidP="008B2823">
      <w:pPr>
        <w:spacing w:after="240" w:line="312" w:lineRule="auto"/>
        <w:rPr>
          <w:rFonts w:asciiTheme="minorHAnsi" w:hAnsiTheme="minorHAnsi" w:cstheme="minorHAnsi"/>
        </w:rPr>
      </w:pPr>
      <w:r w:rsidRPr="00B23E9C">
        <w:rPr>
          <w:rFonts w:asciiTheme="minorHAnsi" w:hAnsiTheme="minorHAnsi" w:cstheme="minorHAnsi"/>
        </w:rPr>
        <w:t>The Guidelines are currently under review and will have an additional chapter included “Improving Compliant Storage”. Three further modules (Red Blood Cells, Managing Retrieval Services Inventory and Platelets) to support the core guideline are under development</w:t>
      </w:r>
      <w:r w:rsidR="00536934">
        <w:rPr>
          <w:rFonts w:asciiTheme="minorHAnsi" w:hAnsiTheme="minorHAnsi" w:cstheme="minorHAnsi"/>
        </w:rPr>
        <w:t xml:space="preserve">. </w:t>
      </w:r>
    </w:p>
    <w:p w14:paraId="27462821" w14:textId="77777777" w:rsidR="00536934" w:rsidRDefault="00536934" w:rsidP="008B2823">
      <w:pPr>
        <w:spacing w:after="240" w:line="312" w:lineRule="auto"/>
      </w:pPr>
      <w:r>
        <w:rPr>
          <w:rFonts w:asciiTheme="minorHAnsi" w:hAnsiTheme="minorHAnsi" w:cstheme="minorHAnsi"/>
        </w:rPr>
        <w:t xml:space="preserve">To support </w:t>
      </w:r>
      <w:r w:rsidRPr="00FD0B45">
        <w:t xml:space="preserve">the </w:t>
      </w:r>
      <w:r w:rsidRPr="003A4C2B">
        <w:rPr>
          <w:i/>
        </w:rPr>
        <w:t>National Safety and Quality Health Service (NSQHS) Standard 7, “Blood Management” 2</w:t>
      </w:r>
      <w:r w:rsidRPr="003A4C2B">
        <w:rPr>
          <w:i/>
          <w:vertAlign w:val="superscript"/>
        </w:rPr>
        <w:t>nd</w:t>
      </w:r>
      <w:r w:rsidRPr="003A4C2B">
        <w:rPr>
          <w:i/>
        </w:rPr>
        <w:t xml:space="preserve"> edition</w:t>
      </w:r>
      <w:r>
        <w:t xml:space="preserve">, </w:t>
      </w:r>
      <w:r w:rsidRPr="00FD0B45">
        <w:t xml:space="preserve">which requires </w:t>
      </w:r>
      <w:r>
        <w:t xml:space="preserve">health service organisations to effectively </w:t>
      </w:r>
      <w:r w:rsidRPr="003A4C2B">
        <w:t>manage the availability and sa</w:t>
      </w:r>
      <w:r>
        <w:t>fety of blood and blood product</w:t>
      </w:r>
      <w:r w:rsidR="000E3ED2">
        <w:t>s</w:t>
      </w:r>
      <w:r>
        <w:t>, the NBA will develop a guide to assist health providers manage products in times of shortage.</w:t>
      </w:r>
    </w:p>
    <w:p w14:paraId="497E321C" w14:textId="77777777" w:rsidR="00937F65" w:rsidRDefault="00937F65" w:rsidP="00937F65">
      <w:pPr>
        <w:spacing w:after="240" w:line="312" w:lineRule="auto"/>
      </w:pPr>
      <w:r w:rsidRPr="00241B0F">
        <w:t>A nationally coordinated effort in research and development is required to address evidence gaps in the blood sector and to enable responses to emerging evidence and new technologies.</w:t>
      </w:r>
      <w:r>
        <w:t xml:space="preserve"> Identifying key </w:t>
      </w:r>
      <w:r>
        <w:lastRenderedPageBreak/>
        <w:t xml:space="preserve">contributory factors to unnecessary wastage will be a high priority, with specific proposals to be developed to address (where possible) systemic issues.  </w:t>
      </w:r>
    </w:p>
    <w:p w14:paraId="254DBF88" w14:textId="5360B752" w:rsidR="00937F65" w:rsidRDefault="00937F65" w:rsidP="00641C09">
      <w:pPr>
        <w:spacing w:after="240" w:line="312" w:lineRule="auto"/>
      </w:pPr>
      <w:r>
        <w:t xml:space="preserve">Key issues identified for early consideration include product transfer arrangements between health providers (with a view to maximising the potential for product transfer thus minimising wastage) of all types, the use of thawed clinical fresh frozen plasma and issues relating to clinical fresh frozen plasma bags being damaged during handling and splitting upon thawing for use. </w:t>
      </w:r>
    </w:p>
    <w:tbl>
      <w:tblPr>
        <w:tblStyle w:val="TableGrid"/>
        <w:tblW w:w="9209" w:type="dxa"/>
        <w:tblLook w:val="04A0" w:firstRow="1" w:lastRow="0" w:firstColumn="1" w:lastColumn="0" w:noHBand="0" w:noVBand="1"/>
      </w:tblPr>
      <w:tblGrid>
        <w:gridCol w:w="3928"/>
        <w:gridCol w:w="754"/>
        <w:gridCol w:w="754"/>
        <w:gridCol w:w="755"/>
        <w:gridCol w:w="754"/>
        <w:gridCol w:w="755"/>
        <w:gridCol w:w="754"/>
        <w:gridCol w:w="755"/>
      </w:tblGrid>
      <w:tr w:rsidR="00776133" w:rsidRPr="001051F9" w14:paraId="3751B542" w14:textId="71789869" w:rsidTr="00776133">
        <w:trPr>
          <w:tblHeader/>
        </w:trPr>
        <w:tc>
          <w:tcPr>
            <w:tcW w:w="3928" w:type="dxa"/>
          </w:tcPr>
          <w:p w14:paraId="32B9837F" w14:textId="77777777" w:rsidR="00776133" w:rsidRPr="001051F9" w:rsidRDefault="00776133" w:rsidP="00776133">
            <w:pPr>
              <w:jc w:val="center"/>
              <w:rPr>
                <w:b/>
              </w:rPr>
            </w:pPr>
            <w:r>
              <w:rPr>
                <w:b/>
              </w:rPr>
              <w:t>Activities</w:t>
            </w:r>
          </w:p>
        </w:tc>
        <w:tc>
          <w:tcPr>
            <w:tcW w:w="754" w:type="dxa"/>
          </w:tcPr>
          <w:p w14:paraId="11F676BB" w14:textId="77777777" w:rsidR="00776133" w:rsidRPr="001051F9" w:rsidRDefault="00776133" w:rsidP="00776133">
            <w:pPr>
              <w:jc w:val="center"/>
              <w:rPr>
                <w:b/>
              </w:rPr>
            </w:pPr>
            <w:r w:rsidRPr="001051F9">
              <w:rPr>
                <w:b/>
              </w:rPr>
              <w:t>201</w:t>
            </w:r>
            <w:r>
              <w:rPr>
                <w:b/>
              </w:rPr>
              <w:t>8</w:t>
            </w:r>
          </w:p>
        </w:tc>
        <w:tc>
          <w:tcPr>
            <w:tcW w:w="754" w:type="dxa"/>
          </w:tcPr>
          <w:p w14:paraId="3735A45F" w14:textId="77777777" w:rsidR="00776133" w:rsidRPr="001051F9" w:rsidRDefault="00776133" w:rsidP="00776133">
            <w:pPr>
              <w:jc w:val="center"/>
              <w:rPr>
                <w:b/>
              </w:rPr>
            </w:pPr>
            <w:r w:rsidRPr="001051F9">
              <w:rPr>
                <w:b/>
              </w:rPr>
              <w:t>201</w:t>
            </w:r>
            <w:r>
              <w:rPr>
                <w:b/>
              </w:rPr>
              <w:t>9</w:t>
            </w:r>
          </w:p>
        </w:tc>
        <w:tc>
          <w:tcPr>
            <w:tcW w:w="755" w:type="dxa"/>
          </w:tcPr>
          <w:p w14:paraId="1FEFB272" w14:textId="77777777" w:rsidR="00776133" w:rsidRPr="001051F9" w:rsidRDefault="00776133" w:rsidP="00776133">
            <w:pPr>
              <w:jc w:val="center"/>
              <w:rPr>
                <w:b/>
              </w:rPr>
            </w:pPr>
            <w:r w:rsidRPr="001051F9">
              <w:rPr>
                <w:b/>
              </w:rPr>
              <w:t>20</w:t>
            </w:r>
            <w:r>
              <w:rPr>
                <w:b/>
              </w:rPr>
              <w:t>20</w:t>
            </w:r>
          </w:p>
        </w:tc>
        <w:tc>
          <w:tcPr>
            <w:tcW w:w="754" w:type="dxa"/>
          </w:tcPr>
          <w:p w14:paraId="499D8266" w14:textId="77777777" w:rsidR="00776133" w:rsidRPr="001051F9" w:rsidRDefault="00776133" w:rsidP="00776133">
            <w:pPr>
              <w:jc w:val="center"/>
              <w:rPr>
                <w:b/>
              </w:rPr>
            </w:pPr>
            <w:r w:rsidRPr="001051F9">
              <w:rPr>
                <w:b/>
              </w:rPr>
              <w:t>202</w:t>
            </w:r>
            <w:r>
              <w:rPr>
                <w:b/>
              </w:rPr>
              <w:t>1</w:t>
            </w:r>
          </w:p>
        </w:tc>
        <w:tc>
          <w:tcPr>
            <w:tcW w:w="755" w:type="dxa"/>
          </w:tcPr>
          <w:p w14:paraId="3AA06BBB" w14:textId="77777777" w:rsidR="00776133" w:rsidRPr="001051F9" w:rsidRDefault="00776133" w:rsidP="00776133">
            <w:pPr>
              <w:jc w:val="center"/>
              <w:rPr>
                <w:b/>
              </w:rPr>
            </w:pPr>
            <w:r w:rsidRPr="001051F9">
              <w:rPr>
                <w:b/>
              </w:rPr>
              <w:t>202</w:t>
            </w:r>
            <w:r>
              <w:rPr>
                <w:b/>
              </w:rPr>
              <w:t>2</w:t>
            </w:r>
          </w:p>
        </w:tc>
        <w:tc>
          <w:tcPr>
            <w:tcW w:w="754" w:type="dxa"/>
          </w:tcPr>
          <w:p w14:paraId="4524A034" w14:textId="6F7541ED" w:rsidR="00776133" w:rsidRPr="001051F9" w:rsidRDefault="00776133" w:rsidP="00776133">
            <w:pPr>
              <w:jc w:val="center"/>
              <w:rPr>
                <w:b/>
              </w:rPr>
            </w:pPr>
            <w:r>
              <w:rPr>
                <w:b/>
              </w:rPr>
              <w:t>2023</w:t>
            </w:r>
          </w:p>
        </w:tc>
        <w:tc>
          <w:tcPr>
            <w:tcW w:w="755" w:type="dxa"/>
          </w:tcPr>
          <w:p w14:paraId="3A7BE417" w14:textId="006F0E1F" w:rsidR="00776133" w:rsidRPr="001051F9" w:rsidRDefault="00776133" w:rsidP="00776133">
            <w:pPr>
              <w:jc w:val="center"/>
              <w:rPr>
                <w:b/>
              </w:rPr>
            </w:pPr>
            <w:r>
              <w:rPr>
                <w:b/>
              </w:rPr>
              <w:t>2024</w:t>
            </w:r>
          </w:p>
        </w:tc>
      </w:tr>
      <w:tr w:rsidR="00776133" w14:paraId="79BD2469" w14:textId="3DEA0838" w:rsidTr="002271B7">
        <w:tc>
          <w:tcPr>
            <w:tcW w:w="3928" w:type="dxa"/>
          </w:tcPr>
          <w:p w14:paraId="54A37406" w14:textId="77777777" w:rsidR="00776133" w:rsidRDefault="00776133" w:rsidP="005F0FA8">
            <w:r w:rsidRPr="00B23E9C">
              <w:rPr>
                <w:rFonts w:asciiTheme="minorHAnsi" w:hAnsiTheme="minorHAnsi" w:cstheme="minorHAnsi"/>
              </w:rPr>
              <w:t>Continue to develop modules</w:t>
            </w:r>
            <w:r>
              <w:rPr>
                <w:rFonts w:asciiTheme="minorHAnsi" w:hAnsiTheme="minorHAnsi" w:cstheme="minorHAnsi"/>
                <w:i/>
              </w:rPr>
              <w:t xml:space="preserve"> for </w:t>
            </w:r>
            <w:r w:rsidRPr="00FE6EE5">
              <w:rPr>
                <w:rFonts w:asciiTheme="minorHAnsi" w:hAnsiTheme="minorHAnsi" w:cstheme="minorHAnsi"/>
                <w:i/>
              </w:rPr>
              <w:t>Managing Blood and Blood Product Inventory: Guidelines for Australian Health Providers</w:t>
            </w:r>
          </w:p>
        </w:tc>
        <w:tc>
          <w:tcPr>
            <w:tcW w:w="754" w:type="dxa"/>
            <w:shd w:val="clear" w:color="auto" w:fill="00B0F0"/>
          </w:tcPr>
          <w:p w14:paraId="1DA6FC39" w14:textId="77777777" w:rsidR="00776133" w:rsidRDefault="00776133" w:rsidP="005F0FA8"/>
        </w:tc>
        <w:tc>
          <w:tcPr>
            <w:tcW w:w="754" w:type="dxa"/>
            <w:shd w:val="clear" w:color="auto" w:fill="00B0F0"/>
          </w:tcPr>
          <w:p w14:paraId="2A26DBB8" w14:textId="77777777" w:rsidR="00776133" w:rsidRDefault="00776133" w:rsidP="005F0FA8"/>
        </w:tc>
        <w:tc>
          <w:tcPr>
            <w:tcW w:w="755" w:type="dxa"/>
            <w:shd w:val="clear" w:color="auto" w:fill="00B0F0"/>
          </w:tcPr>
          <w:p w14:paraId="2FC7E07C" w14:textId="77777777" w:rsidR="00776133" w:rsidRDefault="00776133" w:rsidP="005F0FA8"/>
        </w:tc>
        <w:tc>
          <w:tcPr>
            <w:tcW w:w="754" w:type="dxa"/>
            <w:shd w:val="clear" w:color="auto" w:fill="00B0F0"/>
          </w:tcPr>
          <w:p w14:paraId="21FBC932" w14:textId="77777777" w:rsidR="00776133" w:rsidRDefault="00776133" w:rsidP="005F0FA8"/>
        </w:tc>
        <w:tc>
          <w:tcPr>
            <w:tcW w:w="755" w:type="dxa"/>
            <w:shd w:val="clear" w:color="auto" w:fill="00B0F0"/>
          </w:tcPr>
          <w:p w14:paraId="536235F7" w14:textId="77777777" w:rsidR="00776133" w:rsidRDefault="00776133" w:rsidP="005F0FA8"/>
        </w:tc>
        <w:tc>
          <w:tcPr>
            <w:tcW w:w="754" w:type="dxa"/>
            <w:shd w:val="clear" w:color="auto" w:fill="00B0F0"/>
          </w:tcPr>
          <w:p w14:paraId="33D6E325" w14:textId="77777777" w:rsidR="00776133" w:rsidRDefault="00776133" w:rsidP="005F0FA8"/>
        </w:tc>
        <w:tc>
          <w:tcPr>
            <w:tcW w:w="755" w:type="dxa"/>
            <w:shd w:val="clear" w:color="auto" w:fill="00B0F0"/>
          </w:tcPr>
          <w:p w14:paraId="564A1938" w14:textId="77777777" w:rsidR="00776133" w:rsidRDefault="00776133" w:rsidP="005F0FA8"/>
        </w:tc>
      </w:tr>
      <w:tr w:rsidR="00776133" w14:paraId="401EC58D" w14:textId="73B6611E" w:rsidTr="002271B7">
        <w:tc>
          <w:tcPr>
            <w:tcW w:w="3928" w:type="dxa"/>
          </w:tcPr>
          <w:p w14:paraId="682ACE9F" w14:textId="40659856" w:rsidR="00776133" w:rsidRDefault="00776133" w:rsidP="00B23E9C">
            <w:r>
              <w:t>Provide guidance for Health Providers on Contingency Management</w:t>
            </w:r>
          </w:p>
        </w:tc>
        <w:tc>
          <w:tcPr>
            <w:tcW w:w="754" w:type="dxa"/>
            <w:shd w:val="clear" w:color="auto" w:fill="00B0F0"/>
          </w:tcPr>
          <w:p w14:paraId="4D459AFA" w14:textId="77777777" w:rsidR="00776133" w:rsidRDefault="00776133" w:rsidP="005F0FA8"/>
        </w:tc>
        <w:tc>
          <w:tcPr>
            <w:tcW w:w="754" w:type="dxa"/>
            <w:shd w:val="clear" w:color="auto" w:fill="00B0F0"/>
          </w:tcPr>
          <w:p w14:paraId="02575446" w14:textId="77777777" w:rsidR="00776133" w:rsidRDefault="00776133" w:rsidP="005F0FA8"/>
        </w:tc>
        <w:tc>
          <w:tcPr>
            <w:tcW w:w="755" w:type="dxa"/>
            <w:shd w:val="clear" w:color="auto" w:fill="00B0F0"/>
          </w:tcPr>
          <w:p w14:paraId="6B48A0AC" w14:textId="77777777" w:rsidR="00776133" w:rsidRDefault="00776133" w:rsidP="005F0FA8"/>
        </w:tc>
        <w:tc>
          <w:tcPr>
            <w:tcW w:w="754" w:type="dxa"/>
            <w:shd w:val="clear" w:color="auto" w:fill="00B0F0"/>
          </w:tcPr>
          <w:p w14:paraId="5C48DCDF" w14:textId="77777777" w:rsidR="00776133" w:rsidRDefault="00776133" w:rsidP="005F0FA8"/>
        </w:tc>
        <w:tc>
          <w:tcPr>
            <w:tcW w:w="755" w:type="dxa"/>
            <w:shd w:val="clear" w:color="auto" w:fill="00B0F0"/>
          </w:tcPr>
          <w:p w14:paraId="724E47A0" w14:textId="77777777" w:rsidR="00776133" w:rsidRDefault="00776133" w:rsidP="005F0FA8"/>
        </w:tc>
        <w:tc>
          <w:tcPr>
            <w:tcW w:w="754" w:type="dxa"/>
            <w:shd w:val="clear" w:color="auto" w:fill="00B0F0"/>
          </w:tcPr>
          <w:p w14:paraId="5F6D2659" w14:textId="77777777" w:rsidR="00776133" w:rsidRDefault="00776133" w:rsidP="005F0FA8"/>
        </w:tc>
        <w:tc>
          <w:tcPr>
            <w:tcW w:w="755" w:type="dxa"/>
            <w:shd w:val="clear" w:color="auto" w:fill="00B0F0"/>
          </w:tcPr>
          <w:p w14:paraId="36B8ABB1" w14:textId="77777777" w:rsidR="00776133" w:rsidRDefault="00776133" w:rsidP="005F0FA8"/>
        </w:tc>
      </w:tr>
      <w:tr w:rsidR="00776133" w14:paraId="1DF57F1D" w14:textId="659F7F70" w:rsidTr="00776133">
        <w:tc>
          <w:tcPr>
            <w:tcW w:w="3928" w:type="dxa"/>
          </w:tcPr>
          <w:p w14:paraId="778D98F2" w14:textId="1491E307" w:rsidR="00776133" w:rsidRDefault="00776133" w:rsidP="00A466B8">
            <w:r>
              <w:t xml:space="preserve">Identify systematic issues and provide guidance where required, </w:t>
            </w:r>
            <w:proofErr w:type="gramStart"/>
            <w:r>
              <w:t>e.g.</w:t>
            </w:r>
            <w:proofErr w:type="gramEnd"/>
            <w:r>
              <w:t xml:space="preserve"> packaging for frozen products and short shelf life products</w:t>
            </w:r>
          </w:p>
        </w:tc>
        <w:tc>
          <w:tcPr>
            <w:tcW w:w="754" w:type="dxa"/>
            <w:shd w:val="clear" w:color="auto" w:fill="00B0F0"/>
          </w:tcPr>
          <w:p w14:paraId="0E317D3E" w14:textId="77777777" w:rsidR="00776133" w:rsidRDefault="00776133" w:rsidP="005F0FA8"/>
        </w:tc>
        <w:tc>
          <w:tcPr>
            <w:tcW w:w="754" w:type="dxa"/>
            <w:shd w:val="clear" w:color="auto" w:fill="00B0F0"/>
          </w:tcPr>
          <w:p w14:paraId="1B9E7AC8" w14:textId="77777777" w:rsidR="00776133" w:rsidRDefault="00776133" w:rsidP="005F0FA8"/>
        </w:tc>
        <w:tc>
          <w:tcPr>
            <w:tcW w:w="755" w:type="dxa"/>
            <w:shd w:val="clear" w:color="auto" w:fill="00B0F0"/>
          </w:tcPr>
          <w:p w14:paraId="29D91A88" w14:textId="77777777" w:rsidR="00776133" w:rsidRDefault="00776133" w:rsidP="005F0FA8"/>
        </w:tc>
        <w:tc>
          <w:tcPr>
            <w:tcW w:w="754" w:type="dxa"/>
            <w:shd w:val="clear" w:color="auto" w:fill="00B0F0"/>
          </w:tcPr>
          <w:p w14:paraId="08DB9F03" w14:textId="77777777" w:rsidR="00776133" w:rsidRDefault="00776133" w:rsidP="005F0FA8"/>
        </w:tc>
        <w:tc>
          <w:tcPr>
            <w:tcW w:w="755" w:type="dxa"/>
            <w:shd w:val="clear" w:color="auto" w:fill="00B0F0"/>
          </w:tcPr>
          <w:p w14:paraId="6C6FF421" w14:textId="77777777" w:rsidR="00776133" w:rsidRDefault="00776133" w:rsidP="005F0FA8"/>
        </w:tc>
        <w:tc>
          <w:tcPr>
            <w:tcW w:w="754" w:type="dxa"/>
            <w:shd w:val="clear" w:color="auto" w:fill="00B0F0"/>
          </w:tcPr>
          <w:p w14:paraId="346BD928" w14:textId="77777777" w:rsidR="00776133" w:rsidRDefault="00776133" w:rsidP="005F0FA8"/>
        </w:tc>
        <w:tc>
          <w:tcPr>
            <w:tcW w:w="755" w:type="dxa"/>
            <w:shd w:val="clear" w:color="auto" w:fill="00B0F0"/>
          </w:tcPr>
          <w:p w14:paraId="32E8D93C" w14:textId="77777777" w:rsidR="00776133" w:rsidRDefault="00776133" w:rsidP="005F0FA8"/>
        </w:tc>
      </w:tr>
      <w:tr w:rsidR="00776133" w14:paraId="01D9FD71" w14:textId="29E29BB4" w:rsidTr="002271B7">
        <w:tc>
          <w:tcPr>
            <w:tcW w:w="3928" w:type="dxa"/>
          </w:tcPr>
          <w:p w14:paraId="6E1A4F61" w14:textId="77777777" w:rsidR="00776133" w:rsidRDefault="00776133" w:rsidP="00D93FC7">
            <w:r w:rsidRPr="00FE6EE5">
              <w:rPr>
                <w:rFonts w:asciiTheme="minorHAnsi" w:hAnsiTheme="minorHAnsi"/>
              </w:rPr>
              <w:t>Review and improve product transfer arrangements</w:t>
            </w:r>
          </w:p>
        </w:tc>
        <w:tc>
          <w:tcPr>
            <w:tcW w:w="754" w:type="dxa"/>
            <w:shd w:val="clear" w:color="auto" w:fill="00B0F0"/>
          </w:tcPr>
          <w:p w14:paraId="02641FE6" w14:textId="77777777" w:rsidR="00776133" w:rsidRDefault="00776133" w:rsidP="005F0FA8"/>
        </w:tc>
        <w:tc>
          <w:tcPr>
            <w:tcW w:w="754" w:type="dxa"/>
            <w:shd w:val="clear" w:color="auto" w:fill="00B0F0"/>
          </w:tcPr>
          <w:p w14:paraId="56285E25" w14:textId="77777777" w:rsidR="00776133" w:rsidRDefault="00776133" w:rsidP="005F0FA8"/>
        </w:tc>
        <w:tc>
          <w:tcPr>
            <w:tcW w:w="755" w:type="dxa"/>
            <w:shd w:val="clear" w:color="auto" w:fill="00B0F0"/>
          </w:tcPr>
          <w:p w14:paraId="65B095FF" w14:textId="77777777" w:rsidR="00776133" w:rsidRDefault="00776133" w:rsidP="005F0FA8"/>
        </w:tc>
        <w:tc>
          <w:tcPr>
            <w:tcW w:w="754" w:type="dxa"/>
            <w:shd w:val="clear" w:color="auto" w:fill="00B0F0"/>
          </w:tcPr>
          <w:p w14:paraId="42773F56" w14:textId="77777777" w:rsidR="00776133" w:rsidRDefault="00776133" w:rsidP="005F0FA8"/>
        </w:tc>
        <w:tc>
          <w:tcPr>
            <w:tcW w:w="755" w:type="dxa"/>
            <w:shd w:val="clear" w:color="auto" w:fill="00B0F0"/>
          </w:tcPr>
          <w:p w14:paraId="73C5AF10" w14:textId="77777777" w:rsidR="00776133" w:rsidRDefault="00776133" w:rsidP="005F0FA8"/>
        </w:tc>
        <w:tc>
          <w:tcPr>
            <w:tcW w:w="754" w:type="dxa"/>
            <w:shd w:val="clear" w:color="auto" w:fill="00B0F0"/>
          </w:tcPr>
          <w:p w14:paraId="67DB15BD" w14:textId="77777777" w:rsidR="00776133" w:rsidRDefault="00776133" w:rsidP="005F0FA8"/>
        </w:tc>
        <w:tc>
          <w:tcPr>
            <w:tcW w:w="755" w:type="dxa"/>
            <w:shd w:val="clear" w:color="auto" w:fill="auto"/>
          </w:tcPr>
          <w:p w14:paraId="757C181D" w14:textId="77777777" w:rsidR="00776133" w:rsidRDefault="00776133" w:rsidP="005F0FA8"/>
        </w:tc>
      </w:tr>
      <w:tr w:rsidR="00776133" w14:paraId="205277CA" w14:textId="34B5F491" w:rsidTr="00776133">
        <w:tc>
          <w:tcPr>
            <w:tcW w:w="3928" w:type="dxa"/>
          </w:tcPr>
          <w:p w14:paraId="22DC78A6" w14:textId="77777777" w:rsidR="00776133" w:rsidRPr="00B142FF" w:rsidRDefault="00776133" w:rsidP="001D337C">
            <w:pPr>
              <w:rPr>
                <w:rFonts w:asciiTheme="minorHAnsi" w:hAnsiTheme="minorHAnsi"/>
              </w:rPr>
            </w:pPr>
            <w:r>
              <w:t>Provide guidance to assist in the implementation of NSQHS Standard 7</w:t>
            </w:r>
          </w:p>
        </w:tc>
        <w:tc>
          <w:tcPr>
            <w:tcW w:w="754" w:type="dxa"/>
            <w:shd w:val="clear" w:color="auto" w:fill="00B0F0"/>
          </w:tcPr>
          <w:p w14:paraId="7F0D2C4E" w14:textId="77777777" w:rsidR="00776133" w:rsidRDefault="00776133" w:rsidP="005F0FA8"/>
        </w:tc>
        <w:tc>
          <w:tcPr>
            <w:tcW w:w="754" w:type="dxa"/>
            <w:shd w:val="clear" w:color="auto" w:fill="00B0F0"/>
          </w:tcPr>
          <w:p w14:paraId="37699F6D" w14:textId="77777777" w:rsidR="00776133" w:rsidRDefault="00776133" w:rsidP="005F0FA8"/>
        </w:tc>
        <w:tc>
          <w:tcPr>
            <w:tcW w:w="755" w:type="dxa"/>
            <w:shd w:val="clear" w:color="auto" w:fill="00B0F0"/>
          </w:tcPr>
          <w:p w14:paraId="6A15F26F" w14:textId="77777777" w:rsidR="00776133" w:rsidRDefault="00776133" w:rsidP="005F0FA8"/>
        </w:tc>
        <w:tc>
          <w:tcPr>
            <w:tcW w:w="754" w:type="dxa"/>
            <w:shd w:val="clear" w:color="auto" w:fill="00B0F0"/>
          </w:tcPr>
          <w:p w14:paraId="6702845B" w14:textId="77777777" w:rsidR="00776133" w:rsidRDefault="00776133" w:rsidP="005F0FA8"/>
        </w:tc>
        <w:tc>
          <w:tcPr>
            <w:tcW w:w="755" w:type="dxa"/>
            <w:shd w:val="clear" w:color="auto" w:fill="00B0F0"/>
          </w:tcPr>
          <w:p w14:paraId="669C96CF" w14:textId="77777777" w:rsidR="00776133" w:rsidRDefault="00776133" w:rsidP="005F0FA8"/>
        </w:tc>
        <w:tc>
          <w:tcPr>
            <w:tcW w:w="754" w:type="dxa"/>
            <w:shd w:val="clear" w:color="auto" w:fill="00B0F0"/>
          </w:tcPr>
          <w:p w14:paraId="0DED0D77" w14:textId="77777777" w:rsidR="00776133" w:rsidRDefault="00776133" w:rsidP="005F0FA8"/>
        </w:tc>
        <w:tc>
          <w:tcPr>
            <w:tcW w:w="755" w:type="dxa"/>
            <w:shd w:val="clear" w:color="auto" w:fill="00B0F0"/>
          </w:tcPr>
          <w:p w14:paraId="43742509" w14:textId="77777777" w:rsidR="00776133" w:rsidRDefault="00776133" w:rsidP="005F0FA8"/>
        </w:tc>
      </w:tr>
      <w:tr w:rsidR="00776133" w14:paraId="3746EAA5" w14:textId="59BD9340" w:rsidTr="00776133">
        <w:tc>
          <w:tcPr>
            <w:tcW w:w="3928" w:type="dxa"/>
          </w:tcPr>
          <w:p w14:paraId="16CA4C23" w14:textId="77777777" w:rsidR="00776133" w:rsidRPr="00B142FF" w:rsidRDefault="00776133" w:rsidP="001D337C">
            <w:pPr>
              <w:rPr>
                <w:rFonts w:asciiTheme="minorHAnsi" w:hAnsiTheme="minorHAnsi"/>
              </w:rPr>
            </w:pPr>
            <w:r w:rsidRPr="00B142FF">
              <w:rPr>
                <w:rFonts w:asciiTheme="minorHAnsi" w:hAnsiTheme="minorHAnsi"/>
              </w:rPr>
              <w:t>Continue to implement the Australian Health Provider Blood and Blood Products Charter (Charter)</w:t>
            </w:r>
          </w:p>
        </w:tc>
        <w:tc>
          <w:tcPr>
            <w:tcW w:w="754" w:type="dxa"/>
            <w:shd w:val="clear" w:color="auto" w:fill="00B0F0"/>
          </w:tcPr>
          <w:p w14:paraId="69D7A6B1" w14:textId="77777777" w:rsidR="00776133" w:rsidRDefault="00776133" w:rsidP="005F0FA8"/>
        </w:tc>
        <w:tc>
          <w:tcPr>
            <w:tcW w:w="754" w:type="dxa"/>
            <w:shd w:val="clear" w:color="auto" w:fill="00B0F0"/>
          </w:tcPr>
          <w:p w14:paraId="1122B530" w14:textId="77777777" w:rsidR="00776133" w:rsidRDefault="00776133" w:rsidP="005F0FA8"/>
        </w:tc>
        <w:tc>
          <w:tcPr>
            <w:tcW w:w="755" w:type="dxa"/>
            <w:shd w:val="clear" w:color="auto" w:fill="00B0F0"/>
          </w:tcPr>
          <w:p w14:paraId="7B8DA097" w14:textId="77777777" w:rsidR="00776133" w:rsidRDefault="00776133" w:rsidP="005F0FA8"/>
        </w:tc>
        <w:tc>
          <w:tcPr>
            <w:tcW w:w="754" w:type="dxa"/>
            <w:shd w:val="clear" w:color="auto" w:fill="00B0F0"/>
          </w:tcPr>
          <w:p w14:paraId="0356BCDE" w14:textId="77777777" w:rsidR="00776133" w:rsidRDefault="00776133" w:rsidP="005F0FA8"/>
        </w:tc>
        <w:tc>
          <w:tcPr>
            <w:tcW w:w="755" w:type="dxa"/>
            <w:shd w:val="clear" w:color="auto" w:fill="00B0F0"/>
          </w:tcPr>
          <w:p w14:paraId="31983570" w14:textId="77777777" w:rsidR="00776133" w:rsidRDefault="00776133" w:rsidP="005F0FA8"/>
        </w:tc>
        <w:tc>
          <w:tcPr>
            <w:tcW w:w="754" w:type="dxa"/>
            <w:shd w:val="clear" w:color="auto" w:fill="00B0F0"/>
          </w:tcPr>
          <w:p w14:paraId="205023A3" w14:textId="77777777" w:rsidR="00776133" w:rsidRDefault="00776133" w:rsidP="005F0FA8"/>
        </w:tc>
        <w:tc>
          <w:tcPr>
            <w:tcW w:w="755" w:type="dxa"/>
            <w:shd w:val="clear" w:color="auto" w:fill="00B0F0"/>
          </w:tcPr>
          <w:p w14:paraId="58C6D4F1" w14:textId="77777777" w:rsidR="00776133" w:rsidRDefault="00776133" w:rsidP="005F0FA8"/>
        </w:tc>
      </w:tr>
      <w:tr w:rsidR="00776133" w14:paraId="0048AC2E" w14:textId="5EE40175" w:rsidTr="00776133">
        <w:tc>
          <w:tcPr>
            <w:tcW w:w="3928" w:type="dxa"/>
          </w:tcPr>
          <w:p w14:paraId="36A4976E" w14:textId="77777777" w:rsidR="00776133" w:rsidRDefault="00776133" w:rsidP="001D337C">
            <w:r>
              <w:t xml:space="preserve">Provide guidance if required for the outcomes of the </w:t>
            </w:r>
            <w:r w:rsidRPr="001D337C">
              <w:t>Medicare Benefits Schedule (MBS) Review</w:t>
            </w:r>
            <w:r>
              <w:t xml:space="preserve"> </w:t>
            </w:r>
          </w:p>
        </w:tc>
        <w:tc>
          <w:tcPr>
            <w:tcW w:w="754" w:type="dxa"/>
            <w:shd w:val="clear" w:color="auto" w:fill="00B0F0"/>
          </w:tcPr>
          <w:p w14:paraId="6352287B" w14:textId="77777777" w:rsidR="00776133" w:rsidRDefault="00776133" w:rsidP="005F0FA8"/>
        </w:tc>
        <w:tc>
          <w:tcPr>
            <w:tcW w:w="754" w:type="dxa"/>
            <w:shd w:val="clear" w:color="auto" w:fill="00B0F0"/>
          </w:tcPr>
          <w:p w14:paraId="61E7E87F" w14:textId="77777777" w:rsidR="00776133" w:rsidRDefault="00776133" w:rsidP="005F0FA8"/>
        </w:tc>
        <w:tc>
          <w:tcPr>
            <w:tcW w:w="755" w:type="dxa"/>
            <w:shd w:val="clear" w:color="auto" w:fill="auto"/>
          </w:tcPr>
          <w:p w14:paraId="18CF4CF8" w14:textId="77777777" w:rsidR="00776133" w:rsidRPr="00747796" w:rsidRDefault="00776133" w:rsidP="005F0FA8"/>
        </w:tc>
        <w:tc>
          <w:tcPr>
            <w:tcW w:w="754" w:type="dxa"/>
            <w:shd w:val="clear" w:color="auto" w:fill="auto"/>
          </w:tcPr>
          <w:p w14:paraId="63C89118" w14:textId="77777777" w:rsidR="00776133" w:rsidRPr="00747796" w:rsidRDefault="00776133" w:rsidP="005F0FA8"/>
        </w:tc>
        <w:tc>
          <w:tcPr>
            <w:tcW w:w="755" w:type="dxa"/>
            <w:shd w:val="clear" w:color="auto" w:fill="auto"/>
          </w:tcPr>
          <w:p w14:paraId="20733F1B" w14:textId="77777777" w:rsidR="00776133" w:rsidRPr="00747796" w:rsidRDefault="00776133" w:rsidP="005F0FA8"/>
        </w:tc>
        <w:tc>
          <w:tcPr>
            <w:tcW w:w="754" w:type="dxa"/>
          </w:tcPr>
          <w:p w14:paraId="23A18AE2" w14:textId="77777777" w:rsidR="00776133" w:rsidRPr="00747796" w:rsidRDefault="00776133" w:rsidP="005F0FA8"/>
        </w:tc>
        <w:tc>
          <w:tcPr>
            <w:tcW w:w="755" w:type="dxa"/>
          </w:tcPr>
          <w:p w14:paraId="6C18D286" w14:textId="77777777" w:rsidR="00776133" w:rsidRPr="00747796" w:rsidRDefault="00776133" w:rsidP="005F0FA8"/>
        </w:tc>
      </w:tr>
    </w:tbl>
    <w:p w14:paraId="7F020B1E" w14:textId="77777777" w:rsidR="00E25E7F" w:rsidRDefault="00E25E7F" w:rsidP="00431818">
      <w:pPr>
        <w:pStyle w:val="Heading2"/>
      </w:pPr>
      <w:bookmarkStart w:id="11" w:name="_Toc498963434"/>
      <w:bookmarkStart w:id="12" w:name="_Toc343260146"/>
      <w:r>
        <w:t>TOOL AND RESOURCES</w:t>
      </w:r>
      <w:bookmarkEnd w:id="11"/>
    </w:p>
    <w:p w14:paraId="0C7176C3" w14:textId="3BBF3778" w:rsidR="00F439D3" w:rsidRPr="00F439D3" w:rsidRDefault="00F439D3" w:rsidP="00F439D3">
      <w:pPr>
        <w:spacing w:after="240" w:line="312" w:lineRule="auto"/>
        <w:rPr>
          <w:rFonts w:asciiTheme="minorHAnsi" w:hAnsiTheme="minorHAnsi" w:cstheme="minorHAnsi"/>
        </w:rPr>
      </w:pPr>
      <w:r>
        <w:rPr>
          <w:rFonts w:asciiTheme="minorHAnsi" w:hAnsiTheme="minorHAnsi" w:cstheme="minorHAnsi"/>
        </w:rPr>
        <w:t xml:space="preserve">The NBA will coordinate, through the jurisdictions, the identification and </w:t>
      </w:r>
      <w:r w:rsidRPr="00EA18F7">
        <w:rPr>
          <w:rFonts w:asciiTheme="minorHAnsi" w:hAnsiTheme="minorHAnsi" w:cstheme="minorHAnsi"/>
        </w:rPr>
        <w:t xml:space="preserve">development </w:t>
      </w:r>
      <w:r>
        <w:rPr>
          <w:rFonts w:asciiTheme="minorHAnsi" w:hAnsiTheme="minorHAnsi" w:cstheme="minorHAnsi"/>
        </w:rPr>
        <w:t xml:space="preserve">of tools and resources </w:t>
      </w:r>
      <w:r w:rsidRPr="00F439D3">
        <w:rPr>
          <w:rFonts w:asciiTheme="minorHAnsi" w:hAnsiTheme="minorHAnsi" w:cstheme="minorHAnsi"/>
        </w:rPr>
        <w:t>that can be modified and branded by health service organisations</w:t>
      </w:r>
      <w:r w:rsidRPr="00EA18F7">
        <w:rPr>
          <w:rFonts w:asciiTheme="minorHAnsi" w:hAnsiTheme="minorHAnsi" w:cstheme="minorHAnsi"/>
        </w:rPr>
        <w:t xml:space="preserve"> to support </w:t>
      </w:r>
      <w:r w:rsidR="0087080A">
        <w:rPr>
          <w:rFonts w:asciiTheme="minorHAnsi" w:hAnsiTheme="minorHAnsi" w:cstheme="minorHAnsi"/>
        </w:rPr>
        <w:t>blood product management improvements</w:t>
      </w:r>
      <w:r>
        <w:rPr>
          <w:rFonts w:asciiTheme="minorHAnsi" w:hAnsiTheme="minorHAnsi" w:cstheme="minorHAnsi"/>
        </w:rPr>
        <w:t xml:space="preserve"> in their own institution.</w:t>
      </w:r>
      <w:r w:rsidRPr="00F439D3">
        <w:rPr>
          <w:rFonts w:asciiTheme="minorHAnsi" w:hAnsiTheme="minorHAnsi" w:cstheme="minorHAnsi"/>
        </w:rPr>
        <w:t xml:space="preserve"> The NBA will use a collaborative approach to the development of the tools, drawing on relevant jurisdictional and stakeholder expertise or associated work already completed.</w:t>
      </w:r>
    </w:p>
    <w:p w14:paraId="77E5D840" w14:textId="77777777" w:rsidR="00F439D3" w:rsidRPr="00F439D3" w:rsidRDefault="00F439D3" w:rsidP="00F439D3">
      <w:pPr>
        <w:spacing w:after="240" w:line="312" w:lineRule="auto"/>
        <w:rPr>
          <w:rFonts w:asciiTheme="minorHAnsi" w:hAnsiTheme="minorHAnsi" w:cstheme="minorHAnsi"/>
        </w:rPr>
      </w:pPr>
      <w:r>
        <w:rPr>
          <w:rFonts w:asciiTheme="minorHAnsi" w:hAnsiTheme="minorHAnsi" w:cstheme="minorHAnsi"/>
        </w:rPr>
        <w:t>T</w:t>
      </w:r>
      <w:r w:rsidRPr="00F439D3">
        <w:rPr>
          <w:rFonts w:asciiTheme="minorHAnsi" w:hAnsiTheme="minorHAnsi" w:cstheme="minorHAnsi"/>
        </w:rPr>
        <w:t xml:space="preserve">he NBA </w:t>
      </w:r>
      <w:r>
        <w:rPr>
          <w:rFonts w:asciiTheme="minorHAnsi" w:hAnsiTheme="minorHAnsi" w:cstheme="minorHAnsi"/>
        </w:rPr>
        <w:t xml:space="preserve">will </w:t>
      </w:r>
      <w:r w:rsidRPr="00F439D3">
        <w:rPr>
          <w:rFonts w:asciiTheme="minorHAnsi" w:hAnsiTheme="minorHAnsi" w:cstheme="minorHAnsi"/>
        </w:rPr>
        <w:t>monitor the progress of the tools and resources, identifying current tools needing review and proposing future tools and resources.</w:t>
      </w:r>
    </w:p>
    <w:p w14:paraId="47A5FF0B" w14:textId="31BFCBB7" w:rsidR="00E3471C" w:rsidRDefault="00E3471C" w:rsidP="00641C09">
      <w:pPr>
        <w:spacing w:after="240" w:line="312" w:lineRule="auto"/>
      </w:pPr>
      <w:r>
        <w:lastRenderedPageBreak/>
        <w:t xml:space="preserve">The development of the evidence-based </w:t>
      </w:r>
      <w:r w:rsidRPr="00845902">
        <w:rPr>
          <w:i/>
        </w:rPr>
        <w:t>Managing Blood Product Inventory: Guidelines for Australian Health Providers</w:t>
      </w:r>
      <w:r>
        <w:t xml:space="preserve">, supported by a toolkit of better practice tools that can be modified, </w:t>
      </w:r>
      <w:proofErr w:type="gramStart"/>
      <w:r>
        <w:t>branded</w:t>
      </w:r>
      <w:proofErr w:type="gramEnd"/>
      <w:r>
        <w:t xml:space="preserve"> and adopted by health providers will further support health providers and will provide a suitable benchmark for those accrediting health providers and pathology laboratories. </w:t>
      </w:r>
    </w:p>
    <w:p w14:paraId="25EEBCE6" w14:textId="77777777" w:rsidR="00F439D3" w:rsidRDefault="00F439D3" w:rsidP="00F439D3">
      <w:pPr>
        <w:spacing w:after="240" w:line="312" w:lineRule="auto"/>
        <w:rPr>
          <w:rFonts w:asciiTheme="minorHAnsi" w:hAnsiTheme="minorHAnsi" w:cstheme="minorHAnsi"/>
        </w:rPr>
      </w:pPr>
      <w:r w:rsidRPr="00F439D3">
        <w:rPr>
          <w:rFonts w:asciiTheme="minorHAnsi" w:hAnsiTheme="minorHAnsi" w:cstheme="minorHAnsi"/>
        </w:rPr>
        <w:t>Priority will be given to tools that will support health service organisations to implement the Standard such as case studies, policy guidance, guidance for local data collection and analysis, and audits.</w:t>
      </w:r>
    </w:p>
    <w:p w14:paraId="52D18C76" w14:textId="77777777" w:rsidR="00FB0A20" w:rsidRPr="00641C09" w:rsidRDefault="00FB0A20" w:rsidP="00641C09">
      <w:pPr>
        <w:spacing w:after="240" w:line="312" w:lineRule="auto"/>
        <w:rPr>
          <w:rFonts w:asciiTheme="minorHAnsi" w:hAnsiTheme="minorHAnsi" w:cstheme="minorHAnsi"/>
        </w:rPr>
      </w:pPr>
      <w:r w:rsidRPr="00641C09">
        <w:rPr>
          <w:rFonts w:asciiTheme="minorHAnsi" w:hAnsiTheme="minorHAnsi" w:cstheme="minorHAnsi"/>
        </w:rPr>
        <w:t>Existing inventory management projects, including the National Inventory Management Framework (NIMF) collaborative project with the Blood Service and the National Blood Authority</w:t>
      </w:r>
      <w:r w:rsidR="00B47083">
        <w:rPr>
          <w:rFonts w:asciiTheme="minorHAnsi" w:hAnsiTheme="minorHAnsi" w:cstheme="minorHAnsi"/>
        </w:rPr>
        <w:t>,</w:t>
      </w:r>
      <w:r w:rsidRPr="00641C09">
        <w:rPr>
          <w:rFonts w:asciiTheme="minorHAnsi" w:hAnsiTheme="minorHAnsi" w:cstheme="minorHAnsi"/>
        </w:rPr>
        <w:t xml:space="preserve"> will continue enable better practice inventory management across the sector. </w:t>
      </w:r>
    </w:p>
    <w:tbl>
      <w:tblPr>
        <w:tblStyle w:val="TableGrid"/>
        <w:tblW w:w="9209" w:type="dxa"/>
        <w:tblLook w:val="04A0" w:firstRow="1" w:lastRow="0" w:firstColumn="1" w:lastColumn="0" w:noHBand="0" w:noVBand="1"/>
      </w:tblPr>
      <w:tblGrid>
        <w:gridCol w:w="3919"/>
        <w:gridCol w:w="755"/>
        <w:gridCol w:w="756"/>
        <w:gridCol w:w="756"/>
        <w:gridCol w:w="755"/>
        <w:gridCol w:w="756"/>
        <w:gridCol w:w="756"/>
        <w:gridCol w:w="756"/>
      </w:tblGrid>
      <w:tr w:rsidR="00776133" w:rsidRPr="001051F9" w14:paraId="705D9911" w14:textId="7B111FEF" w:rsidTr="00776133">
        <w:trPr>
          <w:tblHeader/>
        </w:trPr>
        <w:tc>
          <w:tcPr>
            <w:tcW w:w="3919" w:type="dxa"/>
          </w:tcPr>
          <w:p w14:paraId="4C065A97" w14:textId="77777777" w:rsidR="00776133" w:rsidRPr="001051F9" w:rsidRDefault="00776133" w:rsidP="00776133">
            <w:pPr>
              <w:jc w:val="center"/>
              <w:rPr>
                <w:b/>
              </w:rPr>
            </w:pPr>
            <w:r>
              <w:rPr>
                <w:b/>
              </w:rPr>
              <w:t>Activities</w:t>
            </w:r>
          </w:p>
        </w:tc>
        <w:tc>
          <w:tcPr>
            <w:tcW w:w="755" w:type="dxa"/>
          </w:tcPr>
          <w:p w14:paraId="2ACE36E3" w14:textId="77777777" w:rsidR="00776133" w:rsidRPr="001051F9" w:rsidRDefault="00776133" w:rsidP="00776133">
            <w:pPr>
              <w:jc w:val="center"/>
              <w:rPr>
                <w:b/>
              </w:rPr>
            </w:pPr>
            <w:r w:rsidRPr="001051F9">
              <w:rPr>
                <w:b/>
              </w:rPr>
              <w:t>201</w:t>
            </w:r>
            <w:r>
              <w:rPr>
                <w:b/>
              </w:rPr>
              <w:t>8</w:t>
            </w:r>
          </w:p>
        </w:tc>
        <w:tc>
          <w:tcPr>
            <w:tcW w:w="756" w:type="dxa"/>
          </w:tcPr>
          <w:p w14:paraId="441C68BF" w14:textId="77777777" w:rsidR="00776133" w:rsidRPr="001051F9" w:rsidRDefault="00776133" w:rsidP="00776133">
            <w:pPr>
              <w:jc w:val="center"/>
              <w:rPr>
                <w:b/>
              </w:rPr>
            </w:pPr>
            <w:r w:rsidRPr="001051F9">
              <w:rPr>
                <w:b/>
              </w:rPr>
              <w:t>201</w:t>
            </w:r>
            <w:r>
              <w:rPr>
                <w:b/>
              </w:rPr>
              <w:t>9</w:t>
            </w:r>
          </w:p>
        </w:tc>
        <w:tc>
          <w:tcPr>
            <w:tcW w:w="756" w:type="dxa"/>
          </w:tcPr>
          <w:p w14:paraId="10EB4FC4" w14:textId="77777777" w:rsidR="00776133" w:rsidRPr="001051F9" w:rsidRDefault="00776133" w:rsidP="00776133">
            <w:pPr>
              <w:jc w:val="center"/>
              <w:rPr>
                <w:b/>
              </w:rPr>
            </w:pPr>
            <w:r w:rsidRPr="001051F9">
              <w:rPr>
                <w:b/>
              </w:rPr>
              <w:t>20</w:t>
            </w:r>
            <w:r>
              <w:rPr>
                <w:b/>
              </w:rPr>
              <w:t>20</w:t>
            </w:r>
          </w:p>
        </w:tc>
        <w:tc>
          <w:tcPr>
            <w:tcW w:w="755" w:type="dxa"/>
          </w:tcPr>
          <w:p w14:paraId="2E5FC6A8" w14:textId="77777777" w:rsidR="00776133" w:rsidRPr="001051F9" w:rsidRDefault="00776133" w:rsidP="00776133">
            <w:pPr>
              <w:jc w:val="center"/>
              <w:rPr>
                <w:b/>
              </w:rPr>
            </w:pPr>
            <w:r w:rsidRPr="001051F9">
              <w:rPr>
                <w:b/>
              </w:rPr>
              <w:t>202</w:t>
            </w:r>
            <w:r>
              <w:rPr>
                <w:b/>
              </w:rPr>
              <w:t>1</w:t>
            </w:r>
          </w:p>
        </w:tc>
        <w:tc>
          <w:tcPr>
            <w:tcW w:w="756" w:type="dxa"/>
          </w:tcPr>
          <w:p w14:paraId="2B54D434" w14:textId="77777777" w:rsidR="00776133" w:rsidRPr="001051F9" w:rsidRDefault="00776133" w:rsidP="00776133">
            <w:pPr>
              <w:jc w:val="center"/>
              <w:rPr>
                <w:b/>
              </w:rPr>
            </w:pPr>
            <w:r w:rsidRPr="001051F9">
              <w:rPr>
                <w:b/>
              </w:rPr>
              <w:t>202</w:t>
            </w:r>
            <w:r>
              <w:rPr>
                <w:b/>
              </w:rPr>
              <w:t>2</w:t>
            </w:r>
          </w:p>
        </w:tc>
        <w:tc>
          <w:tcPr>
            <w:tcW w:w="756" w:type="dxa"/>
          </w:tcPr>
          <w:p w14:paraId="56FEE327" w14:textId="76550223" w:rsidR="00776133" w:rsidRPr="001051F9" w:rsidRDefault="00776133" w:rsidP="00776133">
            <w:pPr>
              <w:jc w:val="center"/>
              <w:rPr>
                <w:b/>
              </w:rPr>
            </w:pPr>
            <w:r>
              <w:rPr>
                <w:b/>
              </w:rPr>
              <w:t>2023</w:t>
            </w:r>
          </w:p>
        </w:tc>
        <w:tc>
          <w:tcPr>
            <w:tcW w:w="756" w:type="dxa"/>
          </w:tcPr>
          <w:p w14:paraId="5B0302B7" w14:textId="363FE510" w:rsidR="00776133" w:rsidRPr="001051F9" w:rsidRDefault="00776133" w:rsidP="00776133">
            <w:pPr>
              <w:jc w:val="center"/>
              <w:rPr>
                <w:b/>
              </w:rPr>
            </w:pPr>
            <w:r>
              <w:rPr>
                <w:b/>
              </w:rPr>
              <w:t>2024</w:t>
            </w:r>
          </w:p>
        </w:tc>
      </w:tr>
      <w:tr w:rsidR="00776133" w14:paraId="49CACFB9" w14:textId="1D8C2017" w:rsidTr="00776133">
        <w:tc>
          <w:tcPr>
            <w:tcW w:w="3919" w:type="dxa"/>
          </w:tcPr>
          <w:p w14:paraId="51C61AA2" w14:textId="77777777" w:rsidR="00776133" w:rsidRDefault="00776133" w:rsidP="00837425">
            <w:r>
              <w:t>Continue to implement the National Inventory Management Framework</w:t>
            </w:r>
          </w:p>
        </w:tc>
        <w:tc>
          <w:tcPr>
            <w:tcW w:w="755" w:type="dxa"/>
            <w:shd w:val="clear" w:color="auto" w:fill="00B0F0"/>
          </w:tcPr>
          <w:p w14:paraId="37F8A3A0" w14:textId="77777777" w:rsidR="00776133" w:rsidRDefault="00776133" w:rsidP="00837425"/>
        </w:tc>
        <w:tc>
          <w:tcPr>
            <w:tcW w:w="756" w:type="dxa"/>
            <w:shd w:val="clear" w:color="auto" w:fill="00B0F0"/>
          </w:tcPr>
          <w:p w14:paraId="58AA04BE" w14:textId="77777777" w:rsidR="00776133" w:rsidRDefault="00776133" w:rsidP="00837425"/>
        </w:tc>
        <w:tc>
          <w:tcPr>
            <w:tcW w:w="756" w:type="dxa"/>
            <w:shd w:val="clear" w:color="auto" w:fill="00B0F0"/>
          </w:tcPr>
          <w:p w14:paraId="0D84E224" w14:textId="77777777" w:rsidR="00776133" w:rsidRDefault="00776133" w:rsidP="00837425"/>
        </w:tc>
        <w:tc>
          <w:tcPr>
            <w:tcW w:w="755" w:type="dxa"/>
            <w:shd w:val="clear" w:color="auto" w:fill="00B0F0"/>
          </w:tcPr>
          <w:p w14:paraId="3DE42EE2" w14:textId="77777777" w:rsidR="00776133" w:rsidRDefault="00776133" w:rsidP="00837425"/>
        </w:tc>
        <w:tc>
          <w:tcPr>
            <w:tcW w:w="756" w:type="dxa"/>
            <w:shd w:val="clear" w:color="auto" w:fill="00B0F0"/>
          </w:tcPr>
          <w:p w14:paraId="75E76997" w14:textId="77777777" w:rsidR="00776133" w:rsidRDefault="00776133" w:rsidP="00837425"/>
        </w:tc>
        <w:tc>
          <w:tcPr>
            <w:tcW w:w="756" w:type="dxa"/>
            <w:shd w:val="clear" w:color="auto" w:fill="auto"/>
          </w:tcPr>
          <w:p w14:paraId="12148B38" w14:textId="77777777" w:rsidR="00776133" w:rsidRDefault="00776133" w:rsidP="00837425"/>
        </w:tc>
        <w:tc>
          <w:tcPr>
            <w:tcW w:w="756" w:type="dxa"/>
            <w:shd w:val="clear" w:color="auto" w:fill="auto"/>
          </w:tcPr>
          <w:p w14:paraId="23B7E4A1" w14:textId="77777777" w:rsidR="00776133" w:rsidRDefault="00776133" w:rsidP="00837425"/>
        </w:tc>
      </w:tr>
      <w:tr w:rsidR="00776133" w14:paraId="3C1A1097" w14:textId="60CAB8E5" w:rsidTr="00776133">
        <w:tc>
          <w:tcPr>
            <w:tcW w:w="3919" w:type="dxa"/>
          </w:tcPr>
          <w:p w14:paraId="048FCE71" w14:textId="77777777" w:rsidR="00776133" w:rsidRDefault="00776133" w:rsidP="00837425">
            <w:r>
              <w:t>Review current tools and update where required</w:t>
            </w:r>
          </w:p>
        </w:tc>
        <w:tc>
          <w:tcPr>
            <w:tcW w:w="755" w:type="dxa"/>
            <w:shd w:val="clear" w:color="auto" w:fill="00B0F0"/>
          </w:tcPr>
          <w:p w14:paraId="1BEF7D8D" w14:textId="77777777" w:rsidR="00776133" w:rsidRDefault="00776133" w:rsidP="00837425"/>
        </w:tc>
        <w:tc>
          <w:tcPr>
            <w:tcW w:w="756" w:type="dxa"/>
            <w:shd w:val="clear" w:color="auto" w:fill="00B0F0"/>
          </w:tcPr>
          <w:p w14:paraId="4DB03C0D" w14:textId="77777777" w:rsidR="00776133" w:rsidRDefault="00776133" w:rsidP="00837425"/>
        </w:tc>
        <w:tc>
          <w:tcPr>
            <w:tcW w:w="756" w:type="dxa"/>
            <w:shd w:val="clear" w:color="auto" w:fill="00B0F0"/>
          </w:tcPr>
          <w:p w14:paraId="7CFC908A" w14:textId="77777777" w:rsidR="00776133" w:rsidRDefault="00776133" w:rsidP="00837425"/>
        </w:tc>
        <w:tc>
          <w:tcPr>
            <w:tcW w:w="755" w:type="dxa"/>
            <w:shd w:val="clear" w:color="auto" w:fill="00B0F0"/>
          </w:tcPr>
          <w:p w14:paraId="00420BD4" w14:textId="77777777" w:rsidR="00776133" w:rsidRDefault="00776133" w:rsidP="00837425"/>
        </w:tc>
        <w:tc>
          <w:tcPr>
            <w:tcW w:w="756" w:type="dxa"/>
            <w:shd w:val="clear" w:color="auto" w:fill="00B0F0"/>
          </w:tcPr>
          <w:p w14:paraId="00CC63B7" w14:textId="77777777" w:rsidR="00776133" w:rsidRDefault="00776133" w:rsidP="00837425"/>
        </w:tc>
        <w:tc>
          <w:tcPr>
            <w:tcW w:w="756" w:type="dxa"/>
            <w:shd w:val="clear" w:color="auto" w:fill="00B0F0"/>
          </w:tcPr>
          <w:p w14:paraId="246D2E8F" w14:textId="77777777" w:rsidR="00776133" w:rsidRDefault="00776133" w:rsidP="00837425"/>
        </w:tc>
        <w:tc>
          <w:tcPr>
            <w:tcW w:w="756" w:type="dxa"/>
            <w:shd w:val="clear" w:color="auto" w:fill="00B0F0"/>
          </w:tcPr>
          <w:p w14:paraId="5C24232C" w14:textId="77777777" w:rsidR="00776133" w:rsidRDefault="00776133" w:rsidP="00837425"/>
        </w:tc>
      </w:tr>
      <w:tr w:rsidR="00776133" w14:paraId="0DBC33A0" w14:textId="71664418" w:rsidTr="00776133">
        <w:tc>
          <w:tcPr>
            <w:tcW w:w="3919" w:type="dxa"/>
          </w:tcPr>
          <w:p w14:paraId="4EFB400B" w14:textId="77777777" w:rsidR="00776133" w:rsidRDefault="00776133" w:rsidP="00252132">
            <w:r>
              <w:t>Further development and dissemination of case studies</w:t>
            </w:r>
          </w:p>
        </w:tc>
        <w:tc>
          <w:tcPr>
            <w:tcW w:w="755" w:type="dxa"/>
            <w:shd w:val="clear" w:color="auto" w:fill="00B0F0"/>
          </w:tcPr>
          <w:p w14:paraId="17D4B439" w14:textId="77777777" w:rsidR="00776133" w:rsidRDefault="00776133" w:rsidP="00837425"/>
        </w:tc>
        <w:tc>
          <w:tcPr>
            <w:tcW w:w="756" w:type="dxa"/>
            <w:shd w:val="clear" w:color="auto" w:fill="00B0F0"/>
          </w:tcPr>
          <w:p w14:paraId="5612BA75" w14:textId="77777777" w:rsidR="00776133" w:rsidRDefault="00776133" w:rsidP="00837425"/>
        </w:tc>
        <w:tc>
          <w:tcPr>
            <w:tcW w:w="756" w:type="dxa"/>
            <w:shd w:val="clear" w:color="auto" w:fill="00B0F0"/>
          </w:tcPr>
          <w:p w14:paraId="27880CD9" w14:textId="77777777" w:rsidR="00776133" w:rsidRDefault="00776133" w:rsidP="00837425"/>
        </w:tc>
        <w:tc>
          <w:tcPr>
            <w:tcW w:w="755" w:type="dxa"/>
            <w:shd w:val="clear" w:color="auto" w:fill="00B0F0"/>
          </w:tcPr>
          <w:p w14:paraId="29619B5A" w14:textId="77777777" w:rsidR="00776133" w:rsidRDefault="00776133" w:rsidP="00837425"/>
        </w:tc>
        <w:tc>
          <w:tcPr>
            <w:tcW w:w="756" w:type="dxa"/>
            <w:shd w:val="clear" w:color="auto" w:fill="00B0F0"/>
          </w:tcPr>
          <w:p w14:paraId="2091A037" w14:textId="77777777" w:rsidR="00776133" w:rsidRDefault="00776133" w:rsidP="00837425"/>
        </w:tc>
        <w:tc>
          <w:tcPr>
            <w:tcW w:w="756" w:type="dxa"/>
            <w:shd w:val="clear" w:color="auto" w:fill="00B0F0"/>
          </w:tcPr>
          <w:p w14:paraId="10C7435D" w14:textId="77777777" w:rsidR="00776133" w:rsidRDefault="00776133" w:rsidP="00837425"/>
        </w:tc>
        <w:tc>
          <w:tcPr>
            <w:tcW w:w="756" w:type="dxa"/>
            <w:shd w:val="clear" w:color="auto" w:fill="00B0F0"/>
          </w:tcPr>
          <w:p w14:paraId="7B4F493F" w14:textId="77777777" w:rsidR="00776133" w:rsidRDefault="00776133" w:rsidP="00837425"/>
        </w:tc>
      </w:tr>
      <w:tr w:rsidR="00776133" w14:paraId="2F2CBBF1" w14:textId="2BB9F1E5" w:rsidTr="00776133">
        <w:tc>
          <w:tcPr>
            <w:tcW w:w="3919" w:type="dxa"/>
          </w:tcPr>
          <w:p w14:paraId="08154C35" w14:textId="77777777" w:rsidR="00776133" w:rsidRDefault="00776133" w:rsidP="00747796">
            <w:r>
              <w:t>Development of tools to support inventory management, including t</w:t>
            </w:r>
            <w:r w:rsidRPr="00FE6EE5">
              <w:rPr>
                <w:rFonts w:asciiTheme="minorHAnsi" w:hAnsiTheme="minorHAnsi"/>
              </w:rPr>
              <w:t>ools to set minimum and maximum bands for AHP inventory</w:t>
            </w:r>
          </w:p>
        </w:tc>
        <w:tc>
          <w:tcPr>
            <w:tcW w:w="755" w:type="dxa"/>
            <w:shd w:val="clear" w:color="auto" w:fill="00B0F0"/>
          </w:tcPr>
          <w:p w14:paraId="341940E1" w14:textId="77777777" w:rsidR="00776133" w:rsidRDefault="00776133" w:rsidP="00837425"/>
        </w:tc>
        <w:tc>
          <w:tcPr>
            <w:tcW w:w="756" w:type="dxa"/>
            <w:shd w:val="clear" w:color="auto" w:fill="00B0F0"/>
          </w:tcPr>
          <w:p w14:paraId="47DAD759" w14:textId="77777777" w:rsidR="00776133" w:rsidRDefault="00776133" w:rsidP="00837425"/>
        </w:tc>
        <w:tc>
          <w:tcPr>
            <w:tcW w:w="756" w:type="dxa"/>
            <w:shd w:val="clear" w:color="auto" w:fill="00B0F0"/>
          </w:tcPr>
          <w:p w14:paraId="3184427B" w14:textId="77777777" w:rsidR="00776133" w:rsidRDefault="00776133" w:rsidP="00837425"/>
        </w:tc>
        <w:tc>
          <w:tcPr>
            <w:tcW w:w="755" w:type="dxa"/>
            <w:shd w:val="clear" w:color="auto" w:fill="00B0F0"/>
          </w:tcPr>
          <w:p w14:paraId="39F737A9" w14:textId="77777777" w:rsidR="00776133" w:rsidRDefault="00776133" w:rsidP="00837425"/>
        </w:tc>
        <w:tc>
          <w:tcPr>
            <w:tcW w:w="756" w:type="dxa"/>
            <w:shd w:val="clear" w:color="auto" w:fill="00B0F0"/>
          </w:tcPr>
          <w:p w14:paraId="5C1F131A" w14:textId="77777777" w:rsidR="00776133" w:rsidRDefault="00776133" w:rsidP="00837425"/>
        </w:tc>
        <w:tc>
          <w:tcPr>
            <w:tcW w:w="756" w:type="dxa"/>
            <w:shd w:val="clear" w:color="auto" w:fill="00B0F0"/>
          </w:tcPr>
          <w:p w14:paraId="2FAF7931" w14:textId="77777777" w:rsidR="00776133" w:rsidRDefault="00776133" w:rsidP="00837425"/>
        </w:tc>
        <w:tc>
          <w:tcPr>
            <w:tcW w:w="756" w:type="dxa"/>
            <w:shd w:val="clear" w:color="auto" w:fill="auto"/>
          </w:tcPr>
          <w:p w14:paraId="1781A959" w14:textId="77777777" w:rsidR="00776133" w:rsidRDefault="00776133" w:rsidP="00837425"/>
        </w:tc>
      </w:tr>
      <w:tr w:rsidR="00776133" w14:paraId="121C8F2D" w14:textId="644A75ED" w:rsidTr="00776133">
        <w:tc>
          <w:tcPr>
            <w:tcW w:w="3919" w:type="dxa"/>
          </w:tcPr>
          <w:p w14:paraId="6232CAD0" w14:textId="77777777" w:rsidR="00776133" w:rsidRDefault="00776133" w:rsidP="009A21E3">
            <w:r>
              <w:t xml:space="preserve">Develop and implement audits of usage and wastage </w:t>
            </w:r>
          </w:p>
        </w:tc>
        <w:tc>
          <w:tcPr>
            <w:tcW w:w="755" w:type="dxa"/>
            <w:shd w:val="clear" w:color="auto" w:fill="00B0F0"/>
          </w:tcPr>
          <w:p w14:paraId="519B8B97" w14:textId="77777777" w:rsidR="00776133" w:rsidRDefault="00776133" w:rsidP="00837425"/>
        </w:tc>
        <w:tc>
          <w:tcPr>
            <w:tcW w:w="756" w:type="dxa"/>
            <w:shd w:val="clear" w:color="auto" w:fill="00B0F0"/>
          </w:tcPr>
          <w:p w14:paraId="57470DA0" w14:textId="77777777" w:rsidR="00776133" w:rsidRDefault="00776133" w:rsidP="00837425"/>
        </w:tc>
        <w:tc>
          <w:tcPr>
            <w:tcW w:w="756" w:type="dxa"/>
            <w:shd w:val="clear" w:color="auto" w:fill="00B0F0"/>
          </w:tcPr>
          <w:p w14:paraId="5BE290EF" w14:textId="77777777" w:rsidR="00776133" w:rsidRDefault="00776133" w:rsidP="00837425"/>
        </w:tc>
        <w:tc>
          <w:tcPr>
            <w:tcW w:w="755" w:type="dxa"/>
            <w:shd w:val="clear" w:color="auto" w:fill="00B0F0"/>
          </w:tcPr>
          <w:p w14:paraId="1DDF0A8D" w14:textId="77777777" w:rsidR="00776133" w:rsidRDefault="00776133" w:rsidP="00837425"/>
        </w:tc>
        <w:tc>
          <w:tcPr>
            <w:tcW w:w="756" w:type="dxa"/>
            <w:shd w:val="clear" w:color="auto" w:fill="00B0F0"/>
          </w:tcPr>
          <w:p w14:paraId="10A48204" w14:textId="77777777" w:rsidR="00776133" w:rsidRDefault="00776133" w:rsidP="00837425"/>
        </w:tc>
        <w:tc>
          <w:tcPr>
            <w:tcW w:w="756" w:type="dxa"/>
            <w:shd w:val="clear" w:color="auto" w:fill="00B0F0"/>
          </w:tcPr>
          <w:p w14:paraId="3318E78E" w14:textId="77777777" w:rsidR="00776133" w:rsidRDefault="00776133" w:rsidP="00837425"/>
        </w:tc>
        <w:tc>
          <w:tcPr>
            <w:tcW w:w="756" w:type="dxa"/>
            <w:shd w:val="clear" w:color="auto" w:fill="00B0F0"/>
          </w:tcPr>
          <w:p w14:paraId="179AE097" w14:textId="77777777" w:rsidR="00776133" w:rsidRDefault="00776133" w:rsidP="00837425"/>
        </w:tc>
      </w:tr>
      <w:tr w:rsidR="00776133" w14:paraId="0047D5D8" w14:textId="2BA6AC04" w:rsidTr="00776133">
        <w:tc>
          <w:tcPr>
            <w:tcW w:w="3919" w:type="dxa"/>
          </w:tcPr>
          <w:p w14:paraId="6CAD5BE8" w14:textId="25F6EC25" w:rsidR="00776133" w:rsidRDefault="00776133" w:rsidP="00747796">
            <w:r>
              <w:t>Identify tools and resources to develop to assist in the implementation of NSQHS Standard 7</w:t>
            </w:r>
          </w:p>
        </w:tc>
        <w:tc>
          <w:tcPr>
            <w:tcW w:w="755" w:type="dxa"/>
            <w:shd w:val="clear" w:color="auto" w:fill="00B0F0"/>
          </w:tcPr>
          <w:p w14:paraId="51ABB3B7" w14:textId="77777777" w:rsidR="00776133" w:rsidRDefault="00776133" w:rsidP="00837425"/>
        </w:tc>
        <w:tc>
          <w:tcPr>
            <w:tcW w:w="756" w:type="dxa"/>
            <w:shd w:val="clear" w:color="auto" w:fill="00B0F0"/>
          </w:tcPr>
          <w:p w14:paraId="431A44A1" w14:textId="77777777" w:rsidR="00776133" w:rsidRDefault="00776133" w:rsidP="00837425"/>
        </w:tc>
        <w:tc>
          <w:tcPr>
            <w:tcW w:w="756" w:type="dxa"/>
            <w:shd w:val="clear" w:color="auto" w:fill="00B0F0"/>
          </w:tcPr>
          <w:p w14:paraId="61C7A376" w14:textId="77777777" w:rsidR="00776133" w:rsidRDefault="00776133" w:rsidP="00837425"/>
        </w:tc>
        <w:tc>
          <w:tcPr>
            <w:tcW w:w="755" w:type="dxa"/>
            <w:shd w:val="clear" w:color="auto" w:fill="00B0F0"/>
          </w:tcPr>
          <w:p w14:paraId="42D6D0F1" w14:textId="77777777" w:rsidR="00776133" w:rsidRDefault="00776133" w:rsidP="00837425"/>
        </w:tc>
        <w:tc>
          <w:tcPr>
            <w:tcW w:w="756" w:type="dxa"/>
            <w:shd w:val="clear" w:color="auto" w:fill="00B0F0"/>
          </w:tcPr>
          <w:p w14:paraId="461A76AE" w14:textId="77777777" w:rsidR="00776133" w:rsidRDefault="00776133" w:rsidP="00837425"/>
        </w:tc>
        <w:tc>
          <w:tcPr>
            <w:tcW w:w="756" w:type="dxa"/>
            <w:shd w:val="clear" w:color="auto" w:fill="00B0F0"/>
          </w:tcPr>
          <w:p w14:paraId="60ACCCD7" w14:textId="77777777" w:rsidR="00776133" w:rsidRDefault="00776133" w:rsidP="00837425"/>
        </w:tc>
        <w:tc>
          <w:tcPr>
            <w:tcW w:w="756" w:type="dxa"/>
            <w:shd w:val="clear" w:color="auto" w:fill="00B0F0"/>
          </w:tcPr>
          <w:p w14:paraId="3421E0E8" w14:textId="77777777" w:rsidR="00776133" w:rsidRDefault="00776133" w:rsidP="00837425"/>
        </w:tc>
      </w:tr>
      <w:tr w:rsidR="00776133" w14:paraId="546FA43F" w14:textId="12BDFAC0" w:rsidTr="00776133">
        <w:tc>
          <w:tcPr>
            <w:tcW w:w="3919" w:type="dxa"/>
          </w:tcPr>
          <w:p w14:paraId="5EE370C5" w14:textId="77777777" w:rsidR="00776133" w:rsidRDefault="00776133" w:rsidP="00747796">
            <w:r>
              <w:t xml:space="preserve">Develop a website / database for accessing information about blood product management improvements and toolkits </w:t>
            </w:r>
          </w:p>
        </w:tc>
        <w:tc>
          <w:tcPr>
            <w:tcW w:w="755" w:type="dxa"/>
            <w:shd w:val="clear" w:color="auto" w:fill="auto"/>
          </w:tcPr>
          <w:p w14:paraId="566A2356" w14:textId="77777777" w:rsidR="00776133" w:rsidRDefault="00776133" w:rsidP="00837425"/>
        </w:tc>
        <w:tc>
          <w:tcPr>
            <w:tcW w:w="756" w:type="dxa"/>
            <w:shd w:val="clear" w:color="auto" w:fill="00B0F0"/>
          </w:tcPr>
          <w:p w14:paraId="40DA8670" w14:textId="77777777" w:rsidR="00776133" w:rsidRDefault="00776133" w:rsidP="00837425"/>
        </w:tc>
        <w:tc>
          <w:tcPr>
            <w:tcW w:w="756" w:type="dxa"/>
            <w:shd w:val="clear" w:color="auto" w:fill="00B0F0"/>
          </w:tcPr>
          <w:p w14:paraId="1A645B9E" w14:textId="77777777" w:rsidR="00776133" w:rsidRDefault="00776133" w:rsidP="00837425"/>
        </w:tc>
        <w:tc>
          <w:tcPr>
            <w:tcW w:w="755" w:type="dxa"/>
            <w:shd w:val="clear" w:color="auto" w:fill="auto"/>
          </w:tcPr>
          <w:p w14:paraId="171B8994" w14:textId="77777777" w:rsidR="00776133" w:rsidRDefault="00776133" w:rsidP="00837425"/>
        </w:tc>
        <w:tc>
          <w:tcPr>
            <w:tcW w:w="756" w:type="dxa"/>
            <w:shd w:val="clear" w:color="auto" w:fill="auto"/>
          </w:tcPr>
          <w:p w14:paraId="1679A9B1" w14:textId="77777777" w:rsidR="00776133" w:rsidRDefault="00776133" w:rsidP="00837425"/>
        </w:tc>
        <w:tc>
          <w:tcPr>
            <w:tcW w:w="756" w:type="dxa"/>
          </w:tcPr>
          <w:p w14:paraId="590272B9" w14:textId="77777777" w:rsidR="00776133" w:rsidRDefault="00776133" w:rsidP="00837425"/>
        </w:tc>
        <w:tc>
          <w:tcPr>
            <w:tcW w:w="756" w:type="dxa"/>
          </w:tcPr>
          <w:p w14:paraId="1D4962C1" w14:textId="77777777" w:rsidR="00776133" w:rsidRDefault="00776133" w:rsidP="00837425"/>
        </w:tc>
      </w:tr>
    </w:tbl>
    <w:p w14:paraId="59FCE086" w14:textId="77777777" w:rsidR="00F439D3" w:rsidRPr="007645F6" w:rsidRDefault="00C67CE5" w:rsidP="00F439D3">
      <w:pPr>
        <w:pStyle w:val="Heading2"/>
      </w:pPr>
      <w:bookmarkStart w:id="13" w:name="_Toc498963435"/>
      <w:r>
        <w:t>EDUCATION AND TRAINING</w:t>
      </w:r>
      <w:bookmarkEnd w:id="13"/>
      <w:r w:rsidR="00F439D3">
        <w:t xml:space="preserve"> </w:t>
      </w:r>
    </w:p>
    <w:p w14:paraId="553E5423" w14:textId="0CCE17EB" w:rsidR="00873CDC" w:rsidRPr="00873CDC" w:rsidRDefault="00873CDC" w:rsidP="00641C09">
      <w:pPr>
        <w:spacing w:after="240" w:line="312" w:lineRule="auto"/>
      </w:pPr>
      <w:r w:rsidRPr="00873CDC">
        <w:t xml:space="preserve">In the context of practice improvement, education and training programs are frequently employed interventions to inform and influence health care professionals about best </w:t>
      </w:r>
      <w:proofErr w:type="gramStart"/>
      <w:r w:rsidRPr="00873CDC">
        <w:t>practice, and</w:t>
      </w:r>
      <w:proofErr w:type="gramEnd"/>
      <w:r w:rsidRPr="00873CDC">
        <w:t xml:space="preserve"> inform health care consumers about the options for treatment.</w:t>
      </w:r>
      <w:r w:rsidRPr="00873CDC">
        <w:rPr>
          <w:bCs/>
          <w:iCs/>
        </w:rPr>
        <w:t xml:space="preserve"> </w:t>
      </w:r>
      <w:r>
        <w:t xml:space="preserve">Best practice management, </w:t>
      </w:r>
      <w:proofErr w:type="gramStart"/>
      <w:r>
        <w:t>with regard to</w:t>
      </w:r>
      <w:proofErr w:type="gramEnd"/>
      <w:r>
        <w:t xml:space="preserve"> the use </w:t>
      </w:r>
      <w:r w:rsidRPr="00873CDC">
        <w:t>of blood and blood products, is critical to optimise patient outcomes, minimise adverse events and ensure judicious use of a precious, limited resource.</w:t>
      </w:r>
    </w:p>
    <w:p w14:paraId="532EAC4A" w14:textId="77777777" w:rsidR="00873CDC" w:rsidRDefault="00873CDC" w:rsidP="00641C09">
      <w:pPr>
        <w:spacing w:after="240" w:line="312" w:lineRule="auto"/>
      </w:pPr>
      <w:r>
        <w:lastRenderedPageBreak/>
        <w:t>The (NSQHS) Standards have identified education and training</w:t>
      </w:r>
      <w:r w:rsidRPr="000D1A02">
        <w:t xml:space="preserve"> </w:t>
      </w:r>
      <w:r>
        <w:t xml:space="preserve">as an improvement initiative to </w:t>
      </w:r>
      <w:r w:rsidRPr="00873CDC">
        <w:t xml:space="preserve">ensure that health service organisations deliver safe, </w:t>
      </w:r>
      <w:proofErr w:type="gramStart"/>
      <w:r w:rsidRPr="00873CDC">
        <w:t>effective</w:t>
      </w:r>
      <w:proofErr w:type="gramEnd"/>
      <w:r w:rsidRPr="00873CDC">
        <w:t xml:space="preserve"> and reliable health care. A major focus of this strategy is to ensure education and training requirements are identified, and programs are developed to support the implementation of NSQHS Standard 7 </w:t>
      </w:r>
      <w:r>
        <w:t>–</w:t>
      </w:r>
      <w:r w:rsidRPr="00873CDC">
        <w:t xml:space="preserve"> </w:t>
      </w:r>
      <w:r>
        <w:t>Blood Management</w:t>
      </w:r>
      <w:r w:rsidRPr="00873CDC">
        <w:t>.</w:t>
      </w:r>
    </w:p>
    <w:p w14:paraId="40946A1A" w14:textId="77777777" w:rsidR="00F439D3" w:rsidRDefault="00F439D3" w:rsidP="00641C09">
      <w:pPr>
        <w:spacing w:after="240" w:line="312" w:lineRule="auto"/>
      </w:pPr>
      <w:r>
        <w:t xml:space="preserve">Continue to develop core training and assessment requirements for staff managing blood and blood product inventories along with training resources to enable staff to meet those requirements.  </w:t>
      </w:r>
    </w:p>
    <w:p w14:paraId="460904F4" w14:textId="77777777" w:rsidR="00B142FF" w:rsidRDefault="00F439D3" w:rsidP="00641C09">
      <w:pPr>
        <w:spacing w:after="240" w:line="312" w:lineRule="auto"/>
      </w:pPr>
      <w:r>
        <w:t>The National Blood Authority will work with key stakeholders in this area to feature training in inventory management in existing training programs and courses.</w:t>
      </w:r>
    </w:p>
    <w:tbl>
      <w:tblPr>
        <w:tblStyle w:val="TableGrid"/>
        <w:tblW w:w="9209" w:type="dxa"/>
        <w:tblLook w:val="04A0" w:firstRow="1" w:lastRow="0" w:firstColumn="1" w:lastColumn="0" w:noHBand="0" w:noVBand="1"/>
      </w:tblPr>
      <w:tblGrid>
        <w:gridCol w:w="3928"/>
        <w:gridCol w:w="754"/>
        <w:gridCol w:w="754"/>
        <w:gridCol w:w="755"/>
        <w:gridCol w:w="754"/>
        <w:gridCol w:w="755"/>
        <w:gridCol w:w="754"/>
        <w:gridCol w:w="755"/>
      </w:tblGrid>
      <w:tr w:rsidR="00776133" w:rsidRPr="001051F9" w14:paraId="5B179E92" w14:textId="2287926A" w:rsidTr="00776133">
        <w:trPr>
          <w:tblHeader/>
        </w:trPr>
        <w:tc>
          <w:tcPr>
            <w:tcW w:w="3928" w:type="dxa"/>
          </w:tcPr>
          <w:p w14:paraId="630FEC1D" w14:textId="77777777" w:rsidR="00776133" w:rsidRPr="001051F9" w:rsidRDefault="00776133" w:rsidP="00776133">
            <w:pPr>
              <w:jc w:val="center"/>
              <w:rPr>
                <w:b/>
              </w:rPr>
            </w:pPr>
            <w:r>
              <w:rPr>
                <w:b/>
              </w:rPr>
              <w:t>Activities</w:t>
            </w:r>
          </w:p>
        </w:tc>
        <w:tc>
          <w:tcPr>
            <w:tcW w:w="754" w:type="dxa"/>
          </w:tcPr>
          <w:p w14:paraId="74E20ED1" w14:textId="77777777" w:rsidR="00776133" w:rsidRPr="001051F9" w:rsidRDefault="00776133" w:rsidP="00776133">
            <w:pPr>
              <w:jc w:val="center"/>
              <w:rPr>
                <w:b/>
              </w:rPr>
            </w:pPr>
            <w:r w:rsidRPr="001051F9">
              <w:rPr>
                <w:b/>
              </w:rPr>
              <w:t>201</w:t>
            </w:r>
            <w:r>
              <w:rPr>
                <w:b/>
              </w:rPr>
              <w:t>8</w:t>
            </w:r>
          </w:p>
        </w:tc>
        <w:tc>
          <w:tcPr>
            <w:tcW w:w="754" w:type="dxa"/>
          </w:tcPr>
          <w:p w14:paraId="1F5F528D" w14:textId="77777777" w:rsidR="00776133" w:rsidRPr="001051F9" w:rsidRDefault="00776133" w:rsidP="00776133">
            <w:pPr>
              <w:jc w:val="center"/>
              <w:rPr>
                <w:b/>
              </w:rPr>
            </w:pPr>
            <w:r w:rsidRPr="001051F9">
              <w:rPr>
                <w:b/>
              </w:rPr>
              <w:t>201</w:t>
            </w:r>
            <w:r>
              <w:rPr>
                <w:b/>
              </w:rPr>
              <w:t>9</w:t>
            </w:r>
          </w:p>
        </w:tc>
        <w:tc>
          <w:tcPr>
            <w:tcW w:w="755" w:type="dxa"/>
          </w:tcPr>
          <w:p w14:paraId="26EEB0FC" w14:textId="77777777" w:rsidR="00776133" w:rsidRPr="001051F9" w:rsidRDefault="00776133" w:rsidP="00776133">
            <w:pPr>
              <w:jc w:val="center"/>
              <w:rPr>
                <w:b/>
              </w:rPr>
            </w:pPr>
            <w:r w:rsidRPr="001051F9">
              <w:rPr>
                <w:b/>
              </w:rPr>
              <w:t>20</w:t>
            </w:r>
            <w:r>
              <w:rPr>
                <w:b/>
              </w:rPr>
              <w:t>20</w:t>
            </w:r>
          </w:p>
        </w:tc>
        <w:tc>
          <w:tcPr>
            <w:tcW w:w="754" w:type="dxa"/>
          </w:tcPr>
          <w:p w14:paraId="2E086B25" w14:textId="77777777" w:rsidR="00776133" w:rsidRPr="001051F9" w:rsidRDefault="00776133" w:rsidP="00776133">
            <w:pPr>
              <w:jc w:val="center"/>
              <w:rPr>
                <w:b/>
              </w:rPr>
            </w:pPr>
            <w:r w:rsidRPr="001051F9">
              <w:rPr>
                <w:b/>
              </w:rPr>
              <w:t>202</w:t>
            </w:r>
            <w:r>
              <w:rPr>
                <w:b/>
              </w:rPr>
              <w:t>1</w:t>
            </w:r>
          </w:p>
        </w:tc>
        <w:tc>
          <w:tcPr>
            <w:tcW w:w="755" w:type="dxa"/>
          </w:tcPr>
          <w:p w14:paraId="14033BBE" w14:textId="77777777" w:rsidR="00776133" w:rsidRPr="001051F9" w:rsidRDefault="00776133" w:rsidP="00776133">
            <w:pPr>
              <w:jc w:val="center"/>
              <w:rPr>
                <w:b/>
              </w:rPr>
            </w:pPr>
            <w:r w:rsidRPr="001051F9">
              <w:rPr>
                <w:b/>
              </w:rPr>
              <w:t>202</w:t>
            </w:r>
            <w:r>
              <w:rPr>
                <w:b/>
              </w:rPr>
              <w:t>2</w:t>
            </w:r>
          </w:p>
        </w:tc>
        <w:tc>
          <w:tcPr>
            <w:tcW w:w="754" w:type="dxa"/>
          </w:tcPr>
          <w:p w14:paraId="1BA3D697" w14:textId="7BC73728" w:rsidR="00776133" w:rsidRPr="001051F9" w:rsidRDefault="00776133" w:rsidP="00776133">
            <w:pPr>
              <w:jc w:val="center"/>
              <w:rPr>
                <w:b/>
              </w:rPr>
            </w:pPr>
            <w:r>
              <w:rPr>
                <w:b/>
              </w:rPr>
              <w:t>2023</w:t>
            </w:r>
          </w:p>
        </w:tc>
        <w:tc>
          <w:tcPr>
            <w:tcW w:w="755" w:type="dxa"/>
          </w:tcPr>
          <w:p w14:paraId="4608BFE7" w14:textId="249BE20F" w:rsidR="00776133" w:rsidRPr="001051F9" w:rsidRDefault="00776133" w:rsidP="00776133">
            <w:pPr>
              <w:jc w:val="center"/>
              <w:rPr>
                <w:b/>
              </w:rPr>
            </w:pPr>
            <w:r>
              <w:rPr>
                <w:b/>
              </w:rPr>
              <w:t>2024</w:t>
            </w:r>
          </w:p>
        </w:tc>
      </w:tr>
      <w:tr w:rsidR="00776133" w14:paraId="64AB70F4" w14:textId="58B6E120" w:rsidTr="002271B7">
        <w:tc>
          <w:tcPr>
            <w:tcW w:w="3928" w:type="dxa"/>
          </w:tcPr>
          <w:p w14:paraId="342B29DF" w14:textId="77777777" w:rsidR="00776133" w:rsidRDefault="00776133" w:rsidP="00837425">
            <w:r w:rsidRPr="00FE6EE5">
              <w:rPr>
                <w:rFonts w:asciiTheme="minorHAnsi" w:hAnsiTheme="minorHAnsi"/>
              </w:rPr>
              <w:t>Core training and assessment requirements for inventory management staff defined</w:t>
            </w:r>
          </w:p>
        </w:tc>
        <w:tc>
          <w:tcPr>
            <w:tcW w:w="754" w:type="dxa"/>
            <w:shd w:val="clear" w:color="auto" w:fill="00B0F0"/>
          </w:tcPr>
          <w:p w14:paraId="76F219E3" w14:textId="77777777" w:rsidR="00776133" w:rsidRDefault="00776133" w:rsidP="00837425"/>
        </w:tc>
        <w:tc>
          <w:tcPr>
            <w:tcW w:w="754" w:type="dxa"/>
            <w:shd w:val="clear" w:color="auto" w:fill="00B0F0"/>
          </w:tcPr>
          <w:p w14:paraId="40D81D6A" w14:textId="77777777" w:rsidR="00776133" w:rsidRDefault="00776133" w:rsidP="00837425"/>
        </w:tc>
        <w:tc>
          <w:tcPr>
            <w:tcW w:w="755" w:type="dxa"/>
            <w:shd w:val="clear" w:color="auto" w:fill="00B0F0"/>
          </w:tcPr>
          <w:p w14:paraId="3DED4067" w14:textId="77777777" w:rsidR="00776133" w:rsidRDefault="00776133" w:rsidP="00837425"/>
        </w:tc>
        <w:tc>
          <w:tcPr>
            <w:tcW w:w="754" w:type="dxa"/>
            <w:shd w:val="clear" w:color="auto" w:fill="00B0F0"/>
          </w:tcPr>
          <w:p w14:paraId="51CC818A" w14:textId="77777777" w:rsidR="00776133" w:rsidRDefault="00776133" w:rsidP="00837425"/>
        </w:tc>
        <w:tc>
          <w:tcPr>
            <w:tcW w:w="755" w:type="dxa"/>
            <w:shd w:val="clear" w:color="auto" w:fill="00B0F0"/>
          </w:tcPr>
          <w:p w14:paraId="2D9267F8" w14:textId="77777777" w:rsidR="00776133" w:rsidRDefault="00776133" w:rsidP="00837425"/>
        </w:tc>
        <w:tc>
          <w:tcPr>
            <w:tcW w:w="754" w:type="dxa"/>
            <w:shd w:val="clear" w:color="auto" w:fill="00B0F0"/>
          </w:tcPr>
          <w:p w14:paraId="0B2FD437" w14:textId="77777777" w:rsidR="00776133" w:rsidRDefault="00776133" w:rsidP="00837425"/>
        </w:tc>
        <w:tc>
          <w:tcPr>
            <w:tcW w:w="755" w:type="dxa"/>
            <w:shd w:val="clear" w:color="auto" w:fill="00B0F0"/>
          </w:tcPr>
          <w:p w14:paraId="7AE76B27" w14:textId="77777777" w:rsidR="00776133" w:rsidRDefault="00776133" w:rsidP="00837425"/>
        </w:tc>
      </w:tr>
      <w:tr w:rsidR="00776133" w14:paraId="6AD4415E" w14:textId="1B06B1E7" w:rsidTr="00776133">
        <w:tc>
          <w:tcPr>
            <w:tcW w:w="3928" w:type="dxa"/>
          </w:tcPr>
          <w:p w14:paraId="20193502" w14:textId="77777777" w:rsidR="00776133" w:rsidRDefault="00776133" w:rsidP="00837425">
            <w:r w:rsidRPr="00FE6EE5">
              <w:rPr>
                <w:rFonts w:asciiTheme="minorHAnsi" w:hAnsiTheme="minorHAnsi"/>
              </w:rPr>
              <w:t>Incorporate core training in existing training programs</w:t>
            </w:r>
          </w:p>
        </w:tc>
        <w:tc>
          <w:tcPr>
            <w:tcW w:w="754" w:type="dxa"/>
            <w:shd w:val="clear" w:color="auto" w:fill="auto"/>
          </w:tcPr>
          <w:p w14:paraId="02134494" w14:textId="77777777" w:rsidR="00776133" w:rsidRPr="00747796" w:rsidRDefault="00776133" w:rsidP="00837425"/>
        </w:tc>
        <w:tc>
          <w:tcPr>
            <w:tcW w:w="754" w:type="dxa"/>
            <w:shd w:val="clear" w:color="auto" w:fill="00B0F0"/>
          </w:tcPr>
          <w:p w14:paraId="383A93BE" w14:textId="77777777" w:rsidR="00776133" w:rsidRDefault="00776133" w:rsidP="00837425"/>
        </w:tc>
        <w:tc>
          <w:tcPr>
            <w:tcW w:w="755" w:type="dxa"/>
            <w:shd w:val="clear" w:color="auto" w:fill="00B0F0"/>
          </w:tcPr>
          <w:p w14:paraId="3A42BFC9" w14:textId="77777777" w:rsidR="00776133" w:rsidRDefault="00776133" w:rsidP="00837425"/>
        </w:tc>
        <w:tc>
          <w:tcPr>
            <w:tcW w:w="754" w:type="dxa"/>
            <w:shd w:val="clear" w:color="auto" w:fill="00B0F0"/>
          </w:tcPr>
          <w:p w14:paraId="2DC451BF" w14:textId="77777777" w:rsidR="00776133" w:rsidRDefault="00776133" w:rsidP="00837425"/>
        </w:tc>
        <w:tc>
          <w:tcPr>
            <w:tcW w:w="755" w:type="dxa"/>
            <w:shd w:val="clear" w:color="auto" w:fill="00B0F0"/>
          </w:tcPr>
          <w:p w14:paraId="5F80CA0D" w14:textId="77777777" w:rsidR="00776133" w:rsidRDefault="00776133" w:rsidP="00837425"/>
        </w:tc>
        <w:tc>
          <w:tcPr>
            <w:tcW w:w="754" w:type="dxa"/>
            <w:shd w:val="clear" w:color="auto" w:fill="00B0F0"/>
          </w:tcPr>
          <w:p w14:paraId="5071E81C" w14:textId="77777777" w:rsidR="00776133" w:rsidRDefault="00776133" w:rsidP="00837425"/>
        </w:tc>
        <w:tc>
          <w:tcPr>
            <w:tcW w:w="755" w:type="dxa"/>
            <w:shd w:val="clear" w:color="auto" w:fill="00B0F0"/>
          </w:tcPr>
          <w:p w14:paraId="6AE3B2C6" w14:textId="77777777" w:rsidR="00776133" w:rsidRDefault="00776133" w:rsidP="00837425"/>
        </w:tc>
      </w:tr>
      <w:tr w:rsidR="00776133" w14:paraId="571C1531" w14:textId="3C4E3730" w:rsidTr="00776133">
        <w:tc>
          <w:tcPr>
            <w:tcW w:w="3928" w:type="dxa"/>
          </w:tcPr>
          <w:p w14:paraId="6BDC9B85" w14:textId="77777777" w:rsidR="00776133" w:rsidRDefault="00776133" w:rsidP="009A21E3">
            <w:r>
              <w:t>Training to assist in the implementation of NSQHS Standard 7</w:t>
            </w:r>
          </w:p>
        </w:tc>
        <w:tc>
          <w:tcPr>
            <w:tcW w:w="754" w:type="dxa"/>
            <w:shd w:val="clear" w:color="auto" w:fill="00B0F0"/>
          </w:tcPr>
          <w:p w14:paraId="09473E92" w14:textId="77777777" w:rsidR="00776133" w:rsidRDefault="00776133" w:rsidP="00837425"/>
        </w:tc>
        <w:tc>
          <w:tcPr>
            <w:tcW w:w="754" w:type="dxa"/>
            <w:shd w:val="clear" w:color="auto" w:fill="00B0F0"/>
          </w:tcPr>
          <w:p w14:paraId="0D382742" w14:textId="77777777" w:rsidR="00776133" w:rsidRDefault="00776133" w:rsidP="00837425"/>
        </w:tc>
        <w:tc>
          <w:tcPr>
            <w:tcW w:w="755" w:type="dxa"/>
            <w:shd w:val="clear" w:color="auto" w:fill="00B0F0"/>
          </w:tcPr>
          <w:p w14:paraId="3E46B5A4" w14:textId="77777777" w:rsidR="00776133" w:rsidRDefault="00776133" w:rsidP="00837425"/>
        </w:tc>
        <w:tc>
          <w:tcPr>
            <w:tcW w:w="754" w:type="dxa"/>
            <w:shd w:val="clear" w:color="auto" w:fill="00B0F0"/>
          </w:tcPr>
          <w:p w14:paraId="39B323EE" w14:textId="77777777" w:rsidR="00776133" w:rsidRDefault="00776133" w:rsidP="00837425"/>
        </w:tc>
        <w:tc>
          <w:tcPr>
            <w:tcW w:w="755" w:type="dxa"/>
            <w:shd w:val="clear" w:color="auto" w:fill="00B0F0"/>
          </w:tcPr>
          <w:p w14:paraId="287622A6" w14:textId="77777777" w:rsidR="00776133" w:rsidRDefault="00776133" w:rsidP="00837425"/>
        </w:tc>
        <w:tc>
          <w:tcPr>
            <w:tcW w:w="754" w:type="dxa"/>
            <w:shd w:val="clear" w:color="auto" w:fill="00B0F0"/>
          </w:tcPr>
          <w:p w14:paraId="50311A9C" w14:textId="77777777" w:rsidR="00776133" w:rsidRDefault="00776133" w:rsidP="00837425"/>
        </w:tc>
        <w:tc>
          <w:tcPr>
            <w:tcW w:w="755" w:type="dxa"/>
            <w:shd w:val="clear" w:color="auto" w:fill="00B0F0"/>
          </w:tcPr>
          <w:p w14:paraId="1FA7FD96" w14:textId="77777777" w:rsidR="00776133" w:rsidRDefault="00776133" w:rsidP="00837425"/>
        </w:tc>
      </w:tr>
      <w:tr w:rsidR="00776133" w14:paraId="27013F63" w14:textId="0AB83278" w:rsidTr="00776133">
        <w:tc>
          <w:tcPr>
            <w:tcW w:w="3928" w:type="dxa"/>
          </w:tcPr>
          <w:p w14:paraId="6B65DF4D" w14:textId="77777777" w:rsidR="00776133" w:rsidRDefault="00776133" w:rsidP="00837425">
            <w:r>
              <w:t xml:space="preserve">Investigate multiple approaches to explore partnerships with relevant organisations for implementing education and training </w:t>
            </w:r>
          </w:p>
        </w:tc>
        <w:tc>
          <w:tcPr>
            <w:tcW w:w="754" w:type="dxa"/>
            <w:shd w:val="clear" w:color="auto" w:fill="auto"/>
          </w:tcPr>
          <w:p w14:paraId="3E347965" w14:textId="77777777" w:rsidR="00776133" w:rsidRDefault="00776133" w:rsidP="00837425"/>
        </w:tc>
        <w:tc>
          <w:tcPr>
            <w:tcW w:w="754" w:type="dxa"/>
            <w:shd w:val="clear" w:color="auto" w:fill="00B0F0"/>
          </w:tcPr>
          <w:p w14:paraId="7E21EB3C" w14:textId="77777777" w:rsidR="00776133" w:rsidRDefault="00776133" w:rsidP="00837425"/>
        </w:tc>
        <w:tc>
          <w:tcPr>
            <w:tcW w:w="755" w:type="dxa"/>
            <w:shd w:val="clear" w:color="auto" w:fill="00B0F0"/>
          </w:tcPr>
          <w:p w14:paraId="764A4AF0" w14:textId="77777777" w:rsidR="00776133" w:rsidRDefault="00776133" w:rsidP="00837425"/>
        </w:tc>
        <w:tc>
          <w:tcPr>
            <w:tcW w:w="754" w:type="dxa"/>
            <w:shd w:val="clear" w:color="auto" w:fill="00B0F0"/>
          </w:tcPr>
          <w:p w14:paraId="1B29D9FE" w14:textId="77777777" w:rsidR="00776133" w:rsidRDefault="00776133" w:rsidP="00837425"/>
        </w:tc>
        <w:tc>
          <w:tcPr>
            <w:tcW w:w="755" w:type="dxa"/>
            <w:shd w:val="clear" w:color="auto" w:fill="00B0F0"/>
          </w:tcPr>
          <w:p w14:paraId="2F9CA20B" w14:textId="77777777" w:rsidR="00776133" w:rsidRDefault="00776133" w:rsidP="00837425"/>
        </w:tc>
        <w:tc>
          <w:tcPr>
            <w:tcW w:w="754" w:type="dxa"/>
            <w:shd w:val="clear" w:color="auto" w:fill="00B0F0"/>
          </w:tcPr>
          <w:p w14:paraId="7390FBAD" w14:textId="77777777" w:rsidR="00776133" w:rsidRDefault="00776133" w:rsidP="00837425"/>
        </w:tc>
        <w:tc>
          <w:tcPr>
            <w:tcW w:w="755" w:type="dxa"/>
            <w:shd w:val="clear" w:color="auto" w:fill="00B0F0"/>
          </w:tcPr>
          <w:p w14:paraId="5774EA4D" w14:textId="77777777" w:rsidR="00776133" w:rsidRDefault="00776133" w:rsidP="00837425"/>
        </w:tc>
      </w:tr>
    </w:tbl>
    <w:p w14:paraId="75E98610" w14:textId="77777777" w:rsidR="00F439D3" w:rsidRPr="00873CDC" w:rsidRDefault="00C67CE5" w:rsidP="00F439D3">
      <w:pPr>
        <w:pStyle w:val="Heading2"/>
      </w:pPr>
      <w:bookmarkStart w:id="14" w:name="_Toc498963436"/>
      <w:bookmarkEnd w:id="12"/>
      <w:r w:rsidRPr="00873CDC">
        <w:t xml:space="preserve">PROMOTION AND </w:t>
      </w:r>
      <w:bookmarkEnd w:id="14"/>
      <w:r w:rsidR="001B2D4F" w:rsidRPr="00873CDC">
        <w:t>COMMUNICATION</w:t>
      </w:r>
    </w:p>
    <w:p w14:paraId="1AC9107F" w14:textId="77777777" w:rsidR="00F439D3" w:rsidRPr="00873CDC" w:rsidRDefault="00F439D3" w:rsidP="00641C09">
      <w:pPr>
        <w:spacing w:after="240" w:line="312" w:lineRule="auto"/>
      </w:pPr>
      <w:r w:rsidRPr="00873CDC">
        <w:t>The NBA</w:t>
      </w:r>
      <w:r w:rsidR="00E3471C" w:rsidRPr="00873CDC">
        <w:t xml:space="preserve"> </w:t>
      </w:r>
      <w:r w:rsidRPr="00873CDC">
        <w:t xml:space="preserve">will design and undertake promotional/communication campaigns that target specific groups of health service organisations </w:t>
      </w:r>
      <w:r w:rsidR="00E3471C" w:rsidRPr="00873CDC">
        <w:t xml:space="preserve">to enhance awareness of </w:t>
      </w:r>
      <w:r w:rsidR="00873CDC" w:rsidRPr="00873CDC">
        <w:t>blood product management improvement through the supply chain</w:t>
      </w:r>
      <w:r w:rsidRPr="00873CDC">
        <w:t>. These campaigns will be undertaken in conjunction with jurisdictions, and other stakeholders where relevant.</w:t>
      </w:r>
    </w:p>
    <w:p w14:paraId="2E8A9534" w14:textId="77777777" w:rsidR="00873CDC" w:rsidRPr="00873CDC" w:rsidRDefault="00E3471C" w:rsidP="00641C09">
      <w:pPr>
        <w:spacing w:after="240" w:line="312" w:lineRule="auto"/>
      </w:pPr>
      <w:r w:rsidRPr="00873CDC">
        <w:t>Further developing existing collaborative networks</w:t>
      </w:r>
      <w:r w:rsidR="00DA5ECE">
        <w:t xml:space="preserve"> and champions</w:t>
      </w:r>
      <w:r w:rsidRPr="00873CDC">
        <w:t xml:space="preserve"> across the blood sector will be key to ensuring the widespread adoption and successful implementation of wastage reduction measures</w:t>
      </w:r>
      <w:r w:rsidR="00873CDC" w:rsidRPr="00873CDC">
        <w:t xml:space="preserve"> and better practise inventory management</w:t>
      </w:r>
      <w:r w:rsidRPr="00873CDC">
        <w:t xml:space="preserve">. The NBA will utilise existing consultative arrangements and networks including </w:t>
      </w:r>
      <w:r w:rsidRPr="00143B66">
        <w:rPr>
          <w:i/>
        </w:rPr>
        <w:t>The Conversation</w:t>
      </w:r>
      <w:r w:rsidRPr="00873CDC">
        <w:t xml:space="preserve"> (online discussion forum), system user groups (such as the </w:t>
      </w:r>
      <w:proofErr w:type="spellStart"/>
      <w:r w:rsidRPr="00873CDC">
        <w:t>BloodNet</w:t>
      </w:r>
      <w:proofErr w:type="spellEnd"/>
      <w:r w:rsidRPr="00873CDC">
        <w:t xml:space="preserve"> User Reference Group) to engage with health provider staff in both formal and informal means</w:t>
      </w:r>
      <w:r w:rsidR="00873CDC" w:rsidRPr="00873CDC">
        <w:t>.</w:t>
      </w:r>
    </w:p>
    <w:p w14:paraId="158AC728" w14:textId="77777777" w:rsidR="00E3471C" w:rsidRPr="00BE5729" w:rsidRDefault="00E3471C" w:rsidP="00641C09">
      <w:pPr>
        <w:spacing w:after="240" w:line="312" w:lineRule="auto"/>
      </w:pPr>
      <w:r w:rsidRPr="00BE5729">
        <w:t xml:space="preserve">Targeted engagement with the private sector (both health providers and pathology organisations) will </w:t>
      </w:r>
      <w:r w:rsidR="00BE5729">
        <w:t xml:space="preserve">continue </w:t>
      </w:r>
      <w:r w:rsidRPr="00BE5729">
        <w:t xml:space="preserve">as a priority, given that 28% of fresh blood product issues nationally are currently issued by suppliers to the private sector. </w:t>
      </w:r>
    </w:p>
    <w:p w14:paraId="08070627" w14:textId="77777777" w:rsidR="00206EC8" w:rsidRPr="00BE5729" w:rsidRDefault="00206EC8" w:rsidP="00641C09">
      <w:pPr>
        <w:spacing w:after="240" w:line="312" w:lineRule="auto"/>
      </w:pPr>
      <w:r w:rsidRPr="00BE5729">
        <w:lastRenderedPageBreak/>
        <w:t xml:space="preserve">The National Blood Authority’s role in assisting jurisdictions and health providers to address unnecessary wastage is one of coordination and enablement. The National Blood Authority’s approach </w:t>
      </w:r>
      <w:r w:rsidR="00BE5729">
        <w:t xml:space="preserve">is to continue to </w:t>
      </w:r>
      <w:r w:rsidRPr="00BE5729">
        <w:t xml:space="preserve">develop a range of data, </w:t>
      </w:r>
      <w:proofErr w:type="gramStart"/>
      <w:r w:rsidRPr="00BE5729">
        <w:t>tools</w:t>
      </w:r>
      <w:proofErr w:type="gramEnd"/>
      <w:r w:rsidRPr="00BE5729">
        <w:t xml:space="preserve"> and collaboration mechanisms to enable health providers to examine their own practice and choose from the suite of tools for local customisation, branding and adoption where appropriate. </w:t>
      </w:r>
    </w:p>
    <w:p w14:paraId="1083B7A0" w14:textId="77777777" w:rsidR="00206EC8" w:rsidRPr="00BE5729" w:rsidRDefault="00206EC8" w:rsidP="00641C09">
      <w:pPr>
        <w:spacing w:after="240" w:line="312" w:lineRule="auto"/>
      </w:pPr>
      <w:r w:rsidRPr="00BE5729">
        <w:t xml:space="preserve">Recognising the existing strong relationships between public health providers and the State and Territory governments, State and Territory governments will </w:t>
      </w:r>
      <w:r w:rsidR="00BE5729">
        <w:t xml:space="preserve">continue to </w:t>
      </w:r>
      <w:r w:rsidRPr="00BE5729">
        <w:t xml:space="preserve">take the lead in coordination and communication with public health providers with the National Blood Authority acting in a supporting capacity. The National Blood Authority will assume a greater role with public health providers in specific instances </w:t>
      </w:r>
      <w:proofErr w:type="gramStart"/>
      <w:r w:rsidRPr="00BE5729">
        <w:t>where</w:t>
      </w:r>
      <w:proofErr w:type="gramEnd"/>
      <w:r w:rsidRPr="00BE5729">
        <w:t xml:space="preserve"> requested by the relevant State or Territory government. </w:t>
      </w:r>
    </w:p>
    <w:p w14:paraId="2828241B" w14:textId="77777777" w:rsidR="00206EC8" w:rsidRDefault="00206EC8" w:rsidP="00641C09">
      <w:pPr>
        <w:spacing w:after="240" w:line="312" w:lineRule="auto"/>
      </w:pPr>
      <w:r w:rsidRPr="00BE5729">
        <w:t xml:space="preserve">Governments recognise the different relationships and largely national approach of </w:t>
      </w:r>
      <w:proofErr w:type="gramStart"/>
      <w:r w:rsidRPr="00BE5729">
        <w:t>the majority of</w:t>
      </w:r>
      <w:proofErr w:type="gramEnd"/>
      <w:r w:rsidRPr="00BE5729">
        <w:t xml:space="preserve"> private health providers. The National Blood Authority will take the lead in coordination and communication with private health providers at a national and local level.</w:t>
      </w:r>
      <w:r>
        <w:t xml:space="preserve"> </w:t>
      </w:r>
    </w:p>
    <w:tbl>
      <w:tblPr>
        <w:tblStyle w:val="TableGrid"/>
        <w:tblW w:w="9209" w:type="dxa"/>
        <w:tblLook w:val="04A0" w:firstRow="1" w:lastRow="0" w:firstColumn="1" w:lastColumn="0" w:noHBand="0" w:noVBand="1"/>
      </w:tblPr>
      <w:tblGrid>
        <w:gridCol w:w="3928"/>
        <w:gridCol w:w="754"/>
        <w:gridCol w:w="754"/>
        <w:gridCol w:w="755"/>
        <w:gridCol w:w="754"/>
        <w:gridCol w:w="755"/>
        <w:gridCol w:w="754"/>
        <w:gridCol w:w="755"/>
      </w:tblGrid>
      <w:tr w:rsidR="00776133" w:rsidRPr="001051F9" w14:paraId="691680A6" w14:textId="10663A93" w:rsidTr="00776133">
        <w:tc>
          <w:tcPr>
            <w:tcW w:w="3928" w:type="dxa"/>
          </w:tcPr>
          <w:p w14:paraId="26FDF561" w14:textId="77777777" w:rsidR="00776133" w:rsidRPr="001051F9" w:rsidRDefault="00776133" w:rsidP="00776133">
            <w:pPr>
              <w:jc w:val="center"/>
              <w:rPr>
                <w:b/>
              </w:rPr>
            </w:pPr>
            <w:r>
              <w:rPr>
                <w:b/>
              </w:rPr>
              <w:t>Activities</w:t>
            </w:r>
          </w:p>
        </w:tc>
        <w:tc>
          <w:tcPr>
            <w:tcW w:w="754" w:type="dxa"/>
          </w:tcPr>
          <w:p w14:paraId="77BB4E58" w14:textId="77777777" w:rsidR="00776133" w:rsidRPr="001051F9" w:rsidRDefault="00776133" w:rsidP="00776133">
            <w:pPr>
              <w:jc w:val="center"/>
              <w:rPr>
                <w:b/>
              </w:rPr>
            </w:pPr>
            <w:r w:rsidRPr="001051F9">
              <w:rPr>
                <w:b/>
              </w:rPr>
              <w:t>201</w:t>
            </w:r>
            <w:r>
              <w:rPr>
                <w:b/>
              </w:rPr>
              <w:t>8</w:t>
            </w:r>
          </w:p>
        </w:tc>
        <w:tc>
          <w:tcPr>
            <w:tcW w:w="754" w:type="dxa"/>
          </w:tcPr>
          <w:p w14:paraId="67B98A71" w14:textId="77777777" w:rsidR="00776133" w:rsidRPr="001051F9" w:rsidRDefault="00776133" w:rsidP="00776133">
            <w:pPr>
              <w:jc w:val="center"/>
              <w:rPr>
                <w:b/>
              </w:rPr>
            </w:pPr>
            <w:r w:rsidRPr="001051F9">
              <w:rPr>
                <w:b/>
              </w:rPr>
              <w:t>201</w:t>
            </w:r>
            <w:r>
              <w:rPr>
                <w:b/>
              </w:rPr>
              <w:t>9</w:t>
            </w:r>
          </w:p>
        </w:tc>
        <w:tc>
          <w:tcPr>
            <w:tcW w:w="755" w:type="dxa"/>
          </w:tcPr>
          <w:p w14:paraId="5400F049" w14:textId="77777777" w:rsidR="00776133" w:rsidRPr="001051F9" w:rsidRDefault="00776133" w:rsidP="00776133">
            <w:pPr>
              <w:jc w:val="center"/>
              <w:rPr>
                <w:b/>
              </w:rPr>
            </w:pPr>
            <w:r w:rsidRPr="001051F9">
              <w:rPr>
                <w:b/>
              </w:rPr>
              <w:t>20</w:t>
            </w:r>
            <w:r>
              <w:rPr>
                <w:b/>
              </w:rPr>
              <w:t>20</w:t>
            </w:r>
          </w:p>
        </w:tc>
        <w:tc>
          <w:tcPr>
            <w:tcW w:w="754" w:type="dxa"/>
          </w:tcPr>
          <w:p w14:paraId="430EF530" w14:textId="77777777" w:rsidR="00776133" w:rsidRPr="001051F9" w:rsidRDefault="00776133" w:rsidP="00776133">
            <w:pPr>
              <w:jc w:val="center"/>
              <w:rPr>
                <w:b/>
              </w:rPr>
            </w:pPr>
            <w:r w:rsidRPr="001051F9">
              <w:rPr>
                <w:b/>
              </w:rPr>
              <w:t>202</w:t>
            </w:r>
            <w:r>
              <w:rPr>
                <w:b/>
              </w:rPr>
              <w:t>1</w:t>
            </w:r>
          </w:p>
        </w:tc>
        <w:tc>
          <w:tcPr>
            <w:tcW w:w="755" w:type="dxa"/>
          </w:tcPr>
          <w:p w14:paraId="2FE11605" w14:textId="77777777" w:rsidR="00776133" w:rsidRPr="001051F9" w:rsidRDefault="00776133" w:rsidP="00776133">
            <w:pPr>
              <w:jc w:val="center"/>
              <w:rPr>
                <w:b/>
              </w:rPr>
            </w:pPr>
            <w:r w:rsidRPr="001051F9">
              <w:rPr>
                <w:b/>
              </w:rPr>
              <w:t>202</w:t>
            </w:r>
            <w:r>
              <w:rPr>
                <w:b/>
              </w:rPr>
              <w:t>2</w:t>
            </w:r>
          </w:p>
        </w:tc>
        <w:tc>
          <w:tcPr>
            <w:tcW w:w="754" w:type="dxa"/>
          </w:tcPr>
          <w:p w14:paraId="403C38D3" w14:textId="652ACDAC" w:rsidR="00776133" w:rsidRPr="001051F9" w:rsidRDefault="00776133" w:rsidP="00776133">
            <w:pPr>
              <w:jc w:val="center"/>
              <w:rPr>
                <w:b/>
              </w:rPr>
            </w:pPr>
            <w:r>
              <w:rPr>
                <w:b/>
              </w:rPr>
              <w:t>2023</w:t>
            </w:r>
          </w:p>
        </w:tc>
        <w:tc>
          <w:tcPr>
            <w:tcW w:w="755" w:type="dxa"/>
          </w:tcPr>
          <w:p w14:paraId="3CE1E229" w14:textId="3621393E" w:rsidR="00776133" w:rsidRPr="001051F9" w:rsidRDefault="00776133" w:rsidP="00776133">
            <w:pPr>
              <w:jc w:val="center"/>
              <w:rPr>
                <w:b/>
              </w:rPr>
            </w:pPr>
            <w:r>
              <w:rPr>
                <w:b/>
              </w:rPr>
              <w:t>2024</w:t>
            </w:r>
          </w:p>
        </w:tc>
      </w:tr>
      <w:tr w:rsidR="00776133" w14:paraId="29CB16CC" w14:textId="40AE00AF" w:rsidTr="00776133">
        <w:tc>
          <w:tcPr>
            <w:tcW w:w="3928" w:type="dxa"/>
          </w:tcPr>
          <w:p w14:paraId="1F526169" w14:textId="77777777" w:rsidR="00776133" w:rsidRDefault="00776133" w:rsidP="00776133">
            <w:pPr>
              <w:spacing w:after="120"/>
            </w:pPr>
            <w:r>
              <w:t>NBA to continue to attend relevant conferences</w:t>
            </w:r>
          </w:p>
        </w:tc>
        <w:tc>
          <w:tcPr>
            <w:tcW w:w="754" w:type="dxa"/>
            <w:shd w:val="clear" w:color="auto" w:fill="00B0F0"/>
          </w:tcPr>
          <w:p w14:paraId="366FAB59" w14:textId="77777777" w:rsidR="00776133" w:rsidRDefault="00776133" w:rsidP="00776133">
            <w:pPr>
              <w:spacing w:after="120"/>
            </w:pPr>
          </w:p>
        </w:tc>
        <w:tc>
          <w:tcPr>
            <w:tcW w:w="754" w:type="dxa"/>
            <w:shd w:val="clear" w:color="auto" w:fill="00B0F0"/>
          </w:tcPr>
          <w:p w14:paraId="750D43A1" w14:textId="77777777" w:rsidR="00776133" w:rsidRDefault="00776133" w:rsidP="00776133">
            <w:pPr>
              <w:spacing w:after="120"/>
            </w:pPr>
          </w:p>
        </w:tc>
        <w:tc>
          <w:tcPr>
            <w:tcW w:w="755" w:type="dxa"/>
            <w:shd w:val="clear" w:color="auto" w:fill="00B0F0"/>
          </w:tcPr>
          <w:p w14:paraId="18E87093" w14:textId="77777777" w:rsidR="00776133" w:rsidRDefault="00776133" w:rsidP="00776133">
            <w:pPr>
              <w:spacing w:after="120"/>
            </w:pPr>
          </w:p>
        </w:tc>
        <w:tc>
          <w:tcPr>
            <w:tcW w:w="754" w:type="dxa"/>
            <w:shd w:val="clear" w:color="auto" w:fill="00B0F0"/>
          </w:tcPr>
          <w:p w14:paraId="28337F43" w14:textId="77777777" w:rsidR="00776133" w:rsidRDefault="00776133" w:rsidP="00776133">
            <w:pPr>
              <w:spacing w:after="120"/>
            </w:pPr>
          </w:p>
        </w:tc>
        <w:tc>
          <w:tcPr>
            <w:tcW w:w="755" w:type="dxa"/>
            <w:shd w:val="clear" w:color="auto" w:fill="00B0F0"/>
          </w:tcPr>
          <w:p w14:paraId="5AA5E83B" w14:textId="77777777" w:rsidR="00776133" w:rsidRDefault="00776133" w:rsidP="00776133">
            <w:pPr>
              <w:spacing w:after="120"/>
            </w:pPr>
          </w:p>
        </w:tc>
        <w:tc>
          <w:tcPr>
            <w:tcW w:w="754" w:type="dxa"/>
            <w:shd w:val="clear" w:color="auto" w:fill="00B0F0"/>
          </w:tcPr>
          <w:p w14:paraId="3DA0C703" w14:textId="77777777" w:rsidR="00776133" w:rsidRDefault="00776133" w:rsidP="00776133">
            <w:pPr>
              <w:spacing w:after="120"/>
            </w:pPr>
          </w:p>
        </w:tc>
        <w:tc>
          <w:tcPr>
            <w:tcW w:w="755" w:type="dxa"/>
            <w:shd w:val="clear" w:color="auto" w:fill="00B0F0"/>
          </w:tcPr>
          <w:p w14:paraId="6E5CFF7B" w14:textId="77777777" w:rsidR="00776133" w:rsidRDefault="00776133" w:rsidP="00776133">
            <w:pPr>
              <w:spacing w:after="120"/>
            </w:pPr>
          </w:p>
        </w:tc>
      </w:tr>
      <w:tr w:rsidR="00776133" w14:paraId="50471517" w14:textId="00C1FD96" w:rsidTr="00776133">
        <w:tc>
          <w:tcPr>
            <w:tcW w:w="3928" w:type="dxa"/>
          </w:tcPr>
          <w:p w14:paraId="6F365125" w14:textId="77777777" w:rsidR="00776133" w:rsidRDefault="00776133" w:rsidP="00776133">
            <w:pPr>
              <w:spacing w:after="120"/>
            </w:pPr>
            <w:r>
              <w:t>Private Sector Engagement activities identified and undertaken</w:t>
            </w:r>
          </w:p>
        </w:tc>
        <w:tc>
          <w:tcPr>
            <w:tcW w:w="754" w:type="dxa"/>
            <w:shd w:val="clear" w:color="auto" w:fill="00B0F0"/>
          </w:tcPr>
          <w:p w14:paraId="11D3EBC2" w14:textId="77777777" w:rsidR="00776133" w:rsidRDefault="00776133" w:rsidP="00776133">
            <w:pPr>
              <w:spacing w:after="120"/>
            </w:pPr>
          </w:p>
        </w:tc>
        <w:tc>
          <w:tcPr>
            <w:tcW w:w="754" w:type="dxa"/>
            <w:shd w:val="clear" w:color="auto" w:fill="00B0F0"/>
          </w:tcPr>
          <w:p w14:paraId="0A0839F0" w14:textId="77777777" w:rsidR="00776133" w:rsidRDefault="00776133" w:rsidP="00776133">
            <w:pPr>
              <w:spacing w:after="120"/>
            </w:pPr>
          </w:p>
        </w:tc>
        <w:tc>
          <w:tcPr>
            <w:tcW w:w="755" w:type="dxa"/>
            <w:shd w:val="clear" w:color="auto" w:fill="00B0F0"/>
          </w:tcPr>
          <w:p w14:paraId="78A35219" w14:textId="77777777" w:rsidR="00776133" w:rsidRDefault="00776133" w:rsidP="00776133">
            <w:pPr>
              <w:spacing w:after="120"/>
            </w:pPr>
          </w:p>
        </w:tc>
        <w:tc>
          <w:tcPr>
            <w:tcW w:w="754" w:type="dxa"/>
            <w:shd w:val="clear" w:color="auto" w:fill="00B0F0"/>
          </w:tcPr>
          <w:p w14:paraId="2C9185D7" w14:textId="77777777" w:rsidR="00776133" w:rsidRDefault="00776133" w:rsidP="00776133">
            <w:pPr>
              <w:spacing w:after="120"/>
            </w:pPr>
          </w:p>
        </w:tc>
        <w:tc>
          <w:tcPr>
            <w:tcW w:w="755" w:type="dxa"/>
            <w:shd w:val="clear" w:color="auto" w:fill="00B0F0"/>
          </w:tcPr>
          <w:p w14:paraId="65C84D37" w14:textId="77777777" w:rsidR="00776133" w:rsidRDefault="00776133" w:rsidP="00776133">
            <w:pPr>
              <w:spacing w:after="120"/>
            </w:pPr>
          </w:p>
        </w:tc>
        <w:tc>
          <w:tcPr>
            <w:tcW w:w="754" w:type="dxa"/>
            <w:shd w:val="clear" w:color="auto" w:fill="00B0F0"/>
          </w:tcPr>
          <w:p w14:paraId="74BF964C" w14:textId="77777777" w:rsidR="00776133" w:rsidRDefault="00776133" w:rsidP="00776133">
            <w:pPr>
              <w:spacing w:after="120"/>
            </w:pPr>
          </w:p>
        </w:tc>
        <w:tc>
          <w:tcPr>
            <w:tcW w:w="755" w:type="dxa"/>
            <w:shd w:val="clear" w:color="auto" w:fill="00B0F0"/>
          </w:tcPr>
          <w:p w14:paraId="2D2A062F" w14:textId="77777777" w:rsidR="00776133" w:rsidRDefault="00776133" w:rsidP="00776133">
            <w:pPr>
              <w:spacing w:after="120"/>
            </w:pPr>
          </w:p>
        </w:tc>
      </w:tr>
      <w:tr w:rsidR="00776133" w14:paraId="1F75BD1F" w14:textId="403C16BC" w:rsidTr="00776133">
        <w:tc>
          <w:tcPr>
            <w:tcW w:w="3928" w:type="dxa"/>
          </w:tcPr>
          <w:p w14:paraId="5200F297" w14:textId="77777777" w:rsidR="00776133" w:rsidRDefault="00776133" w:rsidP="00776133">
            <w:pPr>
              <w:spacing w:after="120"/>
            </w:pPr>
            <w:r>
              <w:t>Provide support for regional areas</w:t>
            </w:r>
          </w:p>
        </w:tc>
        <w:tc>
          <w:tcPr>
            <w:tcW w:w="754" w:type="dxa"/>
            <w:shd w:val="clear" w:color="auto" w:fill="00B0F0"/>
          </w:tcPr>
          <w:p w14:paraId="09675F87" w14:textId="77777777" w:rsidR="00776133" w:rsidRDefault="00776133" w:rsidP="00776133">
            <w:pPr>
              <w:spacing w:after="120"/>
            </w:pPr>
          </w:p>
        </w:tc>
        <w:tc>
          <w:tcPr>
            <w:tcW w:w="754" w:type="dxa"/>
            <w:shd w:val="clear" w:color="auto" w:fill="00B0F0"/>
          </w:tcPr>
          <w:p w14:paraId="5DC87B42" w14:textId="77777777" w:rsidR="00776133" w:rsidRDefault="00776133" w:rsidP="00776133">
            <w:pPr>
              <w:spacing w:after="120"/>
            </w:pPr>
          </w:p>
        </w:tc>
        <w:tc>
          <w:tcPr>
            <w:tcW w:w="755" w:type="dxa"/>
            <w:shd w:val="clear" w:color="auto" w:fill="00B0F0"/>
          </w:tcPr>
          <w:p w14:paraId="6F2D7C2C" w14:textId="77777777" w:rsidR="00776133" w:rsidRDefault="00776133" w:rsidP="00776133">
            <w:pPr>
              <w:spacing w:after="120"/>
            </w:pPr>
          </w:p>
        </w:tc>
        <w:tc>
          <w:tcPr>
            <w:tcW w:w="754" w:type="dxa"/>
            <w:shd w:val="clear" w:color="auto" w:fill="00B0F0"/>
          </w:tcPr>
          <w:p w14:paraId="3F01A516" w14:textId="77777777" w:rsidR="00776133" w:rsidRDefault="00776133" w:rsidP="00776133">
            <w:pPr>
              <w:spacing w:after="120"/>
            </w:pPr>
          </w:p>
        </w:tc>
        <w:tc>
          <w:tcPr>
            <w:tcW w:w="755" w:type="dxa"/>
            <w:shd w:val="clear" w:color="auto" w:fill="00B0F0"/>
          </w:tcPr>
          <w:p w14:paraId="3D2715A2" w14:textId="77777777" w:rsidR="00776133" w:rsidRDefault="00776133" w:rsidP="00776133">
            <w:pPr>
              <w:spacing w:after="120"/>
            </w:pPr>
          </w:p>
        </w:tc>
        <w:tc>
          <w:tcPr>
            <w:tcW w:w="754" w:type="dxa"/>
            <w:shd w:val="clear" w:color="auto" w:fill="00B0F0"/>
          </w:tcPr>
          <w:p w14:paraId="172FA262" w14:textId="77777777" w:rsidR="00776133" w:rsidRDefault="00776133" w:rsidP="00776133">
            <w:pPr>
              <w:spacing w:after="120"/>
            </w:pPr>
          </w:p>
        </w:tc>
        <w:tc>
          <w:tcPr>
            <w:tcW w:w="755" w:type="dxa"/>
            <w:shd w:val="clear" w:color="auto" w:fill="00B0F0"/>
          </w:tcPr>
          <w:p w14:paraId="5C411196" w14:textId="77777777" w:rsidR="00776133" w:rsidRDefault="00776133" w:rsidP="00776133">
            <w:pPr>
              <w:spacing w:after="120"/>
            </w:pPr>
          </w:p>
        </w:tc>
      </w:tr>
      <w:tr w:rsidR="00776133" w14:paraId="08A6A9DE" w14:textId="474C7D36" w:rsidTr="00776133">
        <w:tc>
          <w:tcPr>
            <w:tcW w:w="3928" w:type="dxa"/>
          </w:tcPr>
          <w:p w14:paraId="02E51CDE" w14:textId="77777777" w:rsidR="00776133" w:rsidRDefault="00776133" w:rsidP="00776133">
            <w:pPr>
              <w:spacing w:after="120"/>
            </w:pPr>
            <w:r>
              <w:t>Development and promulgation of a communication and marketing strategy; including promotional campaigns</w:t>
            </w:r>
          </w:p>
        </w:tc>
        <w:tc>
          <w:tcPr>
            <w:tcW w:w="754" w:type="dxa"/>
            <w:shd w:val="clear" w:color="auto" w:fill="auto"/>
          </w:tcPr>
          <w:p w14:paraId="2A911285" w14:textId="77777777" w:rsidR="00776133" w:rsidRDefault="00776133" w:rsidP="00776133">
            <w:pPr>
              <w:spacing w:after="120"/>
            </w:pPr>
          </w:p>
        </w:tc>
        <w:tc>
          <w:tcPr>
            <w:tcW w:w="754" w:type="dxa"/>
            <w:shd w:val="clear" w:color="auto" w:fill="00B0F0"/>
          </w:tcPr>
          <w:p w14:paraId="1A802FB2" w14:textId="77777777" w:rsidR="00776133" w:rsidRDefault="00776133" w:rsidP="00776133">
            <w:pPr>
              <w:spacing w:after="120"/>
            </w:pPr>
          </w:p>
        </w:tc>
        <w:tc>
          <w:tcPr>
            <w:tcW w:w="755" w:type="dxa"/>
            <w:shd w:val="clear" w:color="auto" w:fill="00B0F0"/>
          </w:tcPr>
          <w:p w14:paraId="42B26CB2" w14:textId="77777777" w:rsidR="00776133" w:rsidRDefault="00776133" w:rsidP="00776133">
            <w:pPr>
              <w:spacing w:after="120"/>
            </w:pPr>
          </w:p>
        </w:tc>
        <w:tc>
          <w:tcPr>
            <w:tcW w:w="754" w:type="dxa"/>
            <w:shd w:val="clear" w:color="auto" w:fill="00B0F0"/>
          </w:tcPr>
          <w:p w14:paraId="5200C8DF" w14:textId="77777777" w:rsidR="00776133" w:rsidRDefault="00776133" w:rsidP="00776133">
            <w:pPr>
              <w:spacing w:after="120"/>
            </w:pPr>
          </w:p>
        </w:tc>
        <w:tc>
          <w:tcPr>
            <w:tcW w:w="755" w:type="dxa"/>
            <w:shd w:val="clear" w:color="auto" w:fill="00B0F0"/>
          </w:tcPr>
          <w:p w14:paraId="0326F58C" w14:textId="77777777" w:rsidR="00776133" w:rsidRDefault="00776133" w:rsidP="00776133">
            <w:pPr>
              <w:spacing w:after="120"/>
            </w:pPr>
          </w:p>
        </w:tc>
        <w:tc>
          <w:tcPr>
            <w:tcW w:w="754" w:type="dxa"/>
            <w:shd w:val="clear" w:color="auto" w:fill="00B0F0"/>
          </w:tcPr>
          <w:p w14:paraId="461047C2" w14:textId="77777777" w:rsidR="00776133" w:rsidRDefault="00776133" w:rsidP="00776133">
            <w:pPr>
              <w:spacing w:after="120"/>
            </w:pPr>
          </w:p>
        </w:tc>
        <w:tc>
          <w:tcPr>
            <w:tcW w:w="755" w:type="dxa"/>
            <w:shd w:val="clear" w:color="auto" w:fill="00B0F0"/>
          </w:tcPr>
          <w:p w14:paraId="5C6C52AA" w14:textId="77777777" w:rsidR="00776133" w:rsidRDefault="00776133" w:rsidP="00776133">
            <w:pPr>
              <w:spacing w:after="120"/>
            </w:pPr>
          </w:p>
        </w:tc>
      </w:tr>
      <w:tr w:rsidR="00776133" w14:paraId="16F9C499" w14:textId="42AC19A0" w:rsidTr="002271B7">
        <w:tc>
          <w:tcPr>
            <w:tcW w:w="3928" w:type="dxa"/>
          </w:tcPr>
          <w:p w14:paraId="7CCF715B" w14:textId="77777777" w:rsidR="00776133" w:rsidRDefault="00776133" w:rsidP="00776133">
            <w:pPr>
              <w:spacing w:after="120"/>
            </w:pPr>
            <w:r>
              <w:t xml:space="preserve">Promotion to assist in the implementation of NSQHS Standard 7 </w:t>
            </w:r>
          </w:p>
        </w:tc>
        <w:tc>
          <w:tcPr>
            <w:tcW w:w="754" w:type="dxa"/>
            <w:shd w:val="clear" w:color="auto" w:fill="00B0F0"/>
          </w:tcPr>
          <w:p w14:paraId="3D3C9A5F" w14:textId="77777777" w:rsidR="00776133" w:rsidRDefault="00776133" w:rsidP="00776133">
            <w:pPr>
              <w:spacing w:after="120"/>
            </w:pPr>
          </w:p>
        </w:tc>
        <w:tc>
          <w:tcPr>
            <w:tcW w:w="754" w:type="dxa"/>
            <w:shd w:val="clear" w:color="auto" w:fill="00B0F0"/>
          </w:tcPr>
          <w:p w14:paraId="58FB15D6" w14:textId="77777777" w:rsidR="00776133" w:rsidRDefault="00776133" w:rsidP="00776133">
            <w:pPr>
              <w:spacing w:after="120"/>
            </w:pPr>
          </w:p>
        </w:tc>
        <w:tc>
          <w:tcPr>
            <w:tcW w:w="755" w:type="dxa"/>
            <w:shd w:val="clear" w:color="auto" w:fill="00B0F0"/>
          </w:tcPr>
          <w:p w14:paraId="33819F17" w14:textId="77777777" w:rsidR="00776133" w:rsidRPr="002A5C57" w:rsidRDefault="00776133" w:rsidP="00776133">
            <w:pPr>
              <w:spacing w:after="120"/>
            </w:pPr>
          </w:p>
        </w:tc>
        <w:tc>
          <w:tcPr>
            <w:tcW w:w="754" w:type="dxa"/>
            <w:shd w:val="clear" w:color="auto" w:fill="00B0F0"/>
          </w:tcPr>
          <w:p w14:paraId="0EC101DC" w14:textId="77777777" w:rsidR="00776133" w:rsidRPr="002A5C57" w:rsidRDefault="00776133" w:rsidP="00776133">
            <w:pPr>
              <w:spacing w:after="120"/>
            </w:pPr>
          </w:p>
        </w:tc>
        <w:tc>
          <w:tcPr>
            <w:tcW w:w="755" w:type="dxa"/>
            <w:shd w:val="clear" w:color="auto" w:fill="00B0F0"/>
          </w:tcPr>
          <w:p w14:paraId="1D7119DC" w14:textId="77777777" w:rsidR="00776133" w:rsidRPr="002A5C57" w:rsidRDefault="00776133" w:rsidP="00776133">
            <w:pPr>
              <w:spacing w:after="120"/>
            </w:pPr>
          </w:p>
        </w:tc>
        <w:tc>
          <w:tcPr>
            <w:tcW w:w="754" w:type="dxa"/>
            <w:shd w:val="clear" w:color="auto" w:fill="00B0F0"/>
          </w:tcPr>
          <w:p w14:paraId="34549BAA" w14:textId="77777777" w:rsidR="00776133" w:rsidRPr="002A5C57" w:rsidRDefault="00776133" w:rsidP="00776133">
            <w:pPr>
              <w:spacing w:after="120"/>
            </w:pPr>
          </w:p>
        </w:tc>
        <w:tc>
          <w:tcPr>
            <w:tcW w:w="755" w:type="dxa"/>
            <w:shd w:val="clear" w:color="auto" w:fill="00B0F0"/>
          </w:tcPr>
          <w:p w14:paraId="5F5FEF1B" w14:textId="77777777" w:rsidR="00776133" w:rsidRPr="002A5C57" w:rsidRDefault="00776133" w:rsidP="00776133">
            <w:pPr>
              <w:spacing w:after="120"/>
            </w:pPr>
          </w:p>
        </w:tc>
      </w:tr>
      <w:tr w:rsidR="00776133" w14:paraId="3180AD5C" w14:textId="7E64D2CB" w:rsidTr="00776133">
        <w:tc>
          <w:tcPr>
            <w:tcW w:w="3928" w:type="dxa"/>
          </w:tcPr>
          <w:p w14:paraId="06F7D37D" w14:textId="77777777" w:rsidR="00776133" w:rsidRDefault="00776133" w:rsidP="00776133">
            <w:pPr>
              <w:spacing w:after="120"/>
            </w:pPr>
            <w:r>
              <w:t>Establish</w:t>
            </w:r>
            <w:r w:rsidRPr="0061742E">
              <w:t xml:space="preserve"> champion networks comprising key clinical and scientific officers within health provide</w:t>
            </w:r>
            <w:r>
              <w:t>rs</w:t>
            </w:r>
          </w:p>
        </w:tc>
        <w:tc>
          <w:tcPr>
            <w:tcW w:w="754" w:type="dxa"/>
            <w:shd w:val="clear" w:color="auto" w:fill="00B0F0"/>
          </w:tcPr>
          <w:p w14:paraId="6C7914D6" w14:textId="77777777" w:rsidR="00776133" w:rsidRDefault="00776133" w:rsidP="00776133">
            <w:pPr>
              <w:spacing w:after="120"/>
            </w:pPr>
          </w:p>
        </w:tc>
        <w:tc>
          <w:tcPr>
            <w:tcW w:w="754" w:type="dxa"/>
            <w:shd w:val="clear" w:color="auto" w:fill="00B0F0"/>
          </w:tcPr>
          <w:p w14:paraId="7C2138F2" w14:textId="77777777" w:rsidR="00776133" w:rsidRDefault="00776133" w:rsidP="00776133">
            <w:pPr>
              <w:spacing w:after="120"/>
            </w:pPr>
          </w:p>
        </w:tc>
        <w:tc>
          <w:tcPr>
            <w:tcW w:w="755" w:type="dxa"/>
            <w:shd w:val="clear" w:color="auto" w:fill="00B0F0"/>
          </w:tcPr>
          <w:p w14:paraId="219288A3" w14:textId="77777777" w:rsidR="00776133" w:rsidRPr="002A5C57" w:rsidRDefault="00776133" w:rsidP="00776133">
            <w:pPr>
              <w:spacing w:after="120"/>
            </w:pPr>
          </w:p>
        </w:tc>
        <w:tc>
          <w:tcPr>
            <w:tcW w:w="754" w:type="dxa"/>
            <w:shd w:val="clear" w:color="auto" w:fill="00B0F0"/>
          </w:tcPr>
          <w:p w14:paraId="0D909E46" w14:textId="77777777" w:rsidR="00776133" w:rsidRPr="002A5C57" w:rsidRDefault="00776133" w:rsidP="00776133">
            <w:pPr>
              <w:spacing w:after="120"/>
            </w:pPr>
          </w:p>
        </w:tc>
        <w:tc>
          <w:tcPr>
            <w:tcW w:w="755" w:type="dxa"/>
            <w:shd w:val="clear" w:color="auto" w:fill="00B0F0"/>
          </w:tcPr>
          <w:p w14:paraId="00149ABB" w14:textId="77777777" w:rsidR="00776133" w:rsidRPr="002A5C57" w:rsidRDefault="00776133" w:rsidP="00776133">
            <w:pPr>
              <w:spacing w:after="120"/>
            </w:pPr>
          </w:p>
        </w:tc>
        <w:tc>
          <w:tcPr>
            <w:tcW w:w="754" w:type="dxa"/>
            <w:shd w:val="clear" w:color="auto" w:fill="00B0F0"/>
          </w:tcPr>
          <w:p w14:paraId="5A559838" w14:textId="77777777" w:rsidR="00776133" w:rsidRPr="002A5C57" w:rsidRDefault="00776133" w:rsidP="00776133">
            <w:pPr>
              <w:spacing w:after="120"/>
            </w:pPr>
          </w:p>
        </w:tc>
        <w:tc>
          <w:tcPr>
            <w:tcW w:w="755" w:type="dxa"/>
            <w:shd w:val="clear" w:color="auto" w:fill="00B0F0"/>
          </w:tcPr>
          <w:p w14:paraId="7CF7BCD7" w14:textId="77777777" w:rsidR="00776133" w:rsidRPr="002A5C57" w:rsidRDefault="00776133" w:rsidP="00776133">
            <w:pPr>
              <w:spacing w:after="120"/>
            </w:pPr>
          </w:p>
        </w:tc>
      </w:tr>
    </w:tbl>
    <w:p w14:paraId="30876975" w14:textId="77777777" w:rsidR="001B2D4F" w:rsidRPr="00873CDC" w:rsidRDefault="001B2D4F" w:rsidP="001B2D4F">
      <w:pPr>
        <w:pStyle w:val="Heading2"/>
      </w:pPr>
      <w:bookmarkStart w:id="15" w:name="_Toc485589882"/>
      <w:bookmarkStart w:id="16" w:name="_Toc485589875"/>
      <w:bookmarkStart w:id="17" w:name="_Toc485589883"/>
      <w:r>
        <w:t>RESEARCH AND DEVELOPMENT</w:t>
      </w:r>
    </w:p>
    <w:p w14:paraId="55E5761C" w14:textId="77777777" w:rsidR="001B2D4F" w:rsidRPr="00241B0F" w:rsidRDefault="001B2D4F" w:rsidP="001B2D4F">
      <w:r w:rsidRPr="00241B0F">
        <w:t>A nationally coordinated effort in research and development is required to address evidence gaps in the blood sector and to enable responses to emerging evidence and new technologies.</w:t>
      </w:r>
    </w:p>
    <w:p w14:paraId="5EF0EA62" w14:textId="77777777" w:rsidR="00894297" w:rsidRPr="00873CDC" w:rsidRDefault="00894297" w:rsidP="00894297">
      <w:pPr>
        <w:spacing w:after="240" w:line="312" w:lineRule="auto"/>
      </w:pPr>
      <w:r w:rsidRPr="00873CDC">
        <w:t xml:space="preserve">The NBA will </w:t>
      </w:r>
      <w:r>
        <w:t xml:space="preserve">monitor emerging and new opportunities </w:t>
      </w:r>
      <w:r w:rsidRPr="00873CDC">
        <w:t xml:space="preserve">to enhance blood product management improvement through the supply chain. </w:t>
      </w:r>
    </w:p>
    <w:tbl>
      <w:tblPr>
        <w:tblStyle w:val="TableGrid"/>
        <w:tblW w:w="9209" w:type="dxa"/>
        <w:tblLook w:val="04A0" w:firstRow="1" w:lastRow="0" w:firstColumn="1" w:lastColumn="0" w:noHBand="0" w:noVBand="1"/>
      </w:tblPr>
      <w:tblGrid>
        <w:gridCol w:w="3902"/>
        <w:gridCol w:w="758"/>
        <w:gridCol w:w="758"/>
        <w:gridCol w:w="758"/>
        <w:gridCol w:w="758"/>
        <w:gridCol w:w="758"/>
        <w:gridCol w:w="758"/>
        <w:gridCol w:w="759"/>
      </w:tblGrid>
      <w:tr w:rsidR="00776133" w:rsidRPr="001051F9" w14:paraId="6FB8AD44" w14:textId="45AF2C5E" w:rsidTr="00776133">
        <w:tc>
          <w:tcPr>
            <w:tcW w:w="3902" w:type="dxa"/>
          </w:tcPr>
          <w:p w14:paraId="5B5CA61D" w14:textId="77777777" w:rsidR="00776133" w:rsidRPr="001051F9" w:rsidRDefault="00776133" w:rsidP="00776133">
            <w:pPr>
              <w:jc w:val="center"/>
              <w:rPr>
                <w:b/>
              </w:rPr>
            </w:pPr>
            <w:r>
              <w:rPr>
                <w:b/>
              </w:rPr>
              <w:t>Activities</w:t>
            </w:r>
          </w:p>
        </w:tc>
        <w:tc>
          <w:tcPr>
            <w:tcW w:w="758" w:type="dxa"/>
          </w:tcPr>
          <w:p w14:paraId="0C5D91B0" w14:textId="77777777" w:rsidR="00776133" w:rsidRPr="001051F9" w:rsidRDefault="00776133" w:rsidP="00776133">
            <w:pPr>
              <w:jc w:val="center"/>
              <w:rPr>
                <w:b/>
              </w:rPr>
            </w:pPr>
            <w:r w:rsidRPr="001051F9">
              <w:rPr>
                <w:b/>
              </w:rPr>
              <w:t>201</w:t>
            </w:r>
            <w:r>
              <w:rPr>
                <w:b/>
              </w:rPr>
              <w:t>8</w:t>
            </w:r>
          </w:p>
        </w:tc>
        <w:tc>
          <w:tcPr>
            <w:tcW w:w="758" w:type="dxa"/>
          </w:tcPr>
          <w:p w14:paraId="7CAAB6AB" w14:textId="77777777" w:rsidR="00776133" w:rsidRPr="001051F9" w:rsidRDefault="00776133" w:rsidP="00776133">
            <w:pPr>
              <w:jc w:val="center"/>
              <w:rPr>
                <w:b/>
              </w:rPr>
            </w:pPr>
            <w:r w:rsidRPr="001051F9">
              <w:rPr>
                <w:b/>
              </w:rPr>
              <w:t>201</w:t>
            </w:r>
            <w:r>
              <w:rPr>
                <w:b/>
              </w:rPr>
              <w:t>9</w:t>
            </w:r>
          </w:p>
        </w:tc>
        <w:tc>
          <w:tcPr>
            <w:tcW w:w="758" w:type="dxa"/>
          </w:tcPr>
          <w:p w14:paraId="3C2EC4FE" w14:textId="77777777" w:rsidR="00776133" w:rsidRPr="001051F9" w:rsidRDefault="00776133" w:rsidP="00776133">
            <w:pPr>
              <w:jc w:val="center"/>
              <w:rPr>
                <w:b/>
              </w:rPr>
            </w:pPr>
            <w:r w:rsidRPr="001051F9">
              <w:rPr>
                <w:b/>
              </w:rPr>
              <w:t>20</w:t>
            </w:r>
            <w:r>
              <w:rPr>
                <w:b/>
              </w:rPr>
              <w:t>20</w:t>
            </w:r>
          </w:p>
        </w:tc>
        <w:tc>
          <w:tcPr>
            <w:tcW w:w="758" w:type="dxa"/>
          </w:tcPr>
          <w:p w14:paraId="69481C50" w14:textId="77777777" w:rsidR="00776133" w:rsidRPr="001051F9" w:rsidRDefault="00776133" w:rsidP="00776133">
            <w:pPr>
              <w:jc w:val="center"/>
              <w:rPr>
                <w:b/>
              </w:rPr>
            </w:pPr>
            <w:r w:rsidRPr="001051F9">
              <w:rPr>
                <w:b/>
              </w:rPr>
              <w:t>202</w:t>
            </w:r>
            <w:r>
              <w:rPr>
                <w:b/>
              </w:rPr>
              <w:t>1</w:t>
            </w:r>
          </w:p>
        </w:tc>
        <w:tc>
          <w:tcPr>
            <w:tcW w:w="758" w:type="dxa"/>
          </w:tcPr>
          <w:p w14:paraId="0E731350" w14:textId="77777777" w:rsidR="00776133" w:rsidRPr="001051F9" w:rsidRDefault="00776133" w:rsidP="00776133">
            <w:pPr>
              <w:jc w:val="center"/>
              <w:rPr>
                <w:b/>
              </w:rPr>
            </w:pPr>
            <w:r w:rsidRPr="001051F9">
              <w:rPr>
                <w:b/>
              </w:rPr>
              <w:t>202</w:t>
            </w:r>
            <w:r>
              <w:rPr>
                <w:b/>
              </w:rPr>
              <w:t>2</w:t>
            </w:r>
          </w:p>
        </w:tc>
        <w:tc>
          <w:tcPr>
            <w:tcW w:w="758" w:type="dxa"/>
          </w:tcPr>
          <w:p w14:paraId="6FCC732A" w14:textId="4C8D2EB4" w:rsidR="00776133" w:rsidRPr="001051F9" w:rsidRDefault="00776133" w:rsidP="00776133">
            <w:pPr>
              <w:jc w:val="center"/>
              <w:rPr>
                <w:b/>
              </w:rPr>
            </w:pPr>
            <w:r>
              <w:rPr>
                <w:b/>
              </w:rPr>
              <w:t>2023</w:t>
            </w:r>
          </w:p>
        </w:tc>
        <w:tc>
          <w:tcPr>
            <w:tcW w:w="759" w:type="dxa"/>
          </w:tcPr>
          <w:p w14:paraId="6C45FF04" w14:textId="5F45870E" w:rsidR="00776133" w:rsidRPr="001051F9" w:rsidRDefault="00776133" w:rsidP="00776133">
            <w:pPr>
              <w:jc w:val="center"/>
              <w:rPr>
                <w:b/>
              </w:rPr>
            </w:pPr>
            <w:r>
              <w:rPr>
                <w:b/>
              </w:rPr>
              <w:t>2024</w:t>
            </w:r>
          </w:p>
        </w:tc>
      </w:tr>
      <w:tr w:rsidR="00776133" w14:paraId="619A156D" w14:textId="545539BB" w:rsidTr="00776133">
        <w:tc>
          <w:tcPr>
            <w:tcW w:w="3902" w:type="dxa"/>
          </w:tcPr>
          <w:p w14:paraId="1ADBF54E" w14:textId="77777777" w:rsidR="00776133" w:rsidRDefault="00776133" w:rsidP="00776133">
            <w:pPr>
              <w:spacing w:after="120"/>
            </w:pPr>
            <w:r>
              <w:t>Continue to monitor emerging and new opportunities as part the Horizon scanning activities</w:t>
            </w:r>
          </w:p>
        </w:tc>
        <w:tc>
          <w:tcPr>
            <w:tcW w:w="758" w:type="dxa"/>
            <w:shd w:val="clear" w:color="auto" w:fill="00B0F0"/>
          </w:tcPr>
          <w:p w14:paraId="035E5E86" w14:textId="77777777" w:rsidR="00776133" w:rsidRDefault="00776133" w:rsidP="00483E69"/>
        </w:tc>
        <w:tc>
          <w:tcPr>
            <w:tcW w:w="758" w:type="dxa"/>
            <w:shd w:val="clear" w:color="auto" w:fill="00B0F0"/>
          </w:tcPr>
          <w:p w14:paraId="565CDC19" w14:textId="77777777" w:rsidR="00776133" w:rsidRDefault="00776133" w:rsidP="00483E69"/>
        </w:tc>
        <w:tc>
          <w:tcPr>
            <w:tcW w:w="758" w:type="dxa"/>
            <w:shd w:val="clear" w:color="auto" w:fill="00B0F0"/>
          </w:tcPr>
          <w:p w14:paraId="4374855F" w14:textId="77777777" w:rsidR="00776133" w:rsidRDefault="00776133" w:rsidP="00483E69"/>
        </w:tc>
        <w:tc>
          <w:tcPr>
            <w:tcW w:w="758" w:type="dxa"/>
            <w:shd w:val="clear" w:color="auto" w:fill="00B0F0"/>
          </w:tcPr>
          <w:p w14:paraId="682D62A1" w14:textId="77777777" w:rsidR="00776133" w:rsidRDefault="00776133" w:rsidP="00483E69"/>
        </w:tc>
        <w:tc>
          <w:tcPr>
            <w:tcW w:w="758" w:type="dxa"/>
            <w:shd w:val="clear" w:color="auto" w:fill="00B0F0"/>
          </w:tcPr>
          <w:p w14:paraId="302DA184" w14:textId="77777777" w:rsidR="00776133" w:rsidRDefault="00776133" w:rsidP="00483E69"/>
        </w:tc>
        <w:tc>
          <w:tcPr>
            <w:tcW w:w="758" w:type="dxa"/>
            <w:shd w:val="clear" w:color="auto" w:fill="00B0F0"/>
          </w:tcPr>
          <w:p w14:paraId="52CFD4B3" w14:textId="77777777" w:rsidR="00776133" w:rsidRDefault="00776133" w:rsidP="00483E69"/>
        </w:tc>
        <w:tc>
          <w:tcPr>
            <w:tcW w:w="759" w:type="dxa"/>
            <w:shd w:val="clear" w:color="auto" w:fill="00B0F0"/>
          </w:tcPr>
          <w:p w14:paraId="6494AFBF" w14:textId="77777777" w:rsidR="00776133" w:rsidRDefault="00776133" w:rsidP="00483E69"/>
        </w:tc>
      </w:tr>
    </w:tbl>
    <w:p w14:paraId="06B2DFC9" w14:textId="77777777" w:rsidR="00047EE6" w:rsidRDefault="00047EE6" w:rsidP="00047EE6">
      <w:pPr>
        <w:rPr>
          <w:rFonts w:eastAsia="HYGothic-Extra" w:cs="Tahoma"/>
          <w:color w:val="D1282E"/>
        </w:rPr>
      </w:pPr>
      <w:r>
        <w:br w:type="page"/>
      </w:r>
    </w:p>
    <w:p w14:paraId="173FE682" w14:textId="77777777" w:rsidR="00E3471C" w:rsidRPr="00CA2E50" w:rsidRDefault="00E3471C" w:rsidP="00E3471C">
      <w:pPr>
        <w:pStyle w:val="Heading3"/>
      </w:pPr>
      <w:r w:rsidRPr="007F5DBA">
        <w:lastRenderedPageBreak/>
        <w:t>Evaluation</w:t>
      </w:r>
      <w:r w:rsidRPr="008A1CC8">
        <w:t xml:space="preserve"> </w:t>
      </w:r>
      <w:r>
        <w:t xml:space="preserve">and </w:t>
      </w:r>
      <w:r w:rsidRPr="007F5DBA">
        <w:t>Success</w:t>
      </w:r>
      <w:r w:rsidRPr="00CA2E50">
        <w:t xml:space="preserve"> Measures</w:t>
      </w:r>
      <w:bookmarkEnd w:id="15"/>
    </w:p>
    <w:p w14:paraId="097ABD75" w14:textId="668B5EDC" w:rsidR="00D00100" w:rsidRDefault="00D00100" w:rsidP="00047EE6">
      <w:pPr>
        <w:spacing w:after="240" w:line="312" w:lineRule="auto"/>
      </w:pPr>
      <w:r>
        <w:t xml:space="preserve">Success measures will be identified for each activity at the planning stage and used to determine the success of the activity. These will be included in the evaluation of the outcomes. </w:t>
      </w:r>
    </w:p>
    <w:p w14:paraId="44C2D5C5" w14:textId="77777777" w:rsidR="00E3471C" w:rsidRDefault="00E3471C" w:rsidP="00047EE6">
      <w:pPr>
        <w:spacing w:after="240" w:line="312" w:lineRule="auto"/>
      </w:pPr>
      <w:r>
        <w:t xml:space="preserve">A comprehensive evaluation will mirror the objectives and supporting activities outlined in the Strategy. Evaluation should be designed to provide an overview of progress </w:t>
      </w:r>
      <w:r w:rsidR="006456A4">
        <w:t>that</w:t>
      </w:r>
      <w:r w:rsidR="006456A4" w:rsidRPr="00656700">
        <w:rPr>
          <w:rFonts w:cs="Arial"/>
        </w:rPr>
        <w:t xml:space="preserve"> all parts </w:t>
      </w:r>
      <w:r w:rsidR="006456A4">
        <w:rPr>
          <w:rFonts w:cs="Arial"/>
        </w:rPr>
        <w:t>of the supply chain including transport, storage and inventory management minimise unnecessary wastage and ensure blood and blood products are available to meet clinical needs.</w:t>
      </w:r>
      <w:r w:rsidR="00047EE6">
        <w:rPr>
          <w:rFonts w:cs="Arial"/>
        </w:rPr>
        <w:t xml:space="preserve"> </w:t>
      </w:r>
      <w:r>
        <w:t>This may reflect a combination of initiatives implemented by many groups.</w:t>
      </w:r>
    </w:p>
    <w:p w14:paraId="018FBD1D" w14:textId="77777777" w:rsidR="00E3471C" w:rsidRDefault="00E3471C" w:rsidP="00E3471C">
      <w:pPr>
        <w:spacing w:line="276" w:lineRule="auto"/>
      </w:pPr>
      <w:r>
        <w:t xml:space="preserve">Outcomes of activities in the Strategy will inform the development of the next set of strategies. </w:t>
      </w:r>
    </w:p>
    <w:p w14:paraId="0256AD26" w14:textId="77777777" w:rsidR="00E3471C" w:rsidRDefault="00E3471C" w:rsidP="00E3471C">
      <w:pPr>
        <w:spacing w:after="120"/>
      </w:pPr>
      <w:r>
        <w:t>The evaluation will use indicators that:</w:t>
      </w:r>
    </w:p>
    <w:p w14:paraId="523D3357" w14:textId="77777777" w:rsidR="006456A4" w:rsidRPr="00656700" w:rsidRDefault="00E3471C" w:rsidP="006456A4">
      <w:pPr>
        <w:pStyle w:val="ListParagraph"/>
        <w:numPr>
          <w:ilvl w:val="0"/>
          <w:numId w:val="17"/>
        </w:numPr>
        <w:spacing w:line="276" w:lineRule="auto"/>
      </w:pPr>
      <w:r>
        <w:t xml:space="preserve">Provide quantitative data on </w:t>
      </w:r>
      <w:proofErr w:type="gramStart"/>
      <w:r>
        <w:t xml:space="preserve">the </w:t>
      </w:r>
      <w:r w:rsidR="006456A4" w:rsidRPr="006456A4">
        <w:t>all</w:t>
      </w:r>
      <w:proofErr w:type="gramEnd"/>
      <w:r w:rsidR="006456A4" w:rsidRPr="006456A4">
        <w:t xml:space="preserve"> parts of the supply chain for blood and blood products have a responsibility to ensure that all aspects of the supply chain including transport, storage and inventory management minimise unnecessary wastage and ensure blood and blood products are available to meet clinical needs.</w:t>
      </w:r>
    </w:p>
    <w:p w14:paraId="10E78036" w14:textId="77777777" w:rsidR="006456A4" w:rsidRDefault="00E3471C" w:rsidP="00E3471C">
      <w:pPr>
        <w:pStyle w:val="ListParagraph"/>
        <w:numPr>
          <w:ilvl w:val="0"/>
          <w:numId w:val="17"/>
        </w:numPr>
        <w:spacing w:line="276" w:lineRule="auto"/>
      </w:pPr>
      <w:r>
        <w:t xml:space="preserve">Research the use of qualitative data on </w:t>
      </w:r>
      <w:r w:rsidR="006456A4">
        <w:t>health provider performance</w:t>
      </w:r>
    </w:p>
    <w:p w14:paraId="1C2E5C8E" w14:textId="77777777" w:rsidR="00E3471C" w:rsidRDefault="00E3471C" w:rsidP="00E3471C">
      <w:pPr>
        <w:pStyle w:val="ListParagraph"/>
        <w:numPr>
          <w:ilvl w:val="0"/>
          <w:numId w:val="17"/>
        </w:numPr>
        <w:spacing w:line="276" w:lineRule="auto"/>
      </w:pPr>
      <w:r>
        <w:t>Determine progress made towards achieving the objectives outlined in the strategy</w:t>
      </w:r>
    </w:p>
    <w:p w14:paraId="39A16B42" w14:textId="77777777" w:rsidR="003007CA" w:rsidRPr="00712FD1" w:rsidRDefault="003007CA" w:rsidP="003007CA">
      <w:pPr>
        <w:pStyle w:val="Heading3"/>
      </w:pPr>
      <w:r w:rsidRPr="007F5DBA">
        <w:t>Definitions</w:t>
      </w:r>
      <w:bookmarkEnd w:id="16"/>
    </w:p>
    <w:p w14:paraId="009C9B3F" w14:textId="77777777" w:rsidR="003007CA" w:rsidRDefault="003007CA" w:rsidP="003007CA">
      <w:pPr>
        <w:rPr>
          <w:rFonts w:asciiTheme="minorHAnsi" w:hAnsiTheme="minorHAnsi" w:cs="Arial"/>
        </w:rPr>
      </w:pPr>
      <w:r>
        <w:rPr>
          <w:rFonts w:asciiTheme="minorHAnsi" w:hAnsiTheme="minorHAnsi" w:cs="Arial"/>
        </w:rPr>
        <w:t xml:space="preserve">The Strategy aligns with the Australian Commission on Safety and Quality in Health Care (ACSQHC) </w:t>
      </w:r>
      <w:r w:rsidRPr="00871BCA">
        <w:rPr>
          <w:rFonts w:asciiTheme="minorHAnsi" w:hAnsiTheme="minorHAnsi" w:cs="Arial"/>
          <w:i/>
        </w:rPr>
        <w:t xml:space="preserve">National Safety and Quality Health Service </w:t>
      </w:r>
      <w:r>
        <w:rPr>
          <w:rFonts w:asciiTheme="minorHAnsi" w:hAnsiTheme="minorHAnsi" w:cs="Arial"/>
          <w:i/>
        </w:rPr>
        <w:t xml:space="preserve">(NSQHS) </w:t>
      </w:r>
      <w:r w:rsidRPr="00871BCA">
        <w:rPr>
          <w:rFonts w:asciiTheme="minorHAnsi" w:hAnsiTheme="minorHAnsi" w:cs="Arial"/>
          <w:i/>
        </w:rPr>
        <w:t>Standards</w:t>
      </w:r>
      <w:r>
        <w:rPr>
          <w:rFonts w:asciiTheme="minorHAnsi" w:hAnsiTheme="minorHAnsi" w:cs="Arial"/>
        </w:rPr>
        <w:t xml:space="preserve">, inclusive of the </w:t>
      </w:r>
      <w:r>
        <w:rPr>
          <w:rFonts w:asciiTheme="minorHAnsi" w:hAnsiTheme="minorHAnsi" w:cs="Arial"/>
          <w:i/>
        </w:rPr>
        <w:t>Blood Management Standard</w:t>
      </w:r>
      <w:r>
        <w:rPr>
          <w:rFonts w:asciiTheme="minorHAnsi" w:hAnsiTheme="minorHAnsi" w:cs="Arial"/>
        </w:rPr>
        <w:t xml:space="preserve"> in its definition of blood and blood products, blood management and health service organisations.    </w:t>
      </w:r>
    </w:p>
    <w:p w14:paraId="12FC7251" w14:textId="77777777" w:rsidR="003007CA" w:rsidRDefault="003007CA" w:rsidP="003007CA">
      <w:pPr>
        <w:rPr>
          <w:rFonts w:asciiTheme="minorHAnsi" w:hAnsiTheme="minorHAnsi" w:cs="Arial"/>
        </w:rPr>
      </w:pPr>
      <w:r w:rsidRPr="006209A1">
        <w:rPr>
          <w:rFonts w:asciiTheme="minorHAnsi" w:hAnsiTheme="minorHAnsi" w:cs="Arial"/>
          <w:b/>
        </w:rPr>
        <w:t>Transfusion</w:t>
      </w:r>
      <w:r>
        <w:rPr>
          <w:rFonts w:asciiTheme="minorHAnsi" w:hAnsiTheme="minorHAnsi" w:cs="Arial"/>
        </w:rPr>
        <w:t xml:space="preserve"> </w:t>
      </w:r>
      <w:r w:rsidRPr="006209A1">
        <w:rPr>
          <w:rFonts w:asciiTheme="minorHAnsi" w:hAnsiTheme="minorHAnsi" w:cs="Arial"/>
          <w:i/>
        </w:rPr>
        <w:t>‘covers the administration of all blood and blood products, regardless of their route of administration’</w:t>
      </w:r>
      <w:r w:rsidRPr="006209A1">
        <w:rPr>
          <w:rFonts w:asciiTheme="minorHAnsi" w:hAnsiTheme="minorHAnsi" w:cs="Arial"/>
        </w:rPr>
        <w:t xml:space="preserve">. </w:t>
      </w:r>
    </w:p>
    <w:p w14:paraId="79BA4A44" w14:textId="77777777" w:rsidR="003007CA" w:rsidRDefault="003007CA" w:rsidP="003007CA">
      <w:pPr>
        <w:rPr>
          <w:rFonts w:asciiTheme="minorHAnsi" w:hAnsiTheme="minorHAnsi" w:cs="Arial"/>
          <w:i/>
        </w:rPr>
      </w:pPr>
      <w:r w:rsidRPr="00D02BBA">
        <w:rPr>
          <w:rFonts w:asciiTheme="minorHAnsi" w:hAnsiTheme="minorHAnsi" w:cs="Arial"/>
          <w:b/>
        </w:rPr>
        <w:t>Blood management</w:t>
      </w:r>
      <w:r>
        <w:rPr>
          <w:rFonts w:asciiTheme="minorHAnsi" w:hAnsiTheme="minorHAnsi" w:cs="Arial"/>
        </w:rPr>
        <w:t xml:space="preserve"> </w:t>
      </w:r>
      <w:r>
        <w:rPr>
          <w:rFonts w:asciiTheme="minorHAnsi" w:hAnsiTheme="minorHAnsi" w:cs="Arial"/>
          <w:i/>
        </w:rPr>
        <w:t xml:space="preserve">‘is </w:t>
      </w:r>
      <w:r w:rsidRPr="00195C5A">
        <w:rPr>
          <w:rFonts w:asciiTheme="minorHAnsi" w:hAnsiTheme="minorHAnsi" w:cs="Arial"/>
          <w:i/>
        </w:rPr>
        <w:t xml:space="preserve">a process that improves outcomes for patients by improving their medical and surgical management in ways that boost and conserve their own </w:t>
      </w:r>
      <w:proofErr w:type="gramStart"/>
      <w:r w:rsidRPr="00195C5A">
        <w:rPr>
          <w:rFonts w:asciiTheme="minorHAnsi" w:hAnsiTheme="minorHAnsi" w:cs="Arial"/>
          <w:i/>
        </w:rPr>
        <w:t>blood, and</w:t>
      </w:r>
      <w:proofErr w:type="gramEnd"/>
      <w:r w:rsidRPr="00195C5A">
        <w:rPr>
          <w:rFonts w:asciiTheme="minorHAnsi" w:hAnsiTheme="minorHAnsi" w:cs="Arial"/>
          <w:i/>
        </w:rPr>
        <w:t xml:space="preserve"> ensure that any blood and blood products they receive are appropriate and safe</w:t>
      </w:r>
      <w:r>
        <w:rPr>
          <w:rFonts w:asciiTheme="minorHAnsi" w:hAnsiTheme="minorHAnsi" w:cs="Arial"/>
          <w:i/>
        </w:rPr>
        <w:t>’</w:t>
      </w:r>
      <w:r w:rsidRPr="00195C5A">
        <w:rPr>
          <w:rFonts w:asciiTheme="minorHAnsi" w:hAnsiTheme="minorHAnsi" w:cs="Arial"/>
          <w:i/>
        </w:rPr>
        <w:t>.</w:t>
      </w:r>
    </w:p>
    <w:p w14:paraId="7AC00AEC" w14:textId="77777777" w:rsidR="003007CA" w:rsidRPr="00CD27EA" w:rsidRDefault="003007CA" w:rsidP="003007CA">
      <w:r>
        <w:rPr>
          <w:b/>
        </w:rPr>
        <w:t>H</w:t>
      </w:r>
      <w:r w:rsidRPr="00CD27EA">
        <w:rPr>
          <w:b/>
        </w:rPr>
        <w:t>ealth service organisation</w:t>
      </w:r>
      <w:r w:rsidR="00DA0C2E">
        <w:rPr>
          <w:b/>
        </w:rPr>
        <w:t xml:space="preserve"> </w:t>
      </w:r>
      <w:r w:rsidR="00DA0C2E" w:rsidRPr="00DA0C2E">
        <w:t>is</w:t>
      </w:r>
      <w:r w:rsidRPr="00DA0C2E">
        <w:t xml:space="preserve"> a separately</w:t>
      </w:r>
      <w:r w:rsidRPr="00CD27EA">
        <w:t xml:space="preserve"> constituted health service that is responsible for </w:t>
      </w:r>
      <w:r>
        <w:t>implementing</w:t>
      </w:r>
      <w:r w:rsidRPr="00CD27EA">
        <w:t xml:space="preserve"> clinical governance, administration and financial management of a service unit or service units providing health care</w:t>
      </w:r>
      <w:r>
        <w:t xml:space="preserve"> at the direction of the governing body</w:t>
      </w:r>
      <w:r w:rsidRPr="00CD27EA">
        <w:t xml:space="preserve">. A service unit involves a grouping of clinicians and others working in a systematic way to deliver health care to patients. It can be in any location or setting, including pharmacies, clinics, outpatient facilities, hospitals, patients’ homes, community settings, </w:t>
      </w:r>
      <w:proofErr w:type="gramStart"/>
      <w:r w:rsidRPr="00CD27EA">
        <w:t>practices</w:t>
      </w:r>
      <w:proofErr w:type="gramEnd"/>
      <w:r w:rsidRPr="00CD27EA">
        <w:t xml:space="preserve"> and clinicians’ rooms.</w:t>
      </w:r>
    </w:p>
    <w:p w14:paraId="346FFDD7" w14:textId="77777777" w:rsidR="003007CA" w:rsidRPr="00CD27EA" w:rsidRDefault="003007CA" w:rsidP="003007CA">
      <w:r>
        <w:rPr>
          <w:b/>
        </w:rPr>
        <w:t>H</w:t>
      </w:r>
      <w:r w:rsidRPr="0025628A">
        <w:rPr>
          <w:b/>
        </w:rPr>
        <w:t>ealth providers</w:t>
      </w:r>
      <w:r w:rsidR="00DA0C2E">
        <w:rPr>
          <w:b/>
        </w:rPr>
        <w:t xml:space="preserve"> </w:t>
      </w:r>
      <w:r w:rsidR="00DA0C2E" w:rsidRPr="00DA0C2E">
        <w:t>are</w:t>
      </w:r>
      <w:r w:rsidRPr="00DA0C2E">
        <w:t xml:space="preserve"> </w:t>
      </w:r>
      <w:r w:rsidRPr="0025628A">
        <w:t>organisations or individuals that receive blood and blood products under the national blood arrangements, including pharmacies, laboratories, hospitals, medical centres, general and nurse practitioners, patient homes and other educational or research facilities.</w:t>
      </w:r>
    </w:p>
    <w:p w14:paraId="4769EF8E" w14:textId="77777777" w:rsidR="00DA0C2E" w:rsidRPr="00D531A4" w:rsidRDefault="00D531A4" w:rsidP="00DA0C2E">
      <w:pPr>
        <w:rPr>
          <w:b/>
        </w:rPr>
      </w:pPr>
      <w:r>
        <w:rPr>
          <w:b/>
        </w:rPr>
        <w:t>Supply c</w:t>
      </w:r>
      <w:r w:rsidR="00DA0C2E" w:rsidRPr="00547878">
        <w:rPr>
          <w:b/>
        </w:rPr>
        <w:t xml:space="preserve">hain </w:t>
      </w:r>
      <w:r>
        <w:rPr>
          <w:b/>
        </w:rPr>
        <w:t>management</w:t>
      </w:r>
      <w:r w:rsidR="00DA0C2E" w:rsidRPr="00DA0C2E">
        <w:rPr>
          <w:b/>
        </w:rPr>
        <w:t xml:space="preserve"> </w:t>
      </w:r>
      <w:r w:rsidRPr="00D531A4">
        <w:t>is</w:t>
      </w:r>
      <w:r w:rsidR="00DA0C2E" w:rsidRPr="00D531A4">
        <w:rPr>
          <w:lang w:val="en"/>
        </w:rPr>
        <w:t xml:space="preserve"> the</w:t>
      </w:r>
      <w:r w:rsidR="00DA0C2E">
        <w:rPr>
          <w:lang w:val="en"/>
        </w:rPr>
        <w:t xml:space="preserve"> management of the flow of </w:t>
      </w:r>
      <w:r>
        <w:rPr>
          <w:lang w:val="en"/>
        </w:rPr>
        <w:t>goods a</w:t>
      </w:r>
      <w:r w:rsidR="00DA0C2E" w:rsidRPr="00D531A4">
        <w:rPr>
          <w:lang w:val="en"/>
        </w:rPr>
        <w:t xml:space="preserve">nd services, involves the movement and storage of </w:t>
      </w:r>
      <w:r>
        <w:rPr>
          <w:lang w:val="en"/>
        </w:rPr>
        <w:t>raw materials,</w:t>
      </w:r>
      <w:r w:rsidR="00DA0C2E" w:rsidRPr="00D531A4">
        <w:rPr>
          <w:lang w:val="en"/>
        </w:rPr>
        <w:t xml:space="preserve"> of work-in-process </w:t>
      </w:r>
      <w:r>
        <w:rPr>
          <w:lang w:val="en"/>
        </w:rPr>
        <w:t>inventory</w:t>
      </w:r>
      <w:r w:rsidR="00DA0C2E" w:rsidRPr="00D531A4">
        <w:rPr>
          <w:lang w:val="en"/>
        </w:rPr>
        <w:t xml:space="preserve">, and of finished goods from point of origin to point of </w:t>
      </w:r>
      <w:r>
        <w:rPr>
          <w:lang w:val="en"/>
        </w:rPr>
        <w:t>use</w:t>
      </w:r>
      <w:r w:rsidR="00DA0C2E" w:rsidRPr="00D531A4">
        <w:rPr>
          <w:lang w:val="en"/>
        </w:rPr>
        <w:t>.</w:t>
      </w:r>
    </w:p>
    <w:p w14:paraId="4617FB3E" w14:textId="77777777" w:rsidR="00C67CE5" w:rsidRDefault="00C67CE5">
      <w:pPr>
        <w:spacing w:after="0"/>
        <w:rPr>
          <w:rFonts w:ascii="Arial" w:hAnsi="Arial" w:cs="Arial"/>
          <w:caps/>
          <w:sz w:val="32"/>
          <w:szCs w:val="32"/>
        </w:rPr>
      </w:pPr>
      <w:r>
        <w:br w:type="page"/>
      </w:r>
    </w:p>
    <w:p w14:paraId="210E5F81" w14:textId="77777777" w:rsidR="00FE6EE5" w:rsidRPr="00CA2E50" w:rsidRDefault="00FE6EE5" w:rsidP="00C67CE5">
      <w:pPr>
        <w:pStyle w:val="Heading1"/>
      </w:pPr>
      <w:bookmarkStart w:id="18" w:name="_Toc498963437"/>
      <w:r>
        <w:lastRenderedPageBreak/>
        <w:t>Previous Strateg</w:t>
      </w:r>
      <w:bookmarkEnd w:id="17"/>
      <w:r w:rsidR="00C67CE5">
        <w:t>y</w:t>
      </w:r>
      <w:bookmarkEnd w:id="18"/>
    </w:p>
    <w:p w14:paraId="3F729382" w14:textId="77777777" w:rsidR="00FE6EE5" w:rsidRPr="00115937" w:rsidRDefault="00FE6EE5" w:rsidP="00FE6EE5">
      <w:pPr>
        <w:spacing w:line="276" w:lineRule="auto"/>
      </w:pPr>
      <w:r w:rsidRPr="00115937">
        <w:t xml:space="preserve">This Strategy draws on the experiences and outcomes of the </w:t>
      </w:r>
      <w:r w:rsidRPr="00115937">
        <w:rPr>
          <w:i/>
        </w:rPr>
        <w:t xml:space="preserve">National Blood </w:t>
      </w:r>
      <w:r>
        <w:rPr>
          <w:i/>
        </w:rPr>
        <w:t>and Blood Product Wastage Reduction Str</w:t>
      </w:r>
      <w:r w:rsidRPr="00115937">
        <w:rPr>
          <w:i/>
        </w:rPr>
        <w:t>ategy 2013-2017</w:t>
      </w:r>
      <w:r w:rsidR="003007CA">
        <w:rPr>
          <w:i/>
        </w:rPr>
        <w:t xml:space="preserve"> (</w:t>
      </w:r>
      <w:r w:rsidR="003007CA">
        <w:t>2013-17 Strategy)</w:t>
      </w:r>
      <w:r>
        <w:rPr>
          <w:i/>
        </w:rPr>
        <w:t xml:space="preserve">. </w:t>
      </w:r>
    </w:p>
    <w:p w14:paraId="2991AC2F" w14:textId="77777777" w:rsidR="00FE6EE5" w:rsidRPr="00E61448" w:rsidRDefault="00FE6EE5" w:rsidP="00FE6EE5">
      <w:pPr>
        <w:spacing w:line="276" w:lineRule="auto"/>
      </w:pPr>
      <w:r w:rsidRPr="00E61448">
        <w:t xml:space="preserve">Since the launch of the </w:t>
      </w:r>
      <w:r w:rsidR="003007CA" w:rsidRPr="00E61448">
        <w:t>2</w:t>
      </w:r>
      <w:r w:rsidR="00E61448" w:rsidRPr="00E61448">
        <w:t>013-17 Strategy</w:t>
      </w:r>
      <w:r w:rsidRPr="00E61448">
        <w:t>, Australia has seen a significant reduction in the use of red blood cells. The</w:t>
      </w:r>
      <w:r w:rsidR="00E61448" w:rsidRPr="00E61448">
        <w:t xml:space="preserve"> implementation of the National Inventory Management Framework; the Standard; Patient Blood Management (PBM) Guidelines; the PBM Guideline Implementation Strategy; and the Wastage Reduction Strategy have all</w:t>
      </w:r>
      <w:r w:rsidRPr="00E61448">
        <w:t xml:space="preserve"> contributed to this decline in the use of red blood cells. This reduction in use would not have occurred however, without the concerted effort of jurisdictional programs, clinical </w:t>
      </w:r>
      <w:r w:rsidR="00E61448" w:rsidRPr="00E61448">
        <w:t>and scientific</w:t>
      </w:r>
      <w:r w:rsidRPr="00E61448">
        <w:t xml:space="preserve"> </w:t>
      </w:r>
      <w:proofErr w:type="gramStart"/>
      <w:r w:rsidRPr="00E61448">
        <w:t>champions</w:t>
      </w:r>
      <w:proofErr w:type="gramEnd"/>
      <w:r w:rsidRPr="00E61448">
        <w:t xml:space="preserve"> and a willingness by healthcare professionals to adopt a patient focus rather than a product focus and using blood and blood products more appropriately and safely. As an example, the demand for red blood cells over the last four years has fallen by over 21%, realising a saving to governments of $94 million. The NBA estimates there remains significant scope for consolidation of gains already </w:t>
      </w:r>
      <w:r w:rsidR="00E61448" w:rsidRPr="00E61448">
        <w:t>made and further penetration of blood management</w:t>
      </w:r>
      <w:r w:rsidRPr="00E61448">
        <w:t xml:space="preserve">. </w:t>
      </w:r>
    </w:p>
    <w:p w14:paraId="54874544" w14:textId="77777777" w:rsidR="00FE6EE5" w:rsidRDefault="00FE6EE5" w:rsidP="00FE6EE5">
      <w:r>
        <w:t xml:space="preserve">The status against each activity in the previous strategies is highlighted below. </w:t>
      </w:r>
    </w:p>
    <w:p w14:paraId="64791266" w14:textId="77777777" w:rsidR="00FE6EE5" w:rsidRPr="00E04C96" w:rsidRDefault="00FE6EE5" w:rsidP="00FE6EE5">
      <w:pPr>
        <w:tabs>
          <w:tab w:val="left" w:pos="-1440"/>
          <w:tab w:val="left" w:pos="567"/>
        </w:tabs>
        <w:spacing w:after="0"/>
        <w:rPr>
          <w:rFonts w:ascii="Gill Sans MT" w:hAnsi="Gill Sans MT" w:cs="Arial"/>
          <w:i/>
          <w:sz w:val="20"/>
        </w:rPr>
      </w:pPr>
      <w:r w:rsidRPr="00E04C96">
        <w:rPr>
          <w:rFonts w:ascii="Gill Sans MT" w:hAnsi="Gill Sans MT" w:cs="Arial"/>
          <w:i/>
          <w:sz w:val="20"/>
        </w:rPr>
        <w:t xml:space="preserve">Legend: </w:t>
      </w:r>
    </w:p>
    <w:tbl>
      <w:tblPr>
        <w:tblStyle w:val="TableGrid"/>
        <w:tblW w:w="9464" w:type="dxa"/>
        <w:tblLook w:val="04A0" w:firstRow="1" w:lastRow="0" w:firstColumn="1" w:lastColumn="0" w:noHBand="0" w:noVBand="1"/>
      </w:tblPr>
      <w:tblGrid>
        <w:gridCol w:w="1809"/>
        <w:gridCol w:w="7655"/>
      </w:tblGrid>
      <w:tr w:rsidR="00FE6EE5" w:rsidRPr="00414F79" w14:paraId="0F422495" w14:textId="77777777" w:rsidTr="00E76696">
        <w:tc>
          <w:tcPr>
            <w:tcW w:w="1809" w:type="dxa"/>
            <w:shd w:val="clear" w:color="auto" w:fill="00B050"/>
          </w:tcPr>
          <w:p w14:paraId="13C3C4F3" w14:textId="77777777" w:rsidR="00FE6EE5" w:rsidRPr="00414F79" w:rsidRDefault="00FE6EE5" w:rsidP="00547878">
            <w:pPr>
              <w:tabs>
                <w:tab w:val="left" w:pos="-1440"/>
                <w:tab w:val="left" w:pos="567"/>
              </w:tabs>
              <w:rPr>
                <w:rFonts w:ascii="Gill Sans MT" w:hAnsi="Gill Sans MT" w:cs="Arial"/>
                <w:i/>
                <w:sz w:val="20"/>
              </w:rPr>
            </w:pPr>
          </w:p>
        </w:tc>
        <w:tc>
          <w:tcPr>
            <w:tcW w:w="7655" w:type="dxa"/>
          </w:tcPr>
          <w:p w14:paraId="58675559" w14:textId="77777777" w:rsidR="00FE6EE5" w:rsidRPr="00414F79" w:rsidRDefault="00E76696" w:rsidP="00547878">
            <w:pPr>
              <w:tabs>
                <w:tab w:val="left" w:pos="-1440"/>
                <w:tab w:val="left" w:pos="567"/>
              </w:tabs>
              <w:rPr>
                <w:rFonts w:ascii="Gill Sans MT" w:hAnsi="Gill Sans MT" w:cs="Arial"/>
                <w:i/>
                <w:sz w:val="20"/>
              </w:rPr>
            </w:pPr>
            <w:r>
              <w:rPr>
                <w:rFonts w:ascii="Gill Sans MT" w:hAnsi="Gill Sans MT" w:cs="Arial"/>
                <w:i/>
                <w:sz w:val="20"/>
              </w:rPr>
              <w:t>Completed</w:t>
            </w:r>
          </w:p>
        </w:tc>
      </w:tr>
      <w:tr w:rsidR="00FE6EE5" w:rsidRPr="00414F79" w14:paraId="4D5B15FA" w14:textId="77777777" w:rsidTr="00FE6EE5">
        <w:tc>
          <w:tcPr>
            <w:tcW w:w="1809" w:type="dxa"/>
            <w:shd w:val="clear" w:color="auto" w:fill="F79646" w:themeFill="accent6"/>
          </w:tcPr>
          <w:p w14:paraId="77821528" w14:textId="77777777" w:rsidR="00FE6EE5" w:rsidRPr="00414F79" w:rsidRDefault="00FE6EE5" w:rsidP="00547878">
            <w:pPr>
              <w:tabs>
                <w:tab w:val="left" w:pos="-1440"/>
                <w:tab w:val="left" w:pos="567"/>
              </w:tabs>
              <w:rPr>
                <w:rFonts w:ascii="Gill Sans MT" w:hAnsi="Gill Sans MT" w:cs="Arial"/>
                <w:i/>
                <w:sz w:val="20"/>
              </w:rPr>
            </w:pPr>
          </w:p>
        </w:tc>
        <w:tc>
          <w:tcPr>
            <w:tcW w:w="7655" w:type="dxa"/>
          </w:tcPr>
          <w:p w14:paraId="5472A61A" w14:textId="77777777" w:rsidR="00FE6EE5" w:rsidRPr="00414F79" w:rsidRDefault="00E76696" w:rsidP="00FE6EE5">
            <w:pPr>
              <w:tabs>
                <w:tab w:val="left" w:pos="-1440"/>
                <w:tab w:val="left" w:pos="567"/>
              </w:tabs>
              <w:rPr>
                <w:rFonts w:ascii="Gill Sans MT" w:hAnsi="Gill Sans MT" w:cs="Arial"/>
                <w:i/>
                <w:sz w:val="20"/>
              </w:rPr>
            </w:pPr>
            <w:r>
              <w:rPr>
                <w:rFonts w:ascii="Gill Sans MT" w:hAnsi="Gill Sans MT" w:cs="Arial"/>
                <w:i/>
                <w:sz w:val="20"/>
              </w:rPr>
              <w:t>In progress</w:t>
            </w:r>
          </w:p>
        </w:tc>
      </w:tr>
      <w:tr w:rsidR="00FE6EE5" w:rsidRPr="00414F79" w14:paraId="5914DD8C" w14:textId="77777777" w:rsidTr="00E76696">
        <w:tc>
          <w:tcPr>
            <w:tcW w:w="1809" w:type="dxa"/>
            <w:shd w:val="clear" w:color="auto" w:fill="FF0000"/>
          </w:tcPr>
          <w:p w14:paraId="3A66EC31" w14:textId="77777777" w:rsidR="00FE6EE5" w:rsidRPr="00414F79" w:rsidRDefault="00FE6EE5" w:rsidP="00547878">
            <w:pPr>
              <w:tabs>
                <w:tab w:val="left" w:pos="-1440"/>
                <w:tab w:val="left" w:pos="567"/>
              </w:tabs>
              <w:rPr>
                <w:rFonts w:ascii="Gill Sans MT" w:hAnsi="Gill Sans MT" w:cs="Arial"/>
                <w:i/>
                <w:sz w:val="20"/>
              </w:rPr>
            </w:pPr>
          </w:p>
        </w:tc>
        <w:tc>
          <w:tcPr>
            <w:tcW w:w="7655" w:type="dxa"/>
          </w:tcPr>
          <w:p w14:paraId="197FDB83" w14:textId="77777777" w:rsidR="00FE6EE5" w:rsidRPr="00414F79" w:rsidRDefault="00E76696" w:rsidP="00547878">
            <w:pPr>
              <w:tabs>
                <w:tab w:val="left" w:pos="-1440"/>
                <w:tab w:val="left" w:pos="567"/>
              </w:tabs>
              <w:rPr>
                <w:rFonts w:ascii="Gill Sans MT" w:hAnsi="Gill Sans MT" w:cs="Arial"/>
                <w:i/>
                <w:sz w:val="20"/>
              </w:rPr>
            </w:pPr>
            <w:r>
              <w:rPr>
                <w:rFonts w:ascii="Gill Sans MT" w:hAnsi="Gill Sans MT" w:cs="Arial"/>
                <w:i/>
                <w:sz w:val="20"/>
              </w:rPr>
              <w:t>Not yet Commenced</w:t>
            </w:r>
          </w:p>
        </w:tc>
      </w:tr>
    </w:tbl>
    <w:p w14:paraId="10841D1A" w14:textId="77777777" w:rsidR="00FE6EE5" w:rsidRDefault="00FE6EE5">
      <w:pPr>
        <w:spacing w:after="0"/>
        <w:rPr>
          <w:rFonts w:ascii="Arial" w:hAnsi="Arial" w:cs="Arial"/>
          <w:b/>
          <w:sz w:val="24"/>
          <w:szCs w:val="24"/>
        </w:rPr>
      </w:pPr>
      <w:r>
        <w:rPr>
          <w:rFonts w:ascii="Arial" w:hAnsi="Arial" w:cs="Arial"/>
          <w:b/>
          <w:sz w:val="24"/>
          <w:szCs w:val="24"/>
        </w:rPr>
        <w:br w:type="page"/>
      </w:r>
    </w:p>
    <w:p w14:paraId="375D2EBC" w14:textId="77777777" w:rsidR="00FE6EE5" w:rsidRDefault="00FE6EE5" w:rsidP="009B6EC2">
      <w:pPr>
        <w:spacing w:after="0"/>
        <w:rPr>
          <w:rFonts w:ascii="Arial" w:hAnsi="Arial" w:cs="Arial"/>
          <w:b/>
          <w:sz w:val="24"/>
          <w:szCs w:val="24"/>
        </w:rPr>
        <w:sectPr w:rsidR="00FE6EE5" w:rsidSect="00C166A7">
          <w:headerReference w:type="even" r:id="rId23"/>
          <w:headerReference w:type="default" r:id="rId24"/>
          <w:footerReference w:type="default" r:id="rId25"/>
          <w:headerReference w:type="first" r:id="rId26"/>
          <w:pgSz w:w="11907" w:h="16839" w:code="9"/>
          <w:pgMar w:top="0" w:right="1608" w:bottom="1560" w:left="1080" w:header="720" w:footer="720" w:gutter="0"/>
          <w:pgNumType w:start="0"/>
          <w:cols w:space="720"/>
          <w:docGrid w:linePitch="360"/>
        </w:sectPr>
      </w:pPr>
    </w:p>
    <w:p w14:paraId="0CD6B64C" w14:textId="77777777" w:rsidR="00FE6EE5" w:rsidRPr="0061396A" w:rsidRDefault="00FE6EE5" w:rsidP="00FE6EE5">
      <w:pPr>
        <w:pStyle w:val="Header"/>
        <w:rPr>
          <w:b/>
          <w:sz w:val="30"/>
          <w:szCs w:val="30"/>
        </w:rPr>
      </w:pPr>
      <w:r w:rsidRPr="0061396A">
        <w:rPr>
          <w:b/>
          <w:i/>
          <w:sz w:val="30"/>
          <w:szCs w:val="30"/>
        </w:rPr>
        <w:lastRenderedPageBreak/>
        <w:t>National Blood and Blood Product Wastage Reduction Strategy 2013-2017</w:t>
      </w:r>
      <w:r>
        <w:rPr>
          <w:b/>
          <w:sz w:val="30"/>
          <w:szCs w:val="30"/>
        </w:rPr>
        <w:br/>
        <w:t xml:space="preserve">Status of Wastage Reduction Strategy activities  </w:t>
      </w:r>
    </w:p>
    <w:p w14:paraId="241C267A" w14:textId="77777777" w:rsidR="005135CD" w:rsidRDefault="005135CD" w:rsidP="009B6EC2">
      <w:pPr>
        <w:spacing w:after="0"/>
        <w:rPr>
          <w:rFonts w:ascii="Arial" w:hAnsi="Arial" w:cs="Arial"/>
          <w:b/>
          <w:sz w:val="24"/>
          <w:szCs w:val="24"/>
        </w:rPr>
      </w:pPr>
    </w:p>
    <w:tbl>
      <w:tblPr>
        <w:tblStyle w:val="NBATableStyle1"/>
        <w:tblW w:w="504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849"/>
        <w:gridCol w:w="8202"/>
      </w:tblGrid>
      <w:tr w:rsidR="00FE6EE5" w:rsidRPr="004A6A9E" w14:paraId="25F372B5" w14:textId="77777777" w:rsidTr="00432D62">
        <w:trPr>
          <w:cnfStyle w:val="100000000000" w:firstRow="1" w:lastRow="0" w:firstColumn="0" w:lastColumn="0" w:oddVBand="0" w:evenVBand="0" w:oddHBand="0" w:evenHBand="0" w:firstRowFirstColumn="0" w:firstRowLastColumn="0" w:lastRowFirstColumn="0" w:lastRowLastColumn="0"/>
          <w:tblHeader/>
        </w:trPr>
        <w:tc>
          <w:tcPr>
            <w:tcW w:w="1824" w:type="pct"/>
            <w:shd w:val="clear" w:color="auto" w:fill="808080" w:themeFill="background1" w:themeFillShade="80"/>
          </w:tcPr>
          <w:p w14:paraId="66FCD7E1" w14:textId="77777777" w:rsidR="00FE6EE5" w:rsidRPr="004A6A9E" w:rsidRDefault="00FE6EE5" w:rsidP="00547878">
            <w:r w:rsidRPr="004A6A9E">
              <w:t xml:space="preserve">Activity </w:t>
            </w:r>
          </w:p>
        </w:tc>
        <w:tc>
          <w:tcPr>
            <w:tcW w:w="298" w:type="pct"/>
            <w:shd w:val="clear" w:color="auto" w:fill="808080" w:themeFill="background1" w:themeFillShade="80"/>
          </w:tcPr>
          <w:p w14:paraId="0CF2D079" w14:textId="77777777" w:rsidR="00FE6EE5" w:rsidRPr="004A6A9E" w:rsidRDefault="00FE6EE5" w:rsidP="00547878">
            <w:r>
              <w:t>Status</w:t>
            </w:r>
          </w:p>
        </w:tc>
        <w:tc>
          <w:tcPr>
            <w:tcW w:w="2878" w:type="pct"/>
            <w:shd w:val="clear" w:color="auto" w:fill="808080" w:themeFill="background1" w:themeFillShade="80"/>
          </w:tcPr>
          <w:p w14:paraId="5A345D7D" w14:textId="77777777" w:rsidR="00FE6EE5" w:rsidRPr="004A6A9E" w:rsidRDefault="00FE6EE5" w:rsidP="00547878">
            <w:r>
              <w:t>Notes</w:t>
            </w:r>
          </w:p>
        </w:tc>
      </w:tr>
      <w:tr w:rsidR="00432D62" w:rsidRPr="00FE6EE5" w14:paraId="0075ACC3" w14:textId="77777777" w:rsidTr="00432D62">
        <w:tc>
          <w:tcPr>
            <w:tcW w:w="5000" w:type="pct"/>
            <w:gridSpan w:val="3"/>
            <w:shd w:val="clear" w:color="auto" w:fill="C2D69B" w:themeFill="accent3" w:themeFillTint="99"/>
          </w:tcPr>
          <w:p w14:paraId="68B19A34" w14:textId="66BCDF36" w:rsidR="00432D62" w:rsidRPr="00FE6EE5" w:rsidRDefault="00432D62" w:rsidP="00432D62">
            <w:pPr>
              <w:pStyle w:val="ListParagraph"/>
              <w:numPr>
                <w:ilvl w:val="0"/>
                <w:numId w:val="7"/>
              </w:numPr>
              <w:spacing w:after="0"/>
              <w:ind w:left="426" w:hanging="426"/>
              <w:rPr>
                <w:rFonts w:asciiTheme="minorHAnsi" w:hAnsiTheme="minorHAnsi"/>
              </w:rPr>
            </w:pPr>
            <w:r>
              <w:rPr>
                <w:rFonts w:asciiTheme="minorHAnsi" w:hAnsiTheme="minorHAnsi"/>
                <w:b/>
              </w:rPr>
              <w:t>Supply Chain Efficiencies</w:t>
            </w:r>
          </w:p>
        </w:tc>
      </w:tr>
      <w:tr w:rsidR="00F907BE" w:rsidRPr="00F907BE" w14:paraId="2B48BD11" w14:textId="77777777" w:rsidTr="00432D62">
        <w:tc>
          <w:tcPr>
            <w:tcW w:w="1824" w:type="pct"/>
            <w:shd w:val="clear" w:color="auto" w:fill="EAF1DD" w:themeFill="accent3" w:themeFillTint="33"/>
          </w:tcPr>
          <w:p w14:paraId="3D716F96" w14:textId="3E8B1CCA" w:rsidR="00F907BE" w:rsidRPr="00F907BE" w:rsidRDefault="00F907BE" w:rsidP="00F907BE">
            <w:pPr>
              <w:rPr>
                <w:rFonts w:asciiTheme="minorHAnsi" w:hAnsiTheme="minorHAnsi"/>
              </w:rPr>
            </w:pPr>
            <w:r w:rsidRPr="00F907BE">
              <w:rPr>
                <w:rFonts w:asciiTheme="minorHAnsi" w:hAnsiTheme="minorHAnsi"/>
              </w:rPr>
              <w:t>1.1 Reduction of national red blood cell inventory levels</w:t>
            </w:r>
          </w:p>
        </w:tc>
        <w:tc>
          <w:tcPr>
            <w:tcW w:w="298" w:type="pct"/>
            <w:shd w:val="clear" w:color="auto" w:fill="00B050"/>
          </w:tcPr>
          <w:p w14:paraId="43D2908E" w14:textId="77777777" w:rsidR="00F907BE" w:rsidRPr="00FE6EE5" w:rsidRDefault="008E54BE" w:rsidP="00507566">
            <w:pPr>
              <w:jc w:val="center"/>
              <w:rPr>
                <w:rFonts w:asciiTheme="minorHAnsi" w:hAnsiTheme="minorHAnsi"/>
              </w:rPr>
            </w:pPr>
            <w:r>
              <w:rPr>
                <w:rFonts w:asciiTheme="minorHAnsi" w:hAnsiTheme="minorHAnsi"/>
              </w:rPr>
              <w:t>G</w:t>
            </w:r>
          </w:p>
        </w:tc>
        <w:tc>
          <w:tcPr>
            <w:tcW w:w="2878" w:type="pct"/>
            <w:shd w:val="clear" w:color="auto" w:fill="EAF1DD" w:themeFill="accent3" w:themeFillTint="33"/>
          </w:tcPr>
          <w:p w14:paraId="00006C56" w14:textId="79DC52DC" w:rsidR="00F907BE" w:rsidRPr="00507566" w:rsidRDefault="008E54BE" w:rsidP="008E54BE">
            <w:pPr>
              <w:rPr>
                <w:rFonts w:asciiTheme="minorHAnsi" w:hAnsiTheme="minorHAnsi"/>
                <w:color w:val="auto"/>
              </w:rPr>
            </w:pPr>
            <w:r w:rsidRPr="00FE6EE5">
              <w:rPr>
                <w:rFonts w:asciiTheme="minorHAnsi" w:hAnsiTheme="minorHAnsi"/>
                <w:b/>
                <w:color w:val="00B050"/>
              </w:rPr>
              <w:t>COMPLETE</w:t>
            </w:r>
            <w:r w:rsidRPr="00FE6EE5">
              <w:rPr>
                <w:rFonts w:asciiTheme="minorHAnsi" w:hAnsiTheme="minorHAnsi"/>
              </w:rPr>
              <w:t xml:space="preserve"> </w:t>
            </w:r>
            <w:r>
              <w:rPr>
                <w:rFonts w:asciiTheme="minorHAnsi" w:hAnsiTheme="minorHAnsi"/>
              </w:rPr>
              <w:t xml:space="preserve">– The Blood Service implemented inventory bands as part of the National Inventory Template </w:t>
            </w:r>
            <w:r w:rsidR="00F907BE" w:rsidRPr="00507566">
              <w:rPr>
                <w:rFonts w:asciiTheme="minorHAnsi" w:hAnsiTheme="minorHAnsi"/>
                <w:color w:val="auto"/>
              </w:rPr>
              <w:t>Work with the Blood Service and Australian governments to implement a one-off reduction of national red blood cell inventory held by the Blood Service nationally by two days, thus reducing wastage in the system and increasing the proportion of fresher blood in the national inventory.</w:t>
            </w:r>
          </w:p>
        </w:tc>
      </w:tr>
      <w:tr w:rsidR="00F907BE" w:rsidRPr="00FE6EE5" w14:paraId="7D995928" w14:textId="77777777" w:rsidTr="00432D62">
        <w:tc>
          <w:tcPr>
            <w:tcW w:w="1824" w:type="pct"/>
            <w:shd w:val="clear" w:color="auto" w:fill="EAF1DD" w:themeFill="accent3" w:themeFillTint="33"/>
          </w:tcPr>
          <w:p w14:paraId="2089F3E5" w14:textId="77777777" w:rsidR="00F907BE" w:rsidRPr="00F907BE" w:rsidRDefault="00F907BE" w:rsidP="00F907BE">
            <w:pPr>
              <w:spacing w:after="0"/>
              <w:rPr>
                <w:rFonts w:asciiTheme="minorHAnsi" w:hAnsiTheme="minorHAnsi"/>
              </w:rPr>
            </w:pPr>
            <w:r w:rsidRPr="00F907BE">
              <w:rPr>
                <w:rFonts w:asciiTheme="minorHAnsi" w:hAnsiTheme="minorHAnsi"/>
              </w:rPr>
              <w:t>1.2 Increase red blood cell yield</w:t>
            </w:r>
          </w:p>
        </w:tc>
        <w:tc>
          <w:tcPr>
            <w:tcW w:w="298" w:type="pct"/>
            <w:shd w:val="clear" w:color="auto" w:fill="00B050"/>
          </w:tcPr>
          <w:p w14:paraId="675E5ABA" w14:textId="77777777" w:rsidR="00F907BE" w:rsidRPr="00FE6EE5" w:rsidRDefault="00F907BE" w:rsidP="00547878">
            <w:pPr>
              <w:jc w:val="center"/>
              <w:rPr>
                <w:rFonts w:asciiTheme="minorHAnsi" w:hAnsiTheme="minorHAnsi"/>
              </w:rPr>
            </w:pPr>
            <w:r>
              <w:rPr>
                <w:rFonts w:asciiTheme="minorHAnsi" w:hAnsiTheme="minorHAnsi"/>
              </w:rPr>
              <w:t>G</w:t>
            </w:r>
          </w:p>
        </w:tc>
        <w:tc>
          <w:tcPr>
            <w:tcW w:w="2878" w:type="pct"/>
            <w:shd w:val="clear" w:color="auto" w:fill="EAF1DD" w:themeFill="accent3" w:themeFillTint="33"/>
          </w:tcPr>
          <w:p w14:paraId="29CB76CD" w14:textId="77777777" w:rsidR="00F907BE" w:rsidRPr="00507566" w:rsidRDefault="00F907BE" w:rsidP="00507566">
            <w:r w:rsidRPr="00FE6EE5">
              <w:rPr>
                <w:rFonts w:asciiTheme="minorHAnsi" w:hAnsiTheme="minorHAnsi"/>
                <w:b/>
                <w:color w:val="00B050"/>
              </w:rPr>
              <w:t>COMPLETE</w:t>
            </w:r>
            <w:r w:rsidRPr="00FE6EE5">
              <w:rPr>
                <w:rFonts w:asciiTheme="minorHAnsi" w:hAnsiTheme="minorHAnsi"/>
              </w:rPr>
              <w:t xml:space="preserve"> </w:t>
            </w:r>
            <w:r>
              <w:rPr>
                <w:rFonts w:asciiTheme="minorHAnsi" w:hAnsiTheme="minorHAnsi"/>
              </w:rPr>
              <w:t>–</w:t>
            </w:r>
            <w:r w:rsidRPr="00FE6EE5">
              <w:rPr>
                <w:rFonts w:asciiTheme="minorHAnsi" w:hAnsiTheme="minorHAnsi"/>
              </w:rPr>
              <w:t xml:space="preserve"> </w:t>
            </w:r>
            <w:r w:rsidR="00507566">
              <w:t xml:space="preserve">The Statement of Expectations from </w:t>
            </w:r>
            <w:proofErr w:type="gramStart"/>
            <w:r w:rsidR="00507566">
              <w:t>the all</w:t>
            </w:r>
            <w:proofErr w:type="gramEnd"/>
            <w:r w:rsidR="00507566">
              <w:t xml:space="preserve"> health ministers to the Blood Service </w:t>
            </w:r>
            <w:r w:rsidR="00507566">
              <w:rPr>
                <w:rFonts w:asciiTheme="minorHAnsi" w:hAnsiTheme="minorHAnsi"/>
              </w:rPr>
              <w:t>i</w:t>
            </w:r>
            <w:r>
              <w:t>nclude</w:t>
            </w:r>
            <w:r w:rsidR="00507566">
              <w:t>s</w:t>
            </w:r>
            <w:r>
              <w:t xml:space="preserve"> a requirement in to maintain or improve red blood </w:t>
            </w:r>
            <w:r w:rsidR="00507566">
              <w:t>cell yield.</w:t>
            </w:r>
          </w:p>
        </w:tc>
      </w:tr>
      <w:tr w:rsidR="00432D62" w:rsidRPr="00FE6EE5" w14:paraId="06EE84D5" w14:textId="77777777" w:rsidTr="00432D62">
        <w:tc>
          <w:tcPr>
            <w:tcW w:w="5000" w:type="pct"/>
            <w:gridSpan w:val="3"/>
            <w:shd w:val="clear" w:color="auto" w:fill="C2D69B" w:themeFill="accent3" w:themeFillTint="99"/>
          </w:tcPr>
          <w:p w14:paraId="00C0FE75" w14:textId="75396CF2" w:rsidR="00432D62" w:rsidRPr="00432D62" w:rsidRDefault="00432D62" w:rsidP="00432D62">
            <w:pPr>
              <w:pStyle w:val="ListParagraph"/>
              <w:numPr>
                <w:ilvl w:val="0"/>
                <w:numId w:val="7"/>
              </w:numPr>
              <w:spacing w:after="0"/>
              <w:ind w:left="426" w:hanging="426"/>
              <w:rPr>
                <w:rFonts w:asciiTheme="minorHAnsi" w:hAnsiTheme="minorHAnsi"/>
                <w:b/>
              </w:rPr>
            </w:pPr>
            <w:r w:rsidRPr="00FE6EE5">
              <w:rPr>
                <w:rFonts w:asciiTheme="minorHAnsi" w:hAnsiTheme="minorHAnsi"/>
                <w:b/>
              </w:rPr>
              <w:t>Collection, Analysis and Distribution of Data</w:t>
            </w:r>
          </w:p>
        </w:tc>
      </w:tr>
      <w:tr w:rsidR="00FE6EE5" w:rsidRPr="00FE6EE5" w14:paraId="1F50DFDB" w14:textId="77777777" w:rsidTr="00432D62">
        <w:tc>
          <w:tcPr>
            <w:tcW w:w="1824" w:type="pct"/>
            <w:shd w:val="clear" w:color="auto" w:fill="EAF1DD" w:themeFill="accent3" w:themeFillTint="33"/>
          </w:tcPr>
          <w:p w14:paraId="076A86F2" w14:textId="77777777" w:rsidR="00FE6EE5" w:rsidRPr="00FE6EE5" w:rsidRDefault="00CD6E80" w:rsidP="00CD6E80">
            <w:pPr>
              <w:rPr>
                <w:rFonts w:asciiTheme="minorHAnsi" w:hAnsiTheme="minorHAnsi"/>
                <w:lang w:val="fr-FR"/>
              </w:rPr>
            </w:pPr>
            <w:r>
              <w:rPr>
                <w:rFonts w:asciiTheme="minorHAnsi" w:hAnsiTheme="minorHAnsi"/>
                <w:lang w:val="fr-FR"/>
              </w:rPr>
              <w:t>2</w:t>
            </w:r>
            <w:r w:rsidR="00FE6EE5" w:rsidRPr="00FE6EE5">
              <w:rPr>
                <w:rFonts w:asciiTheme="minorHAnsi" w:hAnsiTheme="minorHAnsi"/>
                <w:lang w:val="fr-FR"/>
              </w:rPr>
              <w:t xml:space="preserve">.1 </w:t>
            </w:r>
            <w:proofErr w:type="spellStart"/>
            <w:r w:rsidR="00FE6EE5" w:rsidRPr="00FE6EE5">
              <w:rPr>
                <w:rFonts w:asciiTheme="minorHAnsi" w:hAnsiTheme="minorHAnsi"/>
                <w:lang w:val="fr-FR"/>
              </w:rPr>
              <w:t>BloodNet</w:t>
            </w:r>
            <w:proofErr w:type="spellEnd"/>
            <w:r w:rsidR="00FE6EE5" w:rsidRPr="00FE6EE5">
              <w:rPr>
                <w:rFonts w:asciiTheme="minorHAnsi" w:hAnsiTheme="minorHAnsi"/>
                <w:lang w:val="fr-FR"/>
              </w:rPr>
              <w:t xml:space="preserve"> Fate module national </w:t>
            </w:r>
            <w:r w:rsidR="00FE6EE5" w:rsidRPr="00FE6EE5">
              <w:rPr>
                <w:rFonts w:asciiTheme="minorHAnsi" w:hAnsiTheme="minorHAnsi"/>
              </w:rPr>
              <w:t>implementation</w:t>
            </w:r>
          </w:p>
        </w:tc>
        <w:tc>
          <w:tcPr>
            <w:tcW w:w="298" w:type="pct"/>
            <w:shd w:val="clear" w:color="auto" w:fill="00B050"/>
          </w:tcPr>
          <w:p w14:paraId="1CC7AD4C" w14:textId="77777777" w:rsidR="00FE6EE5" w:rsidRPr="00FE6EE5" w:rsidRDefault="00FE6EE5" w:rsidP="00547878">
            <w:pPr>
              <w:jc w:val="center"/>
              <w:rPr>
                <w:rFonts w:asciiTheme="minorHAnsi" w:hAnsiTheme="minorHAnsi" w:cstheme="minorHAnsi"/>
              </w:rPr>
            </w:pPr>
            <w:r w:rsidRPr="00FE6EE5">
              <w:rPr>
                <w:rFonts w:asciiTheme="minorHAnsi" w:hAnsiTheme="minorHAnsi" w:cstheme="minorHAnsi"/>
              </w:rPr>
              <w:t>G</w:t>
            </w:r>
          </w:p>
        </w:tc>
        <w:tc>
          <w:tcPr>
            <w:tcW w:w="2878" w:type="pct"/>
            <w:shd w:val="clear" w:color="auto" w:fill="EAF1DD" w:themeFill="accent3" w:themeFillTint="33"/>
          </w:tcPr>
          <w:p w14:paraId="3350015B" w14:textId="77777777" w:rsidR="00FE6EE5" w:rsidRPr="00FE6EE5" w:rsidRDefault="00FE6EE5" w:rsidP="00547878">
            <w:pPr>
              <w:rPr>
                <w:rFonts w:asciiTheme="minorHAnsi" w:hAnsiTheme="minorHAnsi"/>
              </w:rPr>
            </w:pPr>
            <w:r w:rsidRPr="00FE6EE5">
              <w:rPr>
                <w:rFonts w:asciiTheme="minorHAnsi" w:hAnsiTheme="minorHAnsi"/>
                <w:b/>
                <w:color w:val="00B050"/>
              </w:rPr>
              <w:t>COMPLETE</w:t>
            </w:r>
            <w:r w:rsidRPr="00FE6EE5">
              <w:rPr>
                <w:rFonts w:asciiTheme="minorHAnsi" w:hAnsiTheme="minorHAnsi"/>
              </w:rPr>
              <w:t xml:space="preserve"> </w:t>
            </w:r>
            <w:r w:rsidR="008E54BE">
              <w:rPr>
                <w:rFonts w:asciiTheme="minorHAnsi" w:hAnsiTheme="minorHAnsi"/>
              </w:rPr>
              <w:t>–</w:t>
            </w:r>
            <w:r w:rsidRPr="00FE6EE5">
              <w:rPr>
                <w:rFonts w:asciiTheme="minorHAnsi" w:hAnsiTheme="minorHAnsi"/>
              </w:rPr>
              <w:t xml:space="preserve"> The </w:t>
            </w:r>
            <w:proofErr w:type="spellStart"/>
            <w:r w:rsidRPr="00FE6EE5">
              <w:rPr>
                <w:rFonts w:asciiTheme="minorHAnsi" w:hAnsiTheme="minorHAnsi"/>
              </w:rPr>
              <w:t>BloodNet</w:t>
            </w:r>
            <w:proofErr w:type="spellEnd"/>
            <w:r w:rsidRPr="00FE6EE5">
              <w:rPr>
                <w:rFonts w:asciiTheme="minorHAnsi" w:hAnsiTheme="minorHAnsi"/>
              </w:rPr>
              <w:t xml:space="preserve"> Fate module has now been implemented and covers </w:t>
            </w:r>
            <w:proofErr w:type="gramStart"/>
            <w:r w:rsidRPr="00FE6EE5">
              <w:rPr>
                <w:rFonts w:asciiTheme="minorHAnsi" w:hAnsiTheme="minorHAnsi"/>
              </w:rPr>
              <w:t>in excess of</w:t>
            </w:r>
            <w:proofErr w:type="gramEnd"/>
            <w:r w:rsidRPr="00FE6EE5">
              <w:rPr>
                <w:rFonts w:asciiTheme="minorHAnsi" w:hAnsiTheme="minorHAnsi"/>
              </w:rPr>
              <w:t xml:space="preserve"> 95% of product issued nationally.</w:t>
            </w:r>
          </w:p>
        </w:tc>
      </w:tr>
      <w:tr w:rsidR="00FE6EE5" w:rsidRPr="00FE6EE5" w14:paraId="07B8EF31" w14:textId="77777777" w:rsidTr="00432D62">
        <w:tc>
          <w:tcPr>
            <w:tcW w:w="1824" w:type="pct"/>
            <w:shd w:val="clear" w:color="auto" w:fill="EAF1DD" w:themeFill="accent3" w:themeFillTint="33"/>
          </w:tcPr>
          <w:p w14:paraId="7CA8A3F1" w14:textId="77777777" w:rsidR="00FE6EE5" w:rsidRPr="00FE6EE5" w:rsidRDefault="00CD6E80" w:rsidP="00CD6E80">
            <w:pPr>
              <w:rPr>
                <w:rFonts w:asciiTheme="minorHAnsi" w:hAnsiTheme="minorHAnsi"/>
              </w:rPr>
            </w:pPr>
            <w:r>
              <w:rPr>
                <w:rFonts w:asciiTheme="minorHAnsi" w:hAnsiTheme="minorHAnsi"/>
              </w:rPr>
              <w:t>2.2</w:t>
            </w:r>
            <w:r w:rsidR="00FE6EE5" w:rsidRPr="00FE6EE5">
              <w:rPr>
                <w:rFonts w:asciiTheme="minorHAnsi" w:hAnsiTheme="minorHAnsi"/>
              </w:rPr>
              <w:t xml:space="preserve"> Further detailed discard analysis</w:t>
            </w:r>
          </w:p>
        </w:tc>
        <w:tc>
          <w:tcPr>
            <w:tcW w:w="298" w:type="pct"/>
            <w:shd w:val="clear" w:color="auto" w:fill="F79646" w:themeFill="accent6"/>
          </w:tcPr>
          <w:p w14:paraId="6CA652C4" w14:textId="77777777" w:rsidR="00FE6EE5" w:rsidRPr="00FE6EE5" w:rsidRDefault="00FE6EE5" w:rsidP="00547878">
            <w:pPr>
              <w:jc w:val="center"/>
              <w:rPr>
                <w:rFonts w:asciiTheme="minorHAnsi" w:hAnsiTheme="minorHAnsi" w:cstheme="minorHAnsi"/>
              </w:rPr>
            </w:pPr>
            <w:r w:rsidRPr="00FE6EE5">
              <w:rPr>
                <w:rFonts w:asciiTheme="minorHAnsi" w:hAnsiTheme="minorHAnsi" w:cstheme="minorHAnsi"/>
              </w:rPr>
              <w:t>A</w:t>
            </w:r>
          </w:p>
        </w:tc>
        <w:tc>
          <w:tcPr>
            <w:tcW w:w="2878" w:type="pct"/>
            <w:shd w:val="clear" w:color="auto" w:fill="EAF1DD" w:themeFill="accent3" w:themeFillTint="33"/>
          </w:tcPr>
          <w:p w14:paraId="43C21553" w14:textId="77777777" w:rsidR="00FE6EE5" w:rsidRPr="00FE6EE5" w:rsidRDefault="00FE6EE5" w:rsidP="00F633EE">
            <w:pPr>
              <w:pStyle w:val="CommentText"/>
              <w:rPr>
                <w:rFonts w:asciiTheme="minorHAnsi" w:hAnsiTheme="minorHAnsi"/>
                <w:sz w:val="22"/>
                <w:szCs w:val="22"/>
              </w:rPr>
            </w:pPr>
            <w:r w:rsidRPr="00FE6EE5">
              <w:rPr>
                <w:rFonts w:asciiTheme="minorHAnsi" w:hAnsiTheme="minorHAnsi"/>
                <w:b/>
                <w:color w:val="E36C0A" w:themeColor="accent6" w:themeShade="BF"/>
                <w:sz w:val="22"/>
                <w:szCs w:val="22"/>
              </w:rPr>
              <w:t>IN PROGRESS</w:t>
            </w:r>
            <w:r w:rsidRPr="00FE6EE5">
              <w:rPr>
                <w:rFonts w:asciiTheme="minorHAnsi" w:hAnsiTheme="minorHAnsi"/>
                <w:color w:val="E36C0A" w:themeColor="accent6" w:themeShade="BF"/>
                <w:sz w:val="22"/>
                <w:szCs w:val="22"/>
              </w:rPr>
              <w:t xml:space="preserve"> </w:t>
            </w:r>
            <w:r w:rsidRPr="00FE6EE5">
              <w:rPr>
                <w:rFonts w:asciiTheme="minorHAnsi" w:hAnsiTheme="minorHAnsi"/>
                <w:sz w:val="22"/>
                <w:szCs w:val="22"/>
              </w:rPr>
              <w:t xml:space="preserve">– Further analysis is being undertaken and this work will accelerate with the completion of the enhanced </w:t>
            </w:r>
            <w:proofErr w:type="spellStart"/>
            <w:r w:rsidRPr="00FE6EE5">
              <w:rPr>
                <w:rFonts w:asciiTheme="minorHAnsi" w:hAnsiTheme="minorHAnsi"/>
                <w:sz w:val="22"/>
                <w:szCs w:val="22"/>
              </w:rPr>
              <w:t>BloodNet</w:t>
            </w:r>
            <w:proofErr w:type="spellEnd"/>
            <w:r w:rsidRPr="00FE6EE5">
              <w:rPr>
                <w:rFonts w:asciiTheme="minorHAnsi" w:hAnsiTheme="minorHAnsi"/>
                <w:sz w:val="22"/>
                <w:szCs w:val="22"/>
              </w:rPr>
              <w:t xml:space="preserve"> reporting. The NBA has further analysed discard rates over the past five years and will provide a paper to JBC in March 2018 on suggested wastage targets by product for specific health provider classes</w:t>
            </w:r>
            <w:r w:rsidR="00F633EE">
              <w:rPr>
                <w:rFonts w:asciiTheme="minorHAnsi" w:hAnsiTheme="minorHAnsi"/>
                <w:sz w:val="22"/>
                <w:szCs w:val="22"/>
              </w:rPr>
              <w:t xml:space="preserve"> from 2018-19</w:t>
            </w:r>
            <w:r w:rsidRPr="00FE6EE5">
              <w:rPr>
                <w:rFonts w:asciiTheme="minorHAnsi" w:hAnsiTheme="minorHAnsi"/>
                <w:sz w:val="22"/>
                <w:szCs w:val="22"/>
              </w:rPr>
              <w:t xml:space="preserve">. </w:t>
            </w:r>
          </w:p>
        </w:tc>
      </w:tr>
      <w:tr w:rsidR="00F633EE" w:rsidRPr="00FE6EE5" w14:paraId="76C776BA" w14:textId="77777777" w:rsidTr="00432D62">
        <w:tc>
          <w:tcPr>
            <w:tcW w:w="1824" w:type="pct"/>
            <w:shd w:val="clear" w:color="auto" w:fill="EAF1DD" w:themeFill="accent3" w:themeFillTint="33"/>
          </w:tcPr>
          <w:p w14:paraId="5CBCDCB4" w14:textId="77777777" w:rsidR="00F633EE" w:rsidRPr="00FE6EE5" w:rsidRDefault="00CD6E80" w:rsidP="00CD6E80">
            <w:pPr>
              <w:rPr>
                <w:rFonts w:asciiTheme="minorHAnsi" w:hAnsiTheme="minorHAnsi"/>
              </w:rPr>
            </w:pPr>
            <w:r>
              <w:rPr>
                <w:rFonts w:asciiTheme="minorHAnsi" w:hAnsiTheme="minorHAnsi"/>
              </w:rPr>
              <w:t>2</w:t>
            </w:r>
            <w:r w:rsidR="00F633EE" w:rsidRPr="00FE6EE5">
              <w:rPr>
                <w:rFonts w:asciiTheme="minorHAnsi" w:hAnsiTheme="minorHAnsi"/>
              </w:rPr>
              <w:t xml:space="preserve">.3 Enhanced </w:t>
            </w:r>
            <w:proofErr w:type="spellStart"/>
            <w:r w:rsidR="00F633EE" w:rsidRPr="00FE6EE5">
              <w:rPr>
                <w:rFonts w:asciiTheme="minorHAnsi" w:hAnsiTheme="minorHAnsi"/>
              </w:rPr>
              <w:t>BloodNet</w:t>
            </w:r>
            <w:proofErr w:type="spellEnd"/>
            <w:r w:rsidR="00F633EE" w:rsidRPr="00FE6EE5">
              <w:rPr>
                <w:rFonts w:asciiTheme="minorHAnsi" w:hAnsiTheme="minorHAnsi"/>
              </w:rPr>
              <w:t xml:space="preserve"> reporting</w:t>
            </w:r>
          </w:p>
        </w:tc>
        <w:tc>
          <w:tcPr>
            <w:tcW w:w="298" w:type="pct"/>
            <w:shd w:val="clear" w:color="auto" w:fill="F79646" w:themeFill="accent6"/>
          </w:tcPr>
          <w:p w14:paraId="546BBE2E" w14:textId="77777777" w:rsidR="00F633EE" w:rsidRPr="00FE6EE5" w:rsidRDefault="00F633EE" w:rsidP="00054F78">
            <w:pPr>
              <w:jc w:val="center"/>
              <w:rPr>
                <w:rFonts w:asciiTheme="minorHAnsi" w:hAnsiTheme="minorHAnsi" w:cstheme="minorHAnsi"/>
              </w:rPr>
            </w:pPr>
            <w:r w:rsidRPr="00FE6EE5">
              <w:rPr>
                <w:rFonts w:asciiTheme="minorHAnsi" w:hAnsiTheme="minorHAnsi" w:cstheme="minorHAnsi"/>
              </w:rPr>
              <w:t>A</w:t>
            </w:r>
          </w:p>
        </w:tc>
        <w:tc>
          <w:tcPr>
            <w:tcW w:w="2878" w:type="pct"/>
            <w:shd w:val="clear" w:color="auto" w:fill="EAF1DD" w:themeFill="accent3" w:themeFillTint="33"/>
          </w:tcPr>
          <w:p w14:paraId="446BCDEB" w14:textId="53E9E279" w:rsidR="00F633EE" w:rsidRPr="00FE6EE5" w:rsidRDefault="00F633EE" w:rsidP="00F633EE">
            <w:pPr>
              <w:pStyle w:val="CommentText"/>
              <w:spacing w:after="0"/>
              <w:rPr>
                <w:rFonts w:asciiTheme="minorHAnsi" w:hAnsiTheme="minorHAnsi"/>
                <w:sz w:val="22"/>
                <w:szCs w:val="22"/>
              </w:rPr>
            </w:pPr>
            <w:r w:rsidRPr="00FE6EE5">
              <w:rPr>
                <w:rFonts w:asciiTheme="minorHAnsi" w:hAnsiTheme="minorHAnsi"/>
                <w:b/>
                <w:color w:val="E36C0A" w:themeColor="accent6" w:themeShade="BF"/>
                <w:sz w:val="22"/>
                <w:szCs w:val="22"/>
              </w:rPr>
              <w:t>IN PROGRESS</w:t>
            </w:r>
            <w:r w:rsidRPr="00FE6EE5">
              <w:rPr>
                <w:rFonts w:asciiTheme="minorHAnsi" w:hAnsiTheme="minorHAnsi"/>
                <w:b/>
                <w:sz w:val="22"/>
                <w:szCs w:val="22"/>
              </w:rPr>
              <w:t xml:space="preserve"> –</w:t>
            </w:r>
            <w:r w:rsidRPr="00FE6EE5">
              <w:rPr>
                <w:rFonts w:asciiTheme="minorHAnsi" w:hAnsiTheme="minorHAnsi"/>
                <w:sz w:val="22"/>
                <w:szCs w:val="22"/>
              </w:rPr>
              <w:t xml:space="preserve"> New reports have been released focusing on order fulfilment, </w:t>
            </w:r>
            <w:proofErr w:type="gramStart"/>
            <w:r w:rsidRPr="00FE6EE5">
              <w:rPr>
                <w:rFonts w:asciiTheme="minorHAnsi" w:hAnsiTheme="minorHAnsi"/>
                <w:sz w:val="22"/>
                <w:szCs w:val="22"/>
              </w:rPr>
              <w:t>discards</w:t>
            </w:r>
            <w:proofErr w:type="gramEnd"/>
            <w:r w:rsidRPr="00FE6EE5">
              <w:rPr>
                <w:rFonts w:asciiTheme="minorHAnsi" w:hAnsiTheme="minorHAnsi"/>
                <w:sz w:val="22"/>
                <w:szCs w:val="22"/>
              </w:rPr>
              <w:t xml:space="preserve"> and inventory management for </w:t>
            </w:r>
            <w:proofErr w:type="spellStart"/>
            <w:r w:rsidRPr="00FE6EE5">
              <w:rPr>
                <w:rFonts w:asciiTheme="minorHAnsi" w:hAnsiTheme="minorHAnsi"/>
                <w:sz w:val="22"/>
                <w:szCs w:val="22"/>
              </w:rPr>
              <w:t>BloodNET</w:t>
            </w:r>
            <w:proofErr w:type="spellEnd"/>
            <w:r w:rsidRPr="00FE6EE5">
              <w:rPr>
                <w:rFonts w:asciiTheme="minorHAnsi" w:hAnsiTheme="minorHAnsi"/>
                <w:sz w:val="22"/>
                <w:szCs w:val="22"/>
              </w:rPr>
              <w:t xml:space="preserve"> and </w:t>
            </w:r>
            <w:proofErr w:type="spellStart"/>
            <w:r w:rsidRPr="00FE6EE5">
              <w:rPr>
                <w:rFonts w:asciiTheme="minorHAnsi" w:hAnsiTheme="minorHAnsi"/>
                <w:sz w:val="22"/>
                <w:szCs w:val="22"/>
              </w:rPr>
              <w:t>BloodSTAR</w:t>
            </w:r>
            <w:proofErr w:type="spellEnd"/>
            <w:r w:rsidRPr="00FE6EE5">
              <w:rPr>
                <w:rFonts w:asciiTheme="minorHAnsi" w:hAnsiTheme="minorHAnsi"/>
                <w:sz w:val="22"/>
                <w:szCs w:val="22"/>
              </w:rPr>
              <w:t xml:space="preserve">. These are available through both </w:t>
            </w:r>
            <w:hyperlink r:id="rId27" w:history="1">
              <w:proofErr w:type="spellStart"/>
              <w:r w:rsidRPr="00FE6EE5">
                <w:rPr>
                  <w:rStyle w:val="Hyperlink"/>
                  <w:rFonts w:asciiTheme="minorHAnsi" w:hAnsiTheme="minorHAnsi"/>
                  <w:sz w:val="22"/>
                  <w:szCs w:val="22"/>
                </w:rPr>
                <w:t>BloodNet</w:t>
              </w:r>
              <w:proofErr w:type="spellEnd"/>
            </w:hyperlink>
            <w:r w:rsidRPr="00FE6EE5">
              <w:rPr>
                <w:rFonts w:asciiTheme="minorHAnsi" w:hAnsiTheme="minorHAnsi"/>
                <w:sz w:val="22"/>
                <w:szCs w:val="22"/>
              </w:rPr>
              <w:t xml:space="preserve"> for individual health providers to view their own data and in </w:t>
            </w:r>
            <w:hyperlink r:id="rId28" w:history="1">
              <w:r w:rsidRPr="00FE6EE5">
                <w:rPr>
                  <w:rStyle w:val="Hyperlink"/>
                  <w:rFonts w:asciiTheme="minorHAnsi" w:hAnsiTheme="minorHAnsi"/>
                  <w:sz w:val="22"/>
                  <w:szCs w:val="22"/>
                </w:rPr>
                <w:t>Jurisdictional Reporting</w:t>
              </w:r>
            </w:hyperlink>
            <w:r w:rsidRPr="00FE6EE5">
              <w:rPr>
                <w:rStyle w:val="Hyperlink"/>
                <w:rFonts w:asciiTheme="minorHAnsi" w:hAnsiTheme="minorHAnsi"/>
                <w:sz w:val="22"/>
                <w:szCs w:val="22"/>
              </w:rPr>
              <w:t xml:space="preserve"> for jurisdiction wide data</w:t>
            </w:r>
            <w:r w:rsidRPr="00FE6EE5">
              <w:rPr>
                <w:rFonts w:asciiTheme="minorHAnsi" w:hAnsiTheme="minorHAnsi"/>
                <w:sz w:val="22"/>
                <w:szCs w:val="22"/>
              </w:rPr>
              <w:t xml:space="preserve">. Further reports provided by the NBA are also being specified for </w:t>
            </w:r>
            <w:proofErr w:type="spellStart"/>
            <w:r w:rsidRPr="00FE6EE5">
              <w:rPr>
                <w:rFonts w:asciiTheme="minorHAnsi" w:hAnsiTheme="minorHAnsi"/>
                <w:sz w:val="22"/>
                <w:szCs w:val="22"/>
              </w:rPr>
              <w:t>BloodNet</w:t>
            </w:r>
            <w:proofErr w:type="spellEnd"/>
            <w:r w:rsidRPr="00FE6EE5">
              <w:rPr>
                <w:rFonts w:asciiTheme="minorHAnsi" w:hAnsiTheme="minorHAnsi"/>
                <w:sz w:val="22"/>
                <w:szCs w:val="22"/>
              </w:rPr>
              <w:t xml:space="preserve"> reporting </w:t>
            </w:r>
            <w:proofErr w:type="gramStart"/>
            <w:r w:rsidR="00F034B9" w:rsidRPr="00FE6EE5">
              <w:rPr>
                <w:rFonts w:asciiTheme="minorHAnsi" w:hAnsiTheme="minorHAnsi"/>
                <w:sz w:val="22"/>
                <w:szCs w:val="22"/>
              </w:rPr>
              <w:t>i.e.</w:t>
            </w:r>
            <w:proofErr w:type="gramEnd"/>
            <w:r w:rsidRPr="00FE6EE5">
              <w:rPr>
                <w:rFonts w:asciiTheme="minorHAnsi" w:hAnsiTheme="minorHAnsi"/>
                <w:sz w:val="22"/>
                <w:szCs w:val="22"/>
              </w:rPr>
              <w:t xml:space="preserve"> monthly Net Issues and DAPI/Reason and ABO wastage.</w:t>
            </w:r>
          </w:p>
        </w:tc>
      </w:tr>
      <w:tr w:rsidR="00FE6EE5" w:rsidRPr="00FE6EE5" w14:paraId="74C9F6A0" w14:textId="77777777" w:rsidTr="00432D62">
        <w:tc>
          <w:tcPr>
            <w:tcW w:w="1824" w:type="pct"/>
            <w:shd w:val="clear" w:color="auto" w:fill="EAF1DD" w:themeFill="accent3" w:themeFillTint="33"/>
          </w:tcPr>
          <w:p w14:paraId="5D22ACEA" w14:textId="77777777" w:rsidR="00FE6EE5" w:rsidRPr="00FE6EE5" w:rsidRDefault="00CD6E80" w:rsidP="00CD6E80">
            <w:pPr>
              <w:rPr>
                <w:rFonts w:asciiTheme="minorHAnsi" w:hAnsiTheme="minorHAnsi"/>
              </w:rPr>
            </w:pPr>
            <w:r>
              <w:rPr>
                <w:rFonts w:asciiTheme="minorHAnsi" w:hAnsiTheme="minorHAnsi"/>
              </w:rPr>
              <w:t>2</w:t>
            </w:r>
            <w:r w:rsidR="00FE6EE5" w:rsidRPr="00FE6EE5">
              <w:rPr>
                <w:rFonts w:asciiTheme="minorHAnsi" w:hAnsiTheme="minorHAnsi"/>
              </w:rPr>
              <w:t xml:space="preserve">.4 Publication of </w:t>
            </w:r>
            <w:proofErr w:type="gramStart"/>
            <w:r w:rsidR="00FE6EE5" w:rsidRPr="00FE6EE5">
              <w:rPr>
                <w:rFonts w:asciiTheme="minorHAnsi" w:hAnsiTheme="minorHAnsi"/>
              </w:rPr>
              <w:t>high level</w:t>
            </w:r>
            <w:proofErr w:type="gramEnd"/>
            <w:r w:rsidR="00FE6EE5" w:rsidRPr="00FE6EE5">
              <w:rPr>
                <w:rFonts w:asciiTheme="minorHAnsi" w:hAnsiTheme="minorHAnsi"/>
              </w:rPr>
              <w:t xml:space="preserve"> discard data</w:t>
            </w:r>
          </w:p>
        </w:tc>
        <w:tc>
          <w:tcPr>
            <w:tcW w:w="298" w:type="pct"/>
            <w:shd w:val="clear" w:color="auto" w:fill="00B050"/>
          </w:tcPr>
          <w:p w14:paraId="165063DA" w14:textId="77777777" w:rsidR="00FE6EE5" w:rsidRPr="00FE6EE5" w:rsidRDefault="00FE6EE5" w:rsidP="00547878">
            <w:pPr>
              <w:jc w:val="center"/>
              <w:rPr>
                <w:rFonts w:asciiTheme="minorHAnsi" w:hAnsiTheme="minorHAnsi" w:cstheme="minorHAnsi"/>
              </w:rPr>
            </w:pPr>
            <w:r w:rsidRPr="00FE6EE5">
              <w:rPr>
                <w:rFonts w:asciiTheme="minorHAnsi" w:hAnsiTheme="minorHAnsi" w:cstheme="minorHAnsi"/>
              </w:rPr>
              <w:t>G</w:t>
            </w:r>
          </w:p>
        </w:tc>
        <w:tc>
          <w:tcPr>
            <w:tcW w:w="2878" w:type="pct"/>
            <w:shd w:val="clear" w:color="auto" w:fill="EAF1DD" w:themeFill="accent3" w:themeFillTint="33"/>
          </w:tcPr>
          <w:p w14:paraId="251369AE" w14:textId="77777777" w:rsidR="00FE6EE5" w:rsidRPr="00FE6EE5" w:rsidRDefault="00FE6EE5" w:rsidP="00547878">
            <w:pPr>
              <w:rPr>
                <w:rFonts w:asciiTheme="minorHAnsi" w:hAnsiTheme="minorHAnsi"/>
              </w:rPr>
            </w:pPr>
            <w:r w:rsidRPr="00FE6EE5">
              <w:rPr>
                <w:rFonts w:asciiTheme="minorHAnsi" w:hAnsiTheme="minorHAnsi"/>
                <w:b/>
                <w:color w:val="00B050"/>
              </w:rPr>
              <w:t>COMPLETE</w:t>
            </w:r>
            <w:r w:rsidRPr="00FE6EE5">
              <w:rPr>
                <w:rFonts w:asciiTheme="minorHAnsi" w:hAnsiTheme="minorHAnsi"/>
                <w:b/>
              </w:rPr>
              <w:t xml:space="preserve"> –</w:t>
            </w:r>
            <w:r w:rsidRPr="00FE6EE5">
              <w:rPr>
                <w:rFonts w:asciiTheme="minorHAnsi" w:hAnsiTheme="minorHAnsi"/>
              </w:rPr>
              <w:t xml:space="preserve"> Aggregated national discard data is published quarterly on the NBA website and The Conversation. Jurisdictional discard data is published on restricted project pages on The Conversation for Victoria and Tasmania.</w:t>
            </w:r>
          </w:p>
        </w:tc>
      </w:tr>
      <w:tr w:rsidR="00432D62" w:rsidRPr="00FE6EE5" w14:paraId="4CBC7443" w14:textId="77777777" w:rsidTr="00432D62">
        <w:tc>
          <w:tcPr>
            <w:tcW w:w="5000" w:type="pct"/>
            <w:gridSpan w:val="3"/>
            <w:shd w:val="clear" w:color="auto" w:fill="C2D69B" w:themeFill="accent3" w:themeFillTint="99"/>
          </w:tcPr>
          <w:p w14:paraId="41D613A5" w14:textId="27BB6743" w:rsidR="00432D62" w:rsidRPr="00FE6EE5" w:rsidRDefault="00432D62" w:rsidP="00432D62">
            <w:pPr>
              <w:pStyle w:val="ListParagraph"/>
              <w:numPr>
                <w:ilvl w:val="0"/>
                <w:numId w:val="7"/>
              </w:numPr>
              <w:spacing w:after="0"/>
              <w:ind w:left="426" w:hanging="426"/>
              <w:rPr>
                <w:rFonts w:asciiTheme="minorHAnsi" w:hAnsiTheme="minorHAnsi" w:cstheme="minorHAnsi"/>
              </w:rPr>
            </w:pPr>
            <w:r w:rsidRPr="00FE6EE5">
              <w:rPr>
                <w:rFonts w:asciiTheme="minorHAnsi" w:hAnsiTheme="minorHAnsi"/>
                <w:b/>
              </w:rPr>
              <w:lastRenderedPageBreak/>
              <w:t>Establish Targets for Discard Rates</w:t>
            </w:r>
          </w:p>
        </w:tc>
      </w:tr>
      <w:tr w:rsidR="00FE6EE5" w:rsidRPr="00FE6EE5" w14:paraId="57F7929E" w14:textId="77777777" w:rsidTr="00432D62">
        <w:tc>
          <w:tcPr>
            <w:tcW w:w="1824" w:type="pct"/>
            <w:shd w:val="clear" w:color="auto" w:fill="EAF1DD" w:themeFill="accent3" w:themeFillTint="33"/>
          </w:tcPr>
          <w:p w14:paraId="74C50794" w14:textId="77777777" w:rsidR="00FE6EE5" w:rsidRPr="00FE6EE5" w:rsidRDefault="00CD6E80" w:rsidP="00547878">
            <w:pPr>
              <w:rPr>
                <w:rFonts w:asciiTheme="minorHAnsi" w:hAnsiTheme="minorHAnsi"/>
              </w:rPr>
            </w:pPr>
            <w:r>
              <w:rPr>
                <w:rFonts w:asciiTheme="minorHAnsi" w:hAnsiTheme="minorHAnsi"/>
              </w:rPr>
              <w:t>3</w:t>
            </w:r>
            <w:r w:rsidR="00FE6EE5" w:rsidRPr="00FE6EE5">
              <w:rPr>
                <w:rFonts w:asciiTheme="minorHAnsi" w:hAnsiTheme="minorHAnsi"/>
              </w:rPr>
              <w:t>.1 Shadow targets for red blood cells, platelets and CFFP</w:t>
            </w:r>
          </w:p>
        </w:tc>
        <w:tc>
          <w:tcPr>
            <w:tcW w:w="298" w:type="pct"/>
            <w:shd w:val="clear" w:color="auto" w:fill="00B050"/>
          </w:tcPr>
          <w:p w14:paraId="45C09F6B" w14:textId="77777777" w:rsidR="00FE6EE5" w:rsidRPr="00FE6EE5" w:rsidRDefault="00FE6EE5" w:rsidP="00547878">
            <w:pPr>
              <w:jc w:val="center"/>
              <w:rPr>
                <w:rFonts w:asciiTheme="minorHAnsi" w:hAnsiTheme="minorHAnsi" w:cstheme="minorHAnsi"/>
              </w:rPr>
            </w:pPr>
            <w:r w:rsidRPr="00FE6EE5">
              <w:rPr>
                <w:rFonts w:asciiTheme="minorHAnsi" w:hAnsiTheme="minorHAnsi" w:cstheme="minorHAnsi"/>
              </w:rPr>
              <w:t>G</w:t>
            </w:r>
          </w:p>
        </w:tc>
        <w:tc>
          <w:tcPr>
            <w:tcW w:w="2878" w:type="pct"/>
            <w:shd w:val="clear" w:color="auto" w:fill="EAF1DD" w:themeFill="accent3" w:themeFillTint="33"/>
          </w:tcPr>
          <w:p w14:paraId="09B0A005" w14:textId="77777777" w:rsidR="00FE6EE5" w:rsidRPr="00FE6EE5" w:rsidRDefault="00FE6EE5" w:rsidP="00547878">
            <w:pPr>
              <w:rPr>
                <w:rFonts w:asciiTheme="minorHAnsi" w:hAnsiTheme="minorHAnsi" w:cstheme="minorHAnsi"/>
              </w:rPr>
            </w:pPr>
            <w:r w:rsidRPr="00FE6EE5">
              <w:rPr>
                <w:rFonts w:asciiTheme="minorHAnsi" w:hAnsiTheme="minorHAnsi"/>
                <w:b/>
                <w:color w:val="00B050"/>
              </w:rPr>
              <w:t>COMPLETE</w:t>
            </w:r>
            <w:r w:rsidRPr="00FE6EE5">
              <w:rPr>
                <w:rFonts w:asciiTheme="minorHAnsi" w:hAnsiTheme="minorHAnsi"/>
              </w:rPr>
              <w:t xml:space="preserve"> </w:t>
            </w:r>
            <w:r w:rsidR="008E54BE">
              <w:rPr>
                <w:rFonts w:asciiTheme="minorHAnsi" w:hAnsiTheme="minorHAnsi"/>
              </w:rPr>
              <w:t>–</w:t>
            </w:r>
            <w:r w:rsidRPr="00FE6EE5">
              <w:rPr>
                <w:rFonts w:asciiTheme="minorHAnsi" w:hAnsiTheme="minorHAnsi"/>
              </w:rPr>
              <w:t xml:space="preserve"> </w:t>
            </w:r>
            <w:r w:rsidRPr="00FE6EE5">
              <w:rPr>
                <w:rFonts w:asciiTheme="minorHAnsi" w:hAnsiTheme="minorHAnsi" w:cstheme="minorHAnsi"/>
              </w:rPr>
              <w:t>Shadow targets for 2013-14 were established and updated annually.</w:t>
            </w:r>
          </w:p>
        </w:tc>
      </w:tr>
      <w:tr w:rsidR="00F633EE" w:rsidRPr="00FE6EE5" w14:paraId="68EF299B" w14:textId="77777777" w:rsidTr="00432D62">
        <w:tc>
          <w:tcPr>
            <w:tcW w:w="1824" w:type="pct"/>
            <w:shd w:val="clear" w:color="auto" w:fill="EAF1DD" w:themeFill="accent3" w:themeFillTint="33"/>
          </w:tcPr>
          <w:p w14:paraId="4FC09715" w14:textId="77777777" w:rsidR="00F633EE" w:rsidRPr="00FE6EE5" w:rsidRDefault="00CD6E80" w:rsidP="00CD6E80">
            <w:pPr>
              <w:rPr>
                <w:rFonts w:asciiTheme="minorHAnsi" w:hAnsiTheme="minorHAnsi"/>
              </w:rPr>
            </w:pPr>
            <w:r>
              <w:rPr>
                <w:rFonts w:asciiTheme="minorHAnsi" w:hAnsiTheme="minorHAnsi"/>
              </w:rPr>
              <w:t>3</w:t>
            </w:r>
            <w:r w:rsidR="00F633EE" w:rsidRPr="00FE6EE5">
              <w:rPr>
                <w:rFonts w:asciiTheme="minorHAnsi" w:hAnsiTheme="minorHAnsi"/>
              </w:rPr>
              <w:t>.2 Targets for red blood cells, platelets and CFFP</w:t>
            </w:r>
          </w:p>
        </w:tc>
        <w:tc>
          <w:tcPr>
            <w:tcW w:w="298" w:type="pct"/>
            <w:shd w:val="clear" w:color="auto" w:fill="F79646" w:themeFill="accent6"/>
          </w:tcPr>
          <w:p w14:paraId="2A70D8BF" w14:textId="77777777" w:rsidR="00F633EE" w:rsidRPr="00FE6EE5" w:rsidRDefault="00F633EE" w:rsidP="00054F78">
            <w:pPr>
              <w:jc w:val="center"/>
              <w:rPr>
                <w:rFonts w:asciiTheme="minorHAnsi" w:hAnsiTheme="minorHAnsi" w:cstheme="minorHAnsi"/>
              </w:rPr>
            </w:pPr>
            <w:r w:rsidRPr="00FE6EE5">
              <w:rPr>
                <w:rFonts w:asciiTheme="minorHAnsi" w:hAnsiTheme="minorHAnsi" w:cstheme="minorHAnsi"/>
              </w:rPr>
              <w:t>A</w:t>
            </w:r>
          </w:p>
        </w:tc>
        <w:tc>
          <w:tcPr>
            <w:tcW w:w="2878" w:type="pct"/>
            <w:shd w:val="clear" w:color="auto" w:fill="EAF1DD" w:themeFill="accent3" w:themeFillTint="33"/>
          </w:tcPr>
          <w:p w14:paraId="4637E23D" w14:textId="4EA23065" w:rsidR="00F633EE" w:rsidRPr="00FE6EE5" w:rsidRDefault="00F633EE" w:rsidP="00547878">
            <w:pPr>
              <w:rPr>
                <w:rFonts w:asciiTheme="minorHAnsi" w:hAnsiTheme="minorHAnsi" w:cstheme="minorHAnsi"/>
              </w:rPr>
            </w:pPr>
            <w:r w:rsidRPr="00FE6EE5">
              <w:rPr>
                <w:rFonts w:asciiTheme="minorHAnsi" w:hAnsiTheme="minorHAnsi"/>
                <w:b/>
                <w:color w:val="E36C0A" w:themeColor="accent6" w:themeShade="BF"/>
              </w:rPr>
              <w:t>IN PROGRESS</w:t>
            </w:r>
            <w:r w:rsidRPr="00FE6EE5">
              <w:rPr>
                <w:rFonts w:asciiTheme="minorHAnsi" w:hAnsiTheme="minorHAnsi"/>
                <w:color w:val="E36C0A" w:themeColor="accent6" w:themeShade="BF"/>
              </w:rPr>
              <w:t xml:space="preserve"> </w:t>
            </w:r>
            <w:r w:rsidR="008E54BE">
              <w:rPr>
                <w:rFonts w:asciiTheme="minorHAnsi" w:hAnsiTheme="minorHAnsi"/>
              </w:rPr>
              <w:t xml:space="preserve">– </w:t>
            </w:r>
            <w:r w:rsidRPr="00FE6EE5">
              <w:rPr>
                <w:rFonts w:asciiTheme="minorHAnsi" w:hAnsiTheme="minorHAnsi"/>
              </w:rPr>
              <w:t>T</w:t>
            </w:r>
            <w:r w:rsidRPr="00FE6EE5">
              <w:rPr>
                <w:rFonts w:asciiTheme="minorHAnsi" w:hAnsiTheme="minorHAnsi" w:cstheme="minorHAnsi"/>
              </w:rPr>
              <w:t>argets for 2014-15 onwards have been the subject of bilateral discussions with Jurisdictions. There has been significant interest at the health provider level on benchmarks.</w:t>
            </w:r>
            <w:r>
              <w:rPr>
                <w:rFonts w:asciiTheme="minorHAnsi" w:hAnsiTheme="minorHAnsi" w:cstheme="minorHAnsi"/>
              </w:rPr>
              <w:t xml:space="preserve"> </w:t>
            </w:r>
            <w:r w:rsidRPr="00FE6EE5">
              <w:rPr>
                <w:rFonts w:asciiTheme="minorHAnsi" w:hAnsiTheme="minorHAnsi"/>
              </w:rPr>
              <w:t>The NBA has further analysed discard rates over the past five years and will provide a paper to JBC in March 2018 on suggested wastage targets by product for specific health provider classes</w:t>
            </w:r>
            <w:r>
              <w:rPr>
                <w:rFonts w:asciiTheme="minorHAnsi" w:hAnsiTheme="minorHAnsi"/>
              </w:rPr>
              <w:t xml:space="preserve"> from 2018-19</w:t>
            </w:r>
            <w:r w:rsidRPr="00FE6EE5">
              <w:rPr>
                <w:rFonts w:asciiTheme="minorHAnsi" w:hAnsiTheme="minorHAnsi"/>
              </w:rPr>
              <w:t>.</w:t>
            </w:r>
          </w:p>
        </w:tc>
      </w:tr>
      <w:tr w:rsidR="00F633EE" w:rsidRPr="00FE6EE5" w14:paraId="13D49A6A" w14:textId="77777777" w:rsidTr="00432D62">
        <w:tc>
          <w:tcPr>
            <w:tcW w:w="1824" w:type="pct"/>
            <w:shd w:val="clear" w:color="auto" w:fill="EAF1DD" w:themeFill="accent3" w:themeFillTint="33"/>
          </w:tcPr>
          <w:p w14:paraId="3A1C0B48" w14:textId="77777777" w:rsidR="00F633EE" w:rsidRPr="00FE6EE5" w:rsidRDefault="00CD6E80" w:rsidP="00CD6E80">
            <w:pPr>
              <w:rPr>
                <w:rFonts w:asciiTheme="minorHAnsi" w:hAnsiTheme="minorHAnsi"/>
              </w:rPr>
            </w:pPr>
            <w:r>
              <w:rPr>
                <w:rFonts w:asciiTheme="minorHAnsi" w:hAnsiTheme="minorHAnsi"/>
              </w:rPr>
              <w:t>3</w:t>
            </w:r>
            <w:r w:rsidR="00F633EE" w:rsidRPr="00FE6EE5">
              <w:rPr>
                <w:rFonts w:asciiTheme="minorHAnsi" w:hAnsiTheme="minorHAnsi"/>
              </w:rPr>
              <w:t>.3 Shadow targets for non-fresh products</w:t>
            </w:r>
          </w:p>
        </w:tc>
        <w:tc>
          <w:tcPr>
            <w:tcW w:w="298" w:type="pct"/>
            <w:shd w:val="clear" w:color="auto" w:fill="FF0000"/>
          </w:tcPr>
          <w:p w14:paraId="60E9992E"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R</w:t>
            </w:r>
          </w:p>
        </w:tc>
        <w:tc>
          <w:tcPr>
            <w:tcW w:w="2878" w:type="pct"/>
            <w:shd w:val="clear" w:color="auto" w:fill="EAF1DD" w:themeFill="accent3" w:themeFillTint="33"/>
          </w:tcPr>
          <w:p w14:paraId="7CA6533F" w14:textId="77777777" w:rsidR="00F633EE" w:rsidRPr="00FE6EE5" w:rsidRDefault="00F633EE" w:rsidP="00547878">
            <w:pPr>
              <w:rPr>
                <w:rFonts w:asciiTheme="minorHAnsi" w:hAnsiTheme="minorHAnsi"/>
                <w:b/>
                <w:color w:val="E36C0A" w:themeColor="accent6" w:themeShade="BF"/>
              </w:rPr>
            </w:pPr>
            <w:r w:rsidRPr="00FE6EE5">
              <w:rPr>
                <w:rFonts w:asciiTheme="minorHAnsi" w:hAnsiTheme="minorHAnsi" w:cstheme="minorHAnsi"/>
                <w:b/>
                <w:color w:val="FF0000"/>
              </w:rPr>
              <w:t xml:space="preserve">NOT YET COMMENCED </w:t>
            </w:r>
            <w:r w:rsidRPr="00FE6EE5">
              <w:rPr>
                <w:rFonts w:asciiTheme="minorHAnsi" w:hAnsiTheme="minorHAnsi" w:cstheme="minorHAnsi"/>
              </w:rPr>
              <w:t xml:space="preserve">– Work has been delayed on this item until after </w:t>
            </w:r>
            <w:proofErr w:type="spellStart"/>
            <w:r w:rsidRPr="00FE6EE5">
              <w:rPr>
                <w:rFonts w:asciiTheme="minorHAnsi" w:hAnsiTheme="minorHAnsi" w:cstheme="minorHAnsi"/>
              </w:rPr>
              <w:t>BloodNet</w:t>
            </w:r>
            <w:proofErr w:type="spellEnd"/>
            <w:r w:rsidRPr="00FE6EE5">
              <w:rPr>
                <w:rFonts w:asciiTheme="minorHAnsi" w:hAnsiTheme="minorHAnsi" w:cstheme="minorHAnsi"/>
              </w:rPr>
              <w:t xml:space="preserve"> is extended to non-fresh products </w:t>
            </w:r>
          </w:p>
        </w:tc>
      </w:tr>
      <w:tr w:rsidR="00F633EE" w:rsidRPr="00FE6EE5" w14:paraId="64886F51" w14:textId="77777777" w:rsidTr="00432D62">
        <w:tc>
          <w:tcPr>
            <w:tcW w:w="1824" w:type="pct"/>
            <w:shd w:val="clear" w:color="auto" w:fill="EAF1DD" w:themeFill="accent3" w:themeFillTint="33"/>
          </w:tcPr>
          <w:p w14:paraId="5E34982B" w14:textId="77777777" w:rsidR="00F633EE" w:rsidRPr="00FE6EE5" w:rsidRDefault="00CD6E80" w:rsidP="00CD6E80">
            <w:pPr>
              <w:rPr>
                <w:rFonts w:asciiTheme="minorHAnsi" w:hAnsiTheme="minorHAnsi"/>
              </w:rPr>
            </w:pPr>
            <w:r>
              <w:rPr>
                <w:rFonts w:asciiTheme="minorHAnsi" w:hAnsiTheme="minorHAnsi"/>
              </w:rPr>
              <w:t>3</w:t>
            </w:r>
            <w:r w:rsidR="00F633EE" w:rsidRPr="00FE6EE5">
              <w:rPr>
                <w:rFonts w:asciiTheme="minorHAnsi" w:hAnsiTheme="minorHAnsi"/>
              </w:rPr>
              <w:t>.4 Targets for non-fresh products</w:t>
            </w:r>
          </w:p>
        </w:tc>
        <w:tc>
          <w:tcPr>
            <w:tcW w:w="298" w:type="pct"/>
            <w:shd w:val="clear" w:color="auto" w:fill="FF0000"/>
          </w:tcPr>
          <w:p w14:paraId="22BE8449"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R</w:t>
            </w:r>
          </w:p>
        </w:tc>
        <w:tc>
          <w:tcPr>
            <w:tcW w:w="2878" w:type="pct"/>
            <w:shd w:val="clear" w:color="auto" w:fill="EAF1DD" w:themeFill="accent3" w:themeFillTint="33"/>
          </w:tcPr>
          <w:p w14:paraId="01E5B61F" w14:textId="77777777" w:rsidR="00F633EE" w:rsidRPr="00FE6EE5" w:rsidRDefault="00F633EE" w:rsidP="00547878">
            <w:pPr>
              <w:rPr>
                <w:rFonts w:asciiTheme="minorHAnsi" w:hAnsiTheme="minorHAnsi"/>
                <w:b/>
                <w:color w:val="E36C0A" w:themeColor="accent6" w:themeShade="BF"/>
              </w:rPr>
            </w:pPr>
            <w:r w:rsidRPr="00FE6EE5">
              <w:rPr>
                <w:rFonts w:asciiTheme="minorHAnsi" w:hAnsiTheme="minorHAnsi" w:cstheme="minorHAnsi"/>
                <w:b/>
                <w:color w:val="FF0000"/>
              </w:rPr>
              <w:t xml:space="preserve">NOT YET COMMENCED </w:t>
            </w:r>
            <w:r w:rsidRPr="00FE6EE5">
              <w:rPr>
                <w:rFonts w:asciiTheme="minorHAnsi" w:hAnsiTheme="minorHAnsi" w:cstheme="minorHAnsi"/>
              </w:rPr>
              <w:t>–</w:t>
            </w:r>
            <w:r w:rsidRPr="00FE6EE5">
              <w:rPr>
                <w:rFonts w:asciiTheme="minorHAnsi" w:hAnsiTheme="minorHAnsi" w:cstheme="minorHAnsi"/>
                <w:b/>
                <w:color w:val="FF0000"/>
              </w:rPr>
              <w:t xml:space="preserve"> </w:t>
            </w:r>
            <w:r w:rsidRPr="00FE6EE5">
              <w:rPr>
                <w:rFonts w:asciiTheme="minorHAnsi" w:hAnsiTheme="minorHAnsi" w:cstheme="minorHAnsi"/>
              </w:rPr>
              <w:t xml:space="preserve">Work has been delayed on this item </w:t>
            </w:r>
            <w:proofErr w:type="gramStart"/>
            <w:r w:rsidRPr="00FE6EE5">
              <w:rPr>
                <w:rFonts w:asciiTheme="minorHAnsi" w:hAnsiTheme="minorHAnsi" w:cstheme="minorHAnsi"/>
              </w:rPr>
              <w:t>until  after</w:t>
            </w:r>
            <w:proofErr w:type="gramEnd"/>
            <w:r w:rsidRPr="00FE6EE5">
              <w:rPr>
                <w:rFonts w:asciiTheme="minorHAnsi" w:hAnsiTheme="minorHAnsi" w:cstheme="minorHAnsi"/>
              </w:rPr>
              <w:t xml:space="preserve"> </w:t>
            </w:r>
            <w:proofErr w:type="spellStart"/>
            <w:r w:rsidRPr="00FE6EE5">
              <w:rPr>
                <w:rFonts w:asciiTheme="minorHAnsi" w:hAnsiTheme="minorHAnsi" w:cstheme="minorHAnsi"/>
              </w:rPr>
              <w:t>BloodNet</w:t>
            </w:r>
            <w:proofErr w:type="spellEnd"/>
            <w:r w:rsidRPr="00FE6EE5">
              <w:rPr>
                <w:rFonts w:asciiTheme="minorHAnsi" w:hAnsiTheme="minorHAnsi" w:cstheme="minorHAnsi"/>
              </w:rPr>
              <w:t xml:space="preserve"> is extended to non-fresh products</w:t>
            </w:r>
          </w:p>
        </w:tc>
      </w:tr>
      <w:tr w:rsidR="00432D62" w:rsidRPr="00FE6EE5" w14:paraId="37E0FCE7" w14:textId="77777777" w:rsidTr="00432D62">
        <w:tc>
          <w:tcPr>
            <w:tcW w:w="5000" w:type="pct"/>
            <w:gridSpan w:val="3"/>
            <w:shd w:val="clear" w:color="auto" w:fill="C2D69B" w:themeFill="accent3" w:themeFillTint="99"/>
          </w:tcPr>
          <w:p w14:paraId="6051A983" w14:textId="103ECD69" w:rsidR="00432D62" w:rsidRPr="00FE6EE5" w:rsidRDefault="00432D62" w:rsidP="00432D62">
            <w:pPr>
              <w:pStyle w:val="ListParagraph"/>
              <w:numPr>
                <w:ilvl w:val="0"/>
                <w:numId w:val="7"/>
              </w:numPr>
              <w:spacing w:after="0"/>
              <w:ind w:left="426" w:hanging="426"/>
              <w:rPr>
                <w:rFonts w:asciiTheme="minorHAnsi" w:hAnsiTheme="minorHAnsi" w:cstheme="minorHAnsi"/>
              </w:rPr>
            </w:pPr>
            <w:r w:rsidRPr="00FE6EE5">
              <w:rPr>
                <w:rFonts w:asciiTheme="minorHAnsi" w:hAnsiTheme="minorHAnsi"/>
                <w:b/>
              </w:rPr>
              <w:t>Better Practice Inventory Management</w:t>
            </w:r>
          </w:p>
        </w:tc>
      </w:tr>
      <w:tr w:rsidR="00F633EE" w:rsidRPr="00FE6EE5" w14:paraId="24B77AB9" w14:textId="77777777" w:rsidTr="00432D62">
        <w:tc>
          <w:tcPr>
            <w:tcW w:w="1824" w:type="pct"/>
            <w:shd w:val="clear" w:color="auto" w:fill="EAF1DD" w:themeFill="accent3" w:themeFillTint="33"/>
          </w:tcPr>
          <w:p w14:paraId="4D52FC7D" w14:textId="77777777" w:rsidR="00F633EE" w:rsidRPr="00FE6EE5" w:rsidRDefault="00CD6E80" w:rsidP="00547878">
            <w:pPr>
              <w:rPr>
                <w:rFonts w:asciiTheme="minorHAnsi" w:hAnsiTheme="minorHAnsi"/>
              </w:rPr>
            </w:pPr>
            <w:r>
              <w:rPr>
                <w:rFonts w:asciiTheme="minorHAnsi" w:hAnsiTheme="minorHAnsi"/>
              </w:rPr>
              <w:t>4</w:t>
            </w:r>
            <w:r w:rsidR="00F633EE" w:rsidRPr="00FE6EE5">
              <w:rPr>
                <w:rFonts w:asciiTheme="minorHAnsi" w:hAnsiTheme="minorHAnsi"/>
              </w:rPr>
              <w:t>.1 National Inventory Management Framework (NIMF)</w:t>
            </w:r>
          </w:p>
        </w:tc>
        <w:tc>
          <w:tcPr>
            <w:tcW w:w="298" w:type="pct"/>
            <w:shd w:val="clear" w:color="auto" w:fill="F79646" w:themeFill="accent6"/>
          </w:tcPr>
          <w:p w14:paraId="03AD27B2"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A</w:t>
            </w:r>
          </w:p>
        </w:tc>
        <w:tc>
          <w:tcPr>
            <w:tcW w:w="2878" w:type="pct"/>
            <w:shd w:val="clear" w:color="auto" w:fill="EAF1DD" w:themeFill="accent3" w:themeFillTint="33"/>
          </w:tcPr>
          <w:p w14:paraId="24D89ACD" w14:textId="77777777" w:rsidR="00F633EE" w:rsidRPr="00FE6EE5" w:rsidRDefault="00F633EE" w:rsidP="00F633EE">
            <w:pPr>
              <w:rPr>
                <w:rFonts w:asciiTheme="minorHAnsi" w:hAnsiTheme="minorHAnsi" w:cstheme="minorHAnsi"/>
              </w:rPr>
            </w:pPr>
            <w:r w:rsidRPr="00FE6EE5">
              <w:rPr>
                <w:rFonts w:asciiTheme="minorHAnsi" w:hAnsiTheme="minorHAnsi"/>
                <w:b/>
                <w:color w:val="E36C0A" w:themeColor="accent6" w:themeShade="BF"/>
              </w:rPr>
              <w:t xml:space="preserve">IN PROGRESS </w:t>
            </w:r>
            <w:r w:rsidR="00B96F45" w:rsidRPr="00FE6EE5">
              <w:rPr>
                <w:rFonts w:asciiTheme="minorHAnsi" w:hAnsiTheme="minorHAnsi" w:cstheme="minorHAnsi"/>
              </w:rPr>
              <w:t>–</w:t>
            </w:r>
            <w:r>
              <w:rPr>
                <w:rFonts w:asciiTheme="minorHAnsi" w:hAnsiTheme="minorHAnsi"/>
              </w:rPr>
              <w:t xml:space="preserve"> </w:t>
            </w:r>
            <w:r w:rsidRPr="00EF64E9">
              <w:rPr>
                <w:rFonts w:asciiTheme="minorHAnsi" w:hAnsiTheme="minorHAnsi" w:cstheme="minorHAnsi"/>
              </w:rPr>
              <w:t xml:space="preserve">NIMF for red cells developed, trialled, JBC </w:t>
            </w:r>
            <w:proofErr w:type="gramStart"/>
            <w:r w:rsidRPr="00EF64E9">
              <w:rPr>
                <w:rFonts w:asciiTheme="minorHAnsi" w:hAnsiTheme="minorHAnsi" w:cstheme="minorHAnsi"/>
              </w:rPr>
              <w:t>approved</w:t>
            </w:r>
            <w:proofErr w:type="gramEnd"/>
            <w:r w:rsidRPr="00EF64E9">
              <w:rPr>
                <w:rFonts w:asciiTheme="minorHAnsi" w:hAnsiTheme="minorHAnsi" w:cstheme="minorHAnsi"/>
              </w:rPr>
              <w:t xml:space="preserve"> and implementation rolled out over 18 months, NIMF for platel</w:t>
            </w:r>
            <w:r>
              <w:rPr>
                <w:rFonts w:asciiTheme="minorHAnsi" w:hAnsiTheme="minorHAnsi" w:cstheme="minorHAnsi"/>
              </w:rPr>
              <w:t xml:space="preserve">ets commenced. In July 2017 JBC noted the revised </w:t>
            </w:r>
            <w:r w:rsidRPr="004C1C89">
              <w:rPr>
                <w:rFonts w:asciiTheme="minorHAnsi" w:hAnsiTheme="minorHAnsi" w:cstheme="minorHAnsi"/>
              </w:rPr>
              <w:t>National Inventory Management framework</w:t>
            </w:r>
            <w:r>
              <w:rPr>
                <w:rFonts w:asciiTheme="minorHAnsi" w:hAnsiTheme="minorHAnsi" w:cstheme="minorHAnsi"/>
              </w:rPr>
              <w:t xml:space="preserve"> (</w:t>
            </w:r>
            <w:r w:rsidRPr="0049645E">
              <w:rPr>
                <w:rFonts w:asciiTheme="minorHAnsi" w:hAnsiTheme="minorHAnsi" w:cstheme="minorHAnsi"/>
              </w:rPr>
              <w:t>NIMF</w:t>
            </w:r>
            <w:r>
              <w:rPr>
                <w:rFonts w:asciiTheme="minorHAnsi" w:hAnsiTheme="minorHAnsi" w:cstheme="minorHAnsi"/>
              </w:rPr>
              <w:t>)</w:t>
            </w:r>
            <w:r w:rsidRPr="0049645E">
              <w:rPr>
                <w:rFonts w:asciiTheme="minorHAnsi" w:hAnsiTheme="minorHAnsi" w:cstheme="minorHAnsi"/>
              </w:rPr>
              <w:t xml:space="preserve"> project approach that will provide and promote guidance and tools to Australian Health Providers (AHPs) on better practice inventory management.  </w:t>
            </w:r>
            <w:r>
              <w:rPr>
                <w:rFonts w:asciiTheme="minorHAnsi" w:hAnsiTheme="minorHAnsi" w:cstheme="minorHAnsi"/>
              </w:rPr>
              <w:t>JBC agreed</w:t>
            </w:r>
            <w:r w:rsidRPr="0049645E">
              <w:rPr>
                <w:rFonts w:asciiTheme="minorHAnsi" w:hAnsiTheme="minorHAnsi" w:cstheme="minorHAnsi"/>
              </w:rPr>
              <w:t xml:space="preserve"> to the NBA providing monthly reports to jurisdictions for monitoring </w:t>
            </w:r>
            <w:r>
              <w:rPr>
                <w:rFonts w:asciiTheme="minorHAnsi" w:hAnsiTheme="minorHAnsi" w:cstheme="minorHAnsi"/>
              </w:rPr>
              <w:t xml:space="preserve">Red Blood Cell </w:t>
            </w:r>
            <w:r w:rsidRPr="0049645E">
              <w:rPr>
                <w:rFonts w:asciiTheme="minorHAnsi" w:hAnsiTheme="minorHAnsi" w:cstheme="minorHAnsi"/>
              </w:rPr>
              <w:t>blood group ordering practices by AHPs.</w:t>
            </w:r>
            <w:r>
              <w:rPr>
                <w:rFonts w:asciiTheme="minorHAnsi" w:hAnsiTheme="minorHAnsi" w:cstheme="minorHAnsi"/>
              </w:rPr>
              <w:t xml:space="preserve"> Safety Stock reports being specified for development in </w:t>
            </w:r>
            <w:proofErr w:type="spellStart"/>
            <w:r>
              <w:rPr>
                <w:rFonts w:asciiTheme="minorHAnsi" w:hAnsiTheme="minorHAnsi" w:cstheme="minorHAnsi"/>
              </w:rPr>
              <w:t>BloodNet</w:t>
            </w:r>
            <w:proofErr w:type="spellEnd"/>
            <w:r>
              <w:rPr>
                <w:rFonts w:asciiTheme="minorHAnsi" w:hAnsiTheme="minorHAnsi" w:cstheme="minorHAnsi"/>
              </w:rPr>
              <w:t>.</w:t>
            </w:r>
          </w:p>
        </w:tc>
      </w:tr>
      <w:tr w:rsidR="00F633EE" w:rsidRPr="00FE6EE5" w14:paraId="51F7D4C7" w14:textId="77777777" w:rsidTr="00432D62">
        <w:tc>
          <w:tcPr>
            <w:tcW w:w="1824" w:type="pct"/>
            <w:shd w:val="clear" w:color="auto" w:fill="EAF1DD" w:themeFill="accent3" w:themeFillTint="33"/>
          </w:tcPr>
          <w:p w14:paraId="2DEBD34A" w14:textId="77777777" w:rsidR="00F633EE" w:rsidRPr="00FE6EE5" w:rsidRDefault="00CD6E80" w:rsidP="00CD6E80">
            <w:pPr>
              <w:rPr>
                <w:rFonts w:asciiTheme="minorHAnsi" w:hAnsiTheme="minorHAnsi"/>
              </w:rPr>
            </w:pPr>
            <w:r>
              <w:rPr>
                <w:rFonts w:asciiTheme="minorHAnsi" w:hAnsiTheme="minorHAnsi"/>
              </w:rPr>
              <w:t>4</w:t>
            </w:r>
            <w:r w:rsidR="00F633EE" w:rsidRPr="00FE6EE5">
              <w:rPr>
                <w:rFonts w:asciiTheme="minorHAnsi" w:hAnsiTheme="minorHAnsi"/>
              </w:rPr>
              <w:t>.2 Development and dissemination of case studies</w:t>
            </w:r>
          </w:p>
        </w:tc>
        <w:tc>
          <w:tcPr>
            <w:tcW w:w="298" w:type="pct"/>
            <w:shd w:val="clear" w:color="auto" w:fill="00B050"/>
          </w:tcPr>
          <w:p w14:paraId="4B158DAE"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G</w:t>
            </w:r>
          </w:p>
        </w:tc>
        <w:tc>
          <w:tcPr>
            <w:tcW w:w="2878" w:type="pct"/>
            <w:shd w:val="clear" w:color="auto" w:fill="EAF1DD" w:themeFill="accent3" w:themeFillTint="33"/>
          </w:tcPr>
          <w:p w14:paraId="14E93736" w14:textId="77777777" w:rsidR="00F633EE" w:rsidRPr="00FE6EE5" w:rsidRDefault="00F633EE" w:rsidP="00547878">
            <w:pPr>
              <w:rPr>
                <w:rFonts w:asciiTheme="minorHAnsi" w:hAnsiTheme="minorHAnsi" w:cstheme="minorHAnsi"/>
              </w:rPr>
            </w:pPr>
            <w:r w:rsidRPr="00FE6EE5">
              <w:rPr>
                <w:rFonts w:asciiTheme="minorHAnsi" w:hAnsiTheme="minorHAnsi"/>
                <w:b/>
                <w:color w:val="00B050"/>
              </w:rPr>
              <w:t>COMPLETE</w:t>
            </w:r>
            <w:r w:rsidRPr="00FE6EE5">
              <w:rPr>
                <w:rFonts w:asciiTheme="minorHAnsi" w:hAnsiTheme="minorHAnsi" w:cstheme="minorHAnsi"/>
              </w:rPr>
              <w:t xml:space="preserve"> – Ten case studies have been developed and published on the NBA website with the videos published on </w:t>
            </w:r>
            <w:hyperlink r:id="rId29" w:history="1">
              <w:r w:rsidRPr="00FE6EE5">
                <w:rPr>
                  <w:rStyle w:val="Hyperlink"/>
                  <w:rFonts w:asciiTheme="minorHAnsi" w:hAnsiTheme="minorHAnsi" w:cstheme="minorHAnsi"/>
                </w:rPr>
                <w:t>YouTube</w:t>
              </w:r>
            </w:hyperlink>
            <w:r w:rsidRPr="00FE6EE5">
              <w:rPr>
                <w:rFonts w:asciiTheme="minorHAnsi" w:hAnsiTheme="minorHAnsi" w:cstheme="minorHAnsi"/>
              </w:rPr>
              <w:t xml:space="preserve">. Eight of these relate directly to the Wastage Strategy: </w:t>
            </w:r>
            <w:hyperlink r:id="rId30" w:history="1">
              <w:r w:rsidRPr="00FE6EE5">
                <w:rPr>
                  <w:rStyle w:val="Hyperlink"/>
                  <w:rFonts w:asciiTheme="minorHAnsi" w:hAnsiTheme="minorHAnsi" w:cstheme="minorHAnsi"/>
                </w:rPr>
                <w:t xml:space="preserve">Queensland Pathology, Hunter Area Pathology Service, </w:t>
              </w:r>
              <w:proofErr w:type="spellStart"/>
              <w:r w:rsidRPr="00FE6EE5">
                <w:rPr>
                  <w:rStyle w:val="Hyperlink"/>
                  <w:rFonts w:asciiTheme="minorHAnsi" w:hAnsiTheme="minorHAnsi" w:cstheme="minorHAnsi"/>
                </w:rPr>
                <w:t>BloodMove</w:t>
              </w:r>
              <w:proofErr w:type="spellEnd"/>
              <w:r w:rsidRPr="00FE6EE5">
                <w:rPr>
                  <w:rStyle w:val="Hyperlink"/>
                  <w:rFonts w:asciiTheme="minorHAnsi" w:hAnsiTheme="minorHAnsi" w:cstheme="minorHAnsi"/>
                </w:rPr>
                <w:t xml:space="preserve"> Project, </w:t>
              </w:r>
              <w:proofErr w:type="spellStart"/>
              <w:r w:rsidRPr="00FE6EE5">
                <w:rPr>
                  <w:rStyle w:val="Hyperlink"/>
                  <w:rFonts w:asciiTheme="minorHAnsi" w:hAnsiTheme="minorHAnsi" w:cstheme="minorHAnsi"/>
                </w:rPr>
                <w:t>BloodMove</w:t>
              </w:r>
              <w:proofErr w:type="spellEnd"/>
              <w:r w:rsidRPr="00FE6EE5">
                <w:rPr>
                  <w:rStyle w:val="Hyperlink"/>
                  <w:rFonts w:asciiTheme="minorHAnsi" w:hAnsiTheme="minorHAnsi" w:cstheme="minorHAnsi"/>
                </w:rPr>
                <w:t xml:space="preserve"> Platelets, San Pathology, Burnside War Memorial Hospital, The Royal Children’s Hospital Melbourne Extended Life Plasma and Liverpool RFID Case Study</w:t>
              </w:r>
            </w:hyperlink>
          </w:p>
        </w:tc>
      </w:tr>
      <w:tr w:rsidR="00F633EE" w:rsidRPr="00FE6EE5" w14:paraId="4456DEBC" w14:textId="77777777" w:rsidTr="00432D62">
        <w:tc>
          <w:tcPr>
            <w:tcW w:w="1824" w:type="pct"/>
            <w:shd w:val="clear" w:color="auto" w:fill="EAF1DD" w:themeFill="accent3" w:themeFillTint="33"/>
          </w:tcPr>
          <w:p w14:paraId="2BAABF0B" w14:textId="77777777" w:rsidR="00F633EE" w:rsidRPr="00FE6EE5" w:rsidRDefault="00CD6E80" w:rsidP="00CD6E80">
            <w:pPr>
              <w:rPr>
                <w:rFonts w:asciiTheme="minorHAnsi" w:hAnsiTheme="minorHAnsi"/>
                <w:i/>
              </w:rPr>
            </w:pPr>
            <w:r>
              <w:rPr>
                <w:rFonts w:asciiTheme="minorHAnsi" w:hAnsiTheme="minorHAnsi"/>
              </w:rPr>
              <w:t>4</w:t>
            </w:r>
            <w:r w:rsidR="00F633EE" w:rsidRPr="00FE6EE5">
              <w:rPr>
                <w:rFonts w:asciiTheme="minorHAnsi" w:hAnsiTheme="minorHAnsi"/>
              </w:rPr>
              <w:t xml:space="preserve">.3 </w:t>
            </w:r>
            <w:r w:rsidR="00F633EE" w:rsidRPr="00FE6EE5">
              <w:rPr>
                <w:rFonts w:asciiTheme="minorHAnsi" w:hAnsiTheme="minorHAnsi"/>
                <w:i/>
              </w:rPr>
              <w:t>Managing Blood Product Inventory: Guidelines for Australian Health Providers</w:t>
            </w:r>
          </w:p>
        </w:tc>
        <w:tc>
          <w:tcPr>
            <w:tcW w:w="298" w:type="pct"/>
            <w:shd w:val="clear" w:color="auto" w:fill="F79646" w:themeFill="accent6"/>
          </w:tcPr>
          <w:p w14:paraId="506FE049" w14:textId="77777777" w:rsidR="00F633EE" w:rsidRPr="00FE6EE5" w:rsidRDefault="00F633EE" w:rsidP="00054F78">
            <w:pPr>
              <w:jc w:val="center"/>
              <w:rPr>
                <w:rFonts w:asciiTheme="minorHAnsi" w:hAnsiTheme="minorHAnsi" w:cstheme="minorHAnsi"/>
              </w:rPr>
            </w:pPr>
            <w:r w:rsidRPr="00FE6EE5">
              <w:rPr>
                <w:rFonts w:asciiTheme="minorHAnsi" w:hAnsiTheme="minorHAnsi" w:cstheme="minorHAnsi"/>
              </w:rPr>
              <w:t>A</w:t>
            </w:r>
          </w:p>
        </w:tc>
        <w:tc>
          <w:tcPr>
            <w:tcW w:w="2878" w:type="pct"/>
            <w:shd w:val="clear" w:color="auto" w:fill="EAF1DD" w:themeFill="accent3" w:themeFillTint="33"/>
          </w:tcPr>
          <w:p w14:paraId="6EFC41CF" w14:textId="77777777" w:rsidR="00F633EE" w:rsidRPr="00FE6EE5" w:rsidRDefault="00B96F45" w:rsidP="00547878">
            <w:pPr>
              <w:spacing w:after="120"/>
              <w:contextualSpacing w:val="0"/>
              <w:rPr>
                <w:rFonts w:asciiTheme="minorHAnsi" w:hAnsiTheme="minorHAnsi" w:cstheme="minorHAnsi"/>
              </w:rPr>
            </w:pPr>
            <w:r w:rsidRPr="00FE6EE5">
              <w:rPr>
                <w:rFonts w:asciiTheme="minorHAnsi" w:hAnsiTheme="minorHAnsi"/>
                <w:b/>
                <w:color w:val="E36C0A" w:themeColor="accent6" w:themeShade="BF"/>
              </w:rPr>
              <w:t>IN PROGRESS</w:t>
            </w:r>
            <w:r w:rsidR="00F633EE" w:rsidRPr="00FE6EE5">
              <w:rPr>
                <w:rFonts w:asciiTheme="minorHAnsi" w:hAnsiTheme="minorHAnsi" w:cstheme="minorHAnsi"/>
              </w:rPr>
              <w:t xml:space="preserve"> – The second edition of the Guideline has been published and is available from the </w:t>
            </w:r>
            <w:hyperlink r:id="rId31" w:history="1">
              <w:r w:rsidR="00F633EE" w:rsidRPr="00FE6EE5">
                <w:rPr>
                  <w:rStyle w:val="Hyperlink"/>
                  <w:rFonts w:asciiTheme="minorHAnsi" w:hAnsiTheme="minorHAnsi" w:cstheme="minorHAnsi"/>
                </w:rPr>
                <w:t>NBA website</w:t>
              </w:r>
            </w:hyperlink>
            <w:r w:rsidR="00F633EE" w:rsidRPr="00FE6EE5">
              <w:rPr>
                <w:rFonts w:asciiTheme="minorHAnsi" w:hAnsiTheme="minorHAnsi" w:cstheme="minorHAnsi"/>
              </w:rPr>
              <w:t xml:space="preserve"> and over 2,000 hard copies have been distributed by the NBA on request from health providers.  The new edition was endorsed by the Royal College of </w:t>
            </w:r>
            <w:r w:rsidR="00F633EE" w:rsidRPr="00FE6EE5">
              <w:rPr>
                <w:rFonts w:asciiTheme="minorHAnsi" w:hAnsiTheme="minorHAnsi" w:cstheme="minorHAnsi"/>
              </w:rPr>
              <w:lastRenderedPageBreak/>
              <w:t xml:space="preserve">Pathologists of Australia (RCPA) and the Australian and New Zealand Society for Blood Transfusion (ANZSBT) and supported by the National Association of Testing Authorities, Australia (NATA). The first module – </w:t>
            </w:r>
            <w:r w:rsidR="00F633EE" w:rsidRPr="00FE6EE5">
              <w:rPr>
                <w:rFonts w:asciiTheme="minorHAnsi" w:hAnsiTheme="minorHAnsi" w:cstheme="minorHAnsi"/>
                <w:i/>
              </w:rPr>
              <w:t xml:space="preserve">Managing Blood and Blood Product Transfers </w:t>
            </w:r>
            <w:r w:rsidR="00F633EE" w:rsidRPr="00FE6EE5">
              <w:rPr>
                <w:rFonts w:asciiTheme="minorHAnsi" w:hAnsiTheme="minorHAnsi" w:cstheme="minorHAnsi"/>
              </w:rPr>
              <w:t>is included in the new edition complete with fully downloadable and modifiable tools to support health providers in implementing transfer arrangements.</w:t>
            </w:r>
          </w:p>
          <w:p w14:paraId="5E75949D"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cstheme="minorHAnsi"/>
                <w:i/>
              </w:rPr>
              <w:t>Module 2: Managing Intravenous and Subcutaneous Immunoglobulin Inventory</w:t>
            </w:r>
            <w:r w:rsidRPr="00FE6EE5">
              <w:rPr>
                <w:rFonts w:asciiTheme="minorHAnsi" w:hAnsiTheme="minorHAnsi" w:cstheme="minorHAnsi"/>
              </w:rPr>
              <w:t xml:space="preserve"> was released in 2016 to assist Australian Health Providers manage their Ig inventory with the implementation of </w:t>
            </w:r>
            <w:proofErr w:type="spellStart"/>
            <w:r w:rsidRPr="00FE6EE5">
              <w:rPr>
                <w:rFonts w:asciiTheme="minorHAnsi" w:hAnsiTheme="minorHAnsi" w:cstheme="minorHAnsi"/>
              </w:rPr>
              <w:t>BloodSTAR</w:t>
            </w:r>
            <w:proofErr w:type="spellEnd"/>
            <w:r w:rsidRPr="00FE6EE5">
              <w:rPr>
                <w:rFonts w:asciiTheme="minorHAnsi" w:hAnsiTheme="minorHAnsi" w:cstheme="minorHAnsi"/>
              </w:rPr>
              <w:t xml:space="preserve">.  </w:t>
            </w:r>
          </w:p>
          <w:p w14:paraId="5FD332F6" w14:textId="77777777" w:rsidR="00F633EE" w:rsidRPr="00FE6EE5" w:rsidRDefault="00F633EE" w:rsidP="00B96F45">
            <w:pPr>
              <w:spacing w:after="120"/>
              <w:contextualSpacing w:val="0"/>
              <w:rPr>
                <w:rFonts w:asciiTheme="minorHAnsi" w:hAnsiTheme="minorHAnsi" w:cstheme="minorHAnsi"/>
              </w:rPr>
            </w:pPr>
            <w:r w:rsidRPr="00FE6EE5">
              <w:rPr>
                <w:rFonts w:asciiTheme="minorHAnsi" w:hAnsiTheme="minorHAnsi" w:cstheme="minorHAnsi"/>
              </w:rPr>
              <w:t>The Guidelines are currently under review and will have an additional chapter included “Improving Compliant Storage”. Three further modules (Red Blood Cells, Managing Retrieval Services Inventory and Platelets) to support the core guideline are under development and will be released in the 201</w:t>
            </w:r>
            <w:r w:rsidR="00B96F45">
              <w:rPr>
                <w:rFonts w:asciiTheme="minorHAnsi" w:hAnsiTheme="minorHAnsi" w:cstheme="minorHAnsi"/>
              </w:rPr>
              <w:t>8</w:t>
            </w:r>
            <w:r w:rsidRPr="00FE6EE5">
              <w:rPr>
                <w:rFonts w:asciiTheme="minorHAnsi" w:hAnsiTheme="minorHAnsi" w:cstheme="minorHAnsi"/>
              </w:rPr>
              <w:t>.</w:t>
            </w:r>
          </w:p>
        </w:tc>
      </w:tr>
      <w:tr w:rsidR="00F633EE" w:rsidRPr="00FE6EE5" w14:paraId="3E42BADE" w14:textId="77777777" w:rsidTr="00432D62">
        <w:tc>
          <w:tcPr>
            <w:tcW w:w="1824" w:type="pct"/>
            <w:shd w:val="clear" w:color="auto" w:fill="EAF1DD" w:themeFill="accent3" w:themeFillTint="33"/>
          </w:tcPr>
          <w:p w14:paraId="53ABA431" w14:textId="77777777" w:rsidR="00F633EE" w:rsidRPr="00FE6EE5" w:rsidRDefault="00CD6E80" w:rsidP="00CD6E80">
            <w:pPr>
              <w:rPr>
                <w:rFonts w:asciiTheme="minorHAnsi" w:hAnsiTheme="minorHAnsi"/>
              </w:rPr>
            </w:pPr>
            <w:r>
              <w:rPr>
                <w:rFonts w:asciiTheme="minorHAnsi" w:hAnsiTheme="minorHAnsi"/>
              </w:rPr>
              <w:t>4</w:t>
            </w:r>
            <w:r w:rsidR="00F633EE" w:rsidRPr="00FE6EE5">
              <w:rPr>
                <w:rFonts w:asciiTheme="minorHAnsi" w:hAnsiTheme="minorHAnsi"/>
              </w:rPr>
              <w:t>.4 Tools to set minimum and maximum bands for AHP inventory</w:t>
            </w:r>
          </w:p>
        </w:tc>
        <w:tc>
          <w:tcPr>
            <w:tcW w:w="298" w:type="pct"/>
            <w:shd w:val="clear" w:color="auto" w:fill="F79646" w:themeFill="accent6"/>
          </w:tcPr>
          <w:p w14:paraId="7AC6DA18"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A</w:t>
            </w:r>
          </w:p>
        </w:tc>
        <w:tc>
          <w:tcPr>
            <w:tcW w:w="2878" w:type="pct"/>
            <w:shd w:val="clear" w:color="auto" w:fill="EAF1DD" w:themeFill="accent3" w:themeFillTint="33"/>
          </w:tcPr>
          <w:p w14:paraId="39A9B2F2" w14:textId="77777777" w:rsidR="00F633EE" w:rsidRPr="00FE6EE5" w:rsidRDefault="00F633EE" w:rsidP="00547878">
            <w:pPr>
              <w:rPr>
                <w:rFonts w:asciiTheme="minorHAnsi" w:hAnsiTheme="minorHAnsi" w:cstheme="minorHAnsi"/>
              </w:rPr>
            </w:pPr>
            <w:r w:rsidRPr="00FE6EE5">
              <w:rPr>
                <w:rFonts w:asciiTheme="minorHAnsi" w:hAnsiTheme="minorHAnsi" w:cstheme="minorHAnsi"/>
                <w:b/>
                <w:color w:val="E36C0A" w:themeColor="accent6" w:themeShade="BF"/>
              </w:rPr>
              <w:t>IN PROGRESS</w:t>
            </w:r>
            <w:r w:rsidRPr="00FE6EE5">
              <w:rPr>
                <w:rFonts w:asciiTheme="minorHAnsi" w:hAnsiTheme="minorHAnsi" w:cstheme="minorHAnsi"/>
              </w:rPr>
              <w:t xml:space="preserve"> – This work is being undertaken in conjunction with the </w:t>
            </w:r>
            <w:hyperlink r:id="rId32" w:history="1">
              <w:r w:rsidRPr="00FE6EE5">
                <w:rPr>
                  <w:rStyle w:val="Hyperlink"/>
                  <w:rFonts w:asciiTheme="minorHAnsi" w:hAnsiTheme="minorHAnsi" w:cstheme="minorHAnsi"/>
                </w:rPr>
                <w:t>National Inventory Management Framework</w:t>
              </w:r>
            </w:hyperlink>
            <w:r w:rsidRPr="00FE6EE5">
              <w:rPr>
                <w:rFonts w:asciiTheme="minorHAnsi" w:hAnsiTheme="minorHAnsi" w:cstheme="minorHAnsi"/>
              </w:rPr>
              <w:t xml:space="preserve"> – see Item 3.1.</w:t>
            </w:r>
          </w:p>
        </w:tc>
      </w:tr>
      <w:tr w:rsidR="00432D62" w:rsidRPr="00FE6EE5" w14:paraId="4FC756CC" w14:textId="77777777" w:rsidTr="00432D62">
        <w:tc>
          <w:tcPr>
            <w:tcW w:w="5000" w:type="pct"/>
            <w:gridSpan w:val="3"/>
            <w:shd w:val="clear" w:color="auto" w:fill="C2D69B" w:themeFill="accent3" w:themeFillTint="99"/>
          </w:tcPr>
          <w:p w14:paraId="3257077F" w14:textId="5FB8DB0B" w:rsidR="00432D62" w:rsidRPr="00FE6EE5" w:rsidRDefault="00432D62" w:rsidP="00432D62">
            <w:pPr>
              <w:pStyle w:val="ListParagraph"/>
              <w:numPr>
                <w:ilvl w:val="0"/>
                <w:numId w:val="7"/>
              </w:numPr>
              <w:spacing w:after="0"/>
              <w:ind w:left="426" w:hanging="426"/>
              <w:rPr>
                <w:rFonts w:asciiTheme="minorHAnsi" w:hAnsiTheme="minorHAnsi" w:cstheme="minorHAnsi"/>
              </w:rPr>
            </w:pPr>
            <w:r w:rsidRPr="00FE6EE5">
              <w:rPr>
                <w:rFonts w:asciiTheme="minorHAnsi" w:hAnsiTheme="minorHAnsi"/>
                <w:b/>
              </w:rPr>
              <w:t>Education and Training</w:t>
            </w:r>
          </w:p>
        </w:tc>
      </w:tr>
      <w:tr w:rsidR="00F633EE" w:rsidRPr="00FE6EE5" w14:paraId="6143D793" w14:textId="77777777" w:rsidTr="00432D62">
        <w:tc>
          <w:tcPr>
            <w:tcW w:w="1824" w:type="pct"/>
            <w:shd w:val="clear" w:color="auto" w:fill="EAF1DD" w:themeFill="accent3" w:themeFillTint="33"/>
          </w:tcPr>
          <w:p w14:paraId="2D59AAC6" w14:textId="77777777" w:rsidR="00F633EE" w:rsidRPr="00FE6EE5" w:rsidRDefault="00CD6E80" w:rsidP="00547878">
            <w:pPr>
              <w:rPr>
                <w:rFonts w:asciiTheme="minorHAnsi" w:hAnsiTheme="minorHAnsi"/>
              </w:rPr>
            </w:pPr>
            <w:r>
              <w:rPr>
                <w:rFonts w:asciiTheme="minorHAnsi" w:hAnsiTheme="minorHAnsi"/>
              </w:rPr>
              <w:t>5</w:t>
            </w:r>
            <w:r w:rsidR="00F633EE" w:rsidRPr="00FE6EE5">
              <w:rPr>
                <w:rFonts w:asciiTheme="minorHAnsi" w:hAnsiTheme="minorHAnsi"/>
              </w:rPr>
              <w:t>.1 Core training and assessment requirements for inventory management staff defined</w:t>
            </w:r>
          </w:p>
        </w:tc>
        <w:tc>
          <w:tcPr>
            <w:tcW w:w="298" w:type="pct"/>
            <w:shd w:val="clear" w:color="auto" w:fill="F79646" w:themeFill="accent6"/>
          </w:tcPr>
          <w:p w14:paraId="63F93F86"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A</w:t>
            </w:r>
          </w:p>
        </w:tc>
        <w:tc>
          <w:tcPr>
            <w:tcW w:w="2878" w:type="pct"/>
            <w:shd w:val="clear" w:color="auto" w:fill="EAF1DD" w:themeFill="accent3" w:themeFillTint="33"/>
          </w:tcPr>
          <w:p w14:paraId="6C06F076" w14:textId="77777777" w:rsidR="00F633EE" w:rsidRPr="00FE6EE5" w:rsidRDefault="00F633EE" w:rsidP="00547878">
            <w:pPr>
              <w:rPr>
                <w:rFonts w:asciiTheme="minorHAnsi" w:hAnsiTheme="minorHAnsi" w:cstheme="minorHAnsi"/>
              </w:rPr>
            </w:pPr>
            <w:r w:rsidRPr="00FE6EE5">
              <w:rPr>
                <w:rFonts w:asciiTheme="minorHAnsi" w:hAnsiTheme="minorHAnsi" w:cstheme="minorHAnsi"/>
                <w:b/>
                <w:color w:val="E36C0A" w:themeColor="accent6" w:themeShade="BF"/>
              </w:rPr>
              <w:t>IN PROGRESS</w:t>
            </w:r>
            <w:r w:rsidRPr="00FE6EE5">
              <w:rPr>
                <w:rFonts w:asciiTheme="minorHAnsi" w:hAnsiTheme="minorHAnsi" w:cstheme="minorHAnsi"/>
              </w:rPr>
              <w:t xml:space="preserve"> – The NBA is involved in </w:t>
            </w:r>
            <w:proofErr w:type="gramStart"/>
            <w:r w:rsidRPr="00FE6EE5">
              <w:rPr>
                <w:rFonts w:asciiTheme="minorHAnsi" w:hAnsiTheme="minorHAnsi" w:cstheme="minorHAnsi"/>
              </w:rPr>
              <w:t>a number of</w:t>
            </w:r>
            <w:proofErr w:type="gramEnd"/>
            <w:r w:rsidRPr="00FE6EE5">
              <w:rPr>
                <w:rFonts w:asciiTheme="minorHAnsi" w:hAnsiTheme="minorHAnsi" w:cstheme="minorHAnsi"/>
              </w:rPr>
              <w:t xml:space="preserve"> initiatives to engage with, educate and support health providers on important issues such as inventory management and minimising wastage of blood and blood products. Communications and media examples include the Better Practice Case Study series, attendance at appropriate conferences, organisation and sponsorship of speakers and workshops at conferences, attending local blood week activities, National Blood Symposiums, Standard 7</w:t>
            </w:r>
            <w:r w:rsidRPr="00FE6EE5">
              <w:rPr>
                <w:rFonts w:asciiTheme="minorHAnsi" w:hAnsiTheme="minorHAnsi"/>
              </w:rPr>
              <w:t xml:space="preserve"> </w:t>
            </w:r>
            <w:r w:rsidRPr="00FE6EE5">
              <w:rPr>
                <w:rFonts w:asciiTheme="minorHAnsi" w:hAnsiTheme="minorHAnsi" w:cstheme="minorHAnsi"/>
              </w:rPr>
              <w:t xml:space="preserve">Blood and Blood Products of the National Safety and Quality Health Service (NSQHS) Standards and hosting and supporting the National </w:t>
            </w:r>
            <w:proofErr w:type="spellStart"/>
            <w:r w:rsidRPr="00FE6EE5">
              <w:rPr>
                <w:rFonts w:asciiTheme="minorHAnsi" w:hAnsiTheme="minorHAnsi" w:cstheme="minorHAnsi"/>
              </w:rPr>
              <w:t>Immunohaematology</w:t>
            </w:r>
            <w:proofErr w:type="spellEnd"/>
            <w:r w:rsidRPr="00FE6EE5">
              <w:rPr>
                <w:rFonts w:asciiTheme="minorHAnsi" w:hAnsiTheme="minorHAnsi" w:cstheme="minorHAnsi"/>
              </w:rPr>
              <w:t xml:space="preserve"> Continuing Education (NICE) presentations.</w:t>
            </w:r>
          </w:p>
        </w:tc>
      </w:tr>
      <w:tr w:rsidR="00F633EE" w:rsidRPr="00FE6EE5" w14:paraId="5F35F0B0" w14:textId="77777777" w:rsidTr="00432D62">
        <w:tc>
          <w:tcPr>
            <w:tcW w:w="1824" w:type="pct"/>
            <w:shd w:val="clear" w:color="auto" w:fill="EAF1DD" w:themeFill="accent3" w:themeFillTint="33"/>
          </w:tcPr>
          <w:p w14:paraId="02B21439" w14:textId="77777777" w:rsidR="00F633EE" w:rsidRPr="00FE6EE5" w:rsidRDefault="00CD6E80" w:rsidP="00CD6E80">
            <w:pPr>
              <w:rPr>
                <w:rFonts w:asciiTheme="minorHAnsi" w:hAnsiTheme="minorHAnsi"/>
              </w:rPr>
            </w:pPr>
            <w:r>
              <w:rPr>
                <w:rFonts w:asciiTheme="minorHAnsi" w:hAnsiTheme="minorHAnsi"/>
              </w:rPr>
              <w:t>5</w:t>
            </w:r>
            <w:r w:rsidR="00F633EE" w:rsidRPr="00FE6EE5">
              <w:rPr>
                <w:rFonts w:asciiTheme="minorHAnsi" w:hAnsiTheme="minorHAnsi"/>
              </w:rPr>
              <w:t>.2 Incorporate core training in existing training programs</w:t>
            </w:r>
          </w:p>
        </w:tc>
        <w:tc>
          <w:tcPr>
            <w:tcW w:w="298" w:type="pct"/>
            <w:shd w:val="clear" w:color="auto" w:fill="F79646" w:themeFill="accent6"/>
          </w:tcPr>
          <w:p w14:paraId="04BE7ED1"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A</w:t>
            </w:r>
          </w:p>
        </w:tc>
        <w:tc>
          <w:tcPr>
            <w:tcW w:w="2878" w:type="pct"/>
            <w:shd w:val="clear" w:color="auto" w:fill="EAF1DD" w:themeFill="accent3" w:themeFillTint="33"/>
          </w:tcPr>
          <w:p w14:paraId="1B13BC92" w14:textId="77777777" w:rsidR="00F633EE" w:rsidRPr="00FE6EE5" w:rsidRDefault="00F633EE" w:rsidP="00547878">
            <w:pPr>
              <w:rPr>
                <w:rFonts w:asciiTheme="minorHAnsi" w:hAnsiTheme="minorHAnsi" w:cstheme="minorHAnsi"/>
              </w:rPr>
            </w:pPr>
            <w:r w:rsidRPr="00FE6EE5">
              <w:rPr>
                <w:rFonts w:asciiTheme="minorHAnsi" w:hAnsiTheme="minorHAnsi" w:cstheme="minorHAnsi"/>
                <w:b/>
                <w:color w:val="E36C0A" w:themeColor="accent6" w:themeShade="BF"/>
              </w:rPr>
              <w:t>IN PROGRESS</w:t>
            </w:r>
            <w:r w:rsidRPr="00FE6EE5">
              <w:rPr>
                <w:rFonts w:asciiTheme="minorHAnsi" w:hAnsiTheme="minorHAnsi" w:cstheme="minorHAnsi"/>
              </w:rPr>
              <w:t xml:space="preserve"> – The NBA provides recommendations through various media, that health providers include inventory management in their training, including </w:t>
            </w:r>
            <w:r w:rsidRPr="00FE6EE5">
              <w:rPr>
                <w:rFonts w:asciiTheme="minorHAnsi" w:hAnsiTheme="minorHAnsi" w:cstheme="minorHAnsi"/>
                <w:i/>
              </w:rPr>
              <w:t>Managing Blood and Blood Product Inventory: Guidelines for Australian Health Providers</w:t>
            </w:r>
          </w:p>
        </w:tc>
      </w:tr>
    </w:tbl>
    <w:p w14:paraId="335F81B8" w14:textId="77777777" w:rsidR="00F034B9" w:rsidRDefault="00F034B9">
      <w:r>
        <w:br w:type="page"/>
      </w:r>
    </w:p>
    <w:tbl>
      <w:tblPr>
        <w:tblStyle w:val="NBATableStyle1"/>
        <w:tblW w:w="50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787"/>
        <w:gridCol w:w="11757"/>
      </w:tblGrid>
      <w:tr w:rsidR="00F034B9" w:rsidRPr="00FE6EE5" w14:paraId="408E8D87" w14:textId="77777777" w:rsidTr="00F54429">
        <w:trPr>
          <w:cnfStyle w:val="100000000000" w:firstRow="1" w:lastRow="0" w:firstColumn="0" w:lastColumn="0" w:oddVBand="0" w:evenVBand="0" w:oddHBand="0" w:evenHBand="0" w:firstRowFirstColumn="0" w:firstRowLastColumn="0" w:lastRowFirstColumn="0" w:lastRowLastColumn="0"/>
          <w:tblHeader/>
        </w:trPr>
        <w:tc>
          <w:tcPr>
            <w:tcW w:w="0" w:type="pct"/>
            <w:shd w:val="clear" w:color="auto" w:fill="808080" w:themeFill="background1" w:themeFillShade="80"/>
          </w:tcPr>
          <w:p w14:paraId="72002FAE" w14:textId="77777777" w:rsidR="00F034B9" w:rsidRDefault="00F034B9" w:rsidP="00F034B9">
            <w:pPr>
              <w:rPr>
                <w:rFonts w:asciiTheme="minorHAnsi" w:hAnsiTheme="minorHAnsi"/>
              </w:rPr>
            </w:pPr>
            <w:r w:rsidRPr="004A6A9E">
              <w:lastRenderedPageBreak/>
              <w:t xml:space="preserve">Activity </w:t>
            </w:r>
          </w:p>
        </w:tc>
        <w:tc>
          <w:tcPr>
            <w:tcW w:w="0" w:type="pct"/>
            <w:shd w:val="clear" w:color="auto" w:fill="808080" w:themeFill="background1" w:themeFillShade="80"/>
          </w:tcPr>
          <w:p w14:paraId="0C321D20" w14:textId="77777777" w:rsidR="00F034B9" w:rsidRPr="00FE6EE5" w:rsidRDefault="00F034B9" w:rsidP="00F034B9">
            <w:pPr>
              <w:rPr>
                <w:rFonts w:asciiTheme="minorHAnsi" w:hAnsiTheme="minorHAnsi" w:cstheme="minorHAnsi"/>
              </w:rPr>
            </w:pPr>
            <w:r>
              <w:t>Status</w:t>
            </w:r>
          </w:p>
        </w:tc>
        <w:tc>
          <w:tcPr>
            <w:tcW w:w="0" w:type="pct"/>
            <w:shd w:val="clear" w:color="auto" w:fill="808080" w:themeFill="background1" w:themeFillShade="80"/>
          </w:tcPr>
          <w:p w14:paraId="7994124A" w14:textId="77777777" w:rsidR="00F034B9" w:rsidRPr="00FE6EE5" w:rsidRDefault="00F034B9" w:rsidP="00F034B9">
            <w:pPr>
              <w:rPr>
                <w:rFonts w:asciiTheme="minorHAnsi" w:hAnsiTheme="minorHAnsi" w:cstheme="minorHAnsi"/>
                <w:b w:val="0"/>
                <w:color w:val="E36C0A" w:themeColor="accent6" w:themeShade="BF"/>
              </w:rPr>
            </w:pPr>
            <w:r>
              <w:t>Notes</w:t>
            </w:r>
          </w:p>
        </w:tc>
      </w:tr>
      <w:tr w:rsidR="00432D62" w:rsidRPr="00FE6EE5" w14:paraId="39F2B8C2" w14:textId="77777777" w:rsidTr="00432D62">
        <w:tc>
          <w:tcPr>
            <w:tcW w:w="5000" w:type="pct"/>
            <w:gridSpan w:val="3"/>
            <w:shd w:val="clear" w:color="auto" w:fill="C2D69B" w:themeFill="accent3" w:themeFillTint="99"/>
          </w:tcPr>
          <w:p w14:paraId="53B09FE3" w14:textId="71E3B1C9" w:rsidR="00432D62" w:rsidRPr="00FE6EE5" w:rsidRDefault="00432D62" w:rsidP="00432D62">
            <w:pPr>
              <w:pStyle w:val="ListParagraph"/>
              <w:numPr>
                <w:ilvl w:val="0"/>
                <w:numId w:val="7"/>
              </w:numPr>
              <w:spacing w:after="0"/>
              <w:ind w:left="426" w:hanging="426"/>
              <w:rPr>
                <w:rFonts w:asciiTheme="minorHAnsi" w:hAnsiTheme="minorHAnsi" w:cstheme="minorHAnsi"/>
              </w:rPr>
            </w:pPr>
            <w:r w:rsidRPr="00FE6EE5">
              <w:rPr>
                <w:rFonts w:asciiTheme="minorHAnsi" w:hAnsiTheme="minorHAnsi"/>
                <w:b/>
              </w:rPr>
              <w:t>Enhanced Awareness of Unit Prices</w:t>
            </w:r>
          </w:p>
        </w:tc>
      </w:tr>
      <w:tr w:rsidR="00F633EE" w:rsidRPr="00FE6EE5" w14:paraId="1A5EA637" w14:textId="77777777" w:rsidTr="00F54429">
        <w:tc>
          <w:tcPr>
            <w:tcW w:w="0" w:type="pct"/>
            <w:shd w:val="clear" w:color="auto" w:fill="EAF1DD" w:themeFill="accent3" w:themeFillTint="33"/>
          </w:tcPr>
          <w:p w14:paraId="2FA6CD88" w14:textId="77777777" w:rsidR="00F633EE" w:rsidRPr="00FE6EE5" w:rsidRDefault="00CD6E80" w:rsidP="00CD6E80">
            <w:pPr>
              <w:rPr>
                <w:rFonts w:asciiTheme="minorHAnsi" w:hAnsiTheme="minorHAnsi"/>
              </w:rPr>
            </w:pPr>
            <w:r>
              <w:rPr>
                <w:rFonts w:asciiTheme="minorHAnsi" w:hAnsiTheme="minorHAnsi"/>
              </w:rPr>
              <w:t>6</w:t>
            </w:r>
            <w:r w:rsidR="00F633EE" w:rsidRPr="00FE6EE5">
              <w:rPr>
                <w:rFonts w:asciiTheme="minorHAnsi" w:hAnsiTheme="minorHAnsi"/>
              </w:rPr>
              <w:t xml:space="preserve">1 Enhance </w:t>
            </w:r>
            <w:proofErr w:type="spellStart"/>
            <w:r w:rsidR="00F633EE" w:rsidRPr="00FE6EE5">
              <w:rPr>
                <w:rFonts w:asciiTheme="minorHAnsi" w:hAnsiTheme="minorHAnsi"/>
              </w:rPr>
              <w:t>BloodNet</w:t>
            </w:r>
            <w:proofErr w:type="spellEnd"/>
            <w:r w:rsidR="00F633EE" w:rsidRPr="00FE6EE5">
              <w:rPr>
                <w:rFonts w:asciiTheme="minorHAnsi" w:hAnsiTheme="minorHAnsi"/>
              </w:rPr>
              <w:t xml:space="preserve"> reporting to always list unit prices</w:t>
            </w:r>
          </w:p>
        </w:tc>
        <w:tc>
          <w:tcPr>
            <w:tcW w:w="0" w:type="pct"/>
            <w:shd w:val="clear" w:color="auto" w:fill="00B050"/>
          </w:tcPr>
          <w:p w14:paraId="2D27B931"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G</w:t>
            </w:r>
          </w:p>
        </w:tc>
        <w:tc>
          <w:tcPr>
            <w:tcW w:w="0" w:type="pct"/>
            <w:shd w:val="clear" w:color="auto" w:fill="EAF1DD" w:themeFill="accent3" w:themeFillTint="33"/>
          </w:tcPr>
          <w:p w14:paraId="67F85E05"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b/>
                <w:color w:val="00B050"/>
              </w:rPr>
              <w:t>COMPLETE</w:t>
            </w:r>
            <w:r w:rsidRPr="00FE6EE5">
              <w:rPr>
                <w:rFonts w:asciiTheme="minorHAnsi" w:hAnsiTheme="minorHAnsi" w:cstheme="minorHAnsi"/>
              </w:rPr>
              <w:t xml:space="preserve"> – </w:t>
            </w:r>
            <w:proofErr w:type="spellStart"/>
            <w:r w:rsidRPr="00FE6EE5">
              <w:rPr>
                <w:rFonts w:asciiTheme="minorHAnsi" w:hAnsiTheme="minorHAnsi" w:cstheme="minorHAnsi"/>
              </w:rPr>
              <w:t>BloodNet</w:t>
            </w:r>
            <w:proofErr w:type="spellEnd"/>
            <w:r w:rsidRPr="00FE6EE5">
              <w:rPr>
                <w:rFonts w:asciiTheme="minorHAnsi" w:hAnsiTheme="minorHAnsi" w:cstheme="minorHAnsi"/>
              </w:rPr>
              <w:t xml:space="preserve"> reports list the price of blood and blood product where appropriate to ensure </w:t>
            </w:r>
            <w:proofErr w:type="spellStart"/>
            <w:r w:rsidRPr="00FE6EE5">
              <w:rPr>
                <w:rFonts w:asciiTheme="minorHAnsi" w:hAnsiTheme="minorHAnsi" w:cstheme="minorHAnsi"/>
              </w:rPr>
              <w:t>BloodNet</w:t>
            </w:r>
            <w:proofErr w:type="spellEnd"/>
            <w:r w:rsidRPr="00FE6EE5">
              <w:rPr>
                <w:rFonts w:asciiTheme="minorHAnsi" w:hAnsiTheme="minorHAnsi" w:cstheme="minorHAnsi"/>
              </w:rPr>
              <w:t xml:space="preserve"> users are aware of the cost of units.</w:t>
            </w:r>
          </w:p>
          <w:p w14:paraId="3E3BE21F"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cstheme="minorHAnsi"/>
              </w:rPr>
              <w:t>Unit prices are included in jurisdictional reports and discard reports.</w:t>
            </w:r>
          </w:p>
        </w:tc>
      </w:tr>
      <w:tr w:rsidR="00F633EE" w:rsidRPr="00FE6EE5" w14:paraId="5F5BFC92" w14:textId="77777777" w:rsidTr="00F54429">
        <w:tc>
          <w:tcPr>
            <w:tcW w:w="0" w:type="pct"/>
            <w:shd w:val="clear" w:color="auto" w:fill="EAF1DD" w:themeFill="accent3" w:themeFillTint="33"/>
          </w:tcPr>
          <w:p w14:paraId="3C1B557C" w14:textId="77777777" w:rsidR="00F633EE" w:rsidRPr="00FE6EE5" w:rsidRDefault="00CD6E80" w:rsidP="00CD6E80">
            <w:pPr>
              <w:rPr>
                <w:rFonts w:asciiTheme="minorHAnsi" w:hAnsiTheme="minorHAnsi"/>
              </w:rPr>
            </w:pPr>
            <w:r>
              <w:rPr>
                <w:rFonts w:asciiTheme="minorHAnsi" w:hAnsiTheme="minorHAnsi"/>
              </w:rPr>
              <w:t>6</w:t>
            </w:r>
            <w:r w:rsidR="00F633EE" w:rsidRPr="00FE6EE5">
              <w:rPr>
                <w:rFonts w:asciiTheme="minorHAnsi" w:hAnsiTheme="minorHAnsi"/>
              </w:rPr>
              <w:t>.2 Price labels on fresh blood products</w:t>
            </w:r>
          </w:p>
        </w:tc>
        <w:tc>
          <w:tcPr>
            <w:tcW w:w="0" w:type="pct"/>
            <w:shd w:val="clear" w:color="auto" w:fill="00B050"/>
          </w:tcPr>
          <w:p w14:paraId="7FAB5726"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G</w:t>
            </w:r>
          </w:p>
        </w:tc>
        <w:tc>
          <w:tcPr>
            <w:tcW w:w="0" w:type="pct"/>
            <w:shd w:val="clear" w:color="auto" w:fill="EAF1DD" w:themeFill="accent3" w:themeFillTint="33"/>
          </w:tcPr>
          <w:p w14:paraId="6B3B5C97" w14:textId="77777777" w:rsidR="00F633EE" w:rsidRPr="00FE6EE5" w:rsidRDefault="00F633EE" w:rsidP="00547878">
            <w:pPr>
              <w:rPr>
                <w:rFonts w:asciiTheme="minorHAnsi" w:hAnsiTheme="minorHAnsi"/>
              </w:rPr>
            </w:pPr>
            <w:r w:rsidRPr="00FE6EE5">
              <w:rPr>
                <w:rFonts w:asciiTheme="minorHAnsi" w:hAnsiTheme="minorHAnsi"/>
                <w:b/>
                <w:color w:val="00B050"/>
              </w:rPr>
              <w:t>COMPLETE</w:t>
            </w:r>
            <w:r w:rsidRPr="00FE6EE5">
              <w:rPr>
                <w:rFonts w:asciiTheme="minorHAnsi" w:hAnsiTheme="minorHAnsi"/>
              </w:rPr>
              <w:t xml:space="preserve"> – All fresh blood products manufactured by the Blood Service since May 2013 have included the manufacturing cost on the label. A sample label is available on the </w:t>
            </w:r>
            <w:hyperlink r:id="rId33" w:history="1">
              <w:r w:rsidRPr="00FE6EE5">
                <w:rPr>
                  <w:rStyle w:val="Hyperlink"/>
                  <w:rFonts w:asciiTheme="minorHAnsi" w:hAnsiTheme="minorHAnsi"/>
                </w:rPr>
                <w:t>NBA website</w:t>
              </w:r>
            </w:hyperlink>
            <w:r w:rsidRPr="00FE6EE5">
              <w:rPr>
                <w:rFonts w:asciiTheme="minorHAnsi" w:hAnsiTheme="minorHAnsi"/>
              </w:rPr>
              <w:t>.</w:t>
            </w:r>
          </w:p>
        </w:tc>
      </w:tr>
      <w:tr w:rsidR="00F633EE" w:rsidRPr="00FE6EE5" w14:paraId="662F3C0A" w14:textId="77777777" w:rsidTr="00F54429">
        <w:tc>
          <w:tcPr>
            <w:tcW w:w="0" w:type="pct"/>
            <w:shd w:val="clear" w:color="auto" w:fill="EAF1DD" w:themeFill="accent3" w:themeFillTint="33"/>
          </w:tcPr>
          <w:p w14:paraId="66F566A5" w14:textId="77777777" w:rsidR="00F633EE" w:rsidRPr="00FE6EE5" w:rsidRDefault="00CD6E80" w:rsidP="00CD6E80">
            <w:pPr>
              <w:rPr>
                <w:rFonts w:asciiTheme="minorHAnsi" w:hAnsiTheme="minorHAnsi"/>
              </w:rPr>
            </w:pPr>
            <w:r>
              <w:rPr>
                <w:rFonts w:asciiTheme="minorHAnsi" w:hAnsiTheme="minorHAnsi"/>
              </w:rPr>
              <w:t>6</w:t>
            </w:r>
            <w:r w:rsidR="00F633EE" w:rsidRPr="00FE6EE5">
              <w:rPr>
                <w:rFonts w:asciiTheme="minorHAnsi" w:hAnsiTheme="minorHAnsi"/>
              </w:rPr>
              <w:t>.3 National Product Catalogue with pricing published</w:t>
            </w:r>
          </w:p>
        </w:tc>
        <w:tc>
          <w:tcPr>
            <w:tcW w:w="0" w:type="pct"/>
            <w:shd w:val="clear" w:color="auto" w:fill="00B050"/>
          </w:tcPr>
          <w:p w14:paraId="6F6FC093"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G</w:t>
            </w:r>
          </w:p>
        </w:tc>
        <w:tc>
          <w:tcPr>
            <w:tcW w:w="0" w:type="pct"/>
            <w:shd w:val="clear" w:color="auto" w:fill="EAF1DD" w:themeFill="accent3" w:themeFillTint="33"/>
          </w:tcPr>
          <w:p w14:paraId="2D3BB22D" w14:textId="77777777" w:rsidR="00F633EE" w:rsidRPr="00FE6EE5" w:rsidRDefault="00F633EE" w:rsidP="00547878">
            <w:pPr>
              <w:rPr>
                <w:rFonts w:asciiTheme="minorHAnsi" w:hAnsiTheme="minorHAnsi" w:cstheme="minorHAnsi"/>
              </w:rPr>
            </w:pPr>
            <w:r w:rsidRPr="00FE6EE5">
              <w:rPr>
                <w:rFonts w:asciiTheme="minorHAnsi" w:hAnsiTheme="minorHAnsi"/>
                <w:b/>
                <w:color w:val="00B050"/>
              </w:rPr>
              <w:t>COMPLETE</w:t>
            </w:r>
            <w:r w:rsidRPr="00FE6EE5">
              <w:rPr>
                <w:rFonts w:asciiTheme="minorHAnsi" w:hAnsiTheme="minorHAnsi"/>
                <w:b/>
              </w:rPr>
              <w:t xml:space="preserve"> –</w:t>
            </w:r>
            <w:r w:rsidRPr="00FE6EE5">
              <w:rPr>
                <w:rFonts w:asciiTheme="minorHAnsi" w:hAnsiTheme="minorHAnsi"/>
              </w:rPr>
              <w:t xml:space="preserve"> The </w:t>
            </w:r>
            <w:hyperlink r:id="rId34" w:history="1">
              <w:r w:rsidRPr="00FE6EE5">
                <w:rPr>
                  <w:rStyle w:val="Hyperlink"/>
                  <w:rFonts w:asciiTheme="minorHAnsi" w:hAnsiTheme="minorHAnsi"/>
                </w:rPr>
                <w:t>National Product Price List</w:t>
              </w:r>
            </w:hyperlink>
            <w:r w:rsidRPr="00FE6EE5">
              <w:rPr>
                <w:rFonts w:asciiTheme="minorHAnsi" w:hAnsiTheme="minorHAnsi"/>
              </w:rPr>
              <w:t xml:space="preserve"> is available on the NBA website</w:t>
            </w:r>
            <w:r w:rsidR="00BB7232">
              <w:rPr>
                <w:rFonts w:asciiTheme="minorHAnsi" w:hAnsiTheme="minorHAnsi"/>
              </w:rPr>
              <w:t xml:space="preserve"> for the current year and in the NBA Annual Reports for prior years</w:t>
            </w:r>
            <w:r w:rsidRPr="00FE6EE5">
              <w:rPr>
                <w:rFonts w:asciiTheme="minorHAnsi" w:hAnsiTheme="minorHAnsi"/>
              </w:rPr>
              <w:t xml:space="preserve">. </w:t>
            </w:r>
          </w:p>
        </w:tc>
      </w:tr>
      <w:tr w:rsidR="00F633EE" w:rsidRPr="00FE6EE5" w14:paraId="4F05ABC7" w14:textId="77777777" w:rsidTr="00F54429">
        <w:tc>
          <w:tcPr>
            <w:tcW w:w="0" w:type="pct"/>
            <w:shd w:val="clear" w:color="auto" w:fill="EAF1DD" w:themeFill="accent3" w:themeFillTint="33"/>
          </w:tcPr>
          <w:p w14:paraId="3D1F47B7" w14:textId="77777777" w:rsidR="00F633EE" w:rsidRPr="00FE6EE5" w:rsidRDefault="00CD6E80" w:rsidP="00CD6E80">
            <w:pPr>
              <w:rPr>
                <w:rFonts w:asciiTheme="minorHAnsi" w:hAnsiTheme="minorHAnsi"/>
              </w:rPr>
            </w:pPr>
            <w:r>
              <w:rPr>
                <w:rFonts w:asciiTheme="minorHAnsi" w:hAnsiTheme="minorHAnsi"/>
              </w:rPr>
              <w:t>6</w:t>
            </w:r>
            <w:r w:rsidR="00F633EE" w:rsidRPr="00FE6EE5">
              <w:rPr>
                <w:rFonts w:asciiTheme="minorHAnsi" w:hAnsiTheme="minorHAnsi"/>
              </w:rPr>
              <w:t xml:space="preserve">.4 Price labels on domestic and imported immunoglobulin products by January 2017 </w:t>
            </w:r>
          </w:p>
        </w:tc>
        <w:tc>
          <w:tcPr>
            <w:tcW w:w="0" w:type="pct"/>
            <w:shd w:val="clear" w:color="auto" w:fill="00B050"/>
          </w:tcPr>
          <w:p w14:paraId="740F0986" w14:textId="77777777" w:rsidR="00F633EE" w:rsidRPr="00FE6EE5" w:rsidRDefault="00BB7232" w:rsidP="00547878">
            <w:pPr>
              <w:jc w:val="center"/>
              <w:rPr>
                <w:rFonts w:asciiTheme="minorHAnsi" w:hAnsiTheme="minorHAnsi" w:cstheme="minorHAnsi"/>
              </w:rPr>
            </w:pPr>
            <w:r>
              <w:rPr>
                <w:rFonts w:asciiTheme="minorHAnsi" w:hAnsiTheme="minorHAnsi" w:cstheme="minorHAnsi"/>
              </w:rPr>
              <w:t>G</w:t>
            </w:r>
          </w:p>
        </w:tc>
        <w:tc>
          <w:tcPr>
            <w:tcW w:w="0" w:type="pct"/>
            <w:shd w:val="clear" w:color="auto" w:fill="EAF1DD" w:themeFill="accent3" w:themeFillTint="33"/>
          </w:tcPr>
          <w:p w14:paraId="7FED55E8" w14:textId="77777777" w:rsidR="00F633EE" w:rsidRPr="00FE6EE5" w:rsidRDefault="00BB7232" w:rsidP="00547878">
            <w:pPr>
              <w:rPr>
                <w:rFonts w:asciiTheme="minorHAnsi" w:hAnsiTheme="minorHAnsi"/>
              </w:rPr>
            </w:pPr>
            <w:r w:rsidRPr="00FE6EE5">
              <w:rPr>
                <w:rFonts w:asciiTheme="minorHAnsi" w:hAnsiTheme="minorHAnsi"/>
                <w:b/>
                <w:color w:val="00B050"/>
              </w:rPr>
              <w:t>COMPLETE</w:t>
            </w:r>
            <w:r w:rsidR="00F633EE" w:rsidRPr="00FE6EE5">
              <w:rPr>
                <w:rFonts w:asciiTheme="minorHAnsi" w:hAnsiTheme="minorHAnsi"/>
              </w:rPr>
              <w:t xml:space="preserve"> – immunoglobulin suppliers are well advanced with this activity</w:t>
            </w:r>
          </w:p>
        </w:tc>
      </w:tr>
      <w:tr w:rsidR="00432D62" w:rsidRPr="00FE6EE5" w14:paraId="27184822" w14:textId="77777777" w:rsidTr="00432D62">
        <w:tc>
          <w:tcPr>
            <w:tcW w:w="5000" w:type="pct"/>
            <w:gridSpan w:val="3"/>
            <w:shd w:val="clear" w:color="auto" w:fill="C2D69B" w:themeFill="accent3" w:themeFillTint="99"/>
          </w:tcPr>
          <w:p w14:paraId="031711F3" w14:textId="4F8ABD08" w:rsidR="00432D62" w:rsidRPr="00432D62" w:rsidRDefault="00432D62" w:rsidP="00432D62">
            <w:pPr>
              <w:pStyle w:val="ListParagraph"/>
              <w:numPr>
                <w:ilvl w:val="0"/>
                <w:numId w:val="7"/>
              </w:numPr>
              <w:spacing w:after="0"/>
              <w:ind w:left="426" w:hanging="426"/>
              <w:rPr>
                <w:rFonts w:asciiTheme="minorHAnsi" w:hAnsiTheme="minorHAnsi"/>
                <w:b/>
              </w:rPr>
            </w:pPr>
            <w:r w:rsidRPr="00FE6EE5">
              <w:rPr>
                <w:rFonts w:asciiTheme="minorHAnsi" w:hAnsiTheme="minorHAnsi"/>
                <w:b/>
              </w:rPr>
              <w:t>Enhanced Collaboration</w:t>
            </w:r>
          </w:p>
        </w:tc>
      </w:tr>
      <w:tr w:rsidR="00F633EE" w:rsidRPr="00FE6EE5" w14:paraId="7B40261E" w14:textId="77777777" w:rsidTr="00F54429">
        <w:tc>
          <w:tcPr>
            <w:tcW w:w="0" w:type="pct"/>
            <w:shd w:val="clear" w:color="auto" w:fill="EAF1DD" w:themeFill="accent3" w:themeFillTint="33"/>
          </w:tcPr>
          <w:p w14:paraId="69940450" w14:textId="77777777" w:rsidR="00F633EE" w:rsidRPr="00FE6EE5" w:rsidRDefault="00CD6E80" w:rsidP="00CD6E80">
            <w:pPr>
              <w:rPr>
                <w:rFonts w:asciiTheme="minorHAnsi" w:hAnsiTheme="minorHAnsi"/>
              </w:rPr>
            </w:pPr>
            <w:r>
              <w:rPr>
                <w:rFonts w:asciiTheme="minorHAnsi" w:hAnsiTheme="minorHAnsi"/>
              </w:rPr>
              <w:t>7</w:t>
            </w:r>
            <w:r w:rsidR="00F633EE" w:rsidRPr="00FE6EE5">
              <w:rPr>
                <w:rFonts w:asciiTheme="minorHAnsi" w:hAnsiTheme="minorHAnsi"/>
              </w:rPr>
              <w:t>.1 Private sector engagement, including annual forums</w:t>
            </w:r>
          </w:p>
        </w:tc>
        <w:tc>
          <w:tcPr>
            <w:tcW w:w="0" w:type="pct"/>
            <w:shd w:val="clear" w:color="auto" w:fill="F79646" w:themeFill="accent6"/>
          </w:tcPr>
          <w:p w14:paraId="6E76583C" w14:textId="77777777" w:rsidR="00F633EE" w:rsidRPr="00FE6EE5" w:rsidRDefault="00BB7232" w:rsidP="00547878">
            <w:pPr>
              <w:jc w:val="center"/>
              <w:rPr>
                <w:rFonts w:asciiTheme="minorHAnsi" w:hAnsiTheme="minorHAnsi" w:cstheme="minorHAnsi"/>
              </w:rPr>
            </w:pPr>
            <w:r>
              <w:rPr>
                <w:rFonts w:asciiTheme="minorHAnsi" w:hAnsiTheme="minorHAnsi" w:cstheme="minorHAnsi"/>
              </w:rPr>
              <w:t>A</w:t>
            </w:r>
          </w:p>
        </w:tc>
        <w:tc>
          <w:tcPr>
            <w:tcW w:w="0" w:type="pct"/>
            <w:shd w:val="clear" w:color="auto" w:fill="EAF1DD" w:themeFill="accent3" w:themeFillTint="33"/>
          </w:tcPr>
          <w:p w14:paraId="4D23FA92" w14:textId="77777777" w:rsidR="00F633EE" w:rsidRPr="00FE6EE5" w:rsidRDefault="00BB7232" w:rsidP="00547878">
            <w:pPr>
              <w:spacing w:after="120"/>
              <w:contextualSpacing w:val="0"/>
              <w:rPr>
                <w:rFonts w:asciiTheme="minorHAnsi" w:hAnsiTheme="minorHAnsi" w:cstheme="minorHAnsi"/>
              </w:rPr>
            </w:pPr>
            <w:r w:rsidRPr="00FE6EE5">
              <w:rPr>
                <w:rFonts w:asciiTheme="minorHAnsi" w:hAnsiTheme="minorHAnsi" w:cstheme="minorHAnsi"/>
                <w:b/>
                <w:color w:val="E36C0A" w:themeColor="accent6" w:themeShade="BF"/>
              </w:rPr>
              <w:t>IN PROGRESS</w:t>
            </w:r>
            <w:r w:rsidR="00F633EE" w:rsidRPr="00FE6EE5">
              <w:rPr>
                <w:rFonts w:asciiTheme="minorHAnsi" w:hAnsiTheme="minorHAnsi" w:cstheme="minorHAnsi"/>
              </w:rPr>
              <w:t xml:space="preserve"> – The inaugural Australian Private Health Sector Blood Forum was held in 2013 along with </w:t>
            </w:r>
            <w:proofErr w:type="gramStart"/>
            <w:r w:rsidR="00F633EE" w:rsidRPr="00FE6EE5">
              <w:rPr>
                <w:rFonts w:asciiTheme="minorHAnsi" w:hAnsiTheme="minorHAnsi" w:cstheme="minorHAnsi"/>
              </w:rPr>
              <w:t>a number of</w:t>
            </w:r>
            <w:proofErr w:type="gramEnd"/>
            <w:r w:rsidR="00F633EE" w:rsidRPr="00FE6EE5">
              <w:rPr>
                <w:rFonts w:asciiTheme="minorHAnsi" w:hAnsiTheme="minorHAnsi" w:cstheme="minorHAnsi"/>
              </w:rPr>
              <w:t xml:space="preserve"> one-on-one meetings with individual private sector CEOs. </w:t>
            </w:r>
          </w:p>
          <w:p w14:paraId="785087C8" w14:textId="77777777" w:rsidR="00BB7232" w:rsidRDefault="00F633EE" w:rsidP="00BB7232">
            <w:pPr>
              <w:spacing w:after="120"/>
              <w:contextualSpacing w:val="0"/>
              <w:rPr>
                <w:rFonts w:asciiTheme="minorHAnsi" w:hAnsiTheme="minorHAnsi" w:cstheme="minorHAnsi"/>
              </w:rPr>
            </w:pPr>
            <w:r w:rsidRPr="00FE6EE5">
              <w:rPr>
                <w:rFonts w:asciiTheme="minorHAnsi" w:hAnsiTheme="minorHAnsi" w:cstheme="minorHAnsi"/>
              </w:rPr>
              <w:t>Ongoing engagement in conjunction with jurisdictions will continues with individual CEO letters addressing benchmarked wastage rates and outlining tools and assistance to manage inventory and wastage, invitations to the Victorian and Tasmanian Wastage Summits (including opportunities to present), NBA attendance at the Australian Private Hospital Association’s Annual Congresses and Better Practice Case Studies at private facilities. The private sector is being included with the public sector in all events</w:t>
            </w:r>
            <w:r w:rsidR="00BB7232">
              <w:rPr>
                <w:rFonts w:asciiTheme="minorHAnsi" w:hAnsiTheme="minorHAnsi" w:cstheme="minorHAnsi"/>
              </w:rPr>
              <w:t>.</w:t>
            </w:r>
          </w:p>
          <w:p w14:paraId="4475EE34" w14:textId="77777777" w:rsidR="00F633EE" w:rsidRPr="00FE6EE5" w:rsidRDefault="00BB7232" w:rsidP="00BB7232">
            <w:pPr>
              <w:spacing w:after="120"/>
              <w:contextualSpacing w:val="0"/>
              <w:rPr>
                <w:rFonts w:asciiTheme="minorHAnsi" w:hAnsiTheme="minorHAnsi" w:cstheme="minorHAnsi"/>
              </w:rPr>
            </w:pPr>
            <w:r>
              <w:rPr>
                <w:rFonts w:asciiTheme="minorHAnsi" w:hAnsiTheme="minorHAnsi" w:cstheme="minorHAnsi"/>
              </w:rPr>
              <w:lastRenderedPageBreak/>
              <w:t>Further work needs to be done in this area.</w:t>
            </w:r>
            <w:r w:rsidR="00F633EE" w:rsidRPr="00FE6EE5">
              <w:rPr>
                <w:rFonts w:asciiTheme="minorHAnsi" w:hAnsiTheme="minorHAnsi" w:cstheme="minorHAnsi"/>
              </w:rPr>
              <w:t xml:space="preserve"> </w:t>
            </w:r>
          </w:p>
        </w:tc>
      </w:tr>
      <w:tr w:rsidR="00F633EE" w:rsidRPr="00FE6EE5" w14:paraId="5045C416" w14:textId="77777777" w:rsidTr="00F54429">
        <w:tc>
          <w:tcPr>
            <w:tcW w:w="0" w:type="pct"/>
            <w:shd w:val="clear" w:color="auto" w:fill="EAF1DD" w:themeFill="accent3" w:themeFillTint="33"/>
          </w:tcPr>
          <w:p w14:paraId="670335F2" w14:textId="77777777" w:rsidR="00F633EE" w:rsidRPr="00FE6EE5" w:rsidRDefault="00CD6E80" w:rsidP="00CD6E80">
            <w:pPr>
              <w:rPr>
                <w:rFonts w:asciiTheme="minorHAnsi" w:hAnsiTheme="minorHAnsi"/>
              </w:rPr>
            </w:pPr>
            <w:r>
              <w:rPr>
                <w:rFonts w:asciiTheme="minorHAnsi" w:hAnsiTheme="minorHAnsi"/>
              </w:rPr>
              <w:t>7</w:t>
            </w:r>
            <w:r w:rsidR="00F633EE" w:rsidRPr="00FE6EE5">
              <w:rPr>
                <w:rFonts w:asciiTheme="minorHAnsi" w:hAnsiTheme="minorHAnsi"/>
              </w:rPr>
              <w:t>.2 Development of champion networks</w:t>
            </w:r>
          </w:p>
        </w:tc>
        <w:tc>
          <w:tcPr>
            <w:tcW w:w="0" w:type="pct"/>
            <w:shd w:val="clear" w:color="auto" w:fill="F79646" w:themeFill="accent6"/>
          </w:tcPr>
          <w:p w14:paraId="0139783C" w14:textId="77777777" w:rsidR="00F633EE" w:rsidRPr="00FE6EE5" w:rsidRDefault="00BB7232" w:rsidP="00BB7232">
            <w:pPr>
              <w:jc w:val="center"/>
              <w:rPr>
                <w:rFonts w:asciiTheme="minorHAnsi" w:hAnsiTheme="minorHAnsi" w:cstheme="minorHAnsi"/>
              </w:rPr>
            </w:pPr>
            <w:r>
              <w:rPr>
                <w:rFonts w:asciiTheme="minorHAnsi" w:hAnsiTheme="minorHAnsi" w:cstheme="minorHAnsi"/>
              </w:rPr>
              <w:t>A</w:t>
            </w:r>
          </w:p>
        </w:tc>
        <w:tc>
          <w:tcPr>
            <w:tcW w:w="0" w:type="pct"/>
            <w:shd w:val="clear" w:color="auto" w:fill="EAF1DD" w:themeFill="accent3" w:themeFillTint="33"/>
          </w:tcPr>
          <w:p w14:paraId="14C637D1" w14:textId="77777777" w:rsidR="00F633EE" w:rsidRPr="00FE6EE5" w:rsidRDefault="00BB7232" w:rsidP="00547878">
            <w:pPr>
              <w:spacing w:after="120"/>
              <w:contextualSpacing w:val="0"/>
              <w:rPr>
                <w:rFonts w:asciiTheme="minorHAnsi" w:hAnsiTheme="minorHAnsi" w:cstheme="minorHAnsi"/>
              </w:rPr>
            </w:pPr>
            <w:r w:rsidRPr="00FE6EE5">
              <w:rPr>
                <w:rFonts w:asciiTheme="minorHAnsi" w:hAnsiTheme="minorHAnsi" w:cstheme="minorHAnsi"/>
                <w:b/>
                <w:color w:val="E36C0A" w:themeColor="accent6" w:themeShade="BF"/>
              </w:rPr>
              <w:t>IN PROGRESS</w:t>
            </w:r>
            <w:r w:rsidR="00F633EE" w:rsidRPr="00FE6EE5">
              <w:rPr>
                <w:rFonts w:asciiTheme="minorHAnsi" w:hAnsiTheme="minorHAnsi" w:cstheme="minorHAnsi"/>
              </w:rPr>
              <w:t xml:space="preserve"> – The development of champion networks is ongoing, with the NBA actively supporting a range of transfusion nurses and scientists in relation to reducing wastage. The </w:t>
            </w:r>
            <w:hyperlink r:id="rId35" w:history="1">
              <w:r w:rsidR="00F633EE" w:rsidRPr="00FE6EE5">
                <w:rPr>
                  <w:rStyle w:val="Hyperlink"/>
                  <w:rFonts w:asciiTheme="minorHAnsi" w:hAnsiTheme="minorHAnsi" w:cstheme="minorHAnsi"/>
                </w:rPr>
                <w:t>National Blood Symposiums</w:t>
              </w:r>
            </w:hyperlink>
            <w:r w:rsidR="00F633EE" w:rsidRPr="00FE6EE5">
              <w:rPr>
                <w:rFonts w:asciiTheme="minorHAnsi" w:hAnsiTheme="minorHAnsi" w:cstheme="minorHAnsi"/>
                <w:i/>
              </w:rPr>
              <w:t xml:space="preserve"> </w:t>
            </w:r>
            <w:r w:rsidR="00F633EE" w:rsidRPr="00FE6EE5">
              <w:rPr>
                <w:rFonts w:asciiTheme="minorHAnsi" w:hAnsiTheme="minorHAnsi" w:cstheme="minorHAnsi"/>
              </w:rPr>
              <w:t xml:space="preserve">held in 2013 and 2015 supported the existing champions and provided further networking opportunities to enhance collaboration. </w:t>
            </w:r>
          </w:p>
          <w:p w14:paraId="1358123D"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cstheme="minorHAnsi"/>
              </w:rPr>
              <w:t>The NBA supports local champions to attend and present at relevant conferences and workshops national.</w:t>
            </w:r>
          </w:p>
          <w:p w14:paraId="34C06DD0"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cstheme="minorHAnsi"/>
              </w:rPr>
              <w:t xml:space="preserve">Four Victorian Wastage Summits have been held with representatives from both the public and private sector invited to attend to present and discuss collaborative plans to reduce wastage across the jurisdiction. This is a joint Summit between </w:t>
            </w:r>
            <w:proofErr w:type="spellStart"/>
            <w:r w:rsidRPr="00FE6EE5">
              <w:rPr>
                <w:rFonts w:asciiTheme="minorHAnsi" w:hAnsiTheme="minorHAnsi" w:cstheme="minorHAnsi"/>
              </w:rPr>
              <w:t>BloodMatters</w:t>
            </w:r>
            <w:proofErr w:type="spellEnd"/>
            <w:r w:rsidRPr="00FE6EE5">
              <w:rPr>
                <w:rFonts w:asciiTheme="minorHAnsi" w:hAnsiTheme="minorHAnsi" w:cstheme="minorHAnsi"/>
              </w:rPr>
              <w:t xml:space="preserve"> and Victorian Department of Health.</w:t>
            </w:r>
          </w:p>
          <w:p w14:paraId="554196DF"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cstheme="minorHAnsi"/>
              </w:rPr>
              <w:t>A Wastage Summit was also held in Tasmania to support their collaborative approach to inventory management</w:t>
            </w:r>
          </w:p>
        </w:tc>
      </w:tr>
      <w:tr w:rsidR="00F633EE" w:rsidRPr="00FE6EE5" w14:paraId="1EA5D22A" w14:textId="77777777" w:rsidTr="00F54429">
        <w:tc>
          <w:tcPr>
            <w:tcW w:w="0" w:type="pct"/>
            <w:shd w:val="clear" w:color="auto" w:fill="EAF1DD" w:themeFill="accent3" w:themeFillTint="33"/>
          </w:tcPr>
          <w:p w14:paraId="1F8064B3" w14:textId="77777777" w:rsidR="00F633EE" w:rsidRPr="00FE6EE5" w:rsidRDefault="00CD6E80" w:rsidP="00CD6E80">
            <w:pPr>
              <w:rPr>
                <w:rFonts w:asciiTheme="minorHAnsi" w:hAnsiTheme="minorHAnsi"/>
              </w:rPr>
            </w:pPr>
            <w:r>
              <w:rPr>
                <w:rFonts w:asciiTheme="minorHAnsi" w:hAnsiTheme="minorHAnsi"/>
              </w:rPr>
              <w:t>7</w:t>
            </w:r>
            <w:r w:rsidR="00F633EE" w:rsidRPr="00FE6EE5">
              <w:rPr>
                <w:rFonts w:asciiTheme="minorHAnsi" w:hAnsiTheme="minorHAnsi"/>
              </w:rPr>
              <w:t>.3 Biannual national awards program</w:t>
            </w:r>
          </w:p>
        </w:tc>
        <w:tc>
          <w:tcPr>
            <w:tcW w:w="0" w:type="pct"/>
            <w:shd w:val="clear" w:color="auto" w:fill="F79646" w:themeFill="accent6"/>
          </w:tcPr>
          <w:p w14:paraId="1BA3DF4D" w14:textId="77777777" w:rsidR="00F633EE" w:rsidRPr="00FE6EE5" w:rsidRDefault="00BB7232" w:rsidP="00547878">
            <w:pPr>
              <w:jc w:val="center"/>
              <w:rPr>
                <w:rFonts w:asciiTheme="minorHAnsi" w:hAnsiTheme="minorHAnsi" w:cstheme="minorHAnsi"/>
              </w:rPr>
            </w:pPr>
            <w:r>
              <w:rPr>
                <w:rFonts w:asciiTheme="minorHAnsi" w:hAnsiTheme="minorHAnsi" w:cstheme="minorHAnsi"/>
              </w:rPr>
              <w:t>A</w:t>
            </w:r>
          </w:p>
        </w:tc>
        <w:tc>
          <w:tcPr>
            <w:tcW w:w="0" w:type="pct"/>
            <w:shd w:val="clear" w:color="auto" w:fill="EAF1DD" w:themeFill="accent3" w:themeFillTint="33"/>
          </w:tcPr>
          <w:p w14:paraId="78BA5041" w14:textId="77777777" w:rsidR="00F633EE" w:rsidRPr="00FE6EE5" w:rsidRDefault="00BB7232" w:rsidP="00547878">
            <w:pPr>
              <w:rPr>
                <w:rFonts w:asciiTheme="minorHAnsi" w:hAnsiTheme="minorHAnsi" w:cstheme="minorHAnsi"/>
              </w:rPr>
            </w:pPr>
            <w:r w:rsidRPr="00FE6EE5">
              <w:rPr>
                <w:rFonts w:asciiTheme="minorHAnsi" w:hAnsiTheme="minorHAnsi" w:cstheme="minorHAnsi"/>
                <w:b/>
                <w:color w:val="E36C0A" w:themeColor="accent6" w:themeShade="BF"/>
              </w:rPr>
              <w:t>IN PROGRESS</w:t>
            </w:r>
            <w:r w:rsidR="00F633EE" w:rsidRPr="00FE6EE5">
              <w:rPr>
                <w:rFonts w:asciiTheme="minorHAnsi" w:hAnsiTheme="minorHAnsi" w:cstheme="minorHAnsi"/>
              </w:rPr>
              <w:t xml:space="preserve"> – An awards program commenced at the 2015 National Blood Symposium in Brisbane and another award has been presented since.</w:t>
            </w:r>
          </w:p>
        </w:tc>
      </w:tr>
      <w:tr w:rsidR="00F633EE" w:rsidRPr="00FE6EE5" w14:paraId="19DD8902" w14:textId="77777777" w:rsidTr="00F54429">
        <w:tc>
          <w:tcPr>
            <w:tcW w:w="0" w:type="pct"/>
            <w:shd w:val="clear" w:color="auto" w:fill="EAF1DD" w:themeFill="accent3" w:themeFillTint="33"/>
          </w:tcPr>
          <w:p w14:paraId="5A7C552C" w14:textId="77777777" w:rsidR="00F633EE" w:rsidRPr="00FE6EE5" w:rsidRDefault="00CD6E80" w:rsidP="00CD6E80">
            <w:pPr>
              <w:rPr>
                <w:rFonts w:asciiTheme="minorHAnsi" w:hAnsiTheme="minorHAnsi"/>
              </w:rPr>
            </w:pPr>
            <w:r>
              <w:rPr>
                <w:rFonts w:asciiTheme="minorHAnsi" w:hAnsiTheme="minorHAnsi"/>
              </w:rPr>
              <w:t>7</w:t>
            </w:r>
            <w:r w:rsidR="00F633EE" w:rsidRPr="00FE6EE5">
              <w:rPr>
                <w:rFonts w:asciiTheme="minorHAnsi" w:hAnsiTheme="minorHAnsi"/>
              </w:rPr>
              <w:t>.4 Rural and remote collaboration</w:t>
            </w:r>
          </w:p>
        </w:tc>
        <w:tc>
          <w:tcPr>
            <w:tcW w:w="0" w:type="pct"/>
            <w:shd w:val="clear" w:color="auto" w:fill="F79646" w:themeFill="accent6"/>
          </w:tcPr>
          <w:p w14:paraId="6EDC5080" w14:textId="77777777" w:rsidR="00F633EE" w:rsidRPr="00FE6EE5" w:rsidRDefault="00BB7232" w:rsidP="00547878">
            <w:pPr>
              <w:jc w:val="center"/>
              <w:rPr>
                <w:rFonts w:asciiTheme="minorHAnsi" w:hAnsiTheme="minorHAnsi" w:cstheme="minorHAnsi"/>
              </w:rPr>
            </w:pPr>
            <w:r>
              <w:rPr>
                <w:rFonts w:asciiTheme="minorHAnsi" w:hAnsiTheme="minorHAnsi" w:cstheme="minorHAnsi"/>
              </w:rPr>
              <w:t>A</w:t>
            </w:r>
          </w:p>
        </w:tc>
        <w:tc>
          <w:tcPr>
            <w:tcW w:w="0" w:type="pct"/>
            <w:shd w:val="clear" w:color="auto" w:fill="EAF1DD" w:themeFill="accent3" w:themeFillTint="33"/>
          </w:tcPr>
          <w:p w14:paraId="15091E56" w14:textId="77777777" w:rsidR="00F633EE" w:rsidRPr="00FE6EE5" w:rsidRDefault="00BB7232" w:rsidP="00547878">
            <w:pPr>
              <w:rPr>
                <w:rFonts w:asciiTheme="minorHAnsi" w:hAnsiTheme="minorHAnsi" w:cstheme="minorHAnsi"/>
                <w:b/>
                <w:color w:val="E36C0A" w:themeColor="accent6" w:themeShade="BF"/>
              </w:rPr>
            </w:pPr>
            <w:r w:rsidRPr="00FE6EE5">
              <w:rPr>
                <w:rFonts w:asciiTheme="minorHAnsi" w:hAnsiTheme="minorHAnsi" w:cstheme="minorHAnsi"/>
                <w:b/>
                <w:color w:val="E36C0A" w:themeColor="accent6" w:themeShade="BF"/>
              </w:rPr>
              <w:t>IN PROGRESS</w:t>
            </w:r>
            <w:r w:rsidR="00F633EE" w:rsidRPr="00FE6EE5">
              <w:rPr>
                <w:rFonts w:asciiTheme="minorHAnsi" w:hAnsiTheme="minorHAnsi" w:cstheme="minorHAnsi"/>
              </w:rPr>
              <w:t xml:space="preserve"> – The NBA is providing sponsorship and workshop speakers at the Rural Medicine Conference in 2014 and 2015. The NBA also provided sponsorship to the Rural Matters Acute Care conference in regional Victoria.</w:t>
            </w:r>
          </w:p>
        </w:tc>
      </w:tr>
      <w:tr w:rsidR="00F633EE" w:rsidRPr="00FE6EE5" w14:paraId="4D5F216E" w14:textId="77777777" w:rsidTr="00F54429">
        <w:tc>
          <w:tcPr>
            <w:tcW w:w="0" w:type="pct"/>
            <w:shd w:val="clear" w:color="auto" w:fill="EAF1DD" w:themeFill="accent3" w:themeFillTint="33"/>
          </w:tcPr>
          <w:p w14:paraId="62DDDB4E" w14:textId="77777777" w:rsidR="00F633EE" w:rsidRPr="00FE6EE5" w:rsidRDefault="00CD6E80" w:rsidP="00CD6E80">
            <w:pPr>
              <w:rPr>
                <w:rFonts w:asciiTheme="minorHAnsi" w:hAnsiTheme="minorHAnsi"/>
              </w:rPr>
            </w:pPr>
            <w:r>
              <w:rPr>
                <w:rFonts w:asciiTheme="minorHAnsi" w:hAnsiTheme="minorHAnsi"/>
              </w:rPr>
              <w:t>7</w:t>
            </w:r>
            <w:r w:rsidR="00F633EE" w:rsidRPr="00FE6EE5">
              <w:rPr>
                <w:rFonts w:asciiTheme="minorHAnsi" w:hAnsiTheme="minorHAnsi"/>
              </w:rPr>
              <w:t>.5 Australasian Conference</w:t>
            </w:r>
          </w:p>
        </w:tc>
        <w:tc>
          <w:tcPr>
            <w:tcW w:w="0" w:type="pct"/>
            <w:shd w:val="clear" w:color="auto" w:fill="F79646" w:themeFill="accent6"/>
          </w:tcPr>
          <w:p w14:paraId="74332769" w14:textId="77777777" w:rsidR="00F633EE" w:rsidRPr="00FE6EE5" w:rsidRDefault="00BB7232" w:rsidP="00547878">
            <w:pPr>
              <w:jc w:val="center"/>
              <w:rPr>
                <w:rFonts w:asciiTheme="minorHAnsi" w:hAnsiTheme="minorHAnsi" w:cstheme="minorHAnsi"/>
              </w:rPr>
            </w:pPr>
            <w:r>
              <w:rPr>
                <w:rFonts w:asciiTheme="minorHAnsi" w:hAnsiTheme="minorHAnsi" w:cstheme="minorHAnsi"/>
              </w:rPr>
              <w:t>A</w:t>
            </w:r>
          </w:p>
        </w:tc>
        <w:tc>
          <w:tcPr>
            <w:tcW w:w="0" w:type="pct"/>
            <w:shd w:val="clear" w:color="auto" w:fill="EAF1DD" w:themeFill="accent3" w:themeFillTint="33"/>
          </w:tcPr>
          <w:p w14:paraId="697BCC72" w14:textId="77777777" w:rsidR="00F633EE" w:rsidRPr="00FE6EE5" w:rsidRDefault="00BB7232" w:rsidP="00547878">
            <w:pPr>
              <w:spacing w:after="120"/>
              <w:contextualSpacing w:val="0"/>
              <w:rPr>
                <w:rFonts w:asciiTheme="minorHAnsi" w:hAnsiTheme="minorHAnsi"/>
                <w:b/>
                <w:color w:val="00B050"/>
              </w:rPr>
            </w:pPr>
            <w:r w:rsidRPr="00FE6EE5">
              <w:rPr>
                <w:rFonts w:asciiTheme="minorHAnsi" w:hAnsiTheme="minorHAnsi" w:cstheme="minorHAnsi"/>
                <w:b/>
                <w:color w:val="E36C0A" w:themeColor="accent6" w:themeShade="BF"/>
              </w:rPr>
              <w:t>IN PROGRESS</w:t>
            </w:r>
            <w:r w:rsidR="00F633EE" w:rsidRPr="00FE6EE5">
              <w:rPr>
                <w:rFonts w:asciiTheme="minorHAnsi" w:hAnsiTheme="minorHAnsi" w:cstheme="minorHAnsi"/>
              </w:rPr>
              <w:t xml:space="preserve"> – The NBA has organised and financially supported four National Blood Symposiums across the country as a joint initiative with the Australian Commission on Safety and Quality in Health Care (ACSQHC) with local support from NSW Clinical Excellence Commission and South Australian and Victorian health departments in 2013 and Queensland Health in 2015. </w:t>
            </w:r>
          </w:p>
        </w:tc>
      </w:tr>
      <w:tr w:rsidR="00432D62" w:rsidRPr="00FE6EE5" w14:paraId="530CAAFC" w14:textId="77777777" w:rsidTr="00432D62">
        <w:tc>
          <w:tcPr>
            <w:tcW w:w="5000" w:type="pct"/>
            <w:gridSpan w:val="3"/>
            <w:shd w:val="clear" w:color="auto" w:fill="C2D69B" w:themeFill="accent3" w:themeFillTint="99"/>
          </w:tcPr>
          <w:p w14:paraId="3CA2F7E4" w14:textId="65847BD5" w:rsidR="00432D62" w:rsidRPr="00432D62" w:rsidRDefault="00432D62" w:rsidP="00432D62">
            <w:pPr>
              <w:pStyle w:val="ListParagraph"/>
              <w:numPr>
                <w:ilvl w:val="0"/>
                <w:numId w:val="7"/>
              </w:numPr>
              <w:spacing w:after="0"/>
              <w:ind w:left="426" w:hanging="426"/>
              <w:rPr>
                <w:rFonts w:asciiTheme="minorHAnsi" w:hAnsiTheme="minorHAnsi"/>
                <w:b/>
              </w:rPr>
            </w:pPr>
            <w:r w:rsidRPr="00FE6EE5">
              <w:rPr>
                <w:rFonts w:asciiTheme="minorHAnsi" w:hAnsiTheme="minorHAnsi"/>
                <w:b/>
              </w:rPr>
              <w:t>Addressing Systemic Issues</w:t>
            </w:r>
          </w:p>
        </w:tc>
      </w:tr>
      <w:tr w:rsidR="00F633EE" w:rsidRPr="00FE6EE5" w14:paraId="49448550" w14:textId="77777777" w:rsidTr="00F54429">
        <w:tc>
          <w:tcPr>
            <w:tcW w:w="0" w:type="pct"/>
            <w:shd w:val="clear" w:color="auto" w:fill="EAF1DD" w:themeFill="accent3" w:themeFillTint="33"/>
          </w:tcPr>
          <w:p w14:paraId="2808787D" w14:textId="77777777" w:rsidR="00F633EE" w:rsidRPr="00FE6EE5" w:rsidRDefault="00CD6E80" w:rsidP="00547878">
            <w:pPr>
              <w:rPr>
                <w:rFonts w:asciiTheme="minorHAnsi" w:hAnsiTheme="minorHAnsi"/>
              </w:rPr>
            </w:pPr>
            <w:r>
              <w:rPr>
                <w:rFonts w:asciiTheme="minorHAnsi" w:hAnsiTheme="minorHAnsi"/>
              </w:rPr>
              <w:t>8</w:t>
            </w:r>
            <w:r w:rsidR="00F633EE" w:rsidRPr="00FE6EE5">
              <w:rPr>
                <w:rFonts w:asciiTheme="minorHAnsi" w:hAnsiTheme="minorHAnsi"/>
              </w:rPr>
              <w:t>.1 Identification of systemic issues</w:t>
            </w:r>
          </w:p>
        </w:tc>
        <w:tc>
          <w:tcPr>
            <w:tcW w:w="0" w:type="pct"/>
            <w:shd w:val="clear" w:color="auto" w:fill="F79646" w:themeFill="accent6"/>
          </w:tcPr>
          <w:p w14:paraId="68031F4F"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A</w:t>
            </w:r>
          </w:p>
        </w:tc>
        <w:tc>
          <w:tcPr>
            <w:tcW w:w="0" w:type="pct"/>
            <w:shd w:val="clear" w:color="auto" w:fill="EAF1DD" w:themeFill="accent3" w:themeFillTint="33"/>
          </w:tcPr>
          <w:p w14:paraId="5AD519FA"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cstheme="minorHAnsi"/>
                <w:b/>
                <w:color w:val="E36C0A" w:themeColor="accent6" w:themeShade="BF"/>
              </w:rPr>
              <w:t>IN PROGRESS</w:t>
            </w:r>
            <w:r w:rsidRPr="00FE6EE5">
              <w:rPr>
                <w:rFonts w:asciiTheme="minorHAnsi" w:hAnsiTheme="minorHAnsi" w:cstheme="minorHAnsi"/>
                <w:color w:val="E36C0A" w:themeColor="accent6" w:themeShade="BF"/>
              </w:rPr>
              <w:t xml:space="preserve"> </w:t>
            </w:r>
            <w:r w:rsidRPr="00FE6EE5">
              <w:rPr>
                <w:rFonts w:asciiTheme="minorHAnsi" w:hAnsiTheme="minorHAnsi" w:cstheme="minorHAnsi"/>
              </w:rPr>
              <w:t xml:space="preserve">– Identification of issues is continuing with issues relating to product transfers and platelets currently being addressed. </w:t>
            </w:r>
          </w:p>
          <w:p w14:paraId="3C526476"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cstheme="minorHAnsi"/>
              </w:rPr>
              <w:t xml:space="preserve">Investigation underway for </w:t>
            </w:r>
            <w:proofErr w:type="gramStart"/>
            <w:r w:rsidRPr="00FE6EE5">
              <w:rPr>
                <w:rFonts w:asciiTheme="minorHAnsi" w:hAnsiTheme="minorHAnsi" w:cstheme="minorHAnsi"/>
              </w:rPr>
              <w:t>a</w:t>
            </w:r>
            <w:proofErr w:type="gramEnd"/>
            <w:r w:rsidRPr="00FE6EE5">
              <w:rPr>
                <w:rFonts w:asciiTheme="minorHAnsi" w:hAnsiTheme="minorHAnsi" w:cstheme="minorHAnsi"/>
              </w:rPr>
              <w:t xml:space="preserve"> MBS item cross-match/group &amp; hold etc. (Fresh team progressing)</w:t>
            </w:r>
          </w:p>
          <w:p w14:paraId="3FE4D823"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cstheme="minorHAnsi"/>
              </w:rPr>
              <w:t xml:space="preserve">A Barcoding policy is under development.  </w:t>
            </w:r>
            <w:r w:rsidRPr="00FE6EE5">
              <w:rPr>
                <w:rFonts w:asciiTheme="minorHAnsi" w:hAnsiTheme="minorHAnsi"/>
              </w:rPr>
              <w:t>Revised timelines will be agreed with the Blood Service in early 2017 for ISBT 128 Linear and 2D barcodes</w:t>
            </w:r>
          </w:p>
        </w:tc>
      </w:tr>
      <w:tr w:rsidR="00F633EE" w:rsidRPr="00FE6EE5" w14:paraId="0922C2BB" w14:textId="77777777" w:rsidTr="00F54429">
        <w:tc>
          <w:tcPr>
            <w:tcW w:w="0" w:type="pct"/>
            <w:shd w:val="clear" w:color="auto" w:fill="EAF1DD" w:themeFill="accent3" w:themeFillTint="33"/>
          </w:tcPr>
          <w:p w14:paraId="64BB3CA8" w14:textId="77777777" w:rsidR="00F633EE" w:rsidRPr="00FE6EE5" w:rsidRDefault="00CD6E80" w:rsidP="00CD6E80">
            <w:pPr>
              <w:rPr>
                <w:rFonts w:asciiTheme="minorHAnsi" w:hAnsiTheme="minorHAnsi"/>
              </w:rPr>
            </w:pPr>
            <w:r>
              <w:rPr>
                <w:rFonts w:asciiTheme="minorHAnsi" w:hAnsiTheme="minorHAnsi"/>
              </w:rPr>
              <w:lastRenderedPageBreak/>
              <w:t>8</w:t>
            </w:r>
            <w:r w:rsidR="00F633EE" w:rsidRPr="00FE6EE5">
              <w:rPr>
                <w:rFonts w:asciiTheme="minorHAnsi" w:hAnsiTheme="minorHAnsi"/>
              </w:rPr>
              <w:t>.2 Review and improve product transfer arrangements</w:t>
            </w:r>
          </w:p>
        </w:tc>
        <w:tc>
          <w:tcPr>
            <w:tcW w:w="0" w:type="pct"/>
            <w:shd w:val="clear" w:color="auto" w:fill="00B050"/>
          </w:tcPr>
          <w:p w14:paraId="7E12D6C3"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G</w:t>
            </w:r>
          </w:p>
        </w:tc>
        <w:tc>
          <w:tcPr>
            <w:tcW w:w="0" w:type="pct"/>
            <w:shd w:val="clear" w:color="auto" w:fill="EAF1DD" w:themeFill="accent3" w:themeFillTint="33"/>
          </w:tcPr>
          <w:p w14:paraId="33C5FFF6" w14:textId="77777777" w:rsidR="00F633EE" w:rsidRPr="00FE6EE5" w:rsidRDefault="00F633EE" w:rsidP="00547878">
            <w:pPr>
              <w:spacing w:after="120"/>
              <w:contextualSpacing w:val="0"/>
              <w:rPr>
                <w:rFonts w:asciiTheme="minorHAnsi" w:hAnsiTheme="minorHAnsi"/>
              </w:rPr>
            </w:pPr>
            <w:r w:rsidRPr="00FE6EE5">
              <w:rPr>
                <w:rFonts w:asciiTheme="minorHAnsi" w:hAnsiTheme="minorHAnsi"/>
                <w:b/>
                <w:color w:val="00B050"/>
              </w:rPr>
              <w:t>COMPLETE</w:t>
            </w:r>
            <w:r w:rsidRPr="00FE6EE5">
              <w:rPr>
                <w:rFonts w:asciiTheme="minorHAnsi" w:hAnsiTheme="minorHAnsi" w:cstheme="minorHAnsi"/>
              </w:rPr>
              <w:t xml:space="preserve"> – The transfer module of the </w:t>
            </w:r>
            <w:r w:rsidRPr="00FE6EE5">
              <w:rPr>
                <w:rFonts w:asciiTheme="minorHAnsi" w:hAnsiTheme="minorHAnsi"/>
                <w:i/>
              </w:rPr>
              <w:t>Managing Blood Product Inventory: Guidelines for Australian Health Providers</w:t>
            </w:r>
            <w:r w:rsidRPr="00FE6EE5">
              <w:rPr>
                <w:rFonts w:asciiTheme="minorHAnsi" w:hAnsiTheme="minorHAnsi"/>
              </w:rPr>
              <w:t xml:space="preserve"> was released in early 2014 after extensive collaboration and public consultation. Many health providers have initiated or are investigating transfer arrangements, including between within organisations.</w:t>
            </w:r>
          </w:p>
          <w:p w14:paraId="4DF9436D" w14:textId="77777777" w:rsidR="00F633EE" w:rsidRPr="00FE6EE5" w:rsidRDefault="00F633EE" w:rsidP="00547878">
            <w:pPr>
              <w:spacing w:after="120"/>
              <w:contextualSpacing w:val="0"/>
              <w:rPr>
                <w:rFonts w:asciiTheme="minorHAnsi" w:hAnsiTheme="minorHAnsi"/>
                <w:b/>
              </w:rPr>
            </w:pPr>
            <w:r w:rsidRPr="00FE6EE5">
              <w:rPr>
                <w:rFonts w:asciiTheme="minorHAnsi" w:hAnsiTheme="minorHAnsi"/>
              </w:rPr>
              <w:t>The National Shipper Validation project is underway to assist health providers to transfer their product as appropriate.</w:t>
            </w:r>
          </w:p>
          <w:p w14:paraId="6E9C9C3D"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rPr>
              <w:t>Assistance is offered, where appropriate, to help health providers set up transfer MOUs.</w:t>
            </w:r>
          </w:p>
        </w:tc>
      </w:tr>
      <w:tr w:rsidR="00F633EE" w:rsidRPr="00FE6EE5" w14:paraId="56A908AB" w14:textId="77777777" w:rsidTr="00F54429">
        <w:tc>
          <w:tcPr>
            <w:tcW w:w="0" w:type="pct"/>
            <w:shd w:val="clear" w:color="auto" w:fill="EAF1DD" w:themeFill="accent3" w:themeFillTint="33"/>
          </w:tcPr>
          <w:p w14:paraId="15952912" w14:textId="77777777" w:rsidR="00F633EE" w:rsidRPr="00FE6EE5" w:rsidRDefault="00CD6E80" w:rsidP="00CD6E80">
            <w:pPr>
              <w:rPr>
                <w:rFonts w:asciiTheme="minorHAnsi" w:hAnsiTheme="minorHAnsi"/>
              </w:rPr>
            </w:pPr>
            <w:r>
              <w:rPr>
                <w:rFonts w:asciiTheme="minorHAnsi" w:hAnsiTheme="minorHAnsi"/>
              </w:rPr>
              <w:t>8</w:t>
            </w:r>
            <w:r w:rsidR="00F633EE" w:rsidRPr="00FE6EE5">
              <w:rPr>
                <w:rFonts w:asciiTheme="minorHAnsi" w:hAnsiTheme="minorHAnsi"/>
              </w:rPr>
              <w:t>.3 Use of thawed clinical fresh frozen plasma</w:t>
            </w:r>
          </w:p>
        </w:tc>
        <w:tc>
          <w:tcPr>
            <w:tcW w:w="0" w:type="pct"/>
            <w:shd w:val="clear" w:color="auto" w:fill="00B050"/>
          </w:tcPr>
          <w:p w14:paraId="165566AB"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G</w:t>
            </w:r>
          </w:p>
        </w:tc>
        <w:tc>
          <w:tcPr>
            <w:tcW w:w="0" w:type="pct"/>
            <w:shd w:val="clear" w:color="auto" w:fill="EAF1DD" w:themeFill="accent3" w:themeFillTint="33"/>
          </w:tcPr>
          <w:p w14:paraId="65505A67" w14:textId="77777777" w:rsidR="00F633EE" w:rsidRPr="00FE6EE5" w:rsidRDefault="00F633EE" w:rsidP="00547878">
            <w:pPr>
              <w:rPr>
                <w:rFonts w:asciiTheme="minorHAnsi" w:hAnsiTheme="minorHAnsi" w:cstheme="minorHAnsi"/>
              </w:rPr>
            </w:pPr>
            <w:r w:rsidRPr="00FE6EE5">
              <w:rPr>
                <w:rFonts w:asciiTheme="minorHAnsi" w:hAnsiTheme="minorHAnsi"/>
                <w:b/>
                <w:color w:val="00B050"/>
              </w:rPr>
              <w:t>COMPLETE</w:t>
            </w:r>
            <w:r w:rsidRPr="00FE6EE5">
              <w:rPr>
                <w:rFonts w:asciiTheme="minorHAnsi" w:hAnsiTheme="minorHAnsi" w:cstheme="minorHAnsi"/>
              </w:rPr>
              <w:t xml:space="preserve"> </w:t>
            </w:r>
            <w:r w:rsidR="008E54BE">
              <w:rPr>
                <w:rFonts w:asciiTheme="minorHAnsi" w:hAnsiTheme="minorHAnsi"/>
              </w:rPr>
              <w:t>–</w:t>
            </w:r>
            <w:r w:rsidRPr="00FE6EE5">
              <w:rPr>
                <w:rFonts w:asciiTheme="minorHAnsi" w:hAnsiTheme="minorHAnsi" w:cstheme="minorHAnsi"/>
              </w:rPr>
              <w:t xml:space="preserve"> The use of extended life plasma is being promoted with health providers, including with a case study on its use at the Royal children’s Hospital published on the NBA website. </w:t>
            </w:r>
          </w:p>
        </w:tc>
      </w:tr>
      <w:tr w:rsidR="00F633EE" w:rsidRPr="00FE6EE5" w14:paraId="391794B5" w14:textId="77777777" w:rsidTr="00F54429">
        <w:tc>
          <w:tcPr>
            <w:tcW w:w="0" w:type="pct"/>
            <w:shd w:val="clear" w:color="auto" w:fill="EAF1DD" w:themeFill="accent3" w:themeFillTint="33"/>
          </w:tcPr>
          <w:p w14:paraId="2DBE6D80" w14:textId="77777777" w:rsidR="00F633EE" w:rsidRPr="00FE6EE5" w:rsidRDefault="00CD6E80" w:rsidP="00CD6E80">
            <w:pPr>
              <w:rPr>
                <w:rFonts w:asciiTheme="minorHAnsi" w:hAnsiTheme="minorHAnsi"/>
              </w:rPr>
            </w:pPr>
            <w:r>
              <w:rPr>
                <w:rFonts w:asciiTheme="minorHAnsi" w:hAnsiTheme="minorHAnsi"/>
              </w:rPr>
              <w:t>8</w:t>
            </w:r>
            <w:r w:rsidR="00F633EE" w:rsidRPr="00FE6EE5">
              <w:rPr>
                <w:rFonts w:asciiTheme="minorHAnsi" w:hAnsiTheme="minorHAnsi"/>
              </w:rPr>
              <w:t xml:space="preserve">.4 Examination of alternatives to current packaging arrangements for clinical fresh frozen plasma </w:t>
            </w:r>
          </w:p>
        </w:tc>
        <w:tc>
          <w:tcPr>
            <w:tcW w:w="0" w:type="pct"/>
            <w:shd w:val="clear" w:color="auto" w:fill="F79646" w:themeFill="accent6"/>
          </w:tcPr>
          <w:p w14:paraId="7D7B981F"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A</w:t>
            </w:r>
          </w:p>
        </w:tc>
        <w:tc>
          <w:tcPr>
            <w:tcW w:w="0" w:type="pct"/>
            <w:shd w:val="clear" w:color="auto" w:fill="EAF1DD" w:themeFill="accent3" w:themeFillTint="33"/>
            <w:vAlign w:val="top"/>
          </w:tcPr>
          <w:p w14:paraId="0987C830" w14:textId="77777777" w:rsidR="00F633EE" w:rsidRPr="00FE6EE5" w:rsidRDefault="00E76696" w:rsidP="00547878">
            <w:pPr>
              <w:rPr>
                <w:rFonts w:asciiTheme="minorHAnsi" w:hAnsiTheme="minorHAnsi"/>
                <w:b/>
                <w:color w:val="00B050"/>
              </w:rPr>
            </w:pPr>
            <w:r w:rsidRPr="00FE6EE5">
              <w:rPr>
                <w:rFonts w:asciiTheme="minorHAnsi" w:hAnsiTheme="minorHAnsi" w:cstheme="minorHAnsi"/>
                <w:b/>
                <w:color w:val="E36C0A" w:themeColor="accent6" w:themeShade="BF"/>
              </w:rPr>
              <w:t>IN PROGRESS</w:t>
            </w:r>
            <w:r w:rsidR="00F633EE" w:rsidRPr="00FE6EE5">
              <w:rPr>
                <w:rFonts w:asciiTheme="minorHAnsi" w:hAnsiTheme="minorHAnsi" w:cstheme="minorHAnsi"/>
              </w:rPr>
              <w:t xml:space="preserve"> – </w:t>
            </w:r>
            <w:r>
              <w:rPr>
                <w:rFonts w:asciiTheme="minorHAnsi" w:hAnsiTheme="minorHAnsi" w:cstheme="minorHAnsi"/>
              </w:rPr>
              <w:t xml:space="preserve">The </w:t>
            </w:r>
            <w:r w:rsidR="00F633EE" w:rsidRPr="00FE6EE5">
              <w:rPr>
                <w:rFonts w:asciiTheme="minorHAnsi" w:hAnsiTheme="minorHAnsi" w:cstheme="minorHAnsi"/>
              </w:rPr>
              <w:t xml:space="preserve">Blood Service has reviewed and continues to monitor possible alternatives. </w:t>
            </w:r>
          </w:p>
        </w:tc>
      </w:tr>
      <w:tr w:rsidR="00F633EE" w:rsidRPr="00FE6EE5" w14:paraId="69D7FE1C" w14:textId="77777777" w:rsidTr="00F54429">
        <w:tc>
          <w:tcPr>
            <w:tcW w:w="0" w:type="pct"/>
            <w:shd w:val="clear" w:color="auto" w:fill="EAF1DD" w:themeFill="accent3" w:themeFillTint="33"/>
          </w:tcPr>
          <w:p w14:paraId="58B0B13B" w14:textId="77777777" w:rsidR="00F633EE" w:rsidRPr="00FE6EE5" w:rsidRDefault="00CD6E80" w:rsidP="00547878">
            <w:pPr>
              <w:rPr>
                <w:rFonts w:asciiTheme="minorHAnsi" w:hAnsiTheme="minorHAnsi"/>
              </w:rPr>
            </w:pPr>
            <w:r>
              <w:rPr>
                <w:rFonts w:asciiTheme="minorHAnsi" w:hAnsiTheme="minorHAnsi"/>
              </w:rPr>
              <w:t>8</w:t>
            </w:r>
            <w:r w:rsidR="00F633EE" w:rsidRPr="00FE6EE5">
              <w:rPr>
                <w:rFonts w:asciiTheme="minorHAnsi" w:hAnsiTheme="minorHAnsi"/>
              </w:rPr>
              <w:t>.5 Review supply chain matters affecting the length of expiry of Platelets on issue of units to health providers</w:t>
            </w:r>
          </w:p>
        </w:tc>
        <w:tc>
          <w:tcPr>
            <w:tcW w:w="0" w:type="pct"/>
            <w:shd w:val="clear" w:color="auto" w:fill="F79646" w:themeFill="accent6"/>
          </w:tcPr>
          <w:p w14:paraId="0D8BF73C"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A</w:t>
            </w:r>
          </w:p>
        </w:tc>
        <w:tc>
          <w:tcPr>
            <w:tcW w:w="0" w:type="pct"/>
            <w:shd w:val="clear" w:color="auto" w:fill="EAF1DD" w:themeFill="accent3" w:themeFillTint="33"/>
            <w:vAlign w:val="top"/>
          </w:tcPr>
          <w:p w14:paraId="4D986142" w14:textId="77777777" w:rsidR="00F633EE" w:rsidRPr="00FE6EE5" w:rsidRDefault="00F633EE" w:rsidP="00E76696">
            <w:pPr>
              <w:rPr>
                <w:rFonts w:asciiTheme="minorHAnsi" w:hAnsiTheme="minorHAnsi"/>
                <w:b/>
                <w:color w:val="00B050"/>
              </w:rPr>
            </w:pPr>
            <w:r w:rsidRPr="00FE6EE5">
              <w:rPr>
                <w:rFonts w:asciiTheme="minorHAnsi" w:hAnsiTheme="minorHAnsi" w:cstheme="minorHAnsi"/>
                <w:b/>
                <w:color w:val="E36C0A" w:themeColor="accent6" w:themeShade="BF"/>
              </w:rPr>
              <w:t>IN PROGRESS</w:t>
            </w:r>
            <w:r w:rsidRPr="00FE6EE5">
              <w:rPr>
                <w:rFonts w:asciiTheme="minorHAnsi" w:hAnsiTheme="minorHAnsi" w:cstheme="minorHAnsi"/>
                <w:color w:val="E36C0A" w:themeColor="accent6" w:themeShade="BF"/>
              </w:rPr>
              <w:t xml:space="preserve"> </w:t>
            </w:r>
            <w:r w:rsidRPr="00FE6EE5">
              <w:rPr>
                <w:rFonts w:asciiTheme="minorHAnsi" w:hAnsiTheme="minorHAnsi" w:cstheme="minorHAnsi"/>
              </w:rPr>
              <w:t>–</w:t>
            </w:r>
            <w:r w:rsidR="008E54BE">
              <w:rPr>
                <w:rFonts w:asciiTheme="minorHAnsi" w:hAnsiTheme="minorHAnsi" w:cstheme="minorHAnsi"/>
              </w:rPr>
              <w:t xml:space="preserve"> </w:t>
            </w:r>
            <w:r w:rsidRPr="00FE6EE5">
              <w:rPr>
                <w:rFonts w:asciiTheme="minorHAnsi" w:hAnsiTheme="minorHAnsi" w:cstheme="minorHAnsi"/>
              </w:rPr>
              <w:t xml:space="preserve">The Blood Service had a submission with the Therapeutic Goods Administration (TGA), on extending the shelf life of platelets from 5 to 7 days.  </w:t>
            </w:r>
            <w:r w:rsidR="00E76696">
              <w:rPr>
                <w:rFonts w:asciiTheme="minorHAnsi" w:hAnsiTheme="minorHAnsi" w:cstheme="minorHAnsi"/>
              </w:rPr>
              <w:t xml:space="preserve">Further information is being gathered to support this initiative by the Blood Service. </w:t>
            </w:r>
            <w:r w:rsidRPr="00FE6EE5">
              <w:rPr>
                <w:rFonts w:asciiTheme="minorHAnsi" w:hAnsiTheme="minorHAnsi" w:cstheme="minorHAnsi"/>
              </w:rPr>
              <w:t xml:space="preserve">The NIMF project was extended to include a proof of concept for platelets and </w:t>
            </w:r>
            <w:proofErr w:type="gramStart"/>
            <w:r w:rsidRPr="00FE6EE5">
              <w:rPr>
                <w:rFonts w:asciiTheme="minorHAnsi" w:hAnsiTheme="minorHAnsi" w:cstheme="minorHAnsi"/>
              </w:rPr>
              <w:t>the</w:t>
            </w:r>
            <w:proofErr w:type="gramEnd"/>
            <w:r w:rsidRPr="00FE6EE5">
              <w:rPr>
                <w:rFonts w:asciiTheme="minorHAnsi" w:hAnsiTheme="minorHAnsi" w:cstheme="minorHAnsi"/>
              </w:rPr>
              <w:t xml:space="preserve"> will be considered by the steering committee.  </w:t>
            </w:r>
            <w:proofErr w:type="gramStart"/>
            <w:r w:rsidRPr="00FE6EE5">
              <w:rPr>
                <w:rFonts w:asciiTheme="minorHAnsi" w:hAnsiTheme="minorHAnsi" w:cstheme="minorHAnsi"/>
              </w:rPr>
              <w:t>Also</w:t>
            </w:r>
            <w:proofErr w:type="gramEnd"/>
            <w:r w:rsidRPr="00FE6EE5">
              <w:rPr>
                <w:rFonts w:asciiTheme="minorHAnsi" w:hAnsiTheme="minorHAnsi" w:cstheme="minorHAnsi"/>
              </w:rPr>
              <w:t xml:space="preserve"> the NIMF project team is developing a module for platelets as part of the </w:t>
            </w:r>
            <w:r w:rsidRPr="00FE6EE5">
              <w:rPr>
                <w:rFonts w:asciiTheme="minorHAnsi" w:hAnsiTheme="minorHAnsi"/>
                <w:i/>
              </w:rPr>
              <w:t>Managing Blood Product Inventory: Guidelines for Australian Health Providers.</w:t>
            </w:r>
          </w:p>
        </w:tc>
      </w:tr>
      <w:tr w:rsidR="00432D62" w:rsidRPr="00FE6EE5" w14:paraId="6DD72E8F" w14:textId="77777777" w:rsidTr="00432D62">
        <w:tc>
          <w:tcPr>
            <w:tcW w:w="5000" w:type="pct"/>
            <w:gridSpan w:val="3"/>
            <w:shd w:val="clear" w:color="auto" w:fill="C2D69B" w:themeFill="accent3" w:themeFillTint="99"/>
          </w:tcPr>
          <w:p w14:paraId="3AB9329B" w14:textId="1745887C" w:rsidR="00432D62" w:rsidRPr="00FE6EE5" w:rsidRDefault="00432D62" w:rsidP="00432D62">
            <w:pPr>
              <w:pStyle w:val="ListParagraph"/>
              <w:numPr>
                <w:ilvl w:val="0"/>
                <w:numId w:val="7"/>
              </w:numPr>
              <w:spacing w:after="0"/>
              <w:ind w:left="426" w:hanging="426"/>
              <w:rPr>
                <w:rFonts w:asciiTheme="minorHAnsi" w:hAnsiTheme="minorHAnsi" w:cstheme="minorHAnsi"/>
              </w:rPr>
            </w:pPr>
            <w:r w:rsidRPr="00FE6EE5">
              <w:rPr>
                <w:rFonts w:asciiTheme="minorHAnsi" w:hAnsiTheme="minorHAnsi"/>
                <w:b/>
              </w:rPr>
              <w:t>Promotional Campaigns</w:t>
            </w:r>
          </w:p>
        </w:tc>
      </w:tr>
      <w:tr w:rsidR="00F633EE" w:rsidRPr="00FE6EE5" w14:paraId="48B00CB2" w14:textId="77777777" w:rsidTr="00F54429">
        <w:tc>
          <w:tcPr>
            <w:tcW w:w="0" w:type="pct"/>
            <w:shd w:val="clear" w:color="auto" w:fill="EAF1DD" w:themeFill="accent3" w:themeFillTint="33"/>
          </w:tcPr>
          <w:p w14:paraId="73222460" w14:textId="77777777" w:rsidR="00F633EE" w:rsidRPr="00FE6EE5" w:rsidRDefault="00CD6E80" w:rsidP="00CD6E80">
            <w:pPr>
              <w:rPr>
                <w:rFonts w:asciiTheme="minorHAnsi" w:hAnsiTheme="minorHAnsi"/>
              </w:rPr>
            </w:pPr>
            <w:r>
              <w:rPr>
                <w:rFonts w:asciiTheme="minorHAnsi" w:hAnsiTheme="minorHAnsi"/>
              </w:rPr>
              <w:t>9.</w:t>
            </w:r>
            <w:r w:rsidR="00F633EE" w:rsidRPr="00FE6EE5">
              <w:rPr>
                <w:rFonts w:asciiTheme="minorHAnsi" w:hAnsiTheme="minorHAnsi"/>
              </w:rPr>
              <w:t>1 Private sector wastage campaign</w:t>
            </w:r>
          </w:p>
        </w:tc>
        <w:tc>
          <w:tcPr>
            <w:tcW w:w="0" w:type="pct"/>
            <w:shd w:val="clear" w:color="auto" w:fill="F79646" w:themeFill="accent6"/>
          </w:tcPr>
          <w:p w14:paraId="7FDA5D99" w14:textId="77777777" w:rsidR="00F633EE" w:rsidRPr="00FE6EE5" w:rsidRDefault="00E76696" w:rsidP="00547878">
            <w:pPr>
              <w:jc w:val="center"/>
              <w:rPr>
                <w:rFonts w:asciiTheme="minorHAnsi" w:hAnsiTheme="minorHAnsi" w:cstheme="minorHAnsi"/>
              </w:rPr>
            </w:pPr>
            <w:r>
              <w:rPr>
                <w:rFonts w:asciiTheme="minorHAnsi" w:hAnsiTheme="minorHAnsi" w:cstheme="minorHAnsi"/>
              </w:rPr>
              <w:t>A</w:t>
            </w:r>
          </w:p>
        </w:tc>
        <w:tc>
          <w:tcPr>
            <w:tcW w:w="0" w:type="pct"/>
            <w:shd w:val="clear" w:color="auto" w:fill="EAF1DD" w:themeFill="accent3" w:themeFillTint="33"/>
          </w:tcPr>
          <w:p w14:paraId="7745B7FB" w14:textId="77777777" w:rsidR="00F633EE" w:rsidRPr="00FE6EE5" w:rsidRDefault="00E76696" w:rsidP="00547878">
            <w:pPr>
              <w:rPr>
                <w:rFonts w:asciiTheme="minorHAnsi" w:hAnsiTheme="minorHAnsi" w:cstheme="minorHAnsi"/>
              </w:rPr>
            </w:pPr>
            <w:r w:rsidRPr="00FE6EE5">
              <w:rPr>
                <w:rFonts w:asciiTheme="minorHAnsi" w:hAnsiTheme="minorHAnsi" w:cstheme="minorHAnsi"/>
                <w:b/>
                <w:color w:val="E36C0A" w:themeColor="accent6" w:themeShade="BF"/>
              </w:rPr>
              <w:t>IN PROGRESS</w:t>
            </w:r>
            <w:r w:rsidR="00F633EE" w:rsidRPr="00FE6EE5">
              <w:rPr>
                <w:rFonts w:asciiTheme="minorHAnsi" w:hAnsiTheme="minorHAnsi" w:cstheme="minorHAnsi"/>
              </w:rPr>
              <w:t xml:space="preserve"> – High level meetings with private organisations have taken place. The private sector was targeted with wastage letters addressed to the CEO with an offer of assistance and direction to tools. NBA attendance at the Australian Private Hospital Association’s Annual Congresses will continue. However, the focus is now on the blood </w:t>
            </w:r>
            <w:proofErr w:type="gramStart"/>
            <w:r w:rsidR="00F633EE" w:rsidRPr="00FE6EE5">
              <w:rPr>
                <w:rFonts w:asciiTheme="minorHAnsi" w:hAnsiTheme="minorHAnsi" w:cstheme="minorHAnsi"/>
              </w:rPr>
              <w:t>sector as a whole</w:t>
            </w:r>
            <w:proofErr w:type="gramEnd"/>
            <w:r w:rsidR="00F633EE" w:rsidRPr="00FE6EE5">
              <w:rPr>
                <w:rFonts w:asciiTheme="minorHAnsi" w:hAnsiTheme="minorHAnsi" w:cstheme="minorHAnsi"/>
              </w:rPr>
              <w:t>.</w:t>
            </w:r>
          </w:p>
        </w:tc>
      </w:tr>
      <w:tr w:rsidR="00F633EE" w:rsidRPr="00FE6EE5" w14:paraId="300604BA" w14:textId="77777777" w:rsidTr="00F54429">
        <w:tc>
          <w:tcPr>
            <w:tcW w:w="0" w:type="pct"/>
            <w:shd w:val="clear" w:color="auto" w:fill="EAF1DD" w:themeFill="accent3" w:themeFillTint="33"/>
          </w:tcPr>
          <w:p w14:paraId="24E3F3E3" w14:textId="77777777" w:rsidR="00F633EE" w:rsidRPr="00FE6EE5" w:rsidRDefault="00CD6E80" w:rsidP="00547878">
            <w:pPr>
              <w:rPr>
                <w:rFonts w:asciiTheme="minorHAnsi" w:hAnsiTheme="minorHAnsi"/>
              </w:rPr>
            </w:pPr>
            <w:r>
              <w:rPr>
                <w:rFonts w:asciiTheme="minorHAnsi" w:hAnsiTheme="minorHAnsi"/>
              </w:rPr>
              <w:lastRenderedPageBreak/>
              <w:t>9</w:t>
            </w:r>
            <w:r w:rsidR="00F633EE" w:rsidRPr="00FE6EE5">
              <w:rPr>
                <w:rFonts w:asciiTheme="minorHAnsi" w:hAnsiTheme="minorHAnsi"/>
              </w:rPr>
              <w:t>.2 General Wastage campaign</w:t>
            </w:r>
          </w:p>
        </w:tc>
        <w:tc>
          <w:tcPr>
            <w:tcW w:w="0" w:type="pct"/>
            <w:shd w:val="clear" w:color="auto" w:fill="00B050"/>
          </w:tcPr>
          <w:p w14:paraId="58102288" w14:textId="77777777" w:rsidR="00F633EE" w:rsidRPr="00FE6EE5" w:rsidRDefault="00F633EE" w:rsidP="00547878">
            <w:pPr>
              <w:jc w:val="center"/>
              <w:rPr>
                <w:rFonts w:asciiTheme="minorHAnsi" w:hAnsiTheme="minorHAnsi" w:cstheme="minorHAnsi"/>
              </w:rPr>
            </w:pPr>
            <w:r w:rsidRPr="00FE6EE5">
              <w:rPr>
                <w:rFonts w:asciiTheme="minorHAnsi" w:hAnsiTheme="minorHAnsi" w:cstheme="minorHAnsi"/>
              </w:rPr>
              <w:t>G</w:t>
            </w:r>
          </w:p>
        </w:tc>
        <w:tc>
          <w:tcPr>
            <w:tcW w:w="0" w:type="pct"/>
            <w:shd w:val="clear" w:color="auto" w:fill="EAF1DD" w:themeFill="accent3" w:themeFillTint="33"/>
          </w:tcPr>
          <w:p w14:paraId="7E0997CA"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b/>
                <w:color w:val="00B050"/>
              </w:rPr>
              <w:t>COMPLETE</w:t>
            </w:r>
            <w:r w:rsidRPr="00FE6EE5">
              <w:rPr>
                <w:rFonts w:asciiTheme="minorHAnsi" w:hAnsiTheme="minorHAnsi" w:cstheme="minorHAnsi"/>
              </w:rPr>
              <w:t xml:space="preserve"> – The </w:t>
            </w:r>
            <w:r w:rsidRPr="00FE6EE5">
              <w:rPr>
                <w:rFonts w:asciiTheme="minorHAnsi" w:hAnsiTheme="minorHAnsi" w:cstheme="minorHAnsi"/>
                <w:i/>
              </w:rPr>
              <w:t>Stop the Waste!</w:t>
            </w:r>
            <w:r w:rsidRPr="00FE6EE5">
              <w:rPr>
                <w:rFonts w:asciiTheme="minorHAnsi" w:hAnsiTheme="minorHAnsi" w:cstheme="minorHAnsi"/>
              </w:rPr>
              <w:t xml:space="preserve"> campaign materials have been developed including posters, magnets, swing tags for blood bags and wheelie bin pen holders. Large numbers of orders continue to be received from health providers. New wastage reduction tools will be developed as appropriate.</w:t>
            </w:r>
          </w:p>
          <w:p w14:paraId="51111F29" w14:textId="77777777" w:rsidR="00F633EE" w:rsidRPr="00FE6EE5" w:rsidRDefault="00F633EE" w:rsidP="00547878">
            <w:pPr>
              <w:spacing w:after="120"/>
              <w:contextualSpacing w:val="0"/>
              <w:rPr>
                <w:rFonts w:asciiTheme="minorHAnsi" w:hAnsiTheme="minorHAnsi" w:cstheme="minorHAnsi"/>
              </w:rPr>
            </w:pPr>
            <w:r w:rsidRPr="00FE6EE5">
              <w:rPr>
                <w:rFonts w:asciiTheme="minorHAnsi" w:hAnsiTheme="minorHAnsi" w:cstheme="minorHAnsi"/>
              </w:rPr>
              <w:t xml:space="preserve">An article on reducing blood and blood product wastage has been drafted for publication in a scientific journal. </w:t>
            </w:r>
          </w:p>
          <w:p w14:paraId="18E54EA0" w14:textId="77777777" w:rsidR="00F633EE" w:rsidRPr="00FE6EE5" w:rsidRDefault="00F633EE" w:rsidP="00547878">
            <w:pPr>
              <w:spacing w:after="120"/>
              <w:contextualSpacing w:val="0"/>
              <w:rPr>
                <w:rFonts w:asciiTheme="minorHAnsi" w:hAnsiTheme="minorHAnsi" w:cstheme="minorHAnsi"/>
                <w:b/>
                <w:color w:val="E36C0A" w:themeColor="accent6" w:themeShade="BF"/>
              </w:rPr>
            </w:pPr>
            <w:r w:rsidRPr="00FE6EE5">
              <w:rPr>
                <w:rFonts w:asciiTheme="minorHAnsi" w:hAnsiTheme="minorHAnsi" w:cstheme="minorHAnsi"/>
              </w:rPr>
              <w:t xml:space="preserve">Regular wastage reduction information is presented at conferences, summits, </w:t>
            </w:r>
            <w:proofErr w:type="gramStart"/>
            <w:r w:rsidRPr="00FE6EE5">
              <w:rPr>
                <w:rFonts w:asciiTheme="minorHAnsi" w:hAnsiTheme="minorHAnsi" w:cstheme="minorHAnsi"/>
              </w:rPr>
              <w:t>workshops</w:t>
            </w:r>
            <w:proofErr w:type="gramEnd"/>
            <w:r w:rsidRPr="00FE6EE5">
              <w:rPr>
                <w:rFonts w:asciiTheme="minorHAnsi" w:hAnsiTheme="minorHAnsi" w:cstheme="minorHAnsi"/>
              </w:rPr>
              <w:t xml:space="preserve"> and in-services directly to health providers as appropriate.</w:t>
            </w:r>
          </w:p>
        </w:tc>
      </w:tr>
      <w:tr w:rsidR="00F633EE" w:rsidRPr="00FE6EE5" w14:paraId="083C4E2D" w14:textId="77777777" w:rsidTr="00F54429">
        <w:tc>
          <w:tcPr>
            <w:tcW w:w="0" w:type="pct"/>
            <w:shd w:val="clear" w:color="auto" w:fill="EAF1DD" w:themeFill="accent3" w:themeFillTint="33"/>
            <w:vAlign w:val="top"/>
          </w:tcPr>
          <w:p w14:paraId="71F01AAD" w14:textId="77777777" w:rsidR="00F633EE" w:rsidRPr="00FE6EE5" w:rsidRDefault="00A15231" w:rsidP="00A15231">
            <w:pPr>
              <w:rPr>
                <w:rFonts w:asciiTheme="minorHAnsi" w:hAnsiTheme="minorHAnsi"/>
              </w:rPr>
            </w:pPr>
            <w:r>
              <w:rPr>
                <w:rFonts w:asciiTheme="minorHAnsi" w:hAnsiTheme="minorHAnsi"/>
              </w:rPr>
              <w:t>9</w:t>
            </w:r>
            <w:r w:rsidR="00F633EE" w:rsidRPr="00FE6EE5">
              <w:rPr>
                <w:rFonts w:asciiTheme="minorHAnsi" w:hAnsiTheme="minorHAnsi"/>
              </w:rPr>
              <w:t>.3 Rural &amp; Remote wastage campaign</w:t>
            </w:r>
          </w:p>
        </w:tc>
        <w:tc>
          <w:tcPr>
            <w:tcW w:w="0" w:type="pct"/>
            <w:shd w:val="clear" w:color="auto" w:fill="F79646" w:themeFill="accent6"/>
          </w:tcPr>
          <w:p w14:paraId="233C4726" w14:textId="77777777" w:rsidR="00F633EE" w:rsidRPr="00FE6EE5" w:rsidRDefault="00E76696" w:rsidP="00547878">
            <w:pPr>
              <w:jc w:val="center"/>
              <w:rPr>
                <w:rFonts w:asciiTheme="minorHAnsi" w:hAnsiTheme="minorHAnsi" w:cstheme="minorHAnsi"/>
              </w:rPr>
            </w:pPr>
            <w:r>
              <w:rPr>
                <w:rFonts w:asciiTheme="minorHAnsi" w:hAnsiTheme="minorHAnsi" w:cstheme="minorHAnsi"/>
              </w:rPr>
              <w:t>A</w:t>
            </w:r>
          </w:p>
        </w:tc>
        <w:tc>
          <w:tcPr>
            <w:tcW w:w="0" w:type="pct"/>
            <w:shd w:val="clear" w:color="auto" w:fill="EAF1DD" w:themeFill="accent3" w:themeFillTint="33"/>
          </w:tcPr>
          <w:p w14:paraId="5A8250A6" w14:textId="77777777" w:rsidR="00F633EE" w:rsidRPr="00FE6EE5" w:rsidRDefault="00E76696" w:rsidP="00547878">
            <w:pPr>
              <w:spacing w:after="120"/>
              <w:contextualSpacing w:val="0"/>
              <w:rPr>
                <w:rFonts w:asciiTheme="minorHAnsi" w:hAnsiTheme="minorHAnsi" w:cstheme="minorHAnsi"/>
              </w:rPr>
            </w:pPr>
            <w:r w:rsidRPr="00FE6EE5">
              <w:rPr>
                <w:rFonts w:asciiTheme="minorHAnsi" w:hAnsiTheme="minorHAnsi" w:cstheme="minorHAnsi"/>
                <w:b/>
                <w:color w:val="E36C0A" w:themeColor="accent6" w:themeShade="BF"/>
              </w:rPr>
              <w:t>IN PROGRESS</w:t>
            </w:r>
            <w:r w:rsidR="00F633EE" w:rsidRPr="00FE6EE5">
              <w:rPr>
                <w:rFonts w:asciiTheme="minorHAnsi" w:hAnsiTheme="minorHAnsi" w:cstheme="minorHAnsi"/>
              </w:rPr>
              <w:t xml:space="preserve"> – Engagement with the Rural and Remote health sector commenced with high level meetings with the relevant professional organisations and NBA sponsorship of the Rural Medicine Conference 2014 and 2015. </w:t>
            </w:r>
          </w:p>
          <w:p w14:paraId="545CD3F5" w14:textId="77777777" w:rsidR="00F633EE" w:rsidRPr="00FE6EE5" w:rsidRDefault="00F633EE" w:rsidP="00547878">
            <w:pPr>
              <w:rPr>
                <w:rFonts w:asciiTheme="minorHAnsi" w:hAnsiTheme="minorHAnsi" w:cstheme="minorHAnsi"/>
                <w:b/>
                <w:color w:val="E36C0A" w:themeColor="accent6" w:themeShade="BF"/>
              </w:rPr>
            </w:pPr>
            <w:proofErr w:type="spellStart"/>
            <w:r w:rsidRPr="00FE6EE5">
              <w:rPr>
                <w:rFonts w:asciiTheme="minorHAnsi" w:hAnsiTheme="minorHAnsi" w:cstheme="minorHAnsi"/>
              </w:rPr>
              <w:t>BloodNet</w:t>
            </w:r>
            <w:proofErr w:type="spellEnd"/>
            <w:r w:rsidRPr="00FE6EE5">
              <w:rPr>
                <w:rFonts w:asciiTheme="minorHAnsi" w:hAnsiTheme="minorHAnsi" w:cstheme="minorHAnsi"/>
              </w:rPr>
              <w:t xml:space="preserve"> pharmacy roll-out has commenced, specifically assisting the rural and remote areas with </w:t>
            </w:r>
            <w:proofErr w:type="spellStart"/>
            <w:r w:rsidRPr="00FE6EE5">
              <w:rPr>
                <w:rFonts w:asciiTheme="minorHAnsi" w:hAnsiTheme="minorHAnsi" w:cstheme="minorHAnsi"/>
              </w:rPr>
              <w:t>BloodSTAR</w:t>
            </w:r>
            <w:proofErr w:type="spellEnd"/>
            <w:r w:rsidRPr="00FE6EE5">
              <w:rPr>
                <w:rFonts w:asciiTheme="minorHAnsi" w:hAnsiTheme="minorHAnsi" w:cstheme="minorHAnsi"/>
              </w:rPr>
              <w:t xml:space="preserve">. </w:t>
            </w:r>
          </w:p>
        </w:tc>
      </w:tr>
    </w:tbl>
    <w:p w14:paraId="0C8FC49B" w14:textId="77777777" w:rsidR="00FE6EE5" w:rsidRPr="009B6EC2" w:rsidRDefault="00FE6EE5" w:rsidP="009B6EC2">
      <w:pPr>
        <w:spacing w:after="0"/>
        <w:rPr>
          <w:rFonts w:ascii="Arial" w:hAnsi="Arial" w:cs="Arial"/>
          <w:b/>
          <w:sz w:val="24"/>
          <w:szCs w:val="24"/>
        </w:rPr>
        <w:sectPr w:rsidR="00FE6EE5" w:rsidRPr="009B6EC2" w:rsidSect="00B619D8">
          <w:pgSz w:w="16839" w:h="11907" w:orient="landscape" w:code="9"/>
          <w:pgMar w:top="1080" w:right="1134" w:bottom="1608" w:left="1560" w:header="720" w:footer="720" w:gutter="0"/>
          <w:pgNumType w:start="14"/>
          <w:cols w:space="720"/>
          <w:docGrid w:linePitch="360"/>
        </w:sectPr>
      </w:pPr>
    </w:p>
    <w:p w14:paraId="027620E4" w14:textId="77777777" w:rsidR="0076194F" w:rsidRPr="00C720AA" w:rsidRDefault="00270DA6" w:rsidP="00270DA6">
      <w:pPr>
        <w:ind w:right="-562"/>
      </w:pPr>
      <w:r>
        <w:rPr>
          <w:noProof/>
          <w:lang w:eastAsia="en-AU"/>
        </w:rPr>
        <w:lastRenderedPageBreak/>
        <w:drawing>
          <wp:anchor distT="0" distB="0" distL="114300" distR="114300" simplePos="0" relativeHeight="251698176" behindDoc="0" locked="0" layoutInCell="1" allowOverlap="1" wp14:anchorId="36EFBC4E" wp14:editId="2617D0C8">
            <wp:simplePos x="0" y="0"/>
            <wp:positionH relativeFrom="margin">
              <wp:posOffset>1869440</wp:posOffset>
            </wp:positionH>
            <wp:positionV relativeFrom="margin">
              <wp:posOffset>8479790</wp:posOffset>
            </wp:positionV>
            <wp:extent cx="2870835" cy="535940"/>
            <wp:effectExtent l="0" t="0" r="5715" b="0"/>
            <wp:wrapSquare wrapText="bothSides"/>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Logo_mono_rev_small.png"/>
                    <pic:cNvPicPr/>
                  </pic:nvPicPr>
                  <pic:blipFill>
                    <a:blip r:embed="rId36">
                      <a:extLst>
                        <a:ext uri="{28A0092B-C50C-407E-A947-70E740481C1C}">
                          <a14:useLocalDpi xmlns:a14="http://schemas.microsoft.com/office/drawing/2010/main" val="0"/>
                        </a:ext>
                      </a:extLst>
                    </a:blip>
                    <a:stretch>
                      <a:fillRect/>
                    </a:stretch>
                  </pic:blipFill>
                  <pic:spPr>
                    <a:xfrm>
                      <a:off x="0" y="0"/>
                      <a:ext cx="2870835" cy="535940"/>
                    </a:xfrm>
                    <a:prstGeom prst="rect">
                      <a:avLst/>
                    </a:prstGeom>
                  </pic:spPr>
                </pic:pic>
              </a:graphicData>
            </a:graphic>
          </wp:anchor>
        </w:drawing>
      </w:r>
      <w:r w:rsidR="004D3721">
        <w:rPr>
          <w:noProof/>
          <w:lang w:eastAsia="en-AU"/>
        </w:rPr>
        <mc:AlternateContent>
          <mc:Choice Requires="wps">
            <w:drawing>
              <wp:anchor distT="0" distB="0" distL="114300" distR="114300" simplePos="0" relativeHeight="251680768" behindDoc="1" locked="0" layoutInCell="1" allowOverlap="1" wp14:anchorId="7AB15754" wp14:editId="00702715">
                <wp:simplePos x="0" y="0"/>
                <wp:positionH relativeFrom="column">
                  <wp:posOffset>-676275</wp:posOffset>
                </wp:positionH>
                <wp:positionV relativeFrom="paragraph">
                  <wp:posOffset>-800735</wp:posOffset>
                </wp:positionV>
                <wp:extent cx="7572375" cy="10687050"/>
                <wp:effectExtent l="0" t="0" r="9525" b="0"/>
                <wp:wrapNone/>
                <wp:docPr id="26" name="Rectangle 26"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2375" cy="10687050"/>
                        </a:xfrm>
                        <a:prstGeom prst="rect">
                          <a:avLst/>
                        </a:prstGeom>
                        <a:solidFill>
                          <a:srgbClr val="005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D7855" id="Rectangle 26" o:spid="_x0000_s1026" alt="&quot;&quot;" style="position:absolute;margin-left:-53.25pt;margin-top:-63.05pt;width:596.25pt;height:84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" fillcolor="#005374" stroked="f" strokeweight="2pt">
                <v:path arrowok="t"/>
              </v:rect>
            </w:pict>
          </mc:Fallback>
        </mc:AlternateContent>
      </w:r>
    </w:p>
    <w:sectPr w:rsidR="0076194F" w:rsidRPr="00C720AA" w:rsidSect="00922E79">
      <w:headerReference w:type="even" r:id="rId37"/>
      <w:headerReference w:type="default" r:id="rId38"/>
      <w:headerReference w:type="first" r:id="rId39"/>
      <w:footerReference w:type="first" r:id="rId40"/>
      <w:pgSz w:w="11907" w:h="16839" w:code="9"/>
      <w:pgMar w:top="1276" w:right="1608" w:bottom="108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01E5" w14:textId="77777777" w:rsidR="00CF4239" w:rsidRDefault="00CF4239" w:rsidP="009960EE">
      <w:r>
        <w:separator/>
      </w:r>
    </w:p>
  </w:endnote>
  <w:endnote w:type="continuationSeparator" w:id="0">
    <w:p w14:paraId="32DDE1B7" w14:textId="77777777" w:rsidR="00CF4239" w:rsidRDefault="00CF4239" w:rsidP="0099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611834"/>
      <w:docPartObj>
        <w:docPartGallery w:val="Page Numbers (Bottom of Page)"/>
        <w:docPartUnique/>
      </w:docPartObj>
    </w:sdtPr>
    <w:sdtEndPr>
      <w:rPr>
        <w:color w:val="808080" w:themeColor="background1" w:themeShade="80"/>
        <w:spacing w:val="60"/>
      </w:rPr>
    </w:sdtEndPr>
    <w:sdtContent>
      <w:p w14:paraId="7AEAE26E" w14:textId="482A2926" w:rsidR="00F54429" w:rsidRDefault="00F54429" w:rsidP="00C166A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20</w:t>
        </w:r>
        <w:r>
          <w:rPr>
            <w:noProof/>
          </w:rPr>
          <w:fldChar w:fldCharType="end"/>
        </w:r>
        <w: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CB91" w14:textId="77777777" w:rsidR="00F54429" w:rsidRDefault="00F54429" w:rsidP="009D3703">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5CBA" w14:textId="77777777" w:rsidR="00CF4239" w:rsidRDefault="00CF4239" w:rsidP="009960EE">
      <w:r>
        <w:separator/>
      </w:r>
    </w:p>
  </w:footnote>
  <w:footnote w:type="continuationSeparator" w:id="0">
    <w:p w14:paraId="18B9FCC0" w14:textId="77777777" w:rsidR="00CF4239" w:rsidRDefault="00CF4239" w:rsidP="0099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C9BF" w14:textId="43139682" w:rsidR="00776133" w:rsidRDefault="00776133">
    <w:pPr>
      <w:pStyle w:val="Header"/>
    </w:pPr>
    <w:r>
      <w:rPr>
        <w:noProof/>
      </w:rPr>
      <mc:AlternateContent>
        <mc:Choice Requires="wps">
          <w:drawing>
            <wp:anchor distT="0" distB="0" distL="0" distR="0" simplePos="0" relativeHeight="251659776" behindDoc="0" locked="0" layoutInCell="1" allowOverlap="1" wp14:anchorId="6181CC18" wp14:editId="500DBA98">
              <wp:simplePos x="635" y="635"/>
              <wp:positionH relativeFrom="column">
                <wp:align>center</wp:align>
              </wp:positionH>
              <wp:positionV relativeFrom="paragraph">
                <wp:posOffset>635</wp:posOffset>
              </wp:positionV>
              <wp:extent cx="443865" cy="443865"/>
              <wp:effectExtent l="0" t="0" r="635" b="1079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58013" w14:textId="116F3957" w:rsidR="00776133" w:rsidRPr="00776133" w:rsidRDefault="00776133">
                          <w:pPr>
                            <w:rPr>
                              <w:rFonts w:eastAsia="Calibri"/>
                              <w:color w:val="FF0000"/>
                              <w:sz w:val="24"/>
                              <w:szCs w:val="24"/>
                            </w:rPr>
                          </w:pPr>
                          <w:r w:rsidRPr="00776133">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81CC18"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PDwLNkgAgAARgQAAA4AAAAAAAAAAAAAAAAALgIAAGRycy9lMm9Eb2MueG1sUEsBAi0AFAAG&#10;AAgAAAAhAISw0yjWAAAAAwEAAA8AAAAAAAAAAAAAAAAAegQAAGRycy9kb3ducmV2LnhtbFBLBQYA&#10;AAAABAAEAPMAAAB9BQAAAAA=&#10;" filled="f" stroked="f">
              <v:textbox style="mso-fit-shape-to-text:t" inset="0,0,0,0">
                <w:txbxContent>
                  <w:p w14:paraId="3AE58013" w14:textId="116F3957" w:rsidR="00776133" w:rsidRPr="00776133" w:rsidRDefault="00776133">
                    <w:pPr>
                      <w:rPr>
                        <w:rFonts w:eastAsia="Calibri"/>
                        <w:color w:val="FF0000"/>
                        <w:sz w:val="24"/>
                        <w:szCs w:val="24"/>
                      </w:rPr>
                    </w:pPr>
                    <w:r w:rsidRPr="00776133">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DEBD" w14:textId="007F6F56" w:rsidR="00F54429" w:rsidRDefault="00F54429" w:rsidP="00483E69">
    <w:pPr>
      <w:pStyle w:val="Header"/>
      <w:ind w:left="-1080" w:hanging="5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AE63" w14:textId="77F69515" w:rsidR="00776133" w:rsidRDefault="00776133">
    <w:pPr>
      <w:pStyle w:val="Header"/>
    </w:pPr>
    <w:r>
      <w:rPr>
        <w:noProof/>
      </w:rPr>
      <mc:AlternateContent>
        <mc:Choice Requires="wps">
          <w:drawing>
            <wp:anchor distT="0" distB="0" distL="0" distR="0" simplePos="0" relativeHeight="251658752" behindDoc="0" locked="0" layoutInCell="1" allowOverlap="1" wp14:anchorId="49C231DA" wp14:editId="103D2835">
              <wp:simplePos x="635" y="635"/>
              <wp:positionH relativeFrom="column">
                <wp:align>center</wp:align>
              </wp:positionH>
              <wp:positionV relativeFrom="paragraph">
                <wp:posOffset>635</wp:posOffset>
              </wp:positionV>
              <wp:extent cx="443865" cy="443865"/>
              <wp:effectExtent l="0" t="0" r="635" b="1079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ACB6E0" w14:textId="02F0967B" w:rsidR="00776133" w:rsidRPr="00776133" w:rsidRDefault="00776133">
                          <w:pPr>
                            <w:rPr>
                              <w:rFonts w:eastAsia="Calibri"/>
                              <w:color w:val="FF0000"/>
                              <w:sz w:val="24"/>
                              <w:szCs w:val="24"/>
                            </w:rPr>
                          </w:pPr>
                          <w:r w:rsidRPr="00776133">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C231DA"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MkKGdAjAgAATQQAAA4AAAAAAAAAAAAAAAAALgIAAGRycy9lMm9Eb2MueG1sUEsBAi0A&#10;FAAGAAgAAAAhAISw0yjWAAAAAwEAAA8AAAAAAAAAAAAAAAAAfQQAAGRycy9kb3ducmV2LnhtbFBL&#10;BQYAAAAABAAEAPMAAACABQAAAAA=&#10;" filled="f" stroked="f">
              <v:textbox style="mso-fit-shape-to-text:t" inset="0,0,0,0">
                <w:txbxContent>
                  <w:p w14:paraId="3EACB6E0" w14:textId="02F0967B" w:rsidR="00776133" w:rsidRPr="00776133" w:rsidRDefault="00776133">
                    <w:pPr>
                      <w:rPr>
                        <w:rFonts w:eastAsia="Calibri"/>
                        <w:color w:val="FF0000"/>
                        <w:sz w:val="24"/>
                        <w:szCs w:val="24"/>
                      </w:rPr>
                    </w:pPr>
                    <w:r w:rsidRPr="00776133">
                      <w:rPr>
                        <w:rFonts w:eastAsia="Calibri"/>
                        <w:color w:val="FF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3F42" w14:textId="2EB667C1" w:rsidR="00776133" w:rsidRDefault="00776133">
    <w:pPr>
      <w:pStyle w:val="Header"/>
    </w:pPr>
    <w:r>
      <w:rPr>
        <w:noProof/>
      </w:rPr>
      <mc:AlternateContent>
        <mc:Choice Requires="wps">
          <w:drawing>
            <wp:anchor distT="0" distB="0" distL="0" distR="0" simplePos="0" relativeHeight="251662848" behindDoc="0" locked="0" layoutInCell="1" allowOverlap="1" wp14:anchorId="26B72198" wp14:editId="3860C517">
              <wp:simplePos x="635" y="635"/>
              <wp:positionH relativeFrom="column">
                <wp:align>center</wp:align>
              </wp:positionH>
              <wp:positionV relativeFrom="paragraph">
                <wp:posOffset>635</wp:posOffset>
              </wp:positionV>
              <wp:extent cx="443865" cy="443865"/>
              <wp:effectExtent l="0" t="0" r="635" b="1079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FF96CC" w14:textId="1A48FB56" w:rsidR="00776133" w:rsidRPr="00776133" w:rsidRDefault="00776133">
                          <w:pPr>
                            <w:rPr>
                              <w:rFonts w:eastAsia="Calibri"/>
                              <w:color w:val="FF0000"/>
                              <w:sz w:val="24"/>
                              <w:szCs w:val="24"/>
                            </w:rPr>
                          </w:pPr>
                          <w:r w:rsidRPr="00776133">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B72198" id="_x0000_t202" coordsize="21600,21600" o:spt="202" path="m,l,21600r21600,l21600,xe">
              <v:stroke joinstyle="miter"/>
              <v:path gradientshapeok="t" o:connecttype="rect"/>
            </v:shapetype>
            <v:shape id="Text Box 11" o:spid="_x0000_s1031" type="#_x0000_t202" alt="OFFI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i2IYgJAIAAE8EAAAOAAAAAAAAAAAAAAAAAC4CAABkcnMvZTJvRG9jLnhtbFBLAQIt&#10;ABQABgAIAAAAIQCEsNMo1gAAAAMBAAAPAAAAAAAAAAAAAAAAAH4EAABkcnMvZG93bnJldi54bWxQ&#10;SwUGAAAAAAQABADzAAAAgQUAAAAA&#10;" filled="f" stroked="f">
              <v:fill o:detectmouseclick="t"/>
              <v:textbox style="mso-fit-shape-to-text:t" inset="0,0,0,0">
                <w:txbxContent>
                  <w:p w14:paraId="5AFF96CC" w14:textId="1A48FB56" w:rsidR="00776133" w:rsidRPr="00776133" w:rsidRDefault="00776133">
                    <w:pPr>
                      <w:rPr>
                        <w:rFonts w:eastAsia="Calibri"/>
                        <w:color w:val="FF0000"/>
                        <w:sz w:val="24"/>
                        <w:szCs w:val="24"/>
                      </w:rPr>
                    </w:pPr>
                    <w:r w:rsidRPr="00776133">
                      <w:rPr>
                        <w:rFonts w:eastAsia="Calibri"/>
                        <w:color w:val="FF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BC04" w14:textId="1A5A29EA" w:rsidR="00776133" w:rsidRDefault="007761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CD35" w14:textId="328BEAA9" w:rsidR="00776133" w:rsidRDefault="00776133">
    <w:pPr>
      <w:pStyle w:val="Header"/>
    </w:pPr>
    <w:r>
      <w:rPr>
        <w:noProof/>
      </w:rPr>
      <mc:AlternateContent>
        <mc:Choice Requires="wps">
          <w:drawing>
            <wp:anchor distT="0" distB="0" distL="0" distR="0" simplePos="0" relativeHeight="251661824" behindDoc="0" locked="0" layoutInCell="1" allowOverlap="1" wp14:anchorId="3CB62FFC" wp14:editId="29D41882">
              <wp:simplePos x="635" y="635"/>
              <wp:positionH relativeFrom="column">
                <wp:align>center</wp:align>
              </wp:positionH>
              <wp:positionV relativeFrom="paragraph">
                <wp:posOffset>635</wp:posOffset>
              </wp:positionV>
              <wp:extent cx="443865" cy="443865"/>
              <wp:effectExtent l="0" t="0" r="635" b="1079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229CD" w14:textId="65DA6C5F" w:rsidR="00776133" w:rsidRPr="00776133" w:rsidRDefault="00776133">
                          <w:pPr>
                            <w:rPr>
                              <w:rFonts w:eastAsia="Calibri"/>
                              <w:color w:val="FF0000"/>
                              <w:sz w:val="24"/>
                              <w:szCs w:val="24"/>
                            </w:rPr>
                          </w:pPr>
                          <w:r w:rsidRPr="00776133">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B62FFC" id="_x0000_t202" coordsize="21600,21600" o:spt="202" path="m,l,21600r21600,l21600,xe">
              <v:stroke joinstyle="miter"/>
              <v:path gradientshapeok="t" o:connecttype="rect"/>
            </v:shapetype>
            <v:shape id="Text Box 10" o:spid="_x0000_s1032" type="#_x0000_t202" alt="OFFI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OL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U2aziy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3A1229CD" w14:textId="65DA6C5F" w:rsidR="00776133" w:rsidRPr="00776133" w:rsidRDefault="00776133">
                    <w:pPr>
                      <w:rPr>
                        <w:rFonts w:eastAsia="Calibri"/>
                        <w:color w:val="FF0000"/>
                        <w:sz w:val="24"/>
                        <w:szCs w:val="24"/>
                      </w:rPr>
                    </w:pPr>
                    <w:r w:rsidRPr="00776133">
                      <w:rPr>
                        <w:rFonts w:eastAsia="Calibri"/>
                        <w:color w:val="FF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7DE7" w14:textId="3A0336F2" w:rsidR="00F54429" w:rsidRDefault="00776133">
    <w:pPr>
      <w:pStyle w:val="Header"/>
    </w:pPr>
    <w:r>
      <w:rPr>
        <w:noProof/>
      </w:rPr>
      <mc:AlternateContent>
        <mc:Choice Requires="wps">
          <w:drawing>
            <wp:anchor distT="0" distB="0" distL="0" distR="0" simplePos="0" relativeHeight="251665920" behindDoc="0" locked="0" layoutInCell="1" allowOverlap="1" wp14:anchorId="285FA906" wp14:editId="506EC732">
              <wp:simplePos x="635" y="635"/>
              <wp:positionH relativeFrom="column">
                <wp:align>center</wp:align>
              </wp:positionH>
              <wp:positionV relativeFrom="paragraph">
                <wp:posOffset>635</wp:posOffset>
              </wp:positionV>
              <wp:extent cx="443865" cy="443865"/>
              <wp:effectExtent l="0" t="0" r="635" b="1079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75BC0" w14:textId="1297CBE4" w:rsidR="00776133" w:rsidRPr="00776133" w:rsidRDefault="00776133">
                          <w:pPr>
                            <w:rPr>
                              <w:rFonts w:eastAsia="Calibri"/>
                              <w:color w:val="FF0000"/>
                              <w:sz w:val="24"/>
                              <w:szCs w:val="24"/>
                            </w:rPr>
                          </w:pPr>
                          <w:r w:rsidRPr="00776133">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5FA906" id="_x0000_t202" coordsize="21600,21600" o:spt="202" path="m,l,21600r21600,l21600,xe">
              <v:stroke joinstyle="miter"/>
              <v:path gradientshapeok="t" o:connecttype="rect"/>
            </v:shapetype>
            <v:shape id="Text Box 14" o:spid="_x0000_s1033" type="#_x0000_t202" alt="OFFICIAL" style="position:absolute;margin-left:0;margin-top:.05pt;width:34.95pt;height:34.95pt;z-index:251665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P4zu3M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7E475BC0" w14:textId="1297CBE4" w:rsidR="00776133" w:rsidRPr="00776133" w:rsidRDefault="00776133">
                    <w:pPr>
                      <w:rPr>
                        <w:rFonts w:eastAsia="Calibri"/>
                        <w:color w:val="FF0000"/>
                        <w:sz w:val="24"/>
                        <w:szCs w:val="24"/>
                      </w:rPr>
                    </w:pPr>
                    <w:r w:rsidRPr="00776133">
                      <w:rPr>
                        <w:rFonts w:eastAsia="Calibri"/>
                        <w:color w:val="FF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C5C3" w14:textId="62404E2F" w:rsidR="00F54429" w:rsidRDefault="00776133">
    <w:pPr>
      <w:pStyle w:val="Header"/>
    </w:pPr>
    <w:r>
      <w:rPr>
        <w:noProof/>
      </w:rPr>
      <mc:AlternateContent>
        <mc:Choice Requires="wps">
          <w:drawing>
            <wp:anchor distT="0" distB="0" distL="0" distR="0" simplePos="0" relativeHeight="251666944" behindDoc="0" locked="0" layoutInCell="1" allowOverlap="1" wp14:anchorId="580455E3" wp14:editId="5B70BD2C">
              <wp:simplePos x="635" y="635"/>
              <wp:positionH relativeFrom="column">
                <wp:align>center</wp:align>
              </wp:positionH>
              <wp:positionV relativeFrom="paragraph">
                <wp:posOffset>635</wp:posOffset>
              </wp:positionV>
              <wp:extent cx="443865" cy="443865"/>
              <wp:effectExtent l="0" t="0" r="635" b="1079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7FB2C" w14:textId="43EB6A93" w:rsidR="00776133" w:rsidRPr="00776133" w:rsidRDefault="00776133">
                          <w:pPr>
                            <w:rPr>
                              <w:rFonts w:eastAsia="Calibri"/>
                              <w:color w:val="FF0000"/>
                              <w:sz w:val="24"/>
                              <w:szCs w:val="24"/>
                            </w:rPr>
                          </w:pPr>
                          <w:r w:rsidRPr="00776133">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0455E3" id="_x0000_t202" coordsize="21600,21600" o:spt="202" path="m,l,21600r21600,l21600,xe">
              <v:stroke joinstyle="miter"/>
              <v:path gradientshapeok="t" o:connecttype="rect"/>
            </v:shapetype>
            <v:shape id="_x0000_s1034" type="#_x0000_t202" alt="OFFICIAL" style="position:absolute;margin-left:0;margin-top:.05pt;width:34.95pt;height:34.95pt;z-index:251666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T42O2C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0677FB2C" w14:textId="43EB6A93" w:rsidR="00776133" w:rsidRPr="00776133" w:rsidRDefault="00776133">
                    <w:pPr>
                      <w:rPr>
                        <w:rFonts w:eastAsia="Calibri"/>
                        <w:color w:val="FF0000"/>
                        <w:sz w:val="24"/>
                        <w:szCs w:val="24"/>
                      </w:rPr>
                    </w:pPr>
                    <w:r w:rsidRPr="00776133">
                      <w:rPr>
                        <w:rFonts w:eastAsia="Calibri"/>
                        <w:color w:val="FF0000"/>
                        <w:sz w:val="24"/>
                        <w:szCs w:val="24"/>
                      </w:rPr>
                      <w:t>OFFICIAL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CF09" w14:textId="6E884295" w:rsidR="00F54429" w:rsidRDefault="00776133">
    <w:pPr>
      <w:pStyle w:val="Header"/>
    </w:pPr>
    <w:r>
      <w:rPr>
        <w:noProof/>
      </w:rPr>
      <mc:AlternateContent>
        <mc:Choice Requires="wps">
          <w:drawing>
            <wp:anchor distT="0" distB="0" distL="0" distR="0" simplePos="0" relativeHeight="251664896" behindDoc="0" locked="0" layoutInCell="1" allowOverlap="1" wp14:anchorId="7C6F3920" wp14:editId="15B97BA2">
              <wp:simplePos x="635" y="635"/>
              <wp:positionH relativeFrom="column">
                <wp:align>center</wp:align>
              </wp:positionH>
              <wp:positionV relativeFrom="paragraph">
                <wp:posOffset>635</wp:posOffset>
              </wp:positionV>
              <wp:extent cx="443865" cy="443865"/>
              <wp:effectExtent l="0" t="0" r="635" b="10795"/>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161C0" w14:textId="074FC990" w:rsidR="00776133" w:rsidRPr="00776133" w:rsidRDefault="00776133">
                          <w:pPr>
                            <w:rPr>
                              <w:rFonts w:eastAsia="Calibri"/>
                              <w:color w:val="FF0000"/>
                              <w:sz w:val="24"/>
                              <w:szCs w:val="24"/>
                            </w:rPr>
                          </w:pPr>
                          <w:r w:rsidRPr="00776133">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6F3920" id="_x0000_t202" coordsize="21600,21600" o:spt="202" path="m,l,21600r21600,l21600,xe">
              <v:stroke joinstyle="miter"/>
              <v:path gradientshapeok="t" o:connecttype="rect"/>
            </v:shapetype>
            <v:shape id="Text Box 13" o:spid="_x0000_s1035" type="#_x0000_t202" alt="OFFICI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MGjnK0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204161C0" w14:textId="074FC990" w:rsidR="00776133" w:rsidRPr="00776133" w:rsidRDefault="00776133">
                    <w:pPr>
                      <w:rPr>
                        <w:rFonts w:eastAsia="Calibri"/>
                        <w:color w:val="FF0000"/>
                        <w:sz w:val="24"/>
                        <w:szCs w:val="24"/>
                      </w:rPr>
                    </w:pPr>
                    <w:r w:rsidRPr="00776133">
                      <w:rPr>
                        <w:rFonts w:eastAsia="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185"/>
    <w:multiLevelType w:val="hybridMultilevel"/>
    <w:tmpl w:val="90E2D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61F54"/>
    <w:multiLevelType w:val="hybridMultilevel"/>
    <w:tmpl w:val="21FABF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BD594F"/>
    <w:multiLevelType w:val="hybridMultilevel"/>
    <w:tmpl w:val="D3C6F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11230"/>
    <w:multiLevelType w:val="multilevel"/>
    <w:tmpl w:val="DB3A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7694C"/>
    <w:multiLevelType w:val="multilevel"/>
    <w:tmpl w:val="942A9548"/>
    <w:lvl w:ilvl="0">
      <w:start w:val="4"/>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98640CE"/>
    <w:multiLevelType w:val="hybridMultilevel"/>
    <w:tmpl w:val="729C6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D204CD"/>
    <w:multiLevelType w:val="hybridMultilevel"/>
    <w:tmpl w:val="DAE66D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F677D2"/>
    <w:multiLevelType w:val="hybridMultilevel"/>
    <w:tmpl w:val="1342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A4259C"/>
    <w:multiLevelType w:val="multilevel"/>
    <w:tmpl w:val="F932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76F4D"/>
    <w:multiLevelType w:val="hybridMultilevel"/>
    <w:tmpl w:val="5BFC665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384474D"/>
    <w:multiLevelType w:val="multilevel"/>
    <w:tmpl w:val="348C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411"/>
    <w:multiLevelType w:val="hybridMultilevel"/>
    <w:tmpl w:val="DCF083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8FD2671"/>
    <w:multiLevelType w:val="multilevel"/>
    <w:tmpl w:val="F650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F25F1"/>
    <w:multiLevelType w:val="hybridMultilevel"/>
    <w:tmpl w:val="71E03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C38E2"/>
    <w:multiLevelType w:val="hybridMultilevel"/>
    <w:tmpl w:val="6512B8F8"/>
    <w:lvl w:ilvl="0" w:tplc="0C09000F">
      <w:start w:val="1"/>
      <w:numFmt w:val="decimal"/>
      <w:lvlText w:val="%1."/>
      <w:lvlJc w:val="left"/>
      <w:pPr>
        <w:ind w:left="6081" w:hanging="360"/>
      </w:pPr>
      <w:rPr>
        <w:rFonts w:hint="default"/>
      </w:rPr>
    </w:lvl>
    <w:lvl w:ilvl="1" w:tplc="0C090003" w:tentative="1">
      <w:start w:val="1"/>
      <w:numFmt w:val="bullet"/>
      <w:lvlText w:val="o"/>
      <w:lvlJc w:val="left"/>
      <w:pPr>
        <w:ind w:left="6801" w:hanging="360"/>
      </w:pPr>
      <w:rPr>
        <w:rFonts w:ascii="Courier New" w:hAnsi="Courier New" w:cs="Courier New" w:hint="default"/>
      </w:rPr>
    </w:lvl>
    <w:lvl w:ilvl="2" w:tplc="0C090005" w:tentative="1">
      <w:start w:val="1"/>
      <w:numFmt w:val="bullet"/>
      <w:lvlText w:val=""/>
      <w:lvlJc w:val="left"/>
      <w:pPr>
        <w:ind w:left="7521" w:hanging="360"/>
      </w:pPr>
      <w:rPr>
        <w:rFonts w:ascii="Wingdings" w:hAnsi="Wingdings" w:hint="default"/>
      </w:rPr>
    </w:lvl>
    <w:lvl w:ilvl="3" w:tplc="0C090001" w:tentative="1">
      <w:start w:val="1"/>
      <w:numFmt w:val="bullet"/>
      <w:lvlText w:val=""/>
      <w:lvlJc w:val="left"/>
      <w:pPr>
        <w:ind w:left="8241" w:hanging="360"/>
      </w:pPr>
      <w:rPr>
        <w:rFonts w:ascii="Symbol" w:hAnsi="Symbol" w:hint="default"/>
      </w:rPr>
    </w:lvl>
    <w:lvl w:ilvl="4" w:tplc="0C090003" w:tentative="1">
      <w:start w:val="1"/>
      <w:numFmt w:val="bullet"/>
      <w:lvlText w:val="o"/>
      <w:lvlJc w:val="left"/>
      <w:pPr>
        <w:ind w:left="8961" w:hanging="360"/>
      </w:pPr>
      <w:rPr>
        <w:rFonts w:ascii="Courier New" w:hAnsi="Courier New" w:cs="Courier New" w:hint="default"/>
      </w:rPr>
    </w:lvl>
    <w:lvl w:ilvl="5" w:tplc="0C090005" w:tentative="1">
      <w:start w:val="1"/>
      <w:numFmt w:val="bullet"/>
      <w:lvlText w:val=""/>
      <w:lvlJc w:val="left"/>
      <w:pPr>
        <w:ind w:left="9681" w:hanging="360"/>
      </w:pPr>
      <w:rPr>
        <w:rFonts w:ascii="Wingdings" w:hAnsi="Wingdings" w:hint="default"/>
      </w:rPr>
    </w:lvl>
    <w:lvl w:ilvl="6" w:tplc="0C090001" w:tentative="1">
      <w:start w:val="1"/>
      <w:numFmt w:val="bullet"/>
      <w:lvlText w:val=""/>
      <w:lvlJc w:val="left"/>
      <w:pPr>
        <w:ind w:left="10401" w:hanging="360"/>
      </w:pPr>
      <w:rPr>
        <w:rFonts w:ascii="Symbol" w:hAnsi="Symbol" w:hint="default"/>
      </w:rPr>
    </w:lvl>
    <w:lvl w:ilvl="7" w:tplc="0C090003" w:tentative="1">
      <w:start w:val="1"/>
      <w:numFmt w:val="bullet"/>
      <w:lvlText w:val="o"/>
      <w:lvlJc w:val="left"/>
      <w:pPr>
        <w:ind w:left="11121" w:hanging="360"/>
      </w:pPr>
      <w:rPr>
        <w:rFonts w:ascii="Courier New" w:hAnsi="Courier New" w:cs="Courier New" w:hint="default"/>
      </w:rPr>
    </w:lvl>
    <w:lvl w:ilvl="8" w:tplc="0C090005" w:tentative="1">
      <w:start w:val="1"/>
      <w:numFmt w:val="bullet"/>
      <w:lvlText w:val=""/>
      <w:lvlJc w:val="left"/>
      <w:pPr>
        <w:ind w:left="11841" w:hanging="360"/>
      </w:pPr>
      <w:rPr>
        <w:rFonts w:ascii="Wingdings" w:hAnsi="Wingdings" w:hint="default"/>
      </w:rPr>
    </w:lvl>
  </w:abstractNum>
  <w:abstractNum w:abstractNumId="15" w15:restartNumberingAfterBreak="0">
    <w:nsid w:val="5EA07596"/>
    <w:multiLevelType w:val="hybridMultilevel"/>
    <w:tmpl w:val="7F9290F0"/>
    <w:lvl w:ilvl="0" w:tplc="F1D4D94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E470E8"/>
    <w:multiLevelType w:val="hybridMultilevel"/>
    <w:tmpl w:val="AAF0364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7" w15:restartNumberingAfterBreak="0">
    <w:nsid w:val="6815389F"/>
    <w:multiLevelType w:val="hybridMultilevel"/>
    <w:tmpl w:val="BB04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965BED"/>
    <w:multiLevelType w:val="hybridMultilevel"/>
    <w:tmpl w:val="BE9CD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C803DD"/>
    <w:multiLevelType w:val="multilevel"/>
    <w:tmpl w:val="E97C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B5D75"/>
    <w:multiLevelType w:val="multilevel"/>
    <w:tmpl w:val="1148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2F1FF3"/>
    <w:multiLevelType w:val="hybridMultilevel"/>
    <w:tmpl w:val="7DFEDD0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1"/>
  </w:num>
  <w:num w:numId="2">
    <w:abstractNumId w:val="11"/>
  </w:num>
  <w:num w:numId="3">
    <w:abstractNumId w:val="2"/>
  </w:num>
  <w:num w:numId="4">
    <w:abstractNumId w:val="16"/>
  </w:num>
  <w:num w:numId="5">
    <w:abstractNumId w:val="7"/>
  </w:num>
  <w:num w:numId="6">
    <w:abstractNumId w:val="0"/>
  </w:num>
  <w:num w:numId="7">
    <w:abstractNumId w:val="15"/>
  </w:num>
  <w:num w:numId="8">
    <w:abstractNumId w:val="4"/>
  </w:num>
  <w:num w:numId="9">
    <w:abstractNumId w:val="12"/>
  </w:num>
  <w:num w:numId="10">
    <w:abstractNumId w:val="19"/>
  </w:num>
  <w:num w:numId="11">
    <w:abstractNumId w:val="3"/>
  </w:num>
  <w:num w:numId="12">
    <w:abstractNumId w:val="10"/>
  </w:num>
  <w:num w:numId="13">
    <w:abstractNumId w:val="5"/>
  </w:num>
  <w:num w:numId="14">
    <w:abstractNumId w:val="17"/>
  </w:num>
  <w:num w:numId="15">
    <w:abstractNumId w:val="14"/>
  </w:num>
  <w:num w:numId="16">
    <w:abstractNumId w:val="6"/>
  </w:num>
  <w:num w:numId="17">
    <w:abstractNumId w:val="18"/>
  </w:num>
  <w:num w:numId="18">
    <w:abstractNumId w:val="8"/>
  </w:num>
  <w:num w:numId="19">
    <w:abstractNumId w:val="20"/>
  </w:num>
  <w:num w:numId="20">
    <w:abstractNumId w:val="9"/>
  </w:num>
  <w:num w:numId="21">
    <w:abstractNumId w:val="13"/>
  </w:num>
  <w:num w:numId="2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colormru v:ext="edit" colors="#09c,#069,#004b7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28"/>
    <w:rsid w:val="00001EFD"/>
    <w:rsid w:val="00002C72"/>
    <w:rsid w:val="00003C38"/>
    <w:rsid w:val="00004C7D"/>
    <w:rsid w:val="000115C4"/>
    <w:rsid w:val="00011C64"/>
    <w:rsid w:val="0001386C"/>
    <w:rsid w:val="00022775"/>
    <w:rsid w:val="00023302"/>
    <w:rsid w:val="0002479D"/>
    <w:rsid w:val="00024B44"/>
    <w:rsid w:val="0003260B"/>
    <w:rsid w:val="00041129"/>
    <w:rsid w:val="00041DD6"/>
    <w:rsid w:val="00042604"/>
    <w:rsid w:val="00047EE6"/>
    <w:rsid w:val="00051418"/>
    <w:rsid w:val="00051DF5"/>
    <w:rsid w:val="00052B1E"/>
    <w:rsid w:val="00054F78"/>
    <w:rsid w:val="00057229"/>
    <w:rsid w:val="000613A3"/>
    <w:rsid w:val="00066301"/>
    <w:rsid w:val="00070B0E"/>
    <w:rsid w:val="0007314A"/>
    <w:rsid w:val="00076805"/>
    <w:rsid w:val="00081D5E"/>
    <w:rsid w:val="000929F4"/>
    <w:rsid w:val="00094E33"/>
    <w:rsid w:val="000A27C0"/>
    <w:rsid w:val="000A3197"/>
    <w:rsid w:val="000A34B7"/>
    <w:rsid w:val="000A35B3"/>
    <w:rsid w:val="000A53DE"/>
    <w:rsid w:val="000A63CC"/>
    <w:rsid w:val="000B0AB6"/>
    <w:rsid w:val="000B5A53"/>
    <w:rsid w:val="000B6C07"/>
    <w:rsid w:val="000C1736"/>
    <w:rsid w:val="000C448B"/>
    <w:rsid w:val="000D029B"/>
    <w:rsid w:val="000D329A"/>
    <w:rsid w:val="000D62DB"/>
    <w:rsid w:val="000E0085"/>
    <w:rsid w:val="000E39E7"/>
    <w:rsid w:val="000E3ED2"/>
    <w:rsid w:val="000F4CFE"/>
    <w:rsid w:val="000F5808"/>
    <w:rsid w:val="00102322"/>
    <w:rsid w:val="00107032"/>
    <w:rsid w:val="00112B03"/>
    <w:rsid w:val="00114021"/>
    <w:rsid w:val="00127900"/>
    <w:rsid w:val="00136150"/>
    <w:rsid w:val="00143B66"/>
    <w:rsid w:val="00144853"/>
    <w:rsid w:val="001534B5"/>
    <w:rsid w:val="00154BFC"/>
    <w:rsid w:val="00157523"/>
    <w:rsid w:val="00172918"/>
    <w:rsid w:val="001812DE"/>
    <w:rsid w:val="00192D63"/>
    <w:rsid w:val="00193CAB"/>
    <w:rsid w:val="00193D14"/>
    <w:rsid w:val="00195D1B"/>
    <w:rsid w:val="001A541A"/>
    <w:rsid w:val="001A5FA8"/>
    <w:rsid w:val="001B2D4F"/>
    <w:rsid w:val="001B624A"/>
    <w:rsid w:val="001C10C5"/>
    <w:rsid w:val="001C73F3"/>
    <w:rsid w:val="001D0749"/>
    <w:rsid w:val="001D337C"/>
    <w:rsid w:val="001D67ED"/>
    <w:rsid w:val="001E1640"/>
    <w:rsid w:val="001E22AB"/>
    <w:rsid w:val="001F5B7D"/>
    <w:rsid w:val="002025E2"/>
    <w:rsid w:val="00206EC8"/>
    <w:rsid w:val="00215EE1"/>
    <w:rsid w:val="00220865"/>
    <w:rsid w:val="002271B7"/>
    <w:rsid w:val="00227FCD"/>
    <w:rsid w:val="002319A3"/>
    <w:rsid w:val="00232623"/>
    <w:rsid w:val="00232707"/>
    <w:rsid w:val="00251EBF"/>
    <w:rsid w:val="00252132"/>
    <w:rsid w:val="0025628A"/>
    <w:rsid w:val="002624CD"/>
    <w:rsid w:val="0026279E"/>
    <w:rsid w:val="00262FF0"/>
    <w:rsid w:val="002651C2"/>
    <w:rsid w:val="00267F50"/>
    <w:rsid w:val="00270DA6"/>
    <w:rsid w:val="0027116E"/>
    <w:rsid w:val="00277F0F"/>
    <w:rsid w:val="00282218"/>
    <w:rsid w:val="00282DBE"/>
    <w:rsid w:val="0028514F"/>
    <w:rsid w:val="00291B7B"/>
    <w:rsid w:val="002A4DDD"/>
    <w:rsid w:val="002A5C57"/>
    <w:rsid w:val="002A7362"/>
    <w:rsid w:val="002A7F35"/>
    <w:rsid w:val="002C7001"/>
    <w:rsid w:val="002D587A"/>
    <w:rsid w:val="002E2B47"/>
    <w:rsid w:val="002F17D2"/>
    <w:rsid w:val="002F3062"/>
    <w:rsid w:val="003007CA"/>
    <w:rsid w:val="003067FE"/>
    <w:rsid w:val="00313268"/>
    <w:rsid w:val="003132CE"/>
    <w:rsid w:val="00317695"/>
    <w:rsid w:val="00324F80"/>
    <w:rsid w:val="00326BE6"/>
    <w:rsid w:val="0033288A"/>
    <w:rsid w:val="003335D3"/>
    <w:rsid w:val="003379B0"/>
    <w:rsid w:val="003465E7"/>
    <w:rsid w:val="0035023E"/>
    <w:rsid w:val="003566E8"/>
    <w:rsid w:val="00364DAD"/>
    <w:rsid w:val="003727E4"/>
    <w:rsid w:val="0037416A"/>
    <w:rsid w:val="003818E3"/>
    <w:rsid w:val="00386779"/>
    <w:rsid w:val="003A4C2B"/>
    <w:rsid w:val="003A6BE1"/>
    <w:rsid w:val="003B27A3"/>
    <w:rsid w:val="003B3E3E"/>
    <w:rsid w:val="003C3C1B"/>
    <w:rsid w:val="003C3CE0"/>
    <w:rsid w:val="003C7D14"/>
    <w:rsid w:val="003D2D75"/>
    <w:rsid w:val="003D37B7"/>
    <w:rsid w:val="003D5E2B"/>
    <w:rsid w:val="003D6DCC"/>
    <w:rsid w:val="003E0075"/>
    <w:rsid w:val="003E082E"/>
    <w:rsid w:val="003E21CA"/>
    <w:rsid w:val="003E38C1"/>
    <w:rsid w:val="003E6D0F"/>
    <w:rsid w:val="003F3FB1"/>
    <w:rsid w:val="003F5A64"/>
    <w:rsid w:val="00401AC6"/>
    <w:rsid w:val="00405332"/>
    <w:rsid w:val="004069A6"/>
    <w:rsid w:val="004079FD"/>
    <w:rsid w:val="0041755D"/>
    <w:rsid w:val="00421E78"/>
    <w:rsid w:val="004226E3"/>
    <w:rsid w:val="00423445"/>
    <w:rsid w:val="00426D41"/>
    <w:rsid w:val="00431818"/>
    <w:rsid w:val="00432C50"/>
    <w:rsid w:val="00432D62"/>
    <w:rsid w:val="00454BAD"/>
    <w:rsid w:val="004611FC"/>
    <w:rsid w:val="004639A0"/>
    <w:rsid w:val="00471BBB"/>
    <w:rsid w:val="00475417"/>
    <w:rsid w:val="004777B7"/>
    <w:rsid w:val="00481879"/>
    <w:rsid w:val="004831E3"/>
    <w:rsid w:val="00483E69"/>
    <w:rsid w:val="0048786B"/>
    <w:rsid w:val="0049110D"/>
    <w:rsid w:val="004951DD"/>
    <w:rsid w:val="0049573B"/>
    <w:rsid w:val="004A2CDC"/>
    <w:rsid w:val="004A6D11"/>
    <w:rsid w:val="004B0FEE"/>
    <w:rsid w:val="004B4C84"/>
    <w:rsid w:val="004B6E67"/>
    <w:rsid w:val="004C5C6A"/>
    <w:rsid w:val="004C7DF0"/>
    <w:rsid w:val="004D3721"/>
    <w:rsid w:val="004D3A22"/>
    <w:rsid w:val="004D5979"/>
    <w:rsid w:val="004E31BE"/>
    <w:rsid w:val="004E63C3"/>
    <w:rsid w:val="004E6736"/>
    <w:rsid w:val="004F2703"/>
    <w:rsid w:val="004F7498"/>
    <w:rsid w:val="004F7F6D"/>
    <w:rsid w:val="005010D3"/>
    <w:rsid w:val="00507566"/>
    <w:rsid w:val="00507B1A"/>
    <w:rsid w:val="005135CD"/>
    <w:rsid w:val="0051642E"/>
    <w:rsid w:val="005170C4"/>
    <w:rsid w:val="00522F38"/>
    <w:rsid w:val="005367B0"/>
    <w:rsid w:val="00536934"/>
    <w:rsid w:val="00537397"/>
    <w:rsid w:val="00544296"/>
    <w:rsid w:val="00547878"/>
    <w:rsid w:val="00551D8D"/>
    <w:rsid w:val="00553426"/>
    <w:rsid w:val="005540AB"/>
    <w:rsid w:val="005561E5"/>
    <w:rsid w:val="00556B5B"/>
    <w:rsid w:val="00557A9C"/>
    <w:rsid w:val="00561D65"/>
    <w:rsid w:val="00582BF4"/>
    <w:rsid w:val="00583875"/>
    <w:rsid w:val="00594619"/>
    <w:rsid w:val="005A17CD"/>
    <w:rsid w:val="005B0B3E"/>
    <w:rsid w:val="005B41B8"/>
    <w:rsid w:val="005B444A"/>
    <w:rsid w:val="005B7B25"/>
    <w:rsid w:val="005C3802"/>
    <w:rsid w:val="005C44F8"/>
    <w:rsid w:val="005C5CE5"/>
    <w:rsid w:val="005D08CB"/>
    <w:rsid w:val="005F0077"/>
    <w:rsid w:val="005F0FA8"/>
    <w:rsid w:val="005F421E"/>
    <w:rsid w:val="005F4A67"/>
    <w:rsid w:val="005F50B7"/>
    <w:rsid w:val="0060161F"/>
    <w:rsid w:val="006121BD"/>
    <w:rsid w:val="00622B3D"/>
    <w:rsid w:val="0063199C"/>
    <w:rsid w:val="0063210D"/>
    <w:rsid w:val="0063651E"/>
    <w:rsid w:val="00637F13"/>
    <w:rsid w:val="006406B1"/>
    <w:rsid w:val="00641C09"/>
    <w:rsid w:val="006456A4"/>
    <w:rsid w:val="00651357"/>
    <w:rsid w:val="00653CA9"/>
    <w:rsid w:val="006554E1"/>
    <w:rsid w:val="00656700"/>
    <w:rsid w:val="00664DD5"/>
    <w:rsid w:val="006672A7"/>
    <w:rsid w:val="006718F5"/>
    <w:rsid w:val="006762E8"/>
    <w:rsid w:val="00681599"/>
    <w:rsid w:val="00681C40"/>
    <w:rsid w:val="006841B2"/>
    <w:rsid w:val="006855A1"/>
    <w:rsid w:val="006867C9"/>
    <w:rsid w:val="00686D57"/>
    <w:rsid w:val="00687114"/>
    <w:rsid w:val="0068788F"/>
    <w:rsid w:val="00690199"/>
    <w:rsid w:val="00691A9A"/>
    <w:rsid w:val="00695CA6"/>
    <w:rsid w:val="006A0387"/>
    <w:rsid w:val="006A311C"/>
    <w:rsid w:val="006B134A"/>
    <w:rsid w:val="006B45B1"/>
    <w:rsid w:val="006B47D3"/>
    <w:rsid w:val="006B6B17"/>
    <w:rsid w:val="006C2BAA"/>
    <w:rsid w:val="006C3372"/>
    <w:rsid w:val="006C3A67"/>
    <w:rsid w:val="006C5EBF"/>
    <w:rsid w:val="006C6267"/>
    <w:rsid w:val="006D23F0"/>
    <w:rsid w:val="006E0713"/>
    <w:rsid w:val="006F6AF2"/>
    <w:rsid w:val="00705D41"/>
    <w:rsid w:val="0070689A"/>
    <w:rsid w:val="00710930"/>
    <w:rsid w:val="007117FF"/>
    <w:rsid w:val="00713E6C"/>
    <w:rsid w:val="0072024A"/>
    <w:rsid w:val="0072465F"/>
    <w:rsid w:val="007311F0"/>
    <w:rsid w:val="00731F95"/>
    <w:rsid w:val="0073495C"/>
    <w:rsid w:val="00741D7F"/>
    <w:rsid w:val="00747796"/>
    <w:rsid w:val="0075267F"/>
    <w:rsid w:val="00753513"/>
    <w:rsid w:val="007543BB"/>
    <w:rsid w:val="007608A3"/>
    <w:rsid w:val="0076194F"/>
    <w:rsid w:val="007636E2"/>
    <w:rsid w:val="007645F6"/>
    <w:rsid w:val="00765C2E"/>
    <w:rsid w:val="007743B6"/>
    <w:rsid w:val="00775F08"/>
    <w:rsid w:val="00776133"/>
    <w:rsid w:val="0077785D"/>
    <w:rsid w:val="00790985"/>
    <w:rsid w:val="00791850"/>
    <w:rsid w:val="007C1775"/>
    <w:rsid w:val="007C3605"/>
    <w:rsid w:val="007D2D5B"/>
    <w:rsid w:val="007E21E0"/>
    <w:rsid w:val="007E5F87"/>
    <w:rsid w:val="007E7CA8"/>
    <w:rsid w:val="007F381B"/>
    <w:rsid w:val="00803A25"/>
    <w:rsid w:val="008102A3"/>
    <w:rsid w:val="008153A5"/>
    <w:rsid w:val="00817ACF"/>
    <w:rsid w:val="008242BC"/>
    <w:rsid w:val="00837425"/>
    <w:rsid w:val="008435B2"/>
    <w:rsid w:val="00845902"/>
    <w:rsid w:val="00847A67"/>
    <w:rsid w:val="0085740B"/>
    <w:rsid w:val="00860858"/>
    <w:rsid w:val="008614CE"/>
    <w:rsid w:val="0087080A"/>
    <w:rsid w:val="00872775"/>
    <w:rsid w:val="00872A61"/>
    <w:rsid w:val="00873CDC"/>
    <w:rsid w:val="008860BB"/>
    <w:rsid w:val="0088681A"/>
    <w:rsid w:val="0088683D"/>
    <w:rsid w:val="00891D94"/>
    <w:rsid w:val="00892687"/>
    <w:rsid w:val="00894018"/>
    <w:rsid w:val="0089420F"/>
    <w:rsid w:val="00894297"/>
    <w:rsid w:val="00894E25"/>
    <w:rsid w:val="008A71E0"/>
    <w:rsid w:val="008A7DDB"/>
    <w:rsid w:val="008B2823"/>
    <w:rsid w:val="008C7CC1"/>
    <w:rsid w:val="008D0153"/>
    <w:rsid w:val="008D157F"/>
    <w:rsid w:val="008D3B6A"/>
    <w:rsid w:val="008D4732"/>
    <w:rsid w:val="008D49F7"/>
    <w:rsid w:val="008E54BE"/>
    <w:rsid w:val="008E6278"/>
    <w:rsid w:val="008F0BD7"/>
    <w:rsid w:val="008F5199"/>
    <w:rsid w:val="00902053"/>
    <w:rsid w:val="0090377C"/>
    <w:rsid w:val="00913DDF"/>
    <w:rsid w:val="00914759"/>
    <w:rsid w:val="009150A4"/>
    <w:rsid w:val="00915F19"/>
    <w:rsid w:val="00920429"/>
    <w:rsid w:val="00922E79"/>
    <w:rsid w:val="00937F65"/>
    <w:rsid w:val="00945385"/>
    <w:rsid w:val="00945773"/>
    <w:rsid w:val="0094769B"/>
    <w:rsid w:val="00953DA1"/>
    <w:rsid w:val="00963151"/>
    <w:rsid w:val="009756D6"/>
    <w:rsid w:val="00977BA4"/>
    <w:rsid w:val="0098358B"/>
    <w:rsid w:val="00985938"/>
    <w:rsid w:val="00995A83"/>
    <w:rsid w:val="009960EE"/>
    <w:rsid w:val="009A02C2"/>
    <w:rsid w:val="009A1FDD"/>
    <w:rsid w:val="009A21E3"/>
    <w:rsid w:val="009B3442"/>
    <w:rsid w:val="009B6EC2"/>
    <w:rsid w:val="009C23D4"/>
    <w:rsid w:val="009C3156"/>
    <w:rsid w:val="009C5A22"/>
    <w:rsid w:val="009C7C9B"/>
    <w:rsid w:val="009D3703"/>
    <w:rsid w:val="009D7812"/>
    <w:rsid w:val="009E6B53"/>
    <w:rsid w:val="009E7163"/>
    <w:rsid w:val="009F1977"/>
    <w:rsid w:val="009F2067"/>
    <w:rsid w:val="009F3B6D"/>
    <w:rsid w:val="009F7B58"/>
    <w:rsid w:val="00A01053"/>
    <w:rsid w:val="00A05F25"/>
    <w:rsid w:val="00A13967"/>
    <w:rsid w:val="00A15231"/>
    <w:rsid w:val="00A31BAD"/>
    <w:rsid w:val="00A3215D"/>
    <w:rsid w:val="00A373A1"/>
    <w:rsid w:val="00A435EF"/>
    <w:rsid w:val="00A4410E"/>
    <w:rsid w:val="00A466B8"/>
    <w:rsid w:val="00A47E21"/>
    <w:rsid w:val="00A504ED"/>
    <w:rsid w:val="00A50B16"/>
    <w:rsid w:val="00A51CB3"/>
    <w:rsid w:val="00A63784"/>
    <w:rsid w:val="00A770AA"/>
    <w:rsid w:val="00A8044C"/>
    <w:rsid w:val="00A80A44"/>
    <w:rsid w:val="00A81365"/>
    <w:rsid w:val="00A81EDC"/>
    <w:rsid w:val="00A8239E"/>
    <w:rsid w:val="00A829AC"/>
    <w:rsid w:val="00A86E7B"/>
    <w:rsid w:val="00A93BF9"/>
    <w:rsid w:val="00A94B29"/>
    <w:rsid w:val="00A97415"/>
    <w:rsid w:val="00AA13D1"/>
    <w:rsid w:val="00AA2009"/>
    <w:rsid w:val="00AA39A4"/>
    <w:rsid w:val="00AA3A6D"/>
    <w:rsid w:val="00AB0792"/>
    <w:rsid w:val="00AB25AB"/>
    <w:rsid w:val="00AB7741"/>
    <w:rsid w:val="00AC4265"/>
    <w:rsid w:val="00AC6CFB"/>
    <w:rsid w:val="00AD4DA2"/>
    <w:rsid w:val="00AE6020"/>
    <w:rsid w:val="00AF11C3"/>
    <w:rsid w:val="00AF32C2"/>
    <w:rsid w:val="00AF57C5"/>
    <w:rsid w:val="00B02050"/>
    <w:rsid w:val="00B06CF1"/>
    <w:rsid w:val="00B076BB"/>
    <w:rsid w:val="00B07C68"/>
    <w:rsid w:val="00B1068A"/>
    <w:rsid w:val="00B10E1F"/>
    <w:rsid w:val="00B142FF"/>
    <w:rsid w:val="00B1461F"/>
    <w:rsid w:val="00B17C7A"/>
    <w:rsid w:val="00B23E9C"/>
    <w:rsid w:val="00B24109"/>
    <w:rsid w:val="00B241AC"/>
    <w:rsid w:val="00B24F4C"/>
    <w:rsid w:val="00B27B42"/>
    <w:rsid w:val="00B40242"/>
    <w:rsid w:val="00B416E2"/>
    <w:rsid w:val="00B4403F"/>
    <w:rsid w:val="00B47083"/>
    <w:rsid w:val="00B473D1"/>
    <w:rsid w:val="00B4797A"/>
    <w:rsid w:val="00B56834"/>
    <w:rsid w:val="00B56E5F"/>
    <w:rsid w:val="00B60927"/>
    <w:rsid w:val="00B619D8"/>
    <w:rsid w:val="00B67C49"/>
    <w:rsid w:val="00B70917"/>
    <w:rsid w:val="00B72E36"/>
    <w:rsid w:val="00B732C8"/>
    <w:rsid w:val="00B75023"/>
    <w:rsid w:val="00B751F3"/>
    <w:rsid w:val="00B77375"/>
    <w:rsid w:val="00B82FA6"/>
    <w:rsid w:val="00B8432E"/>
    <w:rsid w:val="00B85C31"/>
    <w:rsid w:val="00B921AB"/>
    <w:rsid w:val="00B92DEC"/>
    <w:rsid w:val="00B92FCE"/>
    <w:rsid w:val="00B93622"/>
    <w:rsid w:val="00B96F45"/>
    <w:rsid w:val="00BA59A4"/>
    <w:rsid w:val="00BA6119"/>
    <w:rsid w:val="00BB0884"/>
    <w:rsid w:val="00BB19ED"/>
    <w:rsid w:val="00BB280B"/>
    <w:rsid w:val="00BB7232"/>
    <w:rsid w:val="00BB7755"/>
    <w:rsid w:val="00BC5E73"/>
    <w:rsid w:val="00BC6D3D"/>
    <w:rsid w:val="00BE21AD"/>
    <w:rsid w:val="00BE5729"/>
    <w:rsid w:val="00C03385"/>
    <w:rsid w:val="00C1279D"/>
    <w:rsid w:val="00C12F7E"/>
    <w:rsid w:val="00C139DD"/>
    <w:rsid w:val="00C166A7"/>
    <w:rsid w:val="00C1742D"/>
    <w:rsid w:val="00C32BA6"/>
    <w:rsid w:val="00C37727"/>
    <w:rsid w:val="00C422C6"/>
    <w:rsid w:val="00C508AC"/>
    <w:rsid w:val="00C513EF"/>
    <w:rsid w:val="00C57037"/>
    <w:rsid w:val="00C62EF7"/>
    <w:rsid w:val="00C642FE"/>
    <w:rsid w:val="00C6527C"/>
    <w:rsid w:val="00C67CE5"/>
    <w:rsid w:val="00C7146A"/>
    <w:rsid w:val="00C71644"/>
    <w:rsid w:val="00C720AA"/>
    <w:rsid w:val="00C74BFB"/>
    <w:rsid w:val="00C85539"/>
    <w:rsid w:val="00C90C2B"/>
    <w:rsid w:val="00C926A0"/>
    <w:rsid w:val="00CA0093"/>
    <w:rsid w:val="00CB0E62"/>
    <w:rsid w:val="00CB3141"/>
    <w:rsid w:val="00CC0332"/>
    <w:rsid w:val="00CC0D44"/>
    <w:rsid w:val="00CD68FC"/>
    <w:rsid w:val="00CD6E80"/>
    <w:rsid w:val="00CE3DE6"/>
    <w:rsid w:val="00CE6191"/>
    <w:rsid w:val="00CE643D"/>
    <w:rsid w:val="00CE68E1"/>
    <w:rsid w:val="00CE6CFC"/>
    <w:rsid w:val="00CF4239"/>
    <w:rsid w:val="00CF53FF"/>
    <w:rsid w:val="00D00100"/>
    <w:rsid w:val="00D0673B"/>
    <w:rsid w:val="00D067CE"/>
    <w:rsid w:val="00D074B1"/>
    <w:rsid w:val="00D163F9"/>
    <w:rsid w:val="00D231DE"/>
    <w:rsid w:val="00D30A02"/>
    <w:rsid w:val="00D348D2"/>
    <w:rsid w:val="00D4074F"/>
    <w:rsid w:val="00D44798"/>
    <w:rsid w:val="00D44F9B"/>
    <w:rsid w:val="00D512F5"/>
    <w:rsid w:val="00D531A4"/>
    <w:rsid w:val="00D53D51"/>
    <w:rsid w:val="00D57834"/>
    <w:rsid w:val="00D60AE1"/>
    <w:rsid w:val="00D63100"/>
    <w:rsid w:val="00D72C2A"/>
    <w:rsid w:val="00D761FA"/>
    <w:rsid w:val="00D85F77"/>
    <w:rsid w:val="00D862E3"/>
    <w:rsid w:val="00D86B0E"/>
    <w:rsid w:val="00D93161"/>
    <w:rsid w:val="00D931E3"/>
    <w:rsid w:val="00D93FC7"/>
    <w:rsid w:val="00D947F0"/>
    <w:rsid w:val="00D96747"/>
    <w:rsid w:val="00DA0C2E"/>
    <w:rsid w:val="00DA5ECE"/>
    <w:rsid w:val="00DA6551"/>
    <w:rsid w:val="00DA7001"/>
    <w:rsid w:val="00DB033B"/>
    <w:rsid w:val="00DB268D"/>
    <w:rsid w:val="00DC0168"/>
    <w:rsid w:val="00DC6902"/>
    <w:rsid w:val="00DD5A57"/>
    <w:rsid w:val="00DE24D8"/>
    <w:rsid w:val="00DE3D3C"/>
    <w:rsid w:val="00DE7B29"/>
    <w:rsid w:val="00DF10AD"/>
    <w:rsid w:val="00DF3819"/>
    <w:rsid w:val="00DF3F55"/>
    <w:rsid w:val="00DF5D98"/>
    <w:rsid w:val="00DF714C"/>
    <w:rsid w:val="00DF7EBA"/>
    <w:rsid w:val="00E07A3C"/>
    <w:rsid w:val="00E14416"/>
    <w:rsid w:val="00E16CE2"/>
    <w:rsid w:val="00E24657"/>
    <w:rsid w:val="00E24A95"/>
    <w:rsid w:val="00E252F0"/>
    <w:rsid w:val="00E25E7F"/>
    <w:rsid w:val="00E3471C"/>
    <w:rsid w:val="00E43C8D"/>
    <w:rsid w:val="00E5170A"/>
    <w:rsid w:val="00E56C5A"/>
    <w:rsid w:val="00E61448"/>
    <w:rsid w:val="00E63EDA"/>
    <w:rsid w:val="00E76696"/>
    <w:rsid w:val="00E81F36"/>
    <w:rsid w:val="00E8361B"/>
    <w:rsid w:val="00E91B90"/>
    <w:rsid w:val="00E93D9B"/>
    <w:rsid w:val="00E954CF"/>
    <w:rsid w:val="00E97295"/>
    <w:rsid w:val="00EC11BD"/>
    <w:rsid w:val="00EC41E0"/>
    <w:rsid w:val="00EC50F0"/>
    <w:rsid w:val="00ED0277"/>
    <w:rsid w:val="00ED2E1D"/>
    <w:rsid w:val="00ED653D"/>
    <w:rsid w:val="00EE0B07"/>
    <w:rsid w:val="00EF072C"/>
    <w:rsid w:val="00EF1C2D"/>
    <w:rsid w:val="00F0177C"/>
    <w:rsid w:val="00F034B9"/>
    <w:rsid w:val="00F03972"/>
    <w:rsid w:val="00F05B6E"/>
    <w:rsid w:val="00F133C0"/>
    <w:rsid w:val="00F14A07"/>
    <w:rsid w:val="00F2294B"/>
    <w:rsid w:val="00F22CE2"/>
    <w:rsid w:val="00F23E98"/>
    <w:rsid w:val="00F248AC"/>
    <w:rsid w:val="00F41A78"/>
    <w:rsid w:val="00F439D3"/>
    <w:rsid w:val="00F4411B"/>
    <w:rsid w:val="00F44FDC"/>
    <w:rsid w:val="00F5139C"/>
    <w:rsid w:val="00F542A9"/>
    <w:rsid w:val="00F54429"/>
    <w:rsid w:val="00F633EE"/>
    <w:rsid w:val="00F722A4"/>
    <w:rsid w:val="00F747F1"/>
    <w:rsid w:val="00F76BD7"/>
    <w:rsid w:val="00F811BF"/>
    <w:rsid w:val="00F84F0E"/>
    <w:rsid w:val="00F86E6E"/>
    <w:rsid w:val="00F87489"/>
    <w:rsid w:val="00F907BE"/>
    <w:rsid w:val="00FA2D9A"/>
    <w:rsid w:val="00FA6FC5"/>
    <w:rsid w:val="00FB02AD"/>
    <w:rsid w:val="00FB0A20"/>
    <w:rsid w:val="00FB5D9A"/>
    <w:rsid w:val="00FC725F"/>
    <w:rsid w:val="00FD0B45"/>
    <w:rsid w:val="00FD5D53"/>
    <w:rsid w:val="00FD7364"/>
    <w:rsid w:val="00FD7411"/>
    <w:rsid w:val="00FE48F0"/>
    <w:rsid w:val="00FE5C28"/>
    <w:rsid w:val="00FE6EE5"/>
    <w:rsid w:val="00FF3F7A"/>
    <w:rsid w:val="00FF4D48"/>
    <w:rsid w:val="00FF58F6"/>
    <w:rsid w:val="00FF7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004b70"/>
    </o:shapedefaults>
    <o:shapelayout v:ext="edit">
      <o:idmap v:ext="edit" data="2"/>
    </o:shapelayout>
  </w:shapeDefaults>
  <w:decimalSymbol w:val="."/>
  <w:listSeparator w:val=","/>
  <w14:docId w14:val="6E5E3534"/>
  <w15:docId w15:val="{01F022CB-7614-443C-8A1C-6CD2BCAC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otum"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C1"/>
    <w:pPr>
      <w:spacing w:after="200"/>
    </w:pPr>
    <w:rPr>
      <w:rFonts w:ascii="Calibri" w:hAnsi="Calibri" w:cs="Calibri"/>
      <w:sz w:val="22"/>
      <w:szCs w:val="22"/>
      <w:lang w:eastAsia="en-US"/>
    </w:rPr>
  </w:style>
  <w:style w:type="paragraph" w:styleId="Heading1">
    <w:name w:val="heading 1"/>
    <w:next w:val="Normal"/>
    <w:link w:val="Heading1Char"/>
    <w:uiPriority w:val="9"/>
    <w:qFormat/>
    <w:rsid w:val="00270DA6"/>
    <w:pPr>
      <w:pageBreakBefore/>
      <w:widowControl w:val="0"/>
      <w:pBdr>
        <w:top w:val="single" w:sz="48" w:space="1" w:color="D1282E"/>
        <w:left w:val="single" w:sz="48" w:space="4" w:color="D1282E"/>
        <w:bottom w:val="single" w:sz="48" w:space="1" w:color="D1282E"/>
        <w:right w:val="single" w:sz="48" w:space="4" w:color="D1282E"/>
      </w:pBdr>
      <w:shd w:val="clear" w:color="auto" w:fill="D1282E"/>
      <w:spacing w:after="240"/>
      <w:ind w:right="5"/>
      <w:outlineLvl w:val="0"/>
    </w:pPr>
    <w:rPr>
      <w:rFonts w:ascii="Calibri" w:eastAsia="HYGothic-Extra" w:hAnsi="Calibri" w:cs="Calibri"/>
      <w:bCs/>
      <w:color w:val="FFFFFF" w:themeColor="background1"/>
      <w:spacing w:val="-20"/>
      <w:sz w:val="60"/>
      <w:szCs w:val="60"/>
      <w:lang w:eastAsia="en-US"/>
    </w:rPr>
  </w:style>
  <w:style w:type="paragraph" w:styleId="Heading2">
    <w:name w:val="heading 2"/>
    <w:next w:val="Normal"/>
    <w:link w:val="Heading2Char"/>
    <w:uiPriority w:val="9"/>
    <w:unhideWhenUsed/>
    <w:qFormat/>
    <w:rsid w:val="00324F80"/>
    <w:pPr>
      <w:spacing w:before="360" w:after="120"/>
      <w:outlineLvl w:val="1"/>
    </w:pPr>
    <w:rPr>
      <w:caps/>
      <w:sz w:val="32"/>
      <w:szCs w:val="32"/>
      <w:lang w:eastAsia="en-US"/>
    </w:rPr>
  </w:style>
  <w:style w:type="paragraph" w:styleId="Heading3">
    <w:name w:val="heading 3"/>
    <w:next w:val="Normal"/>
    <w:link w:val="Heading3Char"/>
    <w:uiPriority w:val="9"/>
    <w:unhideWhenUsed/>
    <w:qFormat/>
    <w:rsid w:val="00922E79"/>
    <w:pPr>
      <w:spacing w:before="60"/>
      <w:outlineLvl w:val="2"/>
    </w:pPr>
    <w:rPr>
      <w:rFonts w:ascii="Calibri" w:eastAsia="HYGothic-Extra" w:hAnsi="Calibri" w:cs="Tahoma"/>
      <w:b/>
      <w:bCs/>
      <w:caps/>
      <w:color w:val="D1282E"/>
      <w:sz w:val="22"/>
      <w:szCs w:val="22"/>
      <w:lang w:eastAsia="en-US"/>
    </w:rPr>
  </w:style>
  <w:style w:type="paragraph" w:styleId="Heading4">
    <w:name w:val="heading 4"/>
    <w:basedOn w:val="Normal"/>
    <w:next w:val="Normal"/>
    <w:link w:val="Heading4Char"/>
    <w:uiPriority w:val="9"/>
    <w:unhideWhenUsed/>
    <w:qFormat/>
    <w:pPr>
      <w:keepNext/>
      <w:keepLines/>
      <w:spacing w:before="200" w:after="0"/>
      <w:outlineLvl w:val="3"/>
    </w:pPr>
    <w:rPr>
      <w:rFonts w:ascii="Arial Black" w:eastAsia="HYGothic-Extra" w:hAnsi="Arial Black" w:cs="Tahoma"/>
      <w:bCs/>
      <w:i/>
      <w:iCs/>
      <w:color w:val="7A7A7A"/>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HYGothic-Extra" w:cs="Tahoma"/>
      <w:b/>
      <w:color w:val="5B5B5B"/>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Arial Black" w:eastAsia="HYGothic-Extra" w:hAnsi="Arial Black" w:cs="Tahoma"/>
      <w:i/>
      <w:iCs/>
      <w:color w:val="5B5B5B"/>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HYGothic-Extra" w:cs="Tahoma"/>
      <w:b/>
      <w:iCs/>
      <w:color w:val="D1282E"/>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Arial Black" w:eastAsia="HYGothic-Extra" w:hAnsi="Arial Black" w:cs="Tahoma"/>
      <w:color w:val="7A7A7A"/>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Arial Black" w:eastAsia="HYGothic-Extra" w:hAnsi="Arial Black" w:cs="Tahoma"/>
      <w:i/>
      <w:iCs/>
      <w:color w:val="5B5B5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0DA6"/>
    <w:rPr>
      <w:rFonts w:ascii="Calibri" w:eastAsia="HYGothic-Extra" w:hAnsi="Calibri" w:cs="Calibri"/>
      <w:bCs/>
      <w:color w:val="FFFFFF" w:themeColor="background1"/>
      <w:spacing w:val="-20"/>
      <w:sz w:val="60"/>
      <w:szCs w:val="60"/>
      <w:shd w:val="clear" w:color="auto" w:fill="D1282E"/>
      <w:lang w:eastAsia="en-US"/>
    </w:rPr>
  </w:style>
  <w:style w:type="character" w:customStyle="1" w:styleId="Heading2Char">
    <w:name w:val="Heading 2 Char"/>
    <w:link w:val="Heading2"/>
    <w:uiPriority w:val="9"/>
    <w:rsid w:val="00324F80"/>
    <w:rPr>
      <w:caps/>
      <w:sz w:val="32"/>
      <w:szCs w:val="32"/>
      <w:lang w:eastAsia="en-US"/>
    </w:rPr>
  </w:style>
  <w:style w:type="character" w:customStyle="1" w:styleId="Heading3Char">
    <w:name w:val="Heading 3 Char"/>
    <w:link w:val="Heading3"/>
    <w:uiPriority w:val="9"/>
    <w:rsid w:val="00922E79"/>
    <w:rPr>
      <w:rFonts w:ascii="Calibri" w:eastAsia="HYGothic-Extra" w:hAnsi="Calibri" w:cs="Tahoma"/>
      <w:b/>
      <w:bCs/>
      <w:caps/>
      <w:color w:val="D1282E"/>
      <w:sz w:val="22"/>
      <w:szCs w:val="22"/>
      <w:lang w:eastAsia="en-US"/>
    </w:rPr>
  </w:style>
  <w:style w:type="character" w:customStyle="1" w:styleId="Heading4Char">
    <w:name w:val="Heading 4 Char"/>
    <w:link w:val="Heading4"/>
    <w:uiPriority w:val="9"/>
    <w:rPr>
      <w:rFonts w:ascii="Arial Black" w:eastAsia="HYGothic-Extra" w:hAnsi="Arial Black" w:cs="Tahoma"/>
      <w:bCs/>
      <w:i/>
      <w:iCs/>
      <w:color w:val="7A7A7A"/>
    </w:rPr>
  </w:style>
  <w:style w:type="character" w:customStyle="1" w:styleId="Heading5Char">
    <w:name w:val="Heading 5 Char"/>
    <w:link w:val="Heading5"/>
    <w:uiPriority w:val="9"/>
    <w:semiHidden/>
    <w:rPr>
      <w:rFonts w:eastAsia="HYGothic-Extra" w:cs="Tahoma"/>
      <w:b/>
      <w:color w:val="5B5B5B"/>
    </w:rPr>
  </w:style>
  <w:style w:type="character" w:customStyle="1" w:styleId="Heading6Char">
    <w:name w:val="Heading 6 Char"/>
    <w:link w:val="Heading6"/>
    <w:uiPriority w:val="9"/>
    <w:semiHidden/>
    <w:rPr>
      <w:rFonts w:ascii="Arial Black" w:eastAsia="HYGothic-Extra" w:hAnsi="Arial Black" w:cs="Tahoma"/>
      <w:i/>
      <w:iCs/>
      <w:color w:val="5B5B5B"/>
    </w:rPr>
  </w:style>
  <w:style w:type="character" w:customStyle="1" w:styleId="Heading7Char">
    <w:name w:val="Heading 7 Char"/>
    <w:link w:val="Heading7"/>
    <w:uiPriority w:val="9"/>
    <w:semiHidden/>
    <w:rPr>
      <w:rFonts w:eastAsia="HYGothic-Extra" w:cs="Tahoma"/>
      <w:b/>
      <w:iCs/>
      <w:color w:val="D1282E"/>
    </w:rPr>
  </w:style>
  <w:style w:type="character" w:customStyle="1" w:styleId="Heading8Char">
    <w:name w:val="Heading 8 Char"/>
    <w:link w:val="Heading8"/>
    <w:uiPriority w:val="9"/>
    <w:semiHidden/>
    <w:rPr>
      <w:rFonts w:ascii="Arial Black" w:eastAsia="HYGothic-Extra" w:hAnsi="Arial Black" w:cs="Tahoma"/>
      <w:color w:val="7A7A7A"/>
      <w:sz w:val="20"/>
      <w:szCs w:val="20"/>
    </w:rPr>
  </w:style>
  <w:style w:type="character" w:customStyle="1" w:styleId="Heading9Char">
    <w:name w:val="Heading 9 Char"/>
    <w:link w:val="Heading9"/>
    <w:uiPriority w:val="9"/>
    <w:semiHidden/>
    <w:rPr>
      <w:rFonts w:ascii="Arial Black" w:eastAsia="HYGothic-Extra" w:hAnsi="Arial Black" w:cs="Tahoma"/>
      <w:i/>
      <w:iCs/>
      <w:color w:val="5B5B5B"/>
      <w:sz w:val="20"/>
      <w:szCs w:val="20"/>
    </w:rPr>
  </w:style>
  <w:style w:type="paragraph" w:styleId="Caption">
    <w:name w:val="caption"/>
    <w:basedOn w:val="Normal"/>
    <w:next w:val="Normal"/>
    <w:uiPriority w:val="35"/>
    <w:unhideWhenUsed/>
    <w:qFormat/>
    <w:rsid w:val="0002479D"/>
    <w:rPr>
      <w:b/>
      <w:bCs/>
      <w:caps/>
      <w:color w:val="7A7A7A"/>
      <w:sz w:val="18"/>
      <w:szCs w:val="18"/>
    </w:rPr>
  </w:style>
  <w:style w:type="paragraph" w:styleId="Title">
    <w:name w:val="Title"/>
    <w:basedOn w:val="Normal"/>
    <w:next w:val="Normal"/>
    <w:link w:val="TitleChar"/>
    <w:uiPriority w:val="10"/>
    <w:qFormat/>
    <w:rsid w:val="00F03972"/>
    <w:pPr>
      <w:spacing w:before="360" w:after="60"/>
      <w:contextualSpacing/>
    </w:pPr>
    <w:rPr>
      <w:rFonts w:eastAsia="HYGothic-Extra"/>
      <w:b/>
      <w:caps/>
      <w:color w:val="005374"/>
      <w:spacing w:val="-20"/>
      <w:kern w:val="28"/>
      <w:sz w:val="60"/>
      <w:szCs w:val="60"/>
    </w:rPr>
  </w:style>
  <w:style w:type="character" w:customStyle="1" w:styleId="TitleChar">
    <w:name w:val="Title Char"/>
    <w:link w:val="Title"/>
    <w:uiPriority w:val="10"/>
    <w:rsid w:val="00F03972"/>
    <w:rPr>
      <w:rFonts w:ascii="Calibri" w:eastAsia="HYGothic-Extra" w:hAnsi="Calibri" w:cs="Calibri"/>
      <w:b/>
      <w:caps/>
      <w:color w:val="005374"/>
      <w:spacing w:val="-20"/>
      <w:kern w:val="28"/>
      <w:sz w:val="60"/>
      <w:szCs w:val="60"/>
      <w:lang w:eastAsia="en-US"/>
    </w:rPr>
  </w:style>
  <w:style w:type="paragraph" w:styleId="Subtitle">
    <w:name w:val="Subtitle"/>
    <w:basedOn w:val="Normal"/>
    <w:next w:val="Normal"/>
    <w:link w:val="SubtitleChar"/>
    <w:uiPriority w:val="11"/>
    <w:qFormat/>
    <w:rsid w:val="009960EE"/>
    <w:pPr>
      <w:numPr>
        <w:ilvl w:val="1"/>
      </w:numPr>
    </w:pPr>
    <w:rPr>
      <w:rFonts w:eastAsia="HYGothic-Extra"/>
      <w:b/>
      <w:bCs/>
      <w:iCs/>
      <w:color w:val="D1282E"/>
      <w:sz w:val="40"/>
      <w:szCs w:val="40"/>
    </w:rPr>
  </w:style>
  <w:style w:type="character" w:customStyle="1" w:styleId="SubtitleChar">
    <w:name w:val="Subtitle Char"/>
    <w:link w:val="Subtitle"/>
    <w:uiPriority w:val="11"/>
    <w:rsid w:val="009960EE"/>
    <w:rPr>
      <w:rFonts w:ascii="Calibri" w:eastAsia="HYGothic-Extra" w:hAnsi="Calibri" w:cs="Calibri"/>
      <w:b/>
      <w:bCs/>
      <w:iCs/>
      <w:color w:val="D1282E"/>
      <w:sz w:val="40"/>
      <w:szCs w:val="40"/>
      <w:lang w:val="en-US" w:eastAsia="en-US"/>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1"/>
    <w:qFormat/>
    <w:rsid w:val="004C7DF0"/>
    <w:rPr>
      <w:rFonts w:ascii="Calibri" w:hAnsi="Calibri" w:cs="Calibri"/>
      <w:sz w:val="22"/>
      <w:szCs w:val="22"/>
      <w:lang w:val="en-US" w:eastAsia="en-US"/>
    </w:rPr>
  </w:style>
  <w:style w:type="character" w:customStyle="1" w:styleId="NoSpacingChar">
    <w:name w:val="No Spacing Char"/>
    <w:basedOn w:val="DefaultParagraphFont"/>
    <w:link w:val="NoSpacing"/>
    <w:uiPriority w:val="1"/>
    <w:rsid w:val="004C7DF0"/>
    <w:rPr>
      <w:rFonts w:ascii="Calibri" w:hAnsi="Calibri" w:cs="Calibri"/>
      <w:sz w:val="22"/>
      <w:szCs w:val="22"/>
      <w:lang w:val="en-US" w:eastAsia="en-US"/>
    </w:rPr>
  </w:style>
  <w:style w:type="paragraph" w:styleId="ListParagraph">
    <w:name w:val="List Paragraph"/>
    <w:aliases w:val="Bullet table,List Paragraph1,Recommendation,Bullet point,List Paragraph11"/>
    <w:basedOn w:val="Normal"/>
    <w:link w:val="ListParagraphChar"/>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sz w:val="28"/>
    </w:rPr>
  </w:style>
  <w:style w:type="character" w:customStyle="1" w:styleId="QuoteChar">
    <w:name w:val="Quote Char"/>
    <w:link w:val="Quote"/>
    <w:uiPriority w:val="29"/>
    <w:rPr>
      <w:i/>
      <w:iCs/>
      <w:color w:val="7A7A7A"/>
      <w:sz w:val="28"/>
    </w:rPr>
  </w:style>
  <w:style w:type="paragraph" w:styleId="IntenseQuote">
    <w:name w:val="Intense Quote"/>
    <w:basedOn w:val="Normal"/>
    <w:next w:val="Normal"/>
    <w:link w:val="IntenseQuoteChar"/>
    <w:uiPriority w:val="30"/>
    <w:qFormat/>
    <w:pPr>
      <w:pBdr>
        <w:top w:val="single" w:sz="36" w:space="5" w:color="000000"/>
        <w:bottom w:val="single" w:sz="18" w:space="5" w:color="D1282E"/>
      </w:pBdr>
      <w:spacing w:before="200" w:after="280" w:line="360" w:lineRule="auto"/>
    </w:pPr>
    <w:rPr>
      <w:b/>
      <w:bCs/>
      <w:i/>
      <w:iCs/>
      <w:color w:val="7F7F7F"/>
      <w:sz w:val="26"/>
    </w:rPr>
  </w:style>
  <w:style w:type="character" w:customStyle="1" w:styleId="IntenseQuoteChar">
    <w:name w:val="Intense Quote Char"/>
    <w:link w:val="IntenseQuote"/>
    <w:uiPriority w:val="30"/>
    <w:rPr>
      <w:b/>
      <w:bCs/>
      <w:i/>
      <w:iCs/>
      <w:color w:val="7F7F7F"/>
      <w:sz w:val="26"/>
    </w:rPr>
  </w:style>
  <w:style w:type="character" w:styleId="SubtleEmphasis">
    <w:name w:val="Subtle Emphasis"/>
    <w:uiPriority w:val="19"/>
    <w:qFormat/>
    <w:rPr>
      <w:i/>
      <w:iCs/>
      <w:color w:val="7A7A7A"/>
    </w:rPr>
  </w:style>
  <w:style w:type="character" w:styleId="IntenseEmphasis">
    <w:name w:val="Intense Emphasis"/>
    <w:uiPriority w:val="21"/>
    <w:qFormat/>
    <w:rPr>
      <w:b/>
      <w:bCs/>
      <w:i/>
      <w:iCs/>
      <w:color w:val="D1282E"/>
    </w:rPr>
  </w:style>
  <w:style w:type="character" w:styleId="SubtleReference">
    <w:name w:val="Subtle Reference"/>
    <w:uiPriority w:val="31"/>
    <w:qFormat/>
    <w:rPr>
      <w:rFonts w:ascii="Arial" w:hAnsi="Arial"/>
      <w:smallCaps/>
      <w:color w:val="F5C201"/>
      <w:sz w:val="22"/>
      <w:u w:val="none"/>
    </w:rPr>
  </w:style>
  <w:style w:type="character" w:styleId="IntenseReference">
    <w:name w:val="Intense Reference"/>
    <w:uiPriority w:val="32"/>
    <w:qFormat/>
    <w:rPr>
      <w:rFonts w:ascii="Arial" w:hAnsi="Arial"/>
      <w:b/>
      <w:bCs/>
      <w:caps/>
      <w:color w:val="F5C201"/>
      <w:spacing w:val="5"/>
      <w:sz w:val="22"/>
      <w:u w:val="single"/>
    </w:rPr>
  </w:style>
  <w:style w:type="character" w:styleId="BookTitle">
    <w:name w:val="Book Title"/>
    <w:uiPriority w:val="33"/>
    <w:qFormat/>
    <w:rPr>
      <w:rFonts w:ascii="Arial" w:hAnsi="Arial"/>
      <w:b/>
      <w:bCs/>
      <w:caps/>
      <w:color w:val="3D3D3D"/>
      <w:spacing w:val="5"/>
      <w:sz w:val="22"/>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PlaceholderText">
    <w:name w:val="Placeholder Text"/>
    <w:uiPriority w:val="99"/>
    <w:rPr>
      <w:color w:val="808080"/>
    </w:rPr>
  </w:style>
  <w:style w:type="paragraph" w:styleId="Header">
    <w:name w:val="header"/>
    <w:basedOn w:val="Normal"/>
    <w:link w:val="HeaderChar"/>
    <w:uiPriority w:val="99"/>
    <w:unhideWhenUsed/>
    <w:pPr>
      <w:tabs>
        <w:tab w:val="center" w:pos="4680"/>
        <w:tab w:val="right" w:pos="9360"/>
      </w:tabs>
      <w:spacing w:after="0"/>
    </w:pPr>
    <w:rPr>
      <w:lang w:eastAsia="ja-JP"/>
    </w:rPr>
  </w:style>
  <w:style w:type="character" w:customStyle="1" w:styleId="HeaderChar">
    <w:name w:val="Header Char"/>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TOC1">
    <w:name w:val="toc 1"/>
    <w:basedOn w:val="Normal"/>
    <w:next w:val="Normal"/>
    <w:autoRedefine/>
    <w:uiPriority w:val="39"/>
    <w:unhideWhenUsed/>
    <w:qFormat/>
    <w:rsid w:val="00A86E7B"/>
    <w:pPr>
      <w:tabs>
        <w:tab w:val="right" w:leader="dot" w:pos="8931"/>
      </w:tabs>
    </w:pPr>
    <w:rPr>
      <w:rFonts w:asciiTheme="minorHAnsi" w:hAnsiTheme="minorHAnsi" w:cstheme="minorHAnsi"/>
      <w:b/>
      <w:caps/>
    </w:rPr>
  </w:style>
  <w:style w:type="paragraph" w:styleId="TOC2">
    <w:name w:val="toc 2"/>
    <w:basedOn w:val="Normal"/>
    <w:next w:val="Normal"/>
    <w:autoRedefine/>
    <w:uiPriority w:val="39"/>
    <w:unhideWhenUsed/>
    <w:qFormat/>
    <w:rsid w:val="00891D94"/>
    <w:pPr>
      <w:tabs>
        <w:tab w:val="right" w:leader="dot" w:pos="8931"/>
      </w:tabs>
      <w:ind w:left="220"/>
    </w:pPr>
    <w:rPr>
      <w:rFonts w:asciiTheme="minorHAnsi" w:hAnsiTheme="minorHAnsi" w:cstheme="minorHAnsi"/>
    </w:rPr>
  </w:style>
  <w:style w:type="paragraph" w:styleId="TOC3">
    <w:name w:val="toc 3"/>
    <w:basedOn w:val="Normal"/>
    <w:next w:val="Normal"/>
    <w:autoRedefine/>
    <w:uiPriority w:val="39"/>
    <w:unhideWhenUsed/>
    <w:qFormat/>
    <w:rsid w:val="00891D94"/>
    <w:pPr>
      <w:tabs>
        <w:tab w:val="right" w:leader="dot" w:pos="8931"/>
      </w:tabs>
      <w:ind w:left="440"/>
    </w:pPr>
    <w:rPr>
      <w:rFonts w:asciiTheme="minorHAnsi" w:hAnsiTheme="minorHAnsi" w:cstheme="minorHAnsi"/>
    </w:rPr>
  </w:style>
  <w:style w:type="character" w:styleId="Hyperlink">
    <w:name w:val="Hyperlink"/>
    <w:uiPriority w:val="99"/>
    <w:unhideWhenUsed/>
    <w:rsid w:val="009960EE"/>
    <w:rPr>
      <w:color w:val="0000FF"/>
      <w:u w:val="single"/>
    </w:rPr>
  </w:style>
  <w:style w:type="table" w:styleId="TableGrid">
    <w:name w:val="Table Grid"/>
    <w:basedOn w:val="TableNormal"/>
    <w:rsid w:val="00F72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BATableStyle1">
    <w:name w:val="NBA Table Style 1"/>
    <w:basedOn w:val="TableGrid"/>
    <w:uiPriority w:val="99"/>
    <w:rsid w:val="00FA6FC5"/>
    <w:pPr>
      <w:contextualSpacing/>
    </w:pPr>
    <w:rPr>
      <w:rFonts w:ascii="Calibri" w:hAnsi="Calibri"/>
      <w:color w:val="000000" w:themeColor="text1"/>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57" w:type="dxa"/>
      </w:tblCellMar>
    </w:tblPr>
    <w:tcPr>
      <w:shd w:val="clear" w:color="auto" w:fill="F2F2F2" w:themeFill="background1" w:themeFillShade="F2"/>
      <w:vAlign w:val="center"/>
    </w:tcPr>
    <w:tblStylePr w:type="firstRow">
      <w:pPr>
        <w:jc w:val="center"/>
      </w:pPr>
      <w:rPr>
        <w:b/>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C00000"/>
      </w:tcPr>
    </w:tblStylePr>
  </w:style>
  <w:style w:type="table" w:customStyle="1" w:styleId="NBATableStyle2">
    <w:name w:val="NBA Table Style 2"/>
    <w:basedOn w:val="NBATableStyle1"/>
    <w:uiPriority w:val="99"/>
    <w:rsid w:val="00FA6FC5"/>
    <w:tblPr/>
    <w:tcPr>
      <w:shd w:val="clear" w:color="auto" w:fill="F2F2F2" w:themeFill="background1" w:themeFillShade="F2"/>
    </w:tcPr>
    <w:tblStylePr w:type="firstRow">
      <w:pPr>
        <w:jc w:val="center"/>
      </w:pPr>
      <w:rPr>
        <w:b/>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C00000"/>
      </w:tcPr>
    </w:tblStylePr>
    <w:tblStylePr w:type="firstCol">
      <w:rPr>
        <w:color w:val="000000" w:themeColor="text1"/>
      </w:rPr>
      <w:tblPr/>
      <w:tcPr>
        <w:shd w:val="clear" w:color="auto" w:fill="FFD5D5"/>
      </w:tcPr>
    </w:tblStylePr>
  </w:style>
  <w:style w:type="table" w:customStyle="1" w:styleId="NBATableStyle3">
    <w:name w:val="NBA Table Style 3"/>
    <w:basedOn w:val="NBATableStyle1"/>
    <w:uiPriority w:val="99"/>
    <w:rsid w:val="006C3372"/>
    <w:tblPr>
      <w:tblStyleRowBandSize w:val="1"/>
    </w:tblPr>
    <w:tcPr>
      <w:shd w:val="clear" w:color="auto" w:fill="F2F2F2" w:themeFill="background1" w:themeFillShade="F2"/>
    </w:tcPr>
    <w:tblStylePr w:type="firstRow">
      <w:pPr>
        <w:jc w:val="left"/>
      </w:pPr>
      <w:rPr>
        <w:b/>
        <w:color w:val="C00000"/>
      </w:rPr>
      <w:tblPr/>
      <w:tcPr>
        <w:tcBorders>
          <w:top w:val="single" w:sz="8" w:space="0" w:color="C00000"/>
          <w:left w:val="nil"/>
          <w:bottom w:val="single" w:sz="8" w:space="0" w:color="C00000"/>
          <w:right w:val="nil"/>
          <w:insideH w:val="nil"/>
          <w:insideV w:val="nil"/>
          <w:tl2br w:val="nil"/>
          <w:tr2bl w:val="nil"/>
        </w:tcBorders>
        <w:shd w:val="clear" w:color="auto" w:fill="FFFFFF" w:themeFill="background1"/>
      </w:tcPr>
    </w:tblStylePr>
    <w:tblStylePr w:type="lastRow">
      <w:rPr>
        <w:b/>
      </w:rPr>
      <w:tblPr/>
      <w:tcPr>
        <w:tcBorders>
          <w:top w:val="single" w:sz="8" w:space="0" w:color="auto"/>
          <w:left w:val="nil"/>
          <w:bottom w:val="single" w:sz="8" w:space="0" w:color="auto"/>
          <w:right w:val="nil"/>
          <w:insideH w:val="nil"/>
          <w:insideV w:val="nil"/>
          <w:tl2br w:val="nil"/>
          <w:tr2bl w:val="nil"/>
        </w:tcBorders>
        <w:shd w:val="clear" w:color="auto" w:fill="FFFFFF" w:themeFill="background1"/>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2F2" w:themeFill="background1" w:themeFillShade="F2"/>
      </w:tcPr>
    </w:tblStylePr>
    <w:tblStylePr w:type="band2Horz">
      <w:tblPr/>
      <w:tcPr>
        <w:tcBorders>
          <w:top w:val="nil"/>
          <w:left w:val="nil"/>
          <w:bottom w:val="nil"/>
          <w:right w:val="nil"/>
          <w:insideH w:val="nil"/>
          <w:insideV w:val="nil"/>
        </w:tcBorders>
        <w:shd w:val="clear" w:color="auto" w:fill="FFFFFF" w:themeFill="background1"/>
      </w:tcPr>
    </w:tblStylePr>
  </w:style>
  <w:style w:type="paragraph" w:customStyle="1" w:styleId="QuickTip">
    <w:name w:val="Quick Tip"/>
    <w:basedOn w:val="NoSpacing"/>
    <w:qFormat/>
    <w:rsid w:val="00922E79"/>
    <w:rPr>
      <w:b/>
      <w:caps/>
      <w:color w:val="548DD4" w:themeColor="text2" w:themeTint="99"/>
    </w:rPr>
  </w:style>
  <w:style w:type="paragraph" w:styleId="NormalWeb">
    <w:name w:val="Normal (Web)"/>
    <w:basedOn w:val="Normal"/>
    <w:uiPriority w:val="99"/>
    <w:semiHidden/>
    <w:unhideWhenUsed/>
    <w:rsid w:val="002C7001"/>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AA39A4"/>
    <w:rPr>
      <w:color w:val="800080" w:themeColor="followedHyperlink"/>
      <w:u w:val="single"/>
    </w:rPr>
  </w:style>
  <w:style w:type="paragraph" w:styleId="BodyText3">
    <w:name w:val="Body Text 3"/>
    <w:basedOn w:val="Normal"/>
    <w:link w:val="BodyText3Char1"/>
    <w:uiPriority w:val="99"/>
    <w:unhideWhenUsed/>
    <w:rsid w:val="003379B0"/>
    <w:pPr>
      <w:spacing w:after="120"/>
    </w:pPr>
    <w:rPr>
      <w:rFonts w:ascii="Times New Roman" w:eastAsia="Times New Roman" w:hAnsi="Times New Roman" w:cs="Times New Roman"/>
      <w:sz w:val="16"/>
      <w:szCs w:val="20"/>
      <w:lang w:eastAsia="en-AU"/>
    </w:rPr>
  </w:style>
  <w:style w:type="character" w:customStyle="1" w:styleId="BodyText3Char">
    <w:name w:val="Body Text 3 Char"/>
    <w:basedOn w:val="DefaultParagraphFont"/>
    <w:uiPriority w:val="99"/>
    <w:semiHidden/>
    <w:rsid w:val="003379B0"/>
    <w:rPr>
      <w:rFonts w:ascii="Calibri" w:hAnsi="Calibri" w:cs="Calibri"/>
      <w:sz w:val="16"/>
      <w:szCs w:val="16"/>
      <w:lang w:eastAsia="en-US"/>
    </w:rPr>
  </w:style>
  <w:style w:type="paragraph" w:customStyle="1" w:styleId="Style1">
    <w:name w:val="Style1"/>
    <w:basedOn w:val="ListBullet"/>
    <w:autoRedefine/>
    <w:uiPriority w:val="99"/>
    <w:rsid w:val="003379B0"/>
    <w:pPr>
      <w:tabs>
        <w:tab w:val="clear" w:pos="360"/>
      </w:tabs>
      <w:spacing w:after="120"/>
      <w:contextualSpacing w:val="0"/>
    </w:pPr>
    <w:rPr>
      <w:rFonts w:ascii="Arial" w:eastAsia="Times New Roman" w:hAnsi="Arial" w:cs="Times New Roman"/>
      <w:szCs w:val="20"/>
      <w:lang w:eastAsia="en-AU"/>
    </w:rPr>
  </w:style>
  <w:style w:type="paragraph" w:customStyle="1" w:styleId="Style3">
    <w:name w:val="Style3"/>
    <w:basedOn w:val="BodyText3"/>
    <w:autoRedefine/>
    <w:uiPriority w:val="99"/>
    <w:rsid w:val="003379B0"/>
    <w:rPr>
      <w:rFonts w:ascii="Arial" w:hAnsi="Arial" w:cs="Arial"/>
      <w:sz w:val="22"/>
      <w:szCs w:val="22"/>
    </w:rPr>
  </w:style>
  <w:style w:type="character" w:customStyle="1" w:styleId="BodyText3Char1">
    <w:name w:val="Body Text 3 Char1"/>
    <w:link w:val="BodyText3"/>
    <w:uiPriority w:val="99"/>
    <w:locked/>
    <w:rsid w:val="003379B0"/>
    <w:rPr>
      <w:rFonts w:ascii="Times New Roman" w:eastAsia="Times New Roman" w:hAnsi="Times New Roman" w:cs="Times New Roman"/>
      <w:sz w:val="16"/>
    </w:rPr>
  </w:style>
  <w:style w:type="paragraph" w:styleId="ListBullet">
    <w:name w:val="List Bullet"/>
    <w:basedOn w:val="Normal"/>
    <w:uiPriority w:val="99"/>
    <w:semiHidden/>
    <w:unhideWhenUsed/>
    <w:rsid w:val="003379B0"/>
    <w:pPr>
      <w:tabs>
        <w:tab w:val="num" w:pos="360"/>
      </w:tabs>
      <w:ind w:left="360" w:hanging="360"/>
      <w:contextualSpacing/>
    </w:pPr>
  </w:style>
  <w:style w:type="character" w:customStyle="1" w:styleId="CABNETParagraphAttChar">
    <w:name w:val="CABNET Paragraph Att Char"/>
    <w:basedOn w:val="DefaultParagraphFont"/>
    <w:link w:val="CABNETParagraphAtt"/>
    <w:locked/>
    <w:rsid w:val="00A94B29"/>
    <w:rPr>
      <w:rFonts w:ascii="Verdana" w:hAnsi="Verdana"/>
      <w:sz w:val="22"/>
      <w:szCs w:val="24"/>
    </w:rPr>
  </w:style>
  <w:style w:type="paragraph" w:customStyle="1" w:styleId="CABNETParagraphAtt">
    <w:name w:val="CABNET Paragraph Att"/>
    <w:basedOn w:val="Normal"/>
    <w:link w:val="CABNETParagraphAttChar"/>
    <w:qFormat/>
    <w:rsid w:val="00A94B29"/>
    <w:pPr>
      <w:spacing w:before="120" w:after="120"/>
    </w:pPr>
    <w:rPr>
      <w:rFonts w:ascii="Verdana" w:hAnsi="Verdana" w:cs="Arial"/>
      <w:szCs w:val="24"/>
      <w:lang w:eastAsia="en-AU"/>
    </w:rPr>
  </w:style>
  <w:style w:type="character" w:customStyle="1" w:styleId="ListParagraphChar">
    <w:name w:val="List Paragraph Char"/>
    <w:aliases w:val="Bullet table Char,List Paragraph1 Char,Recommendation Char,Bullet point Char,List Paragraph11 Char"/>
    <w:basedOn w:val="DefaultParagraphFont"/>
    <w:link w:val="ListParagraph"/>
    <w:uiPriority w:val="34"/>
    <w:locked/>
    <w:rsid w:val="00195D1B"/>
    <w:rPr>
      <w:rFonts w:ascii="Calibri" w:hAnsi="Calibri" w:cs="Calibri"/>
      <w:sz w:val="22"/>
      <w:szCs w:val="22"/>
      <w:lang w:eastAsia="en-US"/>
    </w:rPr>
  </w:style>
  <w:style w:type="paragraph" w:customStyle="1" w:styleId="Default">
    <w:name w:val="Default"/>
    <w:rsid w:val="00E954CF"/>
    <w:pPr>
      <w:autoSpaceDE w:val="0"/>
      <w:autoSpaceDN w:val="0"/>
      <w:adjustRightInd w:val="0"/>
    </w:pPr>
    <w:rPr>
      <w:color w:val="000000"/>
      <w:sz w:val="24"/>
      <w:szCs w:val="24"/>
    </w:rPr>
  </w:style>
  <w:style w:type="table" w:styleId="LightList-Accent1">
    <w:name w:val="Light List Accent 1"/>
    <w:basedOn w:val="TableNormal"/>
    <w:uiPriority w:val="61"/>
    <w:rsid w:val="00D60AE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8683D"/>
    <w:rPr>
      <w:sz w:val="16"/>
      <w:szCs w:val="16"/>
    </w:rPr>
  </w:style>
  <w:style w:type="paragraph" w:styleId="CommentText">
    <w:name w:val="annotation text"/>
    <w:basedOn w:val="Normal"/>
    <w:link w:val="CommentTextChar"/>
    <w:uiPriority w:val="99"/>
    <w:unhideWhenUsed/>
    <w:rsid w:val="0088683D"/>
    <w:rPr>
      <w:sz w:val="20"/>
      <w:szCs w:val="20"/>
    </w:rPr>
  </w:style>
  <w:style w:type="character" w:customStyle="1" w:styleId="CommentTextChar">
    <w:name w:val="Comment Text Char"/>
    <w:basedOn w:val="DefaultParagraphFont"/>
    <w:link w:val="CommentText"/>
    <w:uiPriority w:val="99"/>
    <w:rsid w:val="0088683D"/>
    <w:rPr>
      <w:rFonts w:ascii="Calibri" w:hAnsi="Calibri" w:cs="Calibri"/>
      <w:lang w:eastAsia="en-US"/>
    </w:rPr>
  </w:style>
  <w:style w:type="paragraph" w:styleId="CommentSubject">
    <w:name w:val="annotation subject"/>
    <w:basedOn w:val="CommentText"/>
    <w:next w:val="CommentText"/>
    <w:link w:val="CommentSubjectChar"/>
    <w:uiPriority w:val="99"/>
    <w:semiHidden/>
    <w:unhideWhenUsed/>
    <w:rsid w:val="0088683D"/>
    <w:rPr>
      <w:b/>
      <w:bCs/>
    </w:rPr>
  </w:style>
  <w:style w:type="character" w:customStyle="1" w:styleId="CommentSubjectChar">
    <w:name w:val="Comment Subject Char"/>
    <w:basedOn w:val="CommentTextChar"/>
    <w:link w:val="CommentSubject"/>
    <w:uiPriority w:val="99"/>
    <w:semiHidden/>
    <w:rsid w:val="0088683D"/>
    <w:rPr>
      <w:rFonts w:ascii="Calibri" w:hAnsi="Calibri" w:cs="Calibri"/>
      <w:b/>
      <w:bCs/>
      <w:lang w:eastAsia="en-US"/>
    </w:rPr>
  </w:style>
  <w:style w:type="table" w:styleId="MediumGrid3-Accent1">
    <w:name w:val="Medium Grid 3 Accent 1"/>
    <w:basedOn w:val="TableNormal"/>
    <w:uiPriority w:val="69"/>
    <w:rsid w:val="0019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egalHeading3">
    <w:name w:val="Legal Heading 3"/>
    <w:basedOn w:val="Normal"/>
    <w:next w:val="Normal"/>
    <w:qFormat/>
    <w:rsid w:val="00A86E7B"/>
    <w:pPr>
      <w:keepNext/>
      <w:keepLines/>
      <w:pBdr>
        <w:bottom w:val="single" w:sz="4" w:space="1" w:color="auto"/>
      </w:pBdr>
      <w:spacing w:before="200" w:after="0"/>
      <w:outlineLvl w:val="2"/>
    </w:pPr>
    <w:rPr>
      <w:rFonts w:ascii="Arial" w:eastAsia="Times New Roman" w:hAnsi="Arial" w:cs="Arial"/>
      <w:b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370">
      <w:bodyDiv w:val="1"/>
      <w:marLeft w:val="0"/>
      <w:marRight w:val="0"/>
      <w:marTop w:val="0"/>
      <w:marBottom w:val="0"/>
      <w:divBdr>
        <w:top w:val="none" w:sz="0" w:space="0" w:color="auto"/>
        <w:left w:val="none" w:sz="0" w:space="0" w:color="auto"/>
        <w:bottom w:val="none" w:sz="0" w:space="0" w:color="auto"/>
        <w:right w:val="none" w:sz="0" w:space="0" w:color="auto"/>
      </w:divBdr>
    </w:div>
    <w:div w:id="233441344">
      <w:bodyDiv w:val="1"/>
      <w:marLeft w:val="0"/>
      <w:marRight w:val="0"/>
      <w:marTop w:val="0"/>
      <w:marBottom w:val="0"/>
      <w:divBdr>
        <w:top w:val="none" w:sz="0" w:space="0" w:color="auto"/>
        <w:left w:val="none" w:sz="0" w:space="0" w:color="auto"/>
        <w:bottom w:val="none" w:sz="0" w:space="0" w:color="auto"/>
        <w:right w:val="none" w:sz="0" w:space="0" w:color="auto"/>
      </w:divBdr>
      <w:divsChild>
        <w:div w:id="128322104">
          <w:marLeft w:val="0"/>
          <w:marRight w:val="0"/>
          <w:marTop w:val="0"/>
          <w:marBottom w:val="0"/>
          <w:divBdr>
            <w:top w:val="none" w:sz="0" w:space="0" w:color="auto"/>
            <w:left w:val="none" w:sz="0" w:space="0" w:color="auto"/>
            <w:bottom w:val="none" w:sz="0" w:space="0" w:color="auto"/>
            <w:right w:val="none" w:sz="0" w:space="0" w:color="auto"/>
          </w:divBdr>
          <w:divsChild>
            <w:div w:id="26878128">
              <w:marLeft w:val="0"/>
              <w:marRight w:val="0"/>
              <w:marTop w:val="0"/>
              <w:marBottom w:val="0"/>
              <w:divBdr>
                <w:top w:val="none" w:sz="0" w:space="0" w:color="auto"/>
                <w:left w:val="none" w:sz="0" w:space="0" w:color="auto"/>
                <w:bottom w:val="none" w:sz="0" w:space="0" w:color="auto"/>
                <w:right w:val="none" w:sz="0" w:space="0" w:color="auto"/>
              </w:divBdr>
              <w:divsChild>
                <w:div w:id="1093665215">
                  <w:marLeft w:val="0"/>
                  <w:marRight w:val="0"/>
                  <w:marTop w:val="0"/>
                  <w:marBottom w:val="0"/>
                  <w:divBdr>
                    <w:top w:val="none" w:sz="0" w:space="0" w:color="auto"/>
                    <w:left w:val="none" w:sz="0" w:space="0" w:color="auto"/>
                    <w:bottom w:val="none" w:sz="0" w:space="0" w:color="auto"/>
                    <w:right w:val="none" w:sz="0" w:space="0" w:color="auto"/>
                  </w:divBdr>
                  <w:divsChild>
                    <w:div w:id="1250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46007">
      <w:bodyDiv w:val="1"/>
      <w:marLeft w:val="0"/>
      <w:marRight w:val="0"/>
      <w:marTop w:val="0"/>
      <w:marBottom w:val="0"/>
      <w:divBdr>
        <w:top w:val="none" w:sz="0" w:space="0" w:color="auto"/>
        <w:left w:val="none" w:sz="0" w:space="0" w:color="auto"/>
        <w:bottom w:val="none" w:sz="0" w:space="0" w:color="auto"/>
        <w:right w:val="none" w:sz="0" w:space="0" w:color="auto"/>
      </w:divBdr>
      <w:divsChild>
        <w:div w:id="1409228649">
          <w:marLeft w:val="0"/>
          <w:marRight w:val="0"/>
          <w:marTop w:val="0"/>
          <w:marBottom w:val="0"/>
          <w:divBdr>
            <w:top w:val="none" w:sz="0" w:space="0" w:color="auto"/>
            <w:left w:val="none" w:sz="0" w:space="0" w:color="auto"/>
            <w:bottom w:val="none" w:sz="0" w:space="0" w:color="auto"/>
            <w:right w:val="none" w:sz="0" w:space="0" w:color="auto"/>
          </w:divBdr>
        </w:div>
      </w:divsChild>
    </w:div>
    <w:div w:id="369116443">
      <w:bodyDiv w:val="1"/>
      <w:marLeft w:val="0"/>
      <w:marRight w:val="0"/>
      <w:marTop w:val="0"/>
      <w:marBottom w:val="0"/>
      <w:divBdr>
        <w:top w:val="none" w:sz="0" w:space="0" w:color="auto"/>
        <w:left w:val="none" w:sz="0" w:space="0" w:color="auto"/>
        <w:bottom w:val="none" w:sz="0" w:space="0" w:color="auto"/>
        <w:right w:val="none" w:sz="0" w:space="0" w:color="auto"/>
      </w:divBdr>
      <w:divsChild>
        <w:div w:id="34938916">
          <w:marLeft w:val="0"/>
          <w:marRight w:val="0"/>
          <w:marTop w:val="0"/>
          <w:marBottom w:val="0"/>
          <w:divBdr>
            <w:top w:val="none" w:sz="0" w:space="0" w:color="auto"/>
            <w:left w:val="none" w:sz="0" w:space="0" w:color="auto"/>
            <w:bottom w:val="none" w:sz="0" w:space="0" w:color="auto"/>
            <w:right w:val="none" w:sz="0" w:space="0" w:color="auto"/>
          </w:divBdr>
          <w:divsChild>
            <w:div w:id="311830514">
              <w:marLeft w:val="0"/>
              <w:marRight w:val="0"/>
              <w:marTop w:val="0"/>
              <w:marBottom w:val="0"/>
              <w:divBdr>
                <w:top w:val="none" w:sz="0" w:space="0" w:color="auto"/>
                <w:left w:val="none" w:sz="0" w:space="0" w:color="auto"/>
                <w:bottom w:val="none" w:sz="0" w:space="0" w:color="auto"/>
                <w:right w:val="none" w:sz="0" w:space="0" w:color="auto"/>
              </w:divBdr>
              <w:divsChild>
                <w:div w:id="2217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49657">
      <w:bodyDiv w:val="1"/>
      <w:marLeft w:val="0"/>
      <w:marRight w:val="0"/>
      <w:marTop w:val="0"/>
      <w:marBottom w:val="0"/>
      <w:divBdr>
        <w:top w:val="none" w:sz="0" w:space="0" w:color="auto"/>
        <w:left w:val="none" w:sz="0" w:space="0" w:color="auto"/>
        <w:bottom w:val="none" w:sz="0" w:space="0" w:color="auto"/>
        <w:right w:val="none" w:sz="0" w:space="0" w:color="auto"/>
      </w:divBdr>
    </w:div>
    <w:div w:id="490222581">
      <w:bodyDiv w:val="1"/>
      <w:marLeft w:val="0"/>
      <w:marRight w:val="0"/>
      <w:marTop w:val="0"/>
      <w:marBottom w:val="0"/>
      <w:divBdr>
        <w:top w:val="none" w:sz="0" w:space="0" w:color="auto"/>
        <w:left w:val="none" w:sz="0" w:space="0" w:color="auto"/>
        <w:bottom w:val="none" w:sz="0" w:space="0" w:color="auto"/>
        <w:right w:val="none" w:sz="0" w:space="0" w:color="auto"/>
      </w:divBdr>
      <w:divsChild>
        <w:div w:id="359284314">
          <w:marLeft w:val="0"/>
          <w:marRight w:val="0"/>
          <w:marTop w:val="0"/>
          <w:marBottom w:val="0"/>
          <w:divBdr>
            <w:top w:val="none" w:sz="0" w:space="0" w:color="auto"/>
            <w:left w:val="none" w:sz="0" w:space="0" w:color="auto"/>
            <w:bottom w:val="none" w:sz="0" w:space="0" w:color="auto"/>
            <w:right w:val="none" w:sz="0" w:space="0" w:color="auto"/>
          </w:divBdr>
        </w:div>
      </w:divsChild>
    </w:div>
    <w:div w:id="684786628">
      <w:bodyDiv w:val="1"/>
      <w:marLeft w:val="0"/>
      <w:marRight w:val="0"/>
      <w:marTop w:val="0"/>
      <w:marBottom w:val="0"/>
      <w:divBdr>
        <w:top w:val="none" w:sz="0" w:space="0" w:color="auto"/>
        <w:left w:val="none" w:sz="0" w:space="0" w:color="auto"/>
        <w:bottom w:val="none" w:sz="0" w:space="0" w:color="auto"/>
        <w:right w:val="none" w:sz="0" w:space="0" w:color="auto"/>
      </w:divBdr>
      <w:divsChild>
        <w:div w:id="782110789">
          <w:marLeft w:val="0"/>
          <w:marRight w:val="0"/>
          <w:marTop w:val="0"/>
          <w:marBottom w:val="0"/>
          <w:divBdr>
            <w:top w:val="none" w:sz="0" w:space="0" w:color="auto"/>
            <w:left w:val="none" w:sz="0" w:space="0" w:color="auto"/>
            <w:bottom w:val="none" w:sz="0" w:space="0" w:color="auto"/>
            <w:right w:val="none" w:sz="0" w:space="0" w:color="auto"/>
          </w:divBdr>
          <w:divsChild>
            <w:div w:id="1686978299">
              <w:marLeft w:val="0"/>
              <w:marRight w:val="0"/>
              <w:marTop w:val="0"/>
              <w:marBottom w:val="0"/>
              <w:divBdr>
                <w:top w:val="none" w:sz="0" w:space="0" w:color="auto"/>
                <w:left w:val="none" w:sz="0" w:space="0" w:color="auto"/>
                <w:bottom w:val="none" w:sz="0" w:space="0" w:color="auto"/>
                <w:right w:val="none" w:sz="0" w:space="0" w:color="auto"/>
              </w:divBdr>
              <w:divsChild>
                <w:div w:id="1441534509">
                  <w:marLeft w:val="0"/>
                  <w:marRight w:val="0"/>
                  <w:marTop w:val="0"/>
                  <w:marBottom w:val="0"/>
                  <w:divBdr>
                    <w:top w:val="none" w:sz="0" w:space="0" w:color="auto"/>
                    <w:left w:val="none" w:sz="0" w:space="0" w:color="auto"/>
                    <w:bottom w:val="none" w:sz="0" w:space="0" w:color="auto"/>
                    <w:right w:val="none" w:sz="0" w:space="0" w:color="auto"/>
                  </w:divBdr>
                  <w:divsChild>
                    <w:div w:id="318576994">
                      <w:marLeft w:val="0"/>
                      <w:marRight w:val="0"/>
                      <w:marTop w:val="0"/>
                      <w:marBottom w:val="0"/>
                      <w:divBdr>
                        <w:top w:val="none" w:sz="0" w:space="0" w:color="auto"/>
                        <w:left w:val="none" w:sz="0" w:space="0" w:color="auto"/>
                        <w:bottom w:val="none" w:sz="0" w:space="0" w:color="auto"/>
                        <w:right w:val="none" w:sz="0" w:space="0" w:color="auto"/>
                      </w:divBdr>
                      <w:divsChild>
                        <w:div w:id="469133987">
                          <w:marLeft w:val="0"/>
                          <w:marRight w:val="0"/>
                          <w:marTop w:val="0"/>
                          <w:marBottom w:val="0"/>
                          <w:divBdr>
                            <w:top w:val="none" w:sz="0" w:space="0" w:color="auto"/>
                            <w:left w:val="none" w:sz="0" w:space="0" w:color="auto"/>
                            <w:bottom w:val="none" w:sz="0" w:space="0" w:color="auto"/>
                            <w:right w:val="none" w:sz="0" w:space="0" w:color="auto"/>
                          </w:divBdr>
                          <w:divsChild>
                            <w:div w:id="12135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493133">
      <w:bodyDiv w:val="1"/>
      <w:marLeft w:val="0"/>
      <w:marRight w:val="0"/>
      <w:marTop w:val="0"/>
      <w:marBottom w:val="0"/>
      <w:divBdr>
        <w:top w:val="none" w:sz="0" w:space="0" w:color="auto"/>
        <w:left w:val="none" w:sz="0" w:space="0" w:color="auto"/>
        <w:bottom w:val="none" w:sz="0" w:space="0" w:color="auto"/>
        <w:right w:val="none" w:sz="0" w:space="0" w:color="auto"/>
      </w:divBdr>
    </w:div>
    <w:div w:id="1390570166">
      <w:bodyDiv w:val="1"/>
      <w:marLeft w:val="0"/>
      <w:marRight w:val="0"/>
      <w:marTop w:val="0"/>
      <w:marBottom w:val="0"/>
      <w:divBdr>
        <w:top w:val="none" w:sz="0" w:space="0" w:color="auto"/>
        <w:left w:val="none" w:sz="0" w:space="0" w:color="auto"/>
        <w:bottom w:val="none" w:sz="0" w:space="0" w:color="auto"/>
        <w:right w:val="none" w:sz="0" w:space="0" w:color="auto"/>
      </w:divBdr>
    </w:div>
    <w:div w:id="1709257486">
      <w:bodyDiv w:val="1"/>
      <w:marLeft w:val="0"/>
      <w:marRight w:val="0"/>
      <w:marTop w:val="0"/>
      <w:marBottom w:val="0"/>
      <w:divBdr>
        <w:top w:val="none" w:sz="0" w:space="0" w:color="auto"/>
        <w:left w:val="none" w:sz="0" w:space="0" w:color="auto"/>
        <w:bottom w:val="none" w:sz="0" w:space="0" w:color="auto"/>
        <w:right w:val="none" w:sz="0" w:space="0" w:color="auto"/>
      </w:divBdr>
    </w:div>
    <w:div w:id="1811627616">
      <w:bodyDiv w:val="1"/>
      <w:marLeft w:val="0"/>
      <w:marRight w:val="0"/>
      <w:marTop w:val="0"/>
      <w:marBottom w:val="0"/>
      <w:divBdr>
        <w:top w:val="none" w:sz="0" w:space="0" w:color="auto"/>
        <w:left w:val="none" w:sz="0" w:space="0" w:color="auto"/>
        <w:bottom w:val="none" w:sz="0" w:space="0" w:color="auto"/>
        <w:right w:val="none" w:sz="0" w:space="0" w:color="auto"/>
      </w:divBdr>
    </w:div>
    <w:div w:id="1904608026">
      <w:bodyDiv w:val="1"/>
      <w:marLeft w:val="0"/>
      <w:marRight w:val="0"/>
      <w:marTop w:val="0"/>
      <w:marBottom w:val="0"/>
      <w:divBdr>
        <w:top w:val="none" w:sz="0" w:space="0" w:color="auto"/>
        <w:left w:val="none" w:sz="0" w:space="0" w:color="auto"/>
        <w:bottom w:val="none" w:sz="0" w:space="0" w:color="auto"/>
        <w:right w:val="none" w:sz="0" w:space="0" w:color="auto"/>
      </w:divBdr>
    </w:div>
    <w:div w:id="2084180876">
      <w:bodyDiv w:val="1"/>
      <w:marLeft w:val="0"/>
      <w:marRight w:val="0"/>
      <w:marTop w:val="0"/>
      <w:marBottom w:val="0"/>
      <w:divBdr>
        <w:top w:val="none" w:sz="0" w:space="0" w:color="auto"/>
        <w:left w:val="none" w:sz="0" w:space="0" w:color="auto"/>
        <w:bottom w:val="none" w:sz="0" w:space="0" w:color="auto"/>
        <w:right w:val="none" w:sz="0" w:space="0" w:color="auto"/>
      </w:divBdr>
      <w:divsChild>
        <w:div w:id="744838754">
          <w:marLeft w:val="0"/>
          <w:marRight w:val="0"/>
          <w:marTop w:val="0"/>
          <w:marBottom w:val="0"/>
          <w:divBdr>
            <w:top w:val="none" w:sz="0" w:space="0" w:color="auto"/>
            <w:left w:val="none" w:sz="0" w:space="0" w:color="auto"/>
            <w:bottom w:val="none" w:sz="0" w:space="0" w:color="auto"/>
            <w:right w:val="none" w:sz="0" w:space="0" w:color="auto"/>
          </w:divBdr>
          <w:divsChild>
            <w:div w:id="1101992018">
              <w:marLeft w:val="0"/>
              <w:marRight w:val="0"/>
              <w:marTop w:val="0"/>
              <w:marBottom w:val="0"/>
              <w:divBdr>
                <w:top w:val="none" w:sz="0" w:space="0" w:color="auto"/>
                <w:left w:val="none" w:sz="0" w:space="0" w:color="auto"/>
                <w:bottom w:val="none" w:sz="0" w:space="0" w:color="auto"/>
                <w:right w:val="none" w:sz="0" w:space="0" w:color="auto"/>
              </w:divBdr>
              <w:divsChild>
                <w:div w:id="1394815732">
                  <w:marLeft w:val="0"/>
                  <w:marRight w:val="0"/>
                  <w:marTop w:val="0"/>
                  <w:marBottom w:val="0"/>
                  <w:divBdr>
                    <w:top w:val="none" w:sz="0" w:space="0" w:color="auto"/>
                    <w:left w:val="none" w:sz="0" w:space="0" w:color="auto"/>
                    <w:bottom w:val="none" w:sz="0" w:space="0" w:color="auto"/>
                    <w:right w:val="none" w:sz="0" w:space="0" w:color="auto"/>
                  </w:divBdr>
                  <w:divsChild>
                    <w:div w:id="14010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43728">
      <w:bodyDiv w:val="1"/>
      <w:marLeft w:val="0"/>
      <w:marRight w:val="0"/>
      <w:marTop w:val="0"/>
      <w:marBottom w:val="0"/>
      <w:divBdr>
        <w:top w:val="none" w:sz="0" w:space="0" w:color="auto"/>
        <w:left w:val="none" w:sz="0" w:space="0" w:color="auto"/>
        <w:bottom w:val="none" w:sz="0" w:space="0" w:color="auto"/>
        <w:right w:val="none" w:sz="0" w:space="0" w:color="auto"/>
      </w:divBdr>
      <w:divsChild>
        <w:div w:id="1280985977">
          <w:marLeft w:val="0"/>
          <w:marRight w:val="0"/>
          <w:marTop w:val="0"/>
          <w:marBottom w:val="0"/>
          <w:divBdr>
            <w:top w:val="none" w:sz="0" w:space="0" w:color="auto"/>
            <w:left w:val="none" w:sz="0" w:space="0" w:color="auto"/>
            <w:bottom w:val="none" w:sz="0" w:space="0" w:color="auto"/>
            <w:right w:val="none" w:sz="0" w:space="0" w:color="auto"/>
          </w:divBdr>
          <w:divsChild>
            <w:div w:id="155734864">
              <w:marLeft w:val="0"/>
              <w:marRight w:val="0"/>
              <w:marTop w:val="0"/>
              <w:marBottom w:val="0"/>
              <w:divBdr>
                <w:top w:val="none" w:sz="0" w:space="0" w:color="auto"/>
                <w:left w:val="none" w:sz="0" w:space="0" w:color="auto"/>
                <w:bottom w:val="none" w:sz="0" w:space="0" w:color="auto"/>
                <w:right w:val="none" w:sz="0" w:space="0" w:color="auto"/>
              </w:divBdr>
              <w:divsChild>
                <w:div w:id="1114057194">
                  <w:marLeft w:val="0"/>
                  <w:marRight w:val="0"/>
                  <w:marTop w:val="0"/>
                  <w:marBottom w:val="0"/>
                  <w:divBdr>
                    <w:top w:val="none" w:sz="0" w:space="0" w:color="auto"/>
                    <w:left w:val="none" w:sz="0" w:space="0" w:color="auto"/>
                    <w:bottom w:val="none" w:sz="0" w:space="0" w:color="auto"/>
                    <w:right w:val="none" w:sz="0" w:space="0" w:color="auto"/>
                  </w:divBdr>
                  <w:divsChild>
                    <w:div w:id="18761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image" Target="media/image3.emf"/><Relationship Id="rId34" Type="http://schemas.openxmlformats.org/officeDocument/2006/relationships/hyperlink" Target="http://www.blood.gov.au/what-blood-products-are-supplied-national-product-list"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25" Type="http://schemas.openxmlformats.org/officeDocument/2006/relationships/footer" Target="footer1.xml"/><Relationship Id="rId33" Type="http://schemas.openxmlformats.org/officeDocument/2006/relationships/hyperlink" Target="http://www.blood.gov.au/wastage" TargetMode="External"/><Relationship Id="rId38" Type="http://schemas.openxmlformats.org/officeDocument/2006/relationships/header" Target="header8.xml"/><Relationship Id="rId2" Type="http://schemas.openxmlformats.org/officeDocument/2006/relationships/customXml" Target="../customXml/item2.xml"/><Relationship Id="rId20" Type="http://schemas.openxmlformats.org/officeDocument/2006/relationships/hyperlink" Target="http://www.blood.gov.au/wastage" TargetMode="External"/><Relationship Id="rId29" Type="http://schemas.openxmlformats.org/officeDocument/2006/relationships/hyperlink" Target="http://www.youtube.com/user/bloodauthority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hyperlink" Target="http://www.blood.gov.au/inventory-management" TargetMode="External"/><Relationship Id="rId37" Type="http://schemas.openxmlformats.org/officeDocument/2006/relationships/header" Target="header7.xml"/><Relationship Id="rId40" Type="http://schemas.openxmlformats.org/officeDocument/2006/relationships/footer" Target="footer2.xml"/><Relationship Id="rId5" Type="http://schemas.openxmlformats.org/officeDocument/2006/relationships/settings" Target="settings.xml"/><Relationship Id="rId23" Type="http://schemas.openxmlformats.org/officeDocument/2006/relationships/header" Target="header4.xml"/><Relationship Id="rId28" Type="http://schemas.openxmlformats.org/officeDocument/2006/relationships/hyperlink" Target="http://www.blood.gov.au/jurisdictional-reporting" TargetMode="External"/><Relationship Id="rId36"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image" Target="media/image20.png"/><Relationship Id="rId31" Type="http://schemas.openxmlformats.org/officeDocument/2006/relationships/hyperlink" Target="http://www.blood.gov.au/inventory-management" TargetMode="External"/><Relationship Id="rId4" Type="http://schemas.openxmlformats.org/officeDocument/2006/relationships/styles" Target="styles.xml"/><Relationship Id="rId9" Type="http://schemas.openxmlformats.org/officeDocument/2006/relationships/header" Target="header1.xml"/><Relationship Id="rId22" Type="http://schemas.openxmlformats.org/officeDocument/2006/relationships/hyperlink" Target="http://www.blood.gov.au/inventory-management" TargetMode="External"/><Relationship Id="rId27" Type="http://schemas.openxmlformats.org/officeDocument/2006/relationships/hyperlink" Target="http://www.blood.gov.au/bloodnet" TargetMode="External"/><Relationship Id="rId30" Type="http://schemas.openxmlformats.org/officeDocument/2006/relationships/hyperlink" Target="https://www.blood.gov.au/case-studies" TargetMode="External"/><Relationship Id="rId35" Type="http://schemas.openxmlformats.org/officeDocument/2006/relationships/hyperlink" Target="http://www.blood.gov.au/symposiums-2013"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691ED-4113-4777-AE43-E94461A60326}">
  <ds:schemaRefs>
    <ds:schemaRef ds:uri="http://schemas.microsoft.com/sharepoint/v3/contenttype/forms"/>
  </ds:schemaRefs>
</ds:datastoreItem>
</file>

<file path=customXml/itemProps2.xml><?xml version="1.0" encoding="utf-8"?>
<ds:datastoreItem xmlns:ds="http://schemas.openxmlformats.org/officeDocument/2006/customXml" ds:itemID="{315130EB-CF67-46C5-B906-0F8F2351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5819</Words>
  <Characters>33983</Characters>
  <Application>Microsoft Office Word</Application>
  <DocSecurity>0</DocSecurity>
  <Lines>1096</Lines>
  <Paragraphs>485</Paragraphs>
  <ScaleCrop>false</ScaleCrop>
  <HeadingPairs>
    <vt:vector size="2" baseType="variant">
      <vt:variant>
        <vt:lpstr>Title</vt:lpstr>
      </vt:variant>
      <vt:variant>
        <vt:i4>1</vt:i4>
      </vt:variant>
    </vt:vector>
  </HeadingPairs>
  <TitlesOfParts>
    <vt:vector size="1" baseType="lpstr">
      <vt:lpstr>NBA - National Blood and Blood Product Wastage Reduction Strategy</vt:lpstr>
    </vt:vector>
  </TitlesOfParts>
  <Company>National Blood Authority, Australia</Company>
  <LinksUpToDate>false</LinksUpToDate>
  <CharactersWithSpaces>39317</CharactersWithSpaces>
  <SharedDoc>false</SharedDoc>
  <HLinks>
    <vt:vector size="24" baseType="variant">
      <vt:variant>
        <vt:i4>1769522</vt:i4>
      </vt:variant>
      <vt:variant>
        <vt:i4>20</vt:i4>
      </vt:variant>
      <vt:variant>
        <vt:i4>0</vt:i4>
      </vt:variant>
      <vt:variant>
        <vt:i4>5</vt:i4>
      </vt:variant>
      <vt:variant>
        <vt:lpwstr/>
      </vt:variant>
      <vt:variant>
        <vt:lpwstr>_Toc337046293</vt:lpwstr>
      </vt:variant>
      <vt:variant>
        <vt:i4>1769522</vt:i4>
      </vt:variant>
      <vt:variant>
        <vt:i4>14</vt:i4>
      </vt:variant>
      <vt:variant>
        <vt:i4>0</vt:i4>
      </vt:variant>
      <vt:variant>
        <vt:i4>5</vt:i4>
      </vt:variant>
      <vt:variant>
        <vt:lpwstr/>
      </vt:variant>
      <vt:variant>
        <vt:lpwstr>_Toc337046292</vt:lpwstr>
      </vt:variant>
      <vt:variant>
        <vt:i4>1769522</vt:i4>
      </vt:variant>
      <vt:variant>
        <vt:i4>8</vt:i4>
      </vt:variant>
      <vt:variant>
        <vt:i4>0</vt:i4>
      </vt:variant>
      <vt:variant>
        <vt:i4>5</vt:i4>
      </vt:variant>
      <vt:variant>
        <vt:lpwstr/>
      </vt:variant>
      <vt:variant>
        <vt:lpwstr>_Toc337046291</vt:lpwstr>
      </vt:variant>
      <vt:variant>
        <vt:i4>1769522</vt:i4>
      </vt:variant>
      <vt:variant>
        <vt:i4>2</vt:i4>
      </vt:variant>
      <vt:variant>
        <vt:i4>0</vt:i4>
      </vt:variant>
      <vt:variant>
        <vt:i4>5</vt:i4>
      </vt:variant>
      <vt:variant>
        <vt:lpwstr/>
      </vt:variant>
      <vt:variant>
        <vt:lpwstr>_Toc337046290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 - National Blood and Blood Product Wastage Reduction Strategy</dc:title>
  <dc:creator>National Blood Authority, Australia</dc:creator>
  <cp:lastModifiedBy>Wall, Lyndsay</cp:lastModifiedBy>
  <cp:revision>3</cp:revision>
  <cp:lastPrinted>2019-08-19T01:09:00Z</cp:lastPrinted>
  <dcterms:created xsi:type="dcterms:W3CDTF">2022-08-08T04:05:00Z</dcterms:created>
  <dcterms:modified xsi:type="dcterms:W3CDTF">2022-08-08T04:13:00Z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y fmtid="{D5CDD505-2E9C-101B-9397-08002B2CF9AE}" pid="3" name="TitusGUID">
    <vt:lpwstr>c8d9f116-9007-4f95-9b4c-fcccf92e8865</vt:lpwstr>
  </property>
  <property fmtid="{D5CDD505-2E9C-101B-9397-08002B2CF9AE}" pid="4" name="ClassificationContentMarkingHeaderShapeIds">
    <vt:lpwstr>1,4,6,a,b,c,d,e,f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11d3a1ea-a727-4720-a216-7dae13a61c56_Enabled">
    <vt:lpwstr>true</vt:lpwstr>
  </property>
  <property fmtid="{D5CDD505-2E9C-101B-9397-08002B2CF9AE}" pid="8" name="MSIP_Label_11d3a1ea-a727-4720-a216-7dae13a61c56_SetDate">
    <vt:lpwstr>2022-05-10T05:19:48Z</vt:lpwstr>
  </property>
  <property fmtid="{D5CDD505-2E9C-101B-9397-08002B2CF9AE}" pid="9" name="MSIP_Label_11d3a1ea-a727-4720-a216-7dae13a61c56_Method">
    <vt:lpwstr>Privileged</vt:lpwstr>
  </property>
  <property fmtid="{D5CDD505-2E9C-101B-9397-08002B2CF9AE}" pid="10" name="MSIP_Label_11d3a1ea-a727-4720-a216-7dae13a61c56_Name">
    <vt:lpwstr>OFFICIAL</vt:lpwstr>
  </property>
  <property fmtid="{D5CDD505-2E9C-101B-9397-08002B2CF9AE}" pid="11" name="MSIP_Label_11d3a1ea-a727-4720-a216-7dae13a61c56_SiteId">
    <vt:lpwstr>9c233057-0738-4b40-91b2-3798ceb38ebf</vt:lpwstr>
  </property>
  <property fmtid="{D5CDD505-2E9C-101B-9397-08002B2CF9AE}" pid="12" name="MSIP_Label_11d3a1ea-a727-4720-a216-7dae13a61c56_ActionId">
    <vt:lpwstr>bc53e91f-8373-45b9-a506-f8923917a97e</vt:lpwstr>
  </property>
  <property fmtid="{D5CDD505-2E9C-101B-9397-08002B2CF9AE}" pid="13" name="MSIP_Label_11d3a1ea-a727-4720-a216-7dae13a61c56_ContentBits">
    <vt:lpwstr>1</vt:lpwstr>
  </property>
</Properties>
</file>