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F7" w:rsidRPr="009D77D1" w:rsidRDefault="008121F7" w:rsidP="008121F7">
      <w:pPr>
        <w:pStyle w:val="Heading3"/>
        <w:rPr>
          <w:rFonts w:asciiTheme="minorHAnsi" w:hAnsiTheme="minorHAnsi"/>
        </w:rPr>
      </w:pPr>
      <w:bookmarkStart w:id="0" w:name="_GoBack"/>
      <w:bookmarkEnd w:id="0"/>
    </w:p>
    <w:p w:rsidR="00107D9A" w:rsidRPr="00921D39" w:rsidRDefault="00107D9A" w:rsidP="00107D9A">
      <w:pPr>
        <w:widowControl w:val="0"/>
        <w:spacing w:after="240"/>
        <w:outlineLvl w:val="0"/>
        <w:rPr>
          <w:rFonts w:asciiTheme="minorHAnsi" w:hAnsiTheme="minorHAnsi" w:cs="Arial"/>
          <w:color w:val="C60C30"/>
          <w:sz w:val="36"/>
          <w:szCs w:val="36"/>
        </w:rPr>
      </w:pPr>
    </w:p>
    <w:p w:rsidR="00107D9A" w:rsidRPr="004165ED" w:rsidRDefault="00107D9A" w:rsidP="00107D9A">
      <w:pPr>
        <w:widowControl w:val="0"/>
        <w:spacing w:before="240" w:after="240"/>
        <w:ind w:right="6"/>
        <w:jc w:val="center"/>
        <w:outlineLvl w:val="0"/>
        <w:rPr>
          <w:rFonts w:asciiTheme="minorHAnsi" w:hAnsiTheme="minorHAnsi" w:cs="Arial"/>
          <w:b/>
          <w:color w:val="C60C30"/>
          <w:sz w:val="48"/>
          <w:szCs w:val="48"/>
        </w:rPr>
      </w:pPr>
      <w:r w:rsidRPr="004165ED">
        <w:rPr>
          <w:rFonts w:asciiTheme="minorHAnsi" w:hAnsiTheme="minorHAnsi" w:cs="Arial"/>
          <w:b/>
          <w:color w:val="C60C30"/>
          <w:sz w:val="48"/>
          <w:szCs w:val="48"/>
        </w:rPr>
        <w:t>Nurse/Midwife Home Page</w:t>
      </w:r>
    </w:p>
    <w:p w:rsidR="005E1EC6" w:rsidRDefault="00921D39" w:rsidP="00921D39">
      <w:pPr>
        <w:widowControl w:val="0"/>
        <w:spacing w:before="240" w:after="240"/>
        <w:ind w:right="6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Nurse home page in </w:t>
      </w:r>
      <w:proofErr w:type="spellStart"/>
      <w:r>
        <w:rPr>
          <w:rFonts w:asciiTheme="minorHAnsi" w:hAnsiTheme="minorHAnsi"/>
        </w:rPr>
        <w:t>BloodSTAR</w:t>
      </w:r>
      <w:proofErr w:type="spellEnd"/>
      <w:r>
        <w:rPr>
          <w:rFonts w:asciiTheme="minorHAnsi" w:hAnsiTheme="minorHAnsi"/>
        </w:rPr>
        <w:t xml:space="preserve"> </w:t>
      </w:r>
      <w:r w:rsidR="00B81C3A">
        <w:rPr>
          <w:rFonts w:asciiTheme="minorHAnsi" w:hAnsiTheme="minorHAnsi"/>
        </w:rPr>
        <w:t>displays</w:t>
      </w:r>
      <w:r>
        <w:rPr>
          <w:rFonts w:asciiTheme="minorHAnsi" w:hAnsiTheme="minorHAnsi"/>
        </w:rPr>
        <w:t xml:space="preserve"> </w:t>
      </w:r>
      <w:r w:rsidR="00175FF7">
        <w:rPr>
          <w:rFonts w:asciiTheme="minorHAnsi" w:hAnsiTheme="minorHAnsi"/>
        </w:rPr>
        <w:t>the</w:t>
      </w:r>
      <w:r>
        <w:rPr>
          <w:rFonts w:asciiTheme="minorHAnsi" w:hAnsiTheme="minorHAnsi"/>
        </w:rPr>
        <w:t xml:space="preserve"> list of </w:t>
      </w:r>
      <w:r w:rsidR="00B81C3A">
        <w:rPr>
          <w:rFonts w:asciiTheme="minorHAnsi" w:hAnsiTheme="minorHAnsi"/>
        </w:rPr>
        <w:t xml:space="preserve">authorised </w:t>
      </w:r>
      <w:r w:rsidR="00D72DE1">
        <w:rPr>
          <w:rFonts w:asciiTheme="minorHAnsi" w:hAnsiTheme="minorHAnsi"/>
        </w:rPr>
        <w:t>patients who are associated with</w:t>
      </w:r>
      <w:r>
        <w:rPr>
          <w:rFonts w:asciiTheme="minorHAnsi" w:hAnsiTheme="minorHAnsi"/>
        </w:rPr>
        <w:t xml:space="preserve"> the user’s facility.</w:t>
      </w:r>
      <w:r w:rsidR="00360FBB">
        <w:rPr>
          <w:rFonts w:asciiTheme="minorHAnsi" w:hAnsiTheme="minorHAnsi"/>
        </w:rPr>
        <w:t xml:space="preserve"> </w:t>
      </w:r>
      <w:r w:rsidR="00D72DE1">
        <w:rPr>
          <w:rFonts w:asciiTheme="minorHAnsi" w:hAnsiTheme="minorHAnsi"/>
        </w:rPr>
        <w:t xml:space="preserve">From this screen </w:t>
      </w:r>
      <w:r w:rsidR="008A70EC">
        <w:rPr>
          <w:rFonts w:asciiTheme="minorHAnsi" w:hAnsiTheme="minorHAnsi"/>
        </w:rPr>
        <w:t>users</w:t>
      </w:r>
      <w:r w:rsidR="00360FBB">
        <w:rPr>
          <w:rFonts w:asciiTheme="minorHAnsi" w:hAnsiTheme="minorHAnsi"/>
        </w:rPr>
        <w:t xml:space="preserve"> can </w:t>
      </w:r>
      <w:r w:rsidR="008270F8">
        <w:rPr>
          <w:rFonts w:asciiTheme="minorHAnsi" w:hAnsiTheme="minorHAnsi"/>
        </w:rPr>
        <w:t>perform the following actions</w:t>
      </w:r>
      <w:r w:rsidR="005E1EC6">
        <w:rPr>
          <w:rFonts w:asciiTheme="minorHAnsi" w:hAnsiTheme="minorHAnsi"/>
        </w:rPr>
        <w:t>:</w:t>
      </w:r>
    </w:p>
    <w:p w:rsidR="005E1EC6" w:rsidRDefault="008270F8" w:rsidP="000E3DEC">
      <w:pPr>
        <w:pStyle w:val="ListParagraph"/>
        <w:widowControl w:val="0"/>
        <w:numPr>
          <w:ilvl w:val="0"/>
          <w:numId w:val="13"/>
        </w:numPr>
        <w:spacing w:before="240" w:after="240"/>
        <w:ind w:right="6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Search for </w:t>
      </w:r>
      <w:r w:rsidR="00B81C3A" w:rsidRPr="000E3DEC">
        <w:rPr>
          <w:rFonts w:asciiTheme="minorHAnsi" w:hAnsiTheme="minorHAnsi"/>
        </w:rPr>
        <w:t xml:space="preserve">authorised </w:t>
      </w:r>
      <w:r w:rsidR="00360FBB" w:rsidRPr="000E3DEC">
        <w:rPr>
          <w:rFonts w:asciiTheme="minorHAnsi" w:hAnsiTheme="minorHAnsi"/>
        </w:rPr>
        <w:t>patients</w:t>
      </w:r>
    </w:p>
    <w:p w:rsidR="005E1EC6" w:rsidRDefault="008270F8" w:rsidP="000E3DEC">
      <w:pPr>
        <w:pStyle w:val="ListParagraph"/>
        <w:widowControl w:val="0"/>
        <w:numPr>
          <w:ilvl w:val="0"/>
          <w:numId w:val="13"/>
        </w:numPr>
        <w:spacing w:before="240" w:after="240"/>
        <w:ind w:right="6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D31B1B" w:rsidRPr="000E3DEC">
        <w:rPr>
          <w:rFonts w:asciiTheme="minorHAnsi" w:hAnsiTheme="minorHAnsi"/>
        </w:rPr>
        <w:t>iew authorisation requests</w:t>
      </w:r>
    </w:p>
    <w:p w:rsidR="005E1EC6" w:rsidRDefault="008270F8" w:rsidP="000E3DEC">
      <w:pPr>
        <w:pStyle w:val="ListParagraph"/>
        <w:widowControl w:val="0"/>
        <w:numPr>
          <w:ilvl w:val="0"/>
          <w:numId w:val="13"/>
        </w:numPr>
        <w:spacing w:before="240" w:after="240"/>
        <w:ind w:right="6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884F1D" w:rsidRPr="000E3DEC">
        <w:rPr>
          <w:rFonts w:asciiTheme="minorHAnsi" w:hAnsiTheme="minorHAnsi"/>
        </w:rPr>
        <w:t xml:space="preserve">iew patients who have </w:t>
      </w:r>
      <w:r>
        <w:rPr>
          <w:rFonts w:asciiTheme="minorHAnsi" w:hAnsiTheme="minorHAnsi"/>
        </w:rPr>
        <w:t>pending reviews</w:t>
      </w:r>
    </w:p>
    <w:p w:rsidR="005E1EC6" w:rsidRDefault="008270F8" w:rsidP="000E3DEC">
      <w:pPr>
        <w:pStyle w:val="ListParagraph"/>
        <w:widowControl w:val="0"/>
        <w:numPr>
          <w:ilvl w:val="0"/>
          <w:numId w:val="13"/>
        </w:numPr>
        <w:spacing w:before="240" w:after="240"/>
        <w:ind w:right="6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B81C3A" w:rsidRPr="000E3DEC">
        <w:rPr>
          <w:rFonts w:asciiTheme="minorHAnsi" w:hAnsiTheme="minorHAnsi"/>
        </w:rPr>
        <w:t>avigate to the Patient Search, Planning She</w:t>
      </w:r>
      <w:r>
        <w:rPr>
          <w:rFonts w:asciiTheme="minorHAnsi" w:hAnsiTheme="minorHAnsi"/>
        </w:rPr>
        <w:t>ets and Dispense Request pages</w:t>
      </w:r>
    </w:p>
    <w:p w:rsidR="00C52976" w:rsidRPr="000E3DEC" w:rsidRDefault="008270F8" w:rsidP="000E3DEC">
      <w:pPr>
        <w:pStyle w:val="ListParagraph"/>
        <w:widowControl w:val="0"/>
        <w:numPr>
          <w:ilvl w:val="0"/>
          <w:numId w:val="13"/>
        </w:numPr>
        <w:spacing w:before="240" w:after="240"/>
        <w:ind w:right="6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443D1F" w:rsidRPr="000E3DEC">
        <w:rPr>
          <w:rFonts w:asciiTheme="minorHAnsi" w:hAnsiTheme="minorHAnsi"/>
        </w:rPr>
        <w:t>reate and</w:t>
      </w:r>
      <w:r w:rsidR="000D6F46" w:rsidRPr="000E3DEC">
        <w:rPr>
          <w:rFonts w:asciiTheme="minorHAnsi" w:hAnsiTheme="minorHAnsi"/>
        </w:rPr>
        <w:t xml:space="preserve"> </w:t>
      </w:r>
      <w:r w:rsidR="00C52976" w:rsidRPr="000E3DEC">
        <w:rPr>
          <w:rFonts w:asciiTheme="minorHAnsi" w:hAnsiTheme="minorHAnsi"/>
        </w:rPr>
        <w:t>submit a product dispense re</w:t>
      </w:r>
      <w:r>
        <w:rPr>
          <w:rFonts w:asciiTheme="minorHAnsi" w:hAnsiTheme="minorHAnsi"/>
        </w:rPr>
        <w:t>quest for an individual patient</w:t>
      </w:r>
    </w:p>
    <w:p w:rsidR="00C52976" w:rsidRDefault="008C4BBC" w:rsidP="00107D9A">
      <w:pPr>
        <w:pStyle w:val="Heading3"/>
        <w:rPr>
          <w:rFonts w:asciiTheme="minorHAnsi" w:hAnsiTheme="minorHAnsi"/>
        </w:rPr>
      </w:pPr>
      <w:r>
        <w:rPr>
          <w:noProof/>
          <w:lang w:eastAsia="en-AU"/>
        </w:rPr>
        <w:drawing>
          <wp:inline distT="0" distB="0" distL="0" distR="0" wp14:anchorId="0AE42B29" wp14:editId="6E588AB3">
            <wp:extent cx="6988225" cy="33813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822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976" w:rsidRPr="004165ED" w:rsidRDefault="00443D1F" w:rsidP="004165ED">
      <w:pPr>
        <w:pStyle w:val="ListParagraph"/>
        <w:numPr>
          <w:ilvl w:val="0"/>
          <w:numId w:val="11"/>
        </w:numPr>
        <w:rPr>
          <w:b/>
        </w:rPr>
      </w:pPr>
      <w:r w:rsidRPr="004165ED">
        <w:rPr>
          <w:b/>
        </w:rPr>
        <w:t>Patient Search from the home screen</w:t>
      </w:r>
      <w:r w:rsidR="00173A04" w:rsidRPr="004165ED">
        <w:rPr>
          <w:b/>
        </w:rPr>
        <w:br/>
      </w:r>
      <w:r w:rsidR="008A70EC">
        <w:t>Nurses</w:t>
      </w:r>
      <w:r w:rsidR="00C52976" w:rsidRPr="00C52976">
        <w:t xml:space="preserve"> </w:t>
      </w:r>
      <w:r w:rsidR="00C52976">
        <w:t xml:space="preserve">can search for patients </w:t>
      </w:r>
      <w:r>
        <w:t xml:space="preserve">from the home screen </w:t>
      </w:r>
      <w:r w:rsidR="00C52976">
        <w:t xml:space="preserve">using </w:t>
      </w:r>
      <w:r w:rsidR="005E1EC6">
        <w:t xml:space="preserve">the available </w:t>
      </w:r>
      <w:r w:rsidR="00F628F9">
        <w:t>fields</w:t>
      </w:r>
      <w:r w:rsidR="005E1EC6">
        <w:t>.</w:t>
      </w:r>
      <w:r w:rsidR="00F628F9">
        <w:t xml:space="preserve"> </w:t>
      </w:r>
      <w:r w:rsidR="004425DA" w:rsidRPr="004165ED">
        <w:rPr>
          <w:rFonts w:asciiTheme="minorHAnsi" w:hAnsiTheme="minorHAnsi"/>
        </w:rPr>
        <w:t>You can refine your search to in</w:t>
      </w:r>
      <w:r w:rsidR="00464633">
        <w:rPr>
          <w:rFonts w:asciiTheme="minorHAnsi" w:hAnsiTheme="minorHAnsi"/>
        </w:rPr>
        <w:t xml:space="preserve">clude </w:t>
      </w:r>
      <w:r w:rsidR="004425DA" w:rsidRPr="004165ED">
        <w:rPr>
          <w:rFonts w:asciiTheme="minorHAnsi" w:hAnsiTheme="minorHAnsi"/>
        </w:rPr>
        <w:t xml:space="preserve">only patients who are administered </w:t>
      </w:r>
      <w:r w:rsidR="004425DA" w:rsidRPr="00464633">
        <w:rPr>
          <w:rFonts w:asciiTheme="minorHAnsi" w:hAnsiTheme="minorHAnsi"/>
        </w:rPr>
        <w:t>or</w:t>
      </w:r>
      <w:r w:rsidR="004425DA" w:rsidRPr="004165ED">
        <w:rPr>
          <w:rFonts w:asciiTheme="minorHAnsi" w:hAnsiTheme="minorHAnsi"/>
        </w:rPr>
        <w:t xml:space="preserve"> prescribed Immunoglobulin (Ig) product at your facility</w:t>
      </w:r>
      <w:r w:rsidR="00464633">
        <w:rPr>
          <w:rFonts w:asciiTheme="minorHAnsi" w:hAnsiTheme="minorHAnsi"/>
        </w:rPr>
        <w:t xml:space="preserve"> by clicking on the relevant tick boxes</w:t>
      </w:r>
      <w:r w:rsidR="004425DA" w:rsidRPr="004165ED">
        <w:rPr>
          <w:rFonts w:asciiTheme="minorHAnsi" w:hAnsiTheme="minorHAnsi"/>
        </w:rPr>
        <w:t>, both of these search options are selected by default.</w:t>
      </w:r>
      <w:r w:rsidR="00173A04">
        <w:t xml:space="preserve"> </w:t>
      </w:r>
      <w:r>
        <w:t>There is also the option to search for patients who have a pending review in the system by clicking on the tick box under ‘Pending Review</w:t>
      </w:r>
      <w:r w:rsidR="00F74FEC">
        <w:t>’</w:t>
      </w:r>
      <w:r>
        <w:t xml:space="preserve">.  </w:t>
      </w:r>
      <w:r w:rsidR="00F74FEC">
        <w:br/>
      </w:r>
    </w:p>
    <w:p w:rsidR="00F74FEC" w:rsidRDefault="00F74FEC" w:rsidP="00F74FEC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View Authorisation Request</w:t>
      </w:r>
    </w:p>
    <w:p w:rsidR="00F74FEC" w:rsidRPr="000D6F46" w:rsidRDefault="00F74FEC" w:rsidP="00F74FEC">
      <w:pPr>
        <w:pStyle w:val="ListParagraph"/>
        <w:rPr>
          <w:b/>
        </w:rPr>
      </w:pPr>
      <w:r>
        <w:t xml:space="preserve">A patient’s authorisation reference number is listed in the </w:t>
      </w:r>
      <w:r w:rsidRPr="000E3DEC">
        <w:rPr>
          <w:i/>
        </w:rPr>
        <w:t>Authorisation</w:t>
      </w:r>
      <w:r>
        <w:t xml:space="preserve"> column. To view a patient’s authorisation </w:t>
      </w:r>
      <w:r w:rsidR="008C4BBC">
        <w:t>details</w:t>
      </w:r>
      <w:r>
        <w:t xml:space="preserve"> click on the authorisation reference number. You will be taken to the </w:t>
      </w:r>
      <w:r w:rsidRPr="000E3DEC">
        <w:rPr>
          <w:i/>
        </w:rPr>
        <w:t>View Authorisation</w:t>
      </w:r>
      <w:r>
        <w:t xml:space="preserve"> page which displays a patient’s current authorisation details, treatment plan and review outcomes</w:t>
      </w:r>
      <w:r w:rsidR="00C27B60">
        <w:t>.</w:t>
      </w:r>
    </w:p>
    <w:p w:rsidR="000D6F46" w:rsidRDefault="000D6F46" w:rsidP="000D6F46">
      <w:pPr>
        <w:pStyle w:val="ListParagraph"/>
        <w:rPr>
          <w:b/>
        </w:rPr>
      </w:pPr>
    </w:p>
    <w:p w:rsidR="000E3DEC" w:rsidRDefault="000E3DEC" w:rsidP="000D6F46">
      <w:pPr>
        <w:pStyle w:val="ListParagraph"/>
        <w:rPr>
          <w:b/>
        </w:rPr>
      </w:pPr>
    </w:p>
    <w:p w:rsidR="000E3DEC" w:rsidRDefault="000E3DEC" w:rsidP="000D6F46">
      <w:pPr>
        <w:pStyle w:val="ListParagraph"/>
        <w:rPr>
          <w:b/>
        </w:rPr>
      </w:pPr>
    </w:p>
    <w:p w:rsidR="000E3DEC" w:rsidRDefault="000E3DEC" w:rsidP="000E3DEC">
      <w:pPr>
        <w:pStyle w:val="ListParagraph"/>
        <w:rPr>
          <w:b/>
        </w:rPr>
      </w:pPr>
    </w:p>
    <w:p w:rsidR="000E3DEC" w:rsidRDefault="000E3DEC" w:rsidP="000E3DEC">
      <w:pPr>
        <w:pStyle w:val="ListParagraph"/>
        <w:rPr>
          <w:b/>
        </w:rPr>
      </w:pPr>
    </w:p>
    <w:p w:rsidR="000E3DEC" w:rsidRDefault="000E3DEC" w:rsidP="000E3DEC">
      <w:pPr>
        <w:pStyle w:val="ListParagraph"/>
        <w:rPr>
          <w:b/>
        </w:rPr>
      </w:pPr>
    </w:p>
    <w:p w:rsidR="000E3DEC" w:rsidRPr="000E3DEC" w:rsidRDefault="000E3DEC" w:rsidP="000E3DEC">
      <w:pPr>
        <w:pStyle w:val="ListParagraph"/>
        <w:rPr>
          <w:b/>
        </w:rPr>
      </w:pPr>
    </w:p>
    <w:p w:rsidR="00D53FDA" w:rsidRDefault="00D53FDA" w:rsidP="00D53FDA">
      <w:pPr>
        <w:pStyle w:val="ListParagraph"/>
        <w:rPr>
          <w:b/>
        </w:rPr>
      </w:pPr>
    </w:p>
    <w:p w:rsidR="000D6F46" w:rsidRPr="000D6F46" w:rsidRDefault="000D6F46" w:rsidP="00443D1F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Pending Reviews</w:t>
      </w:r>
    </w:p>
    <w:p w:rsidR="00F74FEC" w:rsidRPr="000E3DEC" w:rsidRDefault="000D6F46" w:rsidP="000E3DEC">
      <w:pPr>
        <w:pStyle w:val="ListParagraph"/>
        <w:rPr>
          <w:b/>
        </w:rPr>
      </w:pPr>
      <w:r>
        <w:t xml:space="preserve">If a patient has </w:t>
      </w:r>
      <w:r w:rsidR="00B81C3A">
        <w:t>an upcoming</w:t>
      </w:r>
      <w:r>
        <w:t xml:space="preserve"> review</w:t>
      </w:r>
      <w:r w:rsidR="00B81C3A">
        <w:t xml:space="preserve"> </w:t>
      </w:r>
      <w:r>
        <w:t>of their Ig authorisation</w:t>
      </w:r>
      <w:r w:rsidR="00443D1F">
        <w:t>,</w:t>
      </w:r>
      <w:r>
        <w:t xml:space="preserve"> a tick will appear in the </w:t>
      </w:r>
      <w:r w:rsidRPr="000E3DEC">
        <w:rPr>
          <w:i/>
        </w:rPr>
        <w:t>Pending Review</w:t>
      </w:r>
      <w:r w:rsidR="00B81C3A">
        <w:t xml:space="preserve"> column</w:t>
      </w:r>
      <w:r w:rsidR="00443D1F">
        <w:t xml:space="preserve"> </w:t>
      </w:r>
      <w:r w:rsidR="00443D1F" w:rsidRPr="00443D1F">
        <w:rPr>
          <w:b/>
        </w:rPr>
        <w:t xml:space="preserve">8 weeks prior </w:t>
      </w:r>
      <w:r w:rsidR="00443D1F">
        <w:t xml:space="preserve">to their authorisation end date. The authorisation end date can be viewed in the </w:t>
      </w:r>
      <w:r w:rsidR="00443D1F" w:rsidRPr="000E3DEC">
        <w:rPr>
          <w:i/>
        </w:rPr>
        <w:t>End Date</w:t>
      </w:r>
      <w:r w:rsidR="00443D1F">
        <w:t xml:space="preserve"> column. </w:t>
      </w:r>
      <w:r w:rsidR="000E3DEC">
        <w:br/>
      </w:r>
    </w:p>
    <w:p w:rsidR="008A70EC" w:rsidRPr="00B57B00" w:rsidRDefault="008A70EC" w:rsidP="00B57B00">
      <w:pPr>
        <w:pStyle w:val="ListParagraph"/>
        <w:numPr>
          <w:ilvl w:val="0"/>
          <w:numId w:val="11"/>
        </w:numPr>
        <w:rPr>
          <w:b/>
        </w:rPr>
      </w:pPr>
      <w:r w:rsidRPr="00B57B00">
        <w:rPr>
          <w:rFonts w:asciiTheme="minorHAnsi" w:hAnsiTheme="minorHAnsi"/>
          <w:b/>
        </w:rPr>
        <w:t>Create and submit a product dispense request</w:t>
      </w:r>
    </w:p>
    <w:p w:rsidR="00F74FEC" w:rsidRPr="00BF37CB" w:rsidRDefault="008A70EC" w:rsidP="00BF37CB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create and submit a dispense request </w:t>
      </w:r>
      <w:r w:rsidR="004E10EC">
        <w:rPr>
          <w:rFonts w:asciiTheme="minorHAnsi" w:hAnsiTheme="minorHAnsi"/>
        </w:rPr>
        <w:t xml:space="preserve">for a patient </w:t>
      </w:r>
      <w:r>
        <w:rPr>
          <w:rFonts w:asciiTheme="minorHAnsi" w:hAnsiTheme="minorHAnsi"/>
        </w:rPr>
        <w:t xml:space="preserve">click </w:t>
      </w:r>
      <w:r w:rsidR="00B57B00">
        <w:rPr>
          <w:rFonts w:asciiTheme="minorHAnsi" w:hAnsiTheme="minorHAnsi"/>
        </w:rPr>
        <w:t xml:space="preserve">on the </w:t>
      </w:r>
      <w:r w:rsidR="00B57B00" w:rsidRPr="000E3DEC">
        <w:rPr>
          <w:rFonts w:asciiTheme="minorHAnsi" w:hAnsiTheme="minorHAnsi"/>
          <w:i/>
        </w:rPr>
        <w:t xml:space="preserve">Request </w:t>
      </w:r>
      <w:r w:rsidR="004E10EC" w:rsidRPr="000E3DEC">
        <w:rPr>
          <w:rFonts w:asciiTheme="minorHAnsi" w:hAnsiTheme="minorHAnsi"/>
          <w:i/>
        </w:rPr>
        <w:t>Dose</w:t>
      </w:r>
      <w:r w:rsidR="004E10EC">
        <w:rPr>
          <w:rFonts w:asciiTheme="minorHAnsi" w:hAnsiTheme="minorHAnsi"/>
        </w:rPr>
        <w:t xml:space="preserve"> link in the </w:t>
      </w:r>
      <w:r w:rsidR="004E10EC" w:rsidRPr="000E3DEC">
        <w:rPr>
          <w:rFonts w:asciiTheme="minorHAnsi" w:hAnsiTheme="minorHAnsi"/>
          <w:i/>
        </w:rPr>
        <w:t>Request Dose</w:t>
      </w:r>
      <w:r w:rsidR="004E10EC">
        <w:rPr>
          <w:rFonts w:asciiTheme="minorHAnsi" w:hAnsiTheme="minorHAnsi"/>
        </w:rPr>
        <w:t xml:space="preserve"> column. The </w:t>
      </w:r>
      <w:r w:rsidR="004E10EC" w:rsidRPr="000E3DEC">
        <w:rPr>
          <w:rFonts w:asciiTheme="minorHAnsi" w:hAnsiTheme="minorHAnsi"/>
          <w:i/>
        </w:rPr>
        <w:t>Add Dispense Request</w:t>
      </w:r>
      <w:r w:rsidR="004E10EC">
        <w:rPr>
          <w:rFonts w:asciiTheme="minorHAnsi" w:hAnsiTheme="minorHAnsi"/>
        </w:rPr>
        <w:t xml:space="preserve"> pop up window will appear where you can select the dispensing facility and select and customise the required </w:t>
      </w:r>
      <w:r w:rsidR="00F74FEC">
        <w:rPr>
          <w:rFonts w:asciiTheme="minorHAnsi" w:hAnsiTheme="minorHAnsi"/>
        </w:rPr>
        <w:t xml:space="preserve">loading and/or maintenance </w:t>
      </w:r>
      <w:r w:rsidR="004E10EC">
        <w:rPr>
          <w:rFonts w:asciiTheme="minorHAnsi" w:hAnsiTheme="minorHAnsi"/>
        </w:rPr>
        <w:t xml:space="preserve">dose. </w:t>
      </w:r>
    </w:p>
    <w:p w:rsidR="00F74FEC" w:rsidRPr="008A70EC" w:rsidRDefault="00F74FEC" w:rsidP="008A70EC">
      <w:pPr>
        <w:pStyle w:val="ListParagraph"/>
      </w:pPr>
    </w:p>
    <w:p w:rsidR="00884F1D" w:rsidRDefault="00884F1D" w:rsidP="00884F1D">
      <w:pPr>
        <w:pStyle w:val="ListParagraph"/>
        <w:numPr>
          <w:ilvl w:val="0"/>
          <w:numId w:val="11"/>
        </w:numPr>
        <w:spacing w:line="276" w:lineRule="auto"/>
        <w:rPr>
          <w:noProof/>
          <w:lang w:eastAsia="en-AU"/>
        </w:rPr>
      </w:pPr>
      <w:r w:rsidRPr="00884F1D">
        <w:rPr>
          <w:rFonts w:asciiTheme="minorHAnsi" w:hAnsiTheme="minorHAnsi"/>
          <w:b/>
        </w:rPr>
        <w:t>Navigate to the Patient Search</w:t>
      </w:r>
      <w:r w:rsidR="00345D92">
        <w:rPr>
          <w:rFonts w:asciiTheme="minorHAnsi" w:hAnsiTheme="minorHAnsi"/>
          <w:b/>
        </w:rPr>
        <w:t xml:space="preserve"> </w:t>
      </w:r>
      <w:r w:rsidRPr="00884F1D">
        <w:rPr>
          <w:rFonts w:asciiTheme="minorHAnsi" w:hAnsiTheme="minorHAnsi"/>
          <w:b/>
        </w:rPr>
        <w:t>page</w:t>
      </w:r>
      <w:r>
        <w:rPr>
          <w:rFonts w:asciiTheme="minorHAnsi" w:hAnsiTheme="minorHAnsi"/>
          <w:b/>
        </w:rPr>
        <w:br/>
      </w:r>
      <w:r w:rsidR="00345D92" w:rsidRPr="00345D92">
        <w:rPr>
          <w:noProof/>
          <w:lang w:eastAsia="en-AU"/>
        </w:rPr>
        <w:t>You can</w:t>
      </w:r>
      <w:r w:rsidR="00345D92">
        <w:rPr>
          <w:b/>
          <w:noProof/>
          <w:lang w:eastAsia="en-AU"/>
        </w:rPr>
        <w:t xml:space="preserve"> </w:t>
      </w:r>
      <w:r w:rsidR="00345D92" w:rsidRPr="00345D92">
        <w:rPr>
          <w:noProof/>
          <w:lang w:eastAsia="en-AU"/>
        </w:rPr>
        <w:t xml:space="preserve">navigate </w:t>
      </w:r>
      <w:r w:rsidR="00345D92">
        <w:rPr>
          <w:noProof/>
          <w:lang w:eastAsia="en-AU"/>
        </w:rPr>
        <w:t>to the Patient Search page by clicking on</w:t>
      </w:r>
      <w:r w:rsidR="008C4BBC">
        <w:rPr>
          <w:noProof/>
          <w:lang w:eastAsia="en-AU"/>
        </w:rPr>
        <w:t xml:space="preserve"> the</w:t>
      </w:r>
      <w:r w:rsidR="00345D92">
        <w:rPr>
          <w:noProof/>
          <w:lang w:eastAsia="en-AU"/>
        </w:rPr>
        <w:t xml:space="preserve"> </w:t>
      </w:r>
      <w:r w:rsidR="00345D92" w:rsidRPr="000E3DEC">
        <w:rPr>
          <w:i/>
          <w:noProof/>
          <w:lang w:eastAsia="en-AU"/>
        </w:rPr>
        <w:t>Patients</w:t>
      </w:r>
      <w:r w:rsidR="00345D92">
        <w:rPr>
          <w:noProof/>
          <w:lang w:eastAsia="en-AU"/>
        </w:rPr>
        <w:t xml:space="preserve"> </w:t>
      </w:r>
      <w:r w:rsidR="00AD048F">
        <w:rPr>
          <w:noProof/>
          <w:lang w:eastAsia="en-AU"/>
        </w:rPr>
        <w:t xml:space="preserve">drop down menu at the top of the screen and then clicking on </w:t>
      </w:r>
      <w:r w:rsidR="00AD048F" w:rsidRPr="000E3DEC">
        <w:rPr>
          <w:i/>
          <w:noProof/>
          <w:lang w:eastAsia="en-AU"/>
        </w:rPr>
        <w:t>Search</w:t>
      </w:r>
      <w:r w:rsidR="00AD048F">
        <w:rPr>
          <w:noProof/>
          <w:lang w:eastAsia="en-AU"/>
        </w:rPr>
        <w:t>. From the patient sea</w:t>
      </w:r>
      <w:r w:rsidR="00C27B60">
        <w:rPr>
          <w:noProof/>
          <w:lang w:eastAsia="en-AU"/>
        </w:rPr>
        <w:t>r</w:t>
      </w:r>
      <w:r w:rsidR="00AD048F">
        <w:rPr>
          <w:noProof/>
          <w:lang w:eastAsia="en-AU"/>
        </w:rPr>
        <w:t xml:space="preserve">ch page users can search for patients across their state or </w:t>
      </w:r>
      <w:r w:rsidR="00E0093F">
        <w:rPr>
          <w:noProof/>
          <w:lang w:eastAsia="en-AU"/>
        </w:rPr>
        <w:t>nationally</w:t>
      </w:r>
      <w:r w:rsidR="00AD048F">
        <w:rPr>
          <w:noProof/>
          <w:lang w:eastAsia="en-AU"/>
        </w:rPr>
        <w:t xml:space="preserve">. </w:t>
      </w:r>
      <w:r w:rsidR="004165ED">
        <w:rPr>
          <w:noProof/>
          <w:lang w:eastAsia="en-AU"/>
        </w:rPr>
        <w:br/>
      </w:r>
    </w:p>
    <w:p w:rsidR="00407B1B" w:rsidRDefault="00407B1B" w:rsidP="00407B1B">
      <w:pPr>
        <w:spacing w:line="276" w:lineRule="auto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1535E0EB" wp14:editId="4F024B4C">
            <wp:extent cx="6902118" cy="33242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02118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7CB" w:rsidRPr="00BF37CB" w:rsidRDefault="00345D92" w:rsidP="00BF37CB">
      <w:pPr>
        <w:pStyle w:val="ListParagraph"/>
        <w:numPr>
          <w:ilvl w:val="0"/>
          <w:numId w:val="11"/>
        </w:numPr>
        <w:spacing w:line="276" w:lineRule="auto"/>
        <w:rPr>
          <w:noProof/>
          <w:lang w:eastAsia="en-AU"/>
        </w:rPr>
      </w:pPr>
      <w:r w:rsidRPr="00AD048F">
        <w:rPr>
          <w:b/>
          <w:noProof/>
          <w:lang w:eastAsia="en-AU"/>
        </w:rPr>
        <w:t xml:space="preserve">Navigate to the </w:t>
      </w:r>
      <w:r w:rsidRPr="00AD048F">
        <w:rPr>
          <w:rFonts w:asciiTheme="minorHAnsi" w:hAnsiTheme="minorHAnsi"/>
          <w:b/>
        </w:rPr>
        <w:t>Planning Sheets page</w:t>
      </w:r>
      <w:r w:rsidR="00BF37CB">
        <w:rPr>
          <w:rFonts w:asciiTheme="minorHAnsi" w:hAnsiTheme="minorHAnsi"/>
          <w:b/>
        </w:rPr>
        <w:br/>
      </w:r>
      <w:r w:rsidR="00BF37CB">
        <w:rPr>
          <w:rFonts w:asciiTheme="minorHAnsi" w:hAnsiTheme="minorHAnsi"/>
        </w:rPr>
        <w:t>To</w:t>
      </w:r>
      <w:r w:rsidR="00BF37CB">
        <w:rPr>
          <w:rFonts w:asciiTheme="minorHAnsi" w:hAnsiTheme="minorHAnsi"/>
          <w:b/>
        </w:rPr>
        <w:t xml:space="preserve"> </w:t>
      </w:r>
      <w:r w:rsidR="00BF37CB" w:rsidRPr="00BF37CB">
        <w:rPr>
          <w:rFonts w:asciiTheme="minorHAnsi" w:hAnsiTheme="minorHAnsi"/>
        </w:rPr>
        <w:t xml:space="preserve">navigate to the </w:t>
      </w:r>
      <w:r w:rsidR="00BF37CB">
        <w:rPr>
          <w:rFonts w:asciiTheme="minorHAnsi" w:hAnsiTheme="minorHAnsi"/>
        </w:rPr>
        <w:t xml:space="preserve">Planning Sheets page click on the </w:t>
      </w:r>
      <w:r w:rsidR="007125DD" w:rsidRPr="000E3DEC">
        <w:rPr>
          <w:rFonts w:asciiTheme="minorHAnsi" w:hAnsiTheme="minorHAnsi"/>
          <w:i/>
        </w:rPr>
        <w:t>Treatment</w:t>
      </w:r>
      <w:r w:rsidR="007125DD">
        <w:rPr>
          <w:rFonts w:asciiTheme="minorHAnsi" w:hAnsiTheme="minorHAnsi"/>
        </w:rPr>
        <w:t xml:space="preserve"> drop</w:t>
      </w:r>
      <w:r w:rsidR="00C27B60">
        <w:rPr>
          <w:rFonts w:asciiTheme="minorHAnsi" w:hAnsiTheme="minorHAnsi"/>
        </w:rPr>
        <w:t xml:space="preserve"> </w:t>
      </w:r>
      <w:r w:rsidR="007125DD">
        <w:rPr>
          <w:rFonts w:asciiTheme="minorHAnsi" w:hAnsiTheme="minorHAnsi"/>
        </w:rPr>
        <w:t xml:space="preserve">down menu at the top of the screen and then click on </w:t>
      </w:r>
      <w:r w:rsidR="007125DD" w:rsidRPr="000E3DEC">
        <w:rPr>
          <w:rFonts w:asciiTheme="minorHAnsi" w:hAnsiTheme="minorHAnsi"/>
          <w:i/>
        </w:rPr>
        <w:t>Planning Sheets</w:t>
      </w:r>
      <w:r w:rsidR="007125DD">
        <w:rPr>
          <w:rFonts w:asciiTheme="minorHAnsi" w:hAnsiTheme="minorHAnsi"/>
        </w:rPr>
        <w:t>. From the Planning Sheets page y</w:t>
      </w:r>
      <w:r w:rsidR="00BF37CB">
        <w:rPr>
          <w:rFonts w:asciiTheme="minorHAnsi" w:hAnsiTheme="minorHAnsi"/>
        </w:rPr>
        <w:t>ou can create</w:t>
      </w:r>
      <w:r w:rsidR="00C27B60">
        <w:rPr>
          <w:rFonts w:asciiTheme="minorHAnsi" w:hAnsiTheme="minorHAnsi"/>
        </w:rPr>
        <w:t>, submit</w:t>
      </w:r>
      <w:r w:rsidR="00BF37CB">
        <w:rPr>
          <w:rFonts w:asciiTheme="minorHAnsi" w:hAnsiTheme="minorHAnsi"/>
        </w:rPr>
        <w:t xml:space="preserve"> and search electronic planning sheets. </w:t>
      </w:r>
    </w:p>
    <w:p w:rsidR="00BF37CB" w:rsidRDefault="00BF37CB" w:rsidP="00BF37CB">
      <w:pPr>
        <w:pStyle w:val="ListParagraph"/>
        <w:rPr>
          <w:noProof/>
          <w:lang w:eastAsia="en-AU"/>
        </w:rPr>
      </w:pPr>
    </w:p>
    <w:p w:rsidR="00BF37CB" w:rsidRPr="00BF37CB" w:rsidRDefault="00BF37CB" w:rsidP="007125DD">
      <w:pPr>
        <w:pStyle w:val="ListParagraph"/>
        <w:numPr>
          <w:ilvl w:val="0"/>
          <w:numId w:val="11"/>
        </w:numPr>
        <w:spacing w:line="276" w:lineRule="auto"/>
        <w:rPr>
          <w:b/>
          <w:noProof/>
          <w:lang w:eastAsia="en-AU"/>
        </w:rPr>
      </w:pPr>
      <w:r w:rsidRPr="00BF37CB">
        <w:rPr>
          <w:b/>
          <w:noProof/>
          <w:lang w:eastAsia="en-AU"/>
        </w:rPr>
        <w:t xml:space="preserve">Navigate to Dispense </w:t>
      </w:r>
      <w:r w:rsidR="007125DD">
        <w:rPr>
          <w:b/>
          <w:noProof/>
          <w:lang w:eastAsia="en-AU"/>
        </w:rPr>
        <w:t>R</w:t>
      </w:r>
      <w:r w:rsidRPr="00BF37CB">
        <w:rPr>
          <w:b/>
          <w:noProof/>
          <w:lang w:eastAsia="en-AU"/>
        </w:rPr>
        <w:t>equests page</w:t>
      </w:r>
      <w:r w:rsidR="007125DD">
        <w:rPr>
          <w:b/>
          <w:noProof/>
          <w:lang w:eastAsia="en-AU"/>
        </w:rPr>
        <w:br/>
      </w:r>
      <w:proofErr w:type="gramStart"/>
      <w:r w:rsidR="007125DD">
        <w:rPr>
          <w:rFonts w:asciiTheme="minorHAnsi" w:hAnsiTheme="minorHAnsi"/>
        </w:rPr>
        <w:t>To</w:t>
      </w:r>
      <w:proofErr w:type="gramEnd"/>
      <w:r w:rsidR="007125DD">
        <w:rPr>
          <w:rFonts w:asciiTheme="minorHAnsi" w:hAnsiTheme="minorHAnsi"/>
          <w:b/>
        </w:rPr>
        <w:t xml:space="preserve"> </w:t>
      </w:r>
      <w:r w:rsidR="007125DD" w:rsidRPr="00BF37CB">
        <w:rPr>
          <w:rFonts w:asciiTheme="minorHAnsi" w:hAnsiTheme="minorHAnsi"/>
        </w:rPr>
        <w:t xml:space="preserve">navigate to the </w:t>
      </w:r>
      <w:r w:rsidR="007125DD">
        <w:rPr>
          <w:rFonts w:asciiTheme="minorHAnsi" w:hAnsiTheme="minorHAnsi"/>
        </w:rPr>
        <w:t xml:space="preserve">Dispense Requests page click on the </w:t>
      </w:r>
      <w:r w:rsidR="007125DD" w:rsidRPr="000E3DEC">
        <w:rPr>
          <w:rFonts w:asciiTheme="minorHAnsi" w:hAnsiTheme="minorHAnsi"/>
          <w:i/>
        </w:rPr>
        <w:t>Treatment</w:t>
      </w:r>
      <w:r w:rsidR="007125DD">
        <w:rPr>
          <w:rFonts w:asciiTheme="minorHAnsi" w:hAnsiTheme="minorHAnsi"/>
        </w:rPr>
        <w:t xml:space="preserve"> dropdown menu at the top of the screen and then click on </w:t>
      </w:r>
      <w:r w:rsidR="007125DD" w:rsidRPr="000E3DEC">
        <w:rPr>
          <w:rFonts w:asciiTheme="minorHAnsi" w:hAnsiTheme="minorHAnsi"/>
          <w:i/>
        </w:rPr>
        <w:t>Dispense Requests</w:t>
      </w:r>
      <w:r w:rsidR="007125DD">
        <w:rPr>
          <w:rFonts w:asciiTheme="minorHAnsi" w:hAnsiTheme="minorHAnsi"/>
        </w:rPr>
        <w:t xml:space="preserve">. From the </w:t>
      </w:r>
      <w:r w:rsidR="007125DD" w:rsidRPr="007125DD">
        <w:rPr>
          <w:rFonts w:asciiTheme="minorHAnsi" w:hAnsiTheme="minorHAnsi"/>
        </w:rPr>
        <w:t>Dispense Requests</w:t>
      </w:r>
      <w:r w:rsidR="007125DD">
        <w:rPr>
          <w:rFonts w:asciiTheme="minorHAnsi" w:hAnsiTheme="minorHAnsi"/>
        </w:rPr>
        <w:t xml:space="preserve"> page you can search </w:t>
      </w:r>
      <w:r w:rsidR="00407B1B">
        <w:rPr>
          <w:rFonts w:asciiTheme="minorHAnsi" w:hAnsiTheme="minorHAnsi"/>
        </w:rPr>
        <w:t>for submitted dispense requests</w:t>
      </w:r>
      <w:r w:rsidR="007125DD">
        <w:rPr>
          <w:rFonts w:asciiTheme="minorHAnsi" w:hAnsiTheme="minorHAnsi"/>
        </w:rPr>
        <w:t>.</w:t>
      </w:r>
    </w:p>
    <w:sectPr w:rsidR="00BF37CB" w:rsidRPr="00BF37CB" w:rsidSect="007C7EE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CC2" w:rsidRDefault="003B0CC2" w:rsidP="00856708">
      <w:pPr>
        <w:spacing w:after="0"/>
      </w:pPr>
      <w:r>
        <w:separator/>
      </w:r>
    </w:p>
  </w:endnote>
  <w:endnote w:type="continuationSeparator" w:id="0">
    <w:p w:rsidR="003B0CC2" w:rsidRDefault="003B0CC2" w:rsidP="00856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7D1" w:rsidRDefault="00856708" w:rsidP="009D77D1">
    <w:pPr>
      <w:pStyle w:val="Footer"/>
      <w:tabs>
        <w:tab w:val="left" w:pos="6521"/>
      </w:tabs>
      <w:ind w:left="-284" w:right="-306" w:firstLine="284"/>
      <w:jc w:val="both"/>
      <w:rPr>
        <w:rFonts w:ascii="Arial" w:hAnsi="Arial" w:cs="Arial"/>
        <w:spacing w:val="-6"/>
        <w:sz w:val="26"/>
        <w:szCs w:val="26"/>
      </w:rPr>
    </w:pPr>
    <w:r w:rsidRPr="00856708">
      <w:rPr>
        <w:sz w:val="20"/>
        <w:szCs w:val="20"/>
      </w:rPr>
      <w:t>National Blood Authority</w:t>
    </w:r>
    <w:r w:rsidRPr="00856708">
      <w:rPr>
        <w:sz w:val="20"/>
        <w:szCs w:val="20"/>
      </w:rPr>
      <w:tab/>
    </w:r>
    <w:r w:rsidRPr="00856708">
      <w:rPr>
        <w:sz w:val="20"/>
        <w:szCs w:val="20"/>
      </w:rPr>
      <w:tab/>
    </w:r>
    <w:r w:rsidR="009D77D1">
      <w:rPr>
        <w:rFonts w:ascii="Arial" w:hAnsi="Arial" w:cs="Arial"/>
        <w:color w:val="C00000"/>
        <w:spacing w:val="-6"/>
        <w:sz w:val="26"/>
        <w:szCs w:val="26"/>
      </w:rPr>
      <w:t xml:space="preserve">Support </w:t>
    </w:r>
  </w:p>
  <w:p w:rsidR="009D77D1" w:rsidRDefault="009D77D1" w:rsidP="009D77D1">
    <w:pPr>
      <w:pStyle w:val="Footer"/>
      <w:tabs>
        <w:tab w:val="left" w:pos="6521"/>
      </w:tabs>
      <w:ind w:right="-306"/>
      <w:rPr>
        <w:sz w:val="20"/>
        <w:szCs w:val="20"/>
      </w:rPr>
    </w:pPr>
    <w:r>
      <w:tab/>
    </w:r>
    <w:r>
      <w:tab/>
    </w:r>
    <w:proofErr w:type="gramStart"/>
    <w:r>
      <w:rPr>
        <w:sz w:val="20"/>
        <w:szCs w:val="20"/>
      </w:rPr>
      <w:t>phone</w:t>
    </w:r>
    <w:proofErr w:type="gramEnd"/>
    <w:r>
      <w:rPr>
        <w:sz w:val="20"/>
        <w:szCs w:val="20"/>
      </w:rPr>
      <w:t>: 13 000 BLOOD (13 000 25663)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email: </w:t>
    </w:r>
    <w:hyperlink r:id="rId1" w:history="1">
      <w:r>
        <w:rPr>
          <w:rStyle w:val="Hyperlink"/>
          <w:sz w:val="20"/>
          <w:szCs w:val="20"/>
        </w:rPr>
        <w:t>support@blood.gov.au</w:t>
      </w:r>
    </w:hyperlink>
  </w:p>
  <w:p w:rsidR="009D77D1" w:rsidRDefault="009D77D1" w:rsidP="009D77D1">
    <w:pPr>
      <w:pStyle w:val="Footer"/>
      <w:tabs>
        <w:tab w:val="left" w:pos="6521"/>
      </w:tabs>
      <w:ind w:right="-306"/>
    </w:pPr>
    <w:r>
      <w:rPr>
        <w:sz w:val="20"/>
        <w:szCs w:val="20"/>
      </w:rPr>
      <w:tab/>
    </w:r>
    <w:r>
      <w:rPr>
        <w:sz w:val="20"/>
        <w:szCs w:val="20"/>
      </w:rPr>
      <w:tab/>
    </w:r>
    <w:proofErr w:type="gramStart"/>
    <w:r>
      <w:rPr>
        <w:sz w:val="20"/>
        <w:szCs w:val="20"/>
      </w:rPr>
      <w:t>fax</w:t>
    </w:r>
    <w:proofErr w:type="gramEnd"/>
    <w:r>
      <w:rPr>
        <w:sz w:val="20"/>
        <w:szCs w:val="20"/>
      </w:rPr>
      <w:t>: 02 6103 3840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9A" w:rsidRDefault="00304F9A" w:rsidP="00304F9A">
    <w:pPr>
      <w:pStyle w:val="Footer"/>
      <w:tabs>
        <w:tab w:val="left" w:pos="6521"/>
      </w:tabs>
      <w:ind w:left="-284" w:right="-306" w:firstLine="284"/>
      <w:jc w:val="both"/>
      <w:rPr>
        <w:rFonts w:ascii="Arial" w:hAnsi="Arial" w:cs="Arial"/>
        <w:spacing w:val="-6"/>
        <w:sz w:val="26"/>
        <w:szCs w:val="26"/>
      </w:rPr>
    </w:pPr>
    <w:r w:rsidRPr="00856708">
      <w:rPr>
        <w:sz w:val="20"/>
        <w:szCs w:val="20"/>
      </w:rPr>
      <w:t>National Blood Authority</w:t>
    </w:r>
    <w:r w:rsidRPr="00856708">
      <w:rPr>
        <w:sz w:val="20"/>
        <w:szCs w:val="20"/>
      </w:rPr>
      <w:tab/>
    </w:r>
    <w:r w:rsidRPr="00856708">
      <w:rPr>
        <w:sz w:val="20"/>
        <w:szCs w:val="20"/>
      </w:rPr>
      <w:tab/>
    </w:r>
    <w:r>
      <w:rPr>
        <w:rFonts w:ascii="Arial" w:hAnsi="Arial" w:cs="Arial"/>
        <w:color w:val="C00000"/>
        <w:spacing w:val="-6"/>
        <w:sz w:val="26"/>
        <w:szCs w:val="26"/>
      </w:rPr>
      <w:t xml:space="preserve">Support </w:t>
    </w:r>
  </w:p>
  <w:p w:rsidR="00304F9A" w:rsidRDefault="00304F9A" w:rsidP="00304F9A">
    <w:pPr>
      <w:pStyle w:val="Footer"/>
      <w:tabs>
        <w:tab w:val="left" w:pos="6521"/>
      </w:tabs>
      <w:ind w:right="-306"/>
      <w:rPr>
        <w:sz w:val="20"/>
        <w:szCs w:val="20"/>
      </w:rPr>
    </w:pPr>
    <w:r>
      <w:tab/>
    </w:r>
    <w:r>
      <w:tab/>
    </w:r>
    <w:proofErr w:type="gramStart"/>
    <w:r>
      <w:rPr>
        <w:sz w:val="20"/>
        <w:szCs w:val="20"/>
      </w:rPr>
      <w:t>phone</w:t>
    </w:r>
    <w:proofErr w:type="gramEnd"/>
    <w:r>
      <w:rPr>
        <w:sz w:val="20"/>
        <w:szCs w:val="20"/>
      </w:rPr>
      <w:t>: 13 000 BLOOD (13 000 25663)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email: </w:t>
    </w:r>
    <w:hyperlink r:id="rId1" w:history="1">
      <w:r>
        <w:rPr>
          <w:rStyle w:val="Hyperlink"/>
          <w:sz w:val="20"/>
          <w:szCs w:val="20"/>
        </w:rPr>
        <w:t>support@blood.gov.au</w:t>
      </w:r>
    </w:hyperlink>
  </w:p>
  <w:p w:rsidR="009D77D1" w:rsidRPr="009D77D1" w:rsidRDefault="00304F9A" w:rsidP="00304F9A">
    <w:pPr>
      <w:pStyle w:val="Footer"/>
      <w:tabs>
        <w:tab w:val="left" w:pos="6521"/>
      </w:tabs>
      <w:ind w:right="-306"/>
    </w:pPr>
    <w:r>
      <w:rPr>
        <w:sz w:val="20"/>
        <w:szCs w:val="20"/>
      </w:rPr>
      <w:tab/>
    </w:r>
    <w:r>
      <w:rPr>
        <w:sz w:val="20"/>
        <w:szCs w:val="20"/>
      </w:rPr>
      <w:tab/>
    </w:r>
    <w:proofErr w:type="gramStart"/>
    <w:r>
      <w:rPr>
        <w:sz w:val="20"/>
        <w:szCs w:val="20"/>
      </w:rPr>
      <w:t>fax</w:t>
    </w:r>
    <w:proofErr w:type="gramEnd"/>
    <w:r>
      <w:rPr>
        <w:sz w:val="20"/>
        <w:szCs w:val="20"/>
      </w:rPr>
      <w:t>: 02 6103 3840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CC2" w:rsidRDefault="003B0CC2" w:rsidP="00856708">
      <w:pPr>
        <w:spacing w:after="0"/>
      </w:pPr>
      <w:r>
        <w:separator/>
      </w:r>
    </w:p>
  </w:footnote>
  <w:footnote w:type="continuationSeparator" w:id="0">
    <w:p w:rsidR="003B0CC2" w:rsidRDefault="003B0CC2" w:rsidP="008567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C2" w:rsidRDefault="00EC37C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51935925" wp14:editId="1CCFB4AA">
          <wp:simplePos x="0" y="0"/>
          <wp:positionH relativeFrom="column">
            <wp:posOffset>-483870</wp:posOffset>
          </wp:positionH>
          <wp:positionV relativeFrom="paragraph">
            <wp:posOffset>-458470</wp:posOffset>
          </wp:positionV>
          <wp:extent cx="7581900" cy="15811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A A4 Factsheets_Background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85253"/>
                  <a:stretch/>
                </pic:blipFill>
                <pic:spPr bwMode="auto">
                  <a:xfrm>
                    <a:off x="0" y="0"/>
                    <a:ext cx="7581900" cy="158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EEA" w:rsidRDefault="00475ED4">
    <w:pPr>
      <w:pStyle w:val="Header"/>
    </w:pPr>
    <w:sdt>
      <w:sdtPr>
        <w:id w:val="577796342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121F7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67529787" wp14:editId="668BF19A">
          <wp:simplePos x="0" y="0"/>
          <wp:positionH relativeFrom="column">
            <wp:posOffset>316230</wp:posOffset>
          </wp:positionH>
          <wp:positionV relativeFrom="paragraph">
            <wp:posOffset>169545</wp:posOffset>
          </wp:positionV>
          <wp:extent cx="2897155" cy="457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71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37C2">
      <w:rPr>
        <w:noProof/>
        <w:lang w:eastAsia="en-AU"/>
      </w:rPr>
      <w:drawing>
        <wp:anchor distT="0" distB="0" distL="114300" distR="114300" simplePos="0" relativeHeight="251656192" behindDoc="1" locked="0" layoutInCell="1" allowOverlap="1" wp14:anchorId="21C09FCD" wp14:editId="75BF42CD">
          <wp:simplePos x="0" y="0"/>
          <wp:positionH relativeFrom="column">
            <wp:posOffset>-483870</wp:posOffset>
          </wp:positionH>
          <wp:positionV relativeFrom="paragraph">
            <wp:posOffset>-477520</wp:posOffset>
          </wp:positionV>
          <wp:extent cx="7581900" cy="15811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A A4 Factsheets_Background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85253"/>
                  <a:stretch/>
                </pic:blipFill>
                <pic:spPr bwMode="auto">
                  <a:xfrm>
                    <a:off x="0" y="0"/>
                    <a:ext cx="7581900" cy="158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C7A"/>
    <w:multiLevelType w:val="hybridMultilevel"/>
    <w:tmpl w:val="862A76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4F2B"/>
    <w:multiLevelType w:val="hybridMultilevel"/>
    <w:tmpl w:val="E856C8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C7386"/>
    <w:multiLevelType w:val="hybridMultilevel"/>
    <w:tmpl w:val="5C16155C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F7BF4"/>
    <w:multiLevelType w:val="multilevel"/>
    <w:tmpl w:val="E25EB8C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37434B42"/>
    <w:multiLevelType w:val="hybridMultilevel"/>
    <w:tmpl w:val="E28CBCD8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26980"/>
    <w:multiLevelType w:val="hybridMultilevel"/>
    <w:tmpl w:val="0994AB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96132"/>
    <w:multiLevelType w:val="hybridMultilevel"/>
    <w:tmpl w:val="E9005146"/>
    <w:lvl w:ilvl="0" w:tplc="5C70AE72">
      <w:start w:val="4"/>
      <w:numFmt w:val="bullet"/>
      <w:lvlText w:val=""/>
      <w:lvlJc w:val="left"/>
      <w:pPr>
        <w:ind w:left="720" w:hanging="360"/>
      </w:pPr>
      <w:rPr>
        <w:rFonts w:ascii="Symbol" w:eastAsia="Dotum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5010E"/>
    <w:multiLevelType w:val="hybridMultilevel"/>
    <w:tmpl w:val="3B3E4840"/>
    <w:lvl w:ilvl="0" w:tplc="170A6140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F17CF7"/>
    <w:multiLevelType w:val="hybridMultilevel"/>
    <w:tmpl w:val="60FABC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A6FDD"/>
    <w:multiLevelType w:val="hybridMultilevel"/>
    <w:tmpl w:val="86526E16"/>
    <w:lvl w:ilvl="0" w:tplc="BFB65228">
      <w:start w:val="1"/>
      <w:numFmt w:val="decimal"/>
      <w:lvlText w:val="%1."/>
      <w:lvlJc w:val="left"/>
      <w:pPr>
        <w:ind w:left="720" w:hanging="360"/>
      </w:pPr>
      <w:rPr>
        <w:rFonts w:ascii="Calibri" w:eastAsia="Dotum" w:hAnsi="Calibri" w:cs="Calibri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216AE"/>
    <w:multiLevelType w:val="hybridMultilevel"/>
    <w:tmpl w:val="79BEDF2C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E513E"/>
    <w:multiLevelType w:val="hybridMultilevel"/>
    <w:tmpl w:val="0EBE1116"/>
    <w:lvl w:ilvl="0" w:tplc="C51A1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EA"/>
    <w:rsid w:val="00036EDC"/>
    <w:rsid w:val="0006006A"/>
    <w:rsid w:val="0009497A"/>
    <w:rsid w:val="000D6F46"/>
    <w:rsid w:val="000E3DEC"/>
    <w:rsid w:val="00107D9A"/>
    <w:rsid w:val="00173A04"/>
    <w:rsid w:val="00175FF7"/>
    <w:rsid w:val="00182951"/>
    <w:rsid w:val="001C0EC8"/>
    <w:rsid w:val="001E3D64"/>
    <w:rsid w:val="002537F2"/>
    <w:rsid w:val="00295CD3"/>
    <w:rsid w:val="002F0F86"/>
    <w:rsid w:val="00304F9A"/>
    <w:rsid w:val="00330FE1"/>
    <w:rsid w:val="003343CA"/>
    <w:rsid w:val="00345D92"/>
    <w:rsid w:val="00360FBB"/>
    <w:rsid w:val="003B0CC2"/>
    <w:rsid w:val="003B4372"/>
    <w:rsid w:val="003D27F1"/>
    <w:rsid w:val="00407B1B"/>
    <w:rsid w:val="004165ED"/>
    <w:rsid w:val="004425DA"/>
    <w:rsid w:val="00443D1F"/>
    <w:rsid w:val="00464633"/>
    <w:rsid w:val="004672FF"/>
    <w:rsid w:val="00475ED4"/>
    <w:rsid w:val="004A1026"/>
    <w:rsid w:val="004A6585"/>
    <w:rsid w:val="004D4636"/>
    <w:rsid w:val="004E10EC"/>
    <w:rsid w:val="00540020"/>
    <w:rsid w:val="00590B15"/>
    <w:rsid w:val="005E1EC6"/>
    <w:rsid w:val="006A3695"/>
    <w:rsid w:val="007125DD"/>
    <w:rsid w:val="007C7EEA"/>
    <w:rsid w:val="007E51BC"/>
    <w:rsid w:val="008008F6"/>
    <w:rsid w:val="008121F7"/>
    <w:rsid w:val="008270F8"/>
    <w:rsid w:val="00844D0F"/>
    <w:rsid w:val="00856708"/>
    <w:rsid w:val="00884F1D"/>
    <w:rsid w:val="00893E0A"/>
    <w:rsid w:val="008A70EC"/>
    <w:rsid w:val="008C4BBC"/>
    <w:rsid w:val="008E0171"/>
    <w:rsid w:val="00921D39"/>
    <w:rsid w:val="00951B85"/>
    <w:rsid w:val="009C3CDD"/>
    <w:rsid w:val="009D77D1"/>
    <w:rsid w:val="009E38CC"/>
    <w:rsid w:val="00AA194F"/>
    <w:rsid w:val="00AD048F"/>
    <w:rsid w:val="00B3726E"/>
    <w:rsid w:val="00B55F16"/>
    <w:rsid w:val="00B57B00"/>
    <w:rsid w:val="00B81C3A"/>
    <w:rsid w:val="00BC7159"/>
    <w:rsid w:val="00BF37CB"/>
    <w:rsid w:val="00C27B60"/>
    <w:rsid w:val="00C52976"/>
    <w:rsid w:val="00CF3246"/>
    <w:rsid w:val="00D31B1B"/>
    <w:rsid w:val="00D33071"/>
    <w:rsid w:val="00D53FDA"/>
    <w:rsid w:val="00D66364"/>
    <w:rsid w:val="00D72DE1"/>
    <w:rsid w:val="00E0093F"/>
    <w:rsid w:val="00E62028"/>
    <w:rsid w:val="00E720EA"/>
    <w:rsid w:val="00EC37C2"/>
    <w:rsid w:val="00EC3BCE"/>
    <w:rsid w:val="00EE5E34"/>
    <w:rsid w:val="00EF607C"/>
    <w:rsid w:val="00F56E98"/>
    <w:rsid w:val="00F628F9"/>
    <w:rsid w:val="00F70ADA"/>
    <w:rsid w:val="00F74FEC"/>
    <w:rsid w:val="00FF0DE0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9A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E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EEA"/>
    <w:rPr>
      <w:rFonts w:ascii="Tahoma" w:eastAsia="Dotum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D77D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3CA"/>
    <w:rPr>
      <w:rFonts w:ascii="Calibri" w:eastAsia="Dotum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3CA"/>
    <w:rPr>
      <w:rFonts w:ascii="Calibri" w:eastAsia="Dotum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9A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E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EEA"/>
    <w:rPr>
      <w:rFonts w:ascii="Tahoma" w:eastAsia="Dotum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D77D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3CA"/>
    <w:rPr>
      <w:rFonts w:ascii="Calibri" w:eastAsia="Dotum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3CA"/>
    <w:rPr>
      <w:rFonts w:ascii="Calibri" w:eastAsia="Dotum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blood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bloo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7002C-2EBD-409B-813B-6D262FD6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2216</Characters>
  <Application>Microsoft Office Word</Application>
  <DocSecurity>4</DocSecurity>
  <Lines>56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Danny Mamic</cp:lastModifiedBy>
  <cp:revision>2</cp:revision>
  <cp:lastPrinted>2016-06-27T06:45:00Z</cp:lastPrinted>
  <dcterms:created xsi:type="dcterms:W3CDTF">2016-07-13T06:34:00Z</dcterms:created>
  <dcterms:modified xsi:type="dcterms:W3CDTF">2016-07-13T06:34:00Z</dcterms:modified>
</cp:coreProperties>
</file>