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7F" w:rsidRDefault="007B5995" w:rsidP="00FB247F">
      <w:pPr>
        <w:pStyle w:val="Heading2"/>
        <w:ind w:right="142"/>
        <w:jc w:val="center"/>
        <w:rPr>
          <w:rFonts w:asciiTheme="minorHAnsi" w:hAnsiTheme="minorHAnsi"/>
          <w:color w:val="C00000"/>
          <w:sz w:val="48"/>
          <w:szCs w:val="48"/>
        </w:rPr>
      </w:pPr>
      <w:r>
        <w:br/>
      </w:r>
    </w:p>
    <w:p w:rsidR="00845C6F" w:rsidRPr="00F06849" w:rsidRDefault="004A2A89" w:rsidP="00FB247F">
      <w:pPr>
        <w:pStyle w:val="Heading2"/>
        <w:spacing w:before="0"/>
        <w:ind w:right="142"/>
        <w:jc w:val="center"/>
        <w:rPr>
          <w:rFonts w:asciiTheme="minorHAnsi" w:hAnsiTheme="minorHAnsi"/>
          <w:color w:val="C00000"/>
          <w:sz w:val="48"/>
          <w:szCs w:val="48"/>
        </w:rPr>
      </w:pPr>
      <w:r>
        <w:rPr>
          <w:rFonts w:asciiTheme="minorHAnsi" w:hAnsiTheme="minorHAnsi"/>
          <w:color w:val="C00000"/>
          <w:sz w:val="48"/>
          <w:szCs w:val="48"/>
        </w:rPr>
        <w:t xml:space="preserve">Submitting </w:t>
      </w:r>
      <w:r w:rsidR="00B34187" w:rsidRPr="007B5995">
        <w:rPr>
          <w:rFonts w:asciiTheme="minorHAnsi" w:hAnsiTheme="minorHAnsi"/>
          <w:color w:val="C00000"/>
          <w:sz w:val="48"/>
          <w:szCs w:val="48"/>
        </w:rPr>
        <w:t>I</w:t>
      </w:r>
      <w:r w:rsidR="00E727C5">
        <w:rPr>
          <w:rFonts w:asciiTheme="minorHAnsi" w:hAnsiTheme="minorHAnsi"/>
          <w:color w:val="C00000"/>
          <w:sz w:val="48"/>
          <w:szCs w:val="48"/>
        </w:rPr>
        <w:t>mmunoglobulin</w:t>
      </w:r>
      <w:r w:rsidR="00B34187" w:rsidRPr="007B5995">
        <w:rPr>
          <w:rFonts w:asciiTheme="minorHAnsi" w:hAnsiTheme="minorHAnsi"/>
          <w:color w:val="C00000"/>
          <w:sz w:val="48"/>
          <w:szCs w:val="48"/>
        </w:rPr>
        <w:t xml:space="preserve"> </w:t>
      </w:r>
      <w:r w:rsidR="00845C6F" w:rsidRPr="007B5995">
        <w:rPr>
          <w:rFonts w:asciiTheme="minorHAnsi" w:hAnsiTheme="minorHAnsi"/>
          <w:color w:val="C00000"/>
          <w:sz w:val="48"/>
          <w:szCs w:val="48"/>
        </w:rPr>
        <w:t>Authorisation Requests</w:t>
      </w:r>
      <w:r w:rsidR="0001569F">
        <w:rPr>
          <w:rFonts w:asciiTheme="minorHAnsi" w:hAnsiTheme="minorHAnsi"/>
          <w:color w:val="C00000"/>
          <w:sz w:val="48"/>
          <w:szCs w:val="48"/>
        </w:rPr>
        <w:t xml:space="preserve"> </w:t>
      </w:r>
      <w:r w:rsidR="00BA55A8" w:rsidRPr="00BA55A8">
        <w:rPr>
          <w:rFonts w:asciiTheme="minorHAnsi" w:hAnsiTheme="minorHAnsi"/>
          <w:color w:val="C00000"/>
          <w:sz w:val="48"/>
          <w:szCs w:val="48"/>
        </w:rPr>
        <w:t xml:space="preserve">while </w:t>
      </w:r>
      <w:r w:rsidR="008B4713">
        <w:rPr>
          <w:rFonts w:asciiTheme="minorHAnsi" w:hAnsiTheme="minorHAnsi"/>
          <w:color w:val="C00000"/>
          <w:sz w:val="48"/>
          <w:szCs w:val="48"/>
        </w:rPr>
        <w:t>A</w:t>
      </w:r>
      <w:r w:rsidR="00BA55A8" w:rsidRPr="00BA55A8">
        <w:rPr>
          <w:rFonts w:asciiTheme="minorHAnsi" w:hAnsiTheme="minorHAnsi"/>
          <w:color w:val="C00000"/>
          <w:sz w:val="48"/>
          <w:szCs w:val="48"/>
        </w:rPr>
        <w:t xml:space="preserve">ccess to your </w:t>
      </w:r>
      <w:r w:rsidR="008B4713">
        <w:rPr>
          <w:rFonts w:asciiTheme="minorHAnsi" w:hAnsiTheme="minorHAnsi"/>
          <w:color w:val="C00000"/>
          <w:sz w:val="48"/>
          <w:szCs w:val="48"/>
        </w:rPr>
        <w:t>F</w:t>
      </w:r>
      <w:r w:rsidR="00BA55A8" w:rsidRPr="00BA55A8">
        <w:rPr>
          <w:rFonts w:asciiTheme="minorHAnsi" w:hAnsiTheme="minorHAnsi"/>
          <w:color w:val="C00000"/>
          <w:sz w:val="48"/>
          <w:szCs w:val="48"/>
        </w:rPr>
        <w:t xml:space="preserve">acility is </w:t>
      </w:r>
      <w:proofErr w:type="gramStart"/>
      <w:r w:rsidR="008B4713">
        <w:rPr>
          <w:rFonts w:asciiTheme="minorHAnsi" w:hAnsiTheme="minorHAnsi"/>
          <w:color w:val="C00000"/>
          <w:sz w:val="48"/>
          <w:szCs w:val="48"/>
        </w:rPr>
        <w:t>P</w:t>
      </w:r>
      <w:r w:rsidR="00BA55A8" w:rsidRPr="00BA55A8">
        <w:rPr>
          <w:rFonts w:asciiTheme="minorHAnsi" w:hAnsiTheme="minorHAnsi"/>
          <w:color w:val="C00000"/>
          <w:sz w:val="48"/>
          <w:szCs w:val="48"/>
        </w:rPr>
        <w:t>ending</w:t>
      </w:r>
      <w:proofErr w:type="gramEnd"/>
      <w:r w:rsidR="00BA55A8" w:rsidRPr="00BA55A8" w:rsidDel="00BA55A8">
        <w:rPr>
          <w:rStyle w:val="CommentReference"/>
          <w:rFonts w:asciiTheme="minorHAnsi" w:hAnsiTheme="minorHAnsi"/>
          <w:color w:val="C00000"/>
          <w:sz w:val="48"/>
          <w:szCs w:val="48"/>
        </w:rPr>
        <w:t xml:space="preserve"> </w:t>
      </w:r>
    </w:p>
    <w:p w:rsidR="00382F32" w:rsidRDefault="00FD543D" w:rsidP="00FB247F">
      <w:pPr>
        <w:spacing w:after="0"/>
        <w:ind w:right="118"/>
      </w:pPr>
      <w:bookmarkStart w:id="0" w:name="_GoBack"/>
      <w:r>
        <w:t xml:space="preserve">Medical Officers can gain provisional access to BloodSTAR for 14 days while awaiting approval of their full </w:t>
      </w:r>
      <w:bookmarkEnd w:id="0"/>
      <w:r>
        <w:t xml:space="preserve">access. </w:t>
      </w:r>
    </w:p>
    <w:p w:rsidR="002A2917" w:rsidRDefault="002A2917" w:rsidP="00FB247F">
      <w:pPr>
        <w:spacing w:after="0"/>
      </w:pPr>
    </w:p>
    <w:p w:rsidR="00382F32" w:rsidRDefault="00382F32" w:rsidP="00FB247F">
      <w:pPr>
        <w:spacing w:after="0"/>
      </w:pPr>
      <w:r>
        <w:t xml:space="preserve">Provisional access will allow users to complete the following functions only: </w:t>
      </w:r>
    </w:p>
    <w:p w:rsidR="00382F32" w:rsidRDefault="00382F32" w:rsidP="00382F32">
      <w:pPr>
        <w:pStyle w:val="ListParagraph"/>
        <w:numPr>
          <w:ilvl w:val="1"/>
          <w:numId w:val="13"/>
        </w:numPr>
        <w:spacing w:after="120"/>
      </w:pPr>
      <w:r>
        <w:t>Complete and submit New Initial Authorisation requests.</w:t>
      </w:r>
    </w:p>
    <w:p w:rsidR="00382F32" w:rsidRDefault="00382F32" w:rsidP="00382F32">
      <w:pPr>
        <w:pStyle w:val="ListParagraph"/>
        <w:numPr>
          <w:ilvl w:val="1"/>
          <w:numId w:val="13"/>
        </w:numPr>
        <w:spacing w:after="120"/>
      </w:pPr>
      <w:r>
        <w:rPr>
          <w:b/>
        </w:rPr>
        <w:t>R</w:t>
      </w:r>
      <w:r w:rsidRPr="00C41AEA">
        <w:rPr>
          <w:b/>
        </w:rPr>
        <w:t>ecall</w:t>
      </w:r>
      <w:r>
        <w:rPr>
          <w:b/>
        </w:rPr>
        <w:t>, Edit</w:t>
      </w:r>
      <w:r>
        <w:t xml:space="preserve"> and </w:t>
      </w:r>
      <w:r w:rsidRPr="00C41AEA">
        <w:rPr>
          <w:b/>
        </w:rPr>
        <w:t>resubmit</w:t>
      </w:r>
      <w:r>
        <w:t xml:space="preserve"> New Initial Authorisation requests.</w:t>
      </w:r>
    </w:p>
    <w:p w:rsidR="00382F32" w:rsidRPr="00E97D49" w:rsidRDefault="00382F32" w:rsidP="00FB247F">
      <w:pPr>
        <w:pStyle w:val="ListParagraph"/>
        <w:numPr>
          <w:ilvl w:val="1"/>
          <w:numId w:val="13"/>
        </w:numPr>
        <w:spacing w:after="0"/>
        <w:ind w:left="1434" w:hanging="357"/>
      </w:pPr>
      <w:r w:rsidRPr="002F33A8">
        <w:t>View probable matches when completing a patient search to reduce the chance of creating a duplicate record.</w:t>
      </w:r>
      <w:r w:rsidRPr="00E97D49">
        <w:t xml:space="preserve">  </w:t>
      </w:r>
    </w:p>
    <w:p w:rsidR="00382F32" w:rsidRDefault="00382F32" w:rsidP="00382F32">
      <w:pPr>
        <w:pStyle w:val="ListParagraph"/>
        <w:spacing w:after="120"/>
        <w:ind w:left="1440"/>
      </w:pPr>
    </w:p>
    <w:p w:rsidR="00382F32" w:rsidRDefault="00382F32" w:rsidP="00FB30E0">
      <w:pPr>
        <w:spacing w:after="120"/>
      </w:pPr>
      <w:r w:rsidRPr="00382F32">
        <w:rPr>
          <w:b/>
        </w:rPr>
        <w:t>Please Note:</w:t>
      </w:r>
      <w:r>
        <w:t xml:space="preserve"> you will not be able to see all patients at your facility, as that access is restricted to approved users.</w:t>
      </w:r>
      <w:r w:rsidRPr="00911E5B">
        <w:t xml:space="preserve"> </w:t>
      </w:r>
      <w:r w:rsidRPr="002E148E">
        <w:t xml:space="preserve">However, you can view any patients for whom you are listed as the </w:t>
      </w:r>
      <w:r>
        <w:t xml:space="preserve">Requesting or </w:t>
      </w:r>
      <w:r w:rsidRPr="002E148E">
        <w:t xml:space="preserve">Treating Medical Officer </w:t>
      </w:r>
      <w:r>
        <w:t>at other facilities.</w:t>
      </w:r>
    </w:p>
    <w:p w:rsidR="00382F32" w:rsidRDefault="00382F32" w:rsidP="00FB247F">
      <w:pPr>
        <w:spacing w:after="0"/>
      </w:pPr>
      <w:r>
        <w:t xml:space="preserve">Your provisional access </w:t>
      </w:r>
      <w:r w:rsidRPr="00C41AEA">
        <w:rPr>
          <w:b/>
        </w:rPr>
        <w:t>will be removed after 14 days if not approved by the facility administrator</w:t>
      </w:r>
      <w:r>
        <w:t xml:space="preserve">. </w:t>
      </w:r>
    </w:p>
    <w:p w:rsidR="00BA55A8" w:rsidRDefault="00BA55A8" w:rsidP="002A2917">
      <w:pPr>
        <w:spacing w:after="0"/>
        <w:ind w:right="118"/>
      </w:pPr>
    </w:p>
    <w:p w:rsidR="00BA55A8" w:rsidRDefault="00BA55A8" w:rsidP="00FB30E0">
      <w:pPr>
        <w:spacing w:after="0"/>
        <w:ind w:right="118"/>
      </w:pPr>
      <w:r>
        <w:t xml:space="preserve">For details on how to request access please see the Tip Sheet </w:t>
      </w:r>
      <w:r w:rsidRPr="00C41AEA">
        <w:rPr>
          <w:i/>
        </w:rPr>
        <w:t>BloodSTAR Registration and Role Request</w:t>
      </w:r>
      <w:r>
        <w:t xml:space="preserve"> </w:t>
      </w:r>
      <w:hyperlink r:id="rId9" w:history="1">
        <w:r w:rsidRPr="002C43AE">
          <w:rPr>
            <w:rStyle w:val="Hyperlink"/>
          </w:rPr>
          <w:t>https://www.blood.gov.au/bloodstar-support-materials</w:t>
        </w:r>
      </w:hyperlink>
      <w:r>
        <w:t xml:space="preserve"> .</w:t>
      </w:r>
    </w:p>
    <w:p w:rsidR="002A2917" w:rsidRPr="00FB247F" w:rsidRDefault="007A586B" w:rsidP="00FB247F">
      <w:pPr>
        <w:pStyle w:val="Heading4"/>
        <w:spacing w:before="240" w:after="120"/>
        <w:ind w:right="118"/>
        <w:rPr>
          <w:b w:val="0"/>
          <w:color w:val="C60C30"/>
          <w:sz w:val="28"/>
          <w:szCs w:val="28"/>
        </w:rPr>
      </w:pPr>
      <w:r w:rsidRPr="00C41AEA">
        <w:rPr>
          <w:b w:val="0"/>
          <w:color w:val="C60C30"/>
          <w:sz w:val="28"/>
          <w:szCs w:val="28"/>
        </w:rPr>
        <w:t xml:space="preserve">Submitting </w:t>
      </w:r>
      <w:r w:rsidR="00FD543D" w:rsidRPr="00C41AEA">
        <w:rPr>
          <w:b w:val="0"/>
          <w:color w:val="C60C30"/>
          <w:sz w:val="28"/>
          <w:szCs w:val="28"/>
        </w:rPr>
        <w:t>a</w:t>
      </w:r>
      <w:r w:rsidR="00FD543D">
        <w:rPr>
          <w:b w:val="0"/>
          <w:color w:val="C60C30"/>
          <w:sz w:val="28"/>
          <w:szCs w:val="28"/>
        </w:rPr>
        <w:t xml:space="preserve"> New</w:t>
      </w:r>
      <w:r w:rsidR="00FD543D" w:rsidRPr="00C41AEA">
        <w:rPr>
          <w:b w:val="0"/>
          <w:color w:val="C60C30"/>
          <w:sz w:val="28"/>
          <w:szCs w:val="28"/>
        </w:rPr>
        <w:t xml:space="preserve"> </w:t>
      </w:r>
      <w:r w:rsidR="00911E5B" w:rsidRPr="00C41AEA">
        <w:rPr>
          <w:b w:val="0"/>
          <w:color w:val="C60C30"/>
          <w:sz w:val="28"/>
          <w:szCs w:val="28"/>
        </w:rPr>
        <w:t xml:space="preserve">Initial </w:t>
      </w:r>
      <w:r w:rsidRPr="00C41AEA">
        <w:rPr>
          <w:b w:val="0"/>
          <w:color w:val="C60C30"/>
          <w:sz w:val="28"/>
          <w:szCs w:val="28"/>
        </w:rPr>
        <w:t>Authorisation Request</w:t>
      </w:r>
      <w:r w:rsidR="002075EA" w:rsidRPr="00C41AEA">
        <w:rPr>
          <w:b w:val="0"/>
          <w:color w:val="C60C30"/>
          <w:sz w:val="28"/>
          <w:szCs w:val="28"/>
        </w:rPr>
        <w:t xml:space="preserve"> </w:t>
      </w:r>
      <w:r w:rsidR="00BA55A8">
        <w:rPr>
          <w:b w:val="0"/>
          <w:color w:val="C60C30"/>
          <w:sz w:val="28"/>
          <w:szCs w:val="28"/>
        </w:rPr>
        <w:t>while access to your</w:t>
      </w:r>
      <w:r w:rsidR="002075EA" w:rsidRPr="00C41AEA">
        <w:rPr>
          <w:b w:val="0"/>
          <w:color w:val="C60C30"/>
          <w:sz w:val="28"/>
          <w:szCs w:val="28"/>
        </w:rPr>
        <w:t xml:space="preserve"> facility </w:t>
      </w:r>
      <w:r w:rsidR="00BA55A8">
        <w:rPr>
          <w:b w:val="0"/>
          <w:color w:val="C60C30"/>
          <w:sz w:val="28"/>
          <w:szCs w:val="28"/>
        </w:rPr>
        <w:t>is pending</w:t>
      </w:r>
    </w:p>
    <w:p w:rsidR="00865073" w:rsidRPr="00FB30E0" w:rsidRDefault="00865073" w:rsidP="00F06849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FB30E0">
        <w:rPr>
          <w:b/>
          <w:sz w:val="24"/>
          <w:szCs w:val="24"/>
        </w:rPr>
        <w:t>No other role in BloodSTAR</w:t>
      </w:r>
    </w:p>
    <w:p w:rsidR="002A2917" w:rsidRDefault="001F1DC1" w:rsidP="00F06849">
      <w:pPr>
        <w:pStyle w:val="ListParagraph"/>
        <w:numPr>
          <w:ilvl w:val="0"/>
          <w:numId w:val="8"/>
        </w:numPr>
        <w:ind w:left="142" w:hanging="357"/>
        <w:contextualSpacing w:val="0"/>
        <w:jc w:val="both"/>
      </w:pPr>
      <w:r>
        <w:t>Once your access request has been submitted, you will</w:t>
      </w:r>
      <w:r w:rsidR="00E727C5">
        <w:t xml:space="preserve"> </w:t>
      </w:r>
      <w:r w:rsidR="0044477E">
        <w:t xml:space="preserve">be taken to the </w:t>
      </w:r>
      <w:r w:rsidR="0044477E" w:rsidRPr="00FB30E0">
        <w:rPr>
          <w:b/>
        </w:rPr>
        <w:t>Access Request History</w:t>
      </w:r>
      <w:r w:rsidR="0044477E">
        <w:t xml:space="preserve"> page where you will see information regarding your access request and a </w:t>
      </w:r>
      <w:r w:rsidR="0077013A">
        <w:t xml:space="preserve">link to </w:t>
      </w:r>
      <w:r w:rsidR="0044477E" w:rsidRPr="00FB30E0">
        <w:rPr>
          <w:b/>
        </w:rPr>
        <w:t>New Initial Authorisation Request</w:t>
      </w:r>
      <w:r w:rsidR="0044477E">
        <w:t xml:space="preserve"> </w:t>
      </w:r>
      <w:r w:rsidR="007729E0" w:rsidRPr="007729E0">
        <w:rPr>
          <w:noProof/>
          <w:lang w:eastAsia="en-AU"/>
        </w:rPr>
        <w:t xml:space="preserve"> </w:t>
      </w:r>
    </w:p>
    <w:p w:rsidR="00C41AEA" w:rsidRDefault="00935090" w:rsidP="002A2917">
      <w:pPr>
        <w:pStyle w:val="ListParagraph"/>
        <w:spacing w:before="240" w:after="360"/>
        <w:ind w:left="142"/>
        <w:contextualSpacing w:val="0"/>
        <w:jc w:val="both"/>
      </w:pPr>
      <w:r>
        <w:rPr>
          <w:noProof/>
          <w:lang w:eastAsia="en-AU"/>
        </w:rPr>
        <w:drawing>
          <wp:inline distT="0" distB="0" distL="0" distR="0" wp14:anchorId="6B612BD4" wp14:editId="09DB4E91">
            <wp:extent cx="6447600" cy="2016000"/>
            <wp:effectExtent l="19050" t="19050" r="10795" b="228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ding Acce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600" cy="201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477E" w:rsidRDefault="0044477E" w:rsidP="00FB30E0">
      <w:pPr>
        <w:spacing w:before="240" w:after="120"/>
        <w:ind w:left="360"/>
      </w:pPr>
    </w:p>
    <w:p w:rsidR="002A2917" w:rsidRDefault="002A2917" w:rsidP="00FB30E0">
      <w:pPr>
        <w:spacing w:before="240" w:after="120"/>
        <w:ind w:left="360"/>
      </w:pPr>
    </w:p>
    <w:p w:rsidR="002A2917" w:rsidRDefault="002A2917" w:rsidP="00FB30E0">
      <w:pPr>
        <w:spacing w:before="240" w:after="120"/>
        <w:ind w:left="360"/>
      </w:pPr>
    </w:p>
    <w:p w:rsidR="002A2917" w:rsidRDefault="002A2917" w:rsidP="00FB30E0">
      <w:pPr>
        <w:spacing w:before="240" w:after="120"/>
        <w:ind w:left="360"/>
      </w:pPr>
    </w:p>
    <w:p w:rsidR="002A2917" w:rsidRDefault="002A2917" w:rsidP="002A2917">
      <w:pPr>
        <w:spacing w:before="240" w:after="120"/>
      </w:pPr>
    </w:p>
    <w:p w:rsidR="002A2917" w:rsidRDefault="002A2917" w:rsidP="00FB30E0">
      <w:pPr>
        <w:spacing w:before="240" w:after="120"/>
        <w:ind w:left="360"/>
      </w:pPr>
    </w:p>
    <w:p w:rsidR="00FB247F" w:rsidRDefault="00FB247F" w:rsidP="00FB30E0">
      <w:pPr>
        <w:spacing w:before="240" w:after="120"/>
        <w:ind w:left="360"/>
      </w:pPr>
    </w:p>
    <w:p w:rsidR="00F06849" w:rsidRDefault="0044477E" w:rsidP="00F06849">
      <w:pPr>
        <w:pStyle w:val="ListParagraph"/>
        <w:numPr>
          <w:ilvl w:val="0"/>
          <w:numId w:val="8"/>
        </w:numPr>
        <w:ind w:left="142" w:hanging="357"/>
        <w:contextualSpacing w:val="0"/>
        <w:jc w:val="both"/>
      </w:pPr>
      <w:r>
        <w:t xml:space="preserve">Click on the </w:t>
      </w:r>
      <w:r w:rsidRPr="00F06849">
        <w:t>New Initial Authorisation Request</w:t>
      </w:r>
      <w:r>
        <w:t xml:space="preserve"> button</w:t>
      </w:r>
      <w:r w:rsidR="00935090">
        <w:t>.</w:t>
      </w:r>
    </w:p>
    <w:p w:rsidR="00F06849" w:rsidRDefault="00935090" w:rsidP="00F06849">
      <w:r>
        <w:rPr>
          <w:noProof/>
          <w:lang w:eastAsia="en-AU"/>
        </w:rPr>
        <w:drawing>
          <wp:inline distT="0" distB="0" distL="0" distR="0" wp14:anchorId="00514B8A" wp14:editId="49CB9059">
            <wp:extent cx="6098400" cy="1904400"/>
            <wp:effectExtent l="19050" t="19050" r="17145" b="196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400" cy="190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82F32">
        <w:br/>
      </w:r>
    </w:p>
    <w:p w:rsidR="00FB247F" w:rsidRPr="00FB247F" w:rsidRDefault="00865073" w:rsidP="00FB247F">
      <w:pPr>
        <w:pStyle w:val="ListParagraph"/>
        <w:numPr>
          <w:ilvl w:val="0"/>
          <w:numId w:val="8"/>
        </w:numPr>
        <w:ind w:left="142" w:hanging="357"/>
      </w:pPr>
      <w:r w:rsidRPr="00865073">
        <w:t>You will then be navigated to</w:t>
      </w:r>
      <w:r w:rsidR="00382F32">
        <w:t xml:space="preserve"> a New Initial Authorisation Request form, which you will be able to</w:t>
      </w:r>
      <w:r w:rsidR="00382F32" w:rsidRPr="008A5473">
        <w:t xml:space="preserve"> </w:t>
      </w:r>
      <w:r w:rsidR="00382F32">
        <w:t xml:space="preserve">complete and submit as per the normal process. For more details on submitting an Initial Authorisation Request, see the </w:t>
      </w:r>
      <w:r w:rsidR="00382F32" w:rsidRPr="00A2699B">
        <w:t>BloodSTAR - Ini</w:t>
      </w:r>
      <w:r w:rsidR="00382F32">
        <w:t xml:space="preserve">tial Authorisation Request </w:t>
      </w:r>
      <w:proofErr w:type="spellStart"/>
      <w:r w:rsidR="00382F32">
        <w:t>Tipsheet</w:t>
      </w:r>
      <w:proofErr w:type="spellEnd"/>
      <w:r w:rsidR="00382F32">
        <w:t xml:space="preserve"> at </w:t>
      </w:r>
      <w:hyperlink r:id="rId12" w:history="1">
        <w:r w:rsidR="00382F32" w:rsidRPr="00F06849">
          <w:t>https://www.blood.gov.au/medical-officer</w:t>
        </w:r>
      </w:hyperlink>
      <w:r w:rsidR="00382F32">
        <w:t>.</w:t>
      </w:r>
      <w:r w:rsidR="00382F32">
        <w:br/>
      </w:r>
      <w:r w:rsidR="00382F32">
        <w:br/>
      </w:r>
      <w:r w:rsidR="00382F32" w:rsidRPr="00FB247F">
        <w:rPr>
          <w:b/>
        </w:rPr>
        <w:t>Please Note:</w:t>
      </w:r>
      <w:r w:rsidR="00382F32">
        <w:t xml:space="preserve"> You can s</w:t>
      </w:r>
      <w:r w:rsidR="006346AD">
        <w:t xml:space="preserve">ubmit an </w:t>
      </w:r>
      <w:r w:rsidR="00382F32">
        <w:t>emergency, serious or standard</w:t>
      </w:r>
      <w:r w:rsidR="006346AD">
        <w:t xml:space="preserve"> authorisation request</w:t>
      </w:r>
      <w:r w:rsidR="00382F32">
        <w:t xml:space="preserve">. Emergency requests </w:t>
      </w:r>
      <w:r w:rsidR="006346AD">
        <w:t xml:space="preserve">will </w:t>
      </w:r>
      <w:r w:rsidR="00382F32">
        <w:t xml:space="preserve">be assessed within two hours, Serious within one business day and Standard within two business days. </w:t>
      </w:r>
      <w:r w:rsidR="00382F32" w:rsidRPr="00A515DD">
        <w:t>Authorisation</w:t>
      </w:r>
      <w:r w:rsidR="00382F32">
        <w:t xml:space="preserve"> request</w:t>
      </w:r>
      <w:r w:rsidR="00382F32" w:rsidRPr="00A515DD">
        <w:t xml:space="preserve">s that have a status of </w:t>
      </w:r>
      <w:r w:rsidR="00382F32">
        <w:t>‘</w:t>
      </w:r>
      <w:r w:rsidR="00382F32" w:rsidRPr="00FB247F">
        <w:rPr>
          <w:b/>
          <w:bCs/>
        </w:rPr>
        <w:t xml:space="preserve">Emergency’ must be accompanied by a call to your State/Territory </w:t>
      </w:r>
      <w:r w:rsidR="006346AD" w:rsidRPr="00FB247F">
        <w:rPr>
          <w:b/>
          <w:bCs/>
        </w:rPr>
        <w:t>A</w:t>
      </w:r>
      <w:r w:rsidR="00382F32" w:rsidRPr="00FB247F">
        <w:rPr>
          <w:b/>
          <w:bCs/>
        </w:rPr>
        <w:t>uthorisers.</w:t>
      </w:r>
    </w:p>
    <w:p w:rsidR="00FB247F" w:rsidRDefault="00FB247F" w:rsidP="00FB247F">
      <w:pPr>
        <w:pStyle w:val="ListParagraph"/>
        <w:ind w:left="142"/>
      </w:pPr>
    </w:p>
    <w:p w:rsidR="008522F9" w:rsidRPr="00FB30E0" w:rsidRDefault="00FB247F" w:rsidP="00FB247F">
      <w:pPr>
        <w:pStyle w:val="ListParagraph"/>
        <w:ind w:left="142"/>
      </w:pPr>
      <w:r>
        <w:t xml:space="preserve">To </w:t>
      </w:r>
      <w:r w:rsidRPr="00382F32">
        <w:rPr>
          <w:b/>
        </w:rPr>
        <w:t>edit, recall and resubmit</w:t>
      </w:r>
      <w:r>
        <w:t xml:space="preserve"> initial authorisation requests, see our </w:t>
      </w:r>
      <w:proofErr w:type="spellStart"/>
      <w:r>
        <w:t>Tipsheet</w:t>
      </w:r>
      <w:proofErr w:type="spellEnd"/>
      <w:r>
        <w:t xml:space="preserve"> </w:t>
      </w:r>
      <w:r w:rsidRPr="00382F32">
        <w:rPr>
          <w:i/>
        </w:rPr>
        <w:t>Recalling and/or Resubmitting an Authorisation Request</w:t>
      </w:r>
      <w:r>
        <w:t xml:space="preserve"> at </w:t>
      </w:r>
      <w:hyperlink r:id="rId13" w:history="1">
        <w:r w:rsidRPr="00F5239E">
          <w:rPr>
            <w:rStyle w:val="Hyperlink"/>
          </w:rPr>
          <w:t>https://www.blood.gov.au/medical-officer</w:t>
        </w:r>
      </w:hyperlink>
      <w:r w:rsidR="00382F32">
        <w:br/>
      </w:r>
      <w:r w:rsidR="00382F32">
        <w:br/>
      </w:r>
      <w:r w:rsidR="008522F9">
        <w:br/>
      </w:r>
      <w:r w:rsidR="00F06849" w:rsidRPr="00FB247F">
        <w:rPr>
          <w:b/>
          <w:sz w:val="24"/>
          <w:szCs w:val="24"/>
        </w:rPr>
        <w:t xml:space="preserve">B. </w:t>
      </w:r>
      <w:r w:rsidR="00FA5CBF" w:rsidRPr="00FB247F">
        <w:rPr>
          <w:b/>
          <w:sz w:val="24"/>
          <w:szCs w:val="24"/>
        </w:rPr>
        <w:t>Already have another role in BloodSTAR</w:t>
      </w:r>
    </w:p>
    <w:p w:rsidR="00FA5CBF" w:rsidRDefault="00FA5CBF" w:rsidP="00F06849">
      <w:pPr>
        <w:pStyle w:val="ListParagraph"/>
        <w:numPr>
          <w:ilvl w:val="0"/>
          <w:numId w:val="19"/>
        </w:numPr>
      </w:pPr>
      <w:r>
        <w:rPr>
          <w:noProof/>
          <w:lang w:eastAsia="en-AU"/>
        </w:rPr>
        <w:t xml:space="preserve">Once your new access request has been submitted, you will need </w:t>
      </w:r>
      <w:r w:rsidRPr="00FA5CBF">
        <w:rPr>
          <w:noProof/>
          <w:lang w:eastAsia="en-AU"/>
        </w:rPr>
        <w:t>to navigate to the home page by clicking on Home.</w:t>
      </w:r>
    </w:p>
    <w:p w:rsidR="00F06849" w:rsidRDefault="00F06849" w:rsidP="00F06849">
      <w:pPr>
        <w:pStyle w:val="ListParagraph"/>
      </w:pPr>
    </w:p>
    <w:p w:rsidR="00FA5CBF" w:rsidRDefault="00AB5B0D" w:rsidP="00E431E3">
      <w:r>
        <w:rPr>
          <w:noProof/>
          <w:lang w:eastAsia="en-AU"/>
        </w:rPr>
        <w:drawing>
          <wp:inline distT="0" distB="0" distL="0" distR="0" wp14:anchorId="75354AE6" wp14:editId="1887593C">
            <wp:extent cx="6271389" cy="1796994"/>
            <wp:effectExtent l="19050" t="19050" r="1524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7197" cy="17957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A5CBF" w:rsidRDefault="00FA5CBF" w:rsidP="00FB30E0">
      <w:pPr>
        <w:pStyle w:val="ListParagraph"/>
      </w:pPr>
    </w:p>
    <w:p w:rsidR="00F06849" w:rsidRDefault="00F06849" w:rsidP="00CF6BDC"/>
    <w:p w:rsidR="00F06849" w:rsidRDefault="00F06849" w:rsidP="00CF6BDC"/>
    <w:p w:rsidR="00CF6BDC" w:rsidRDefault="00CF6BDC" w:rsidP="00CF6BDC"/>
    <w:p w:rsidR="00FA5CBF" w:rsidRDefault="00FA5CBF" w:rsidP="00F06849">
      <w:pPr>
        <w:pStyle w:val="ListParagraph"/>
        <w:numPr>
          <w:ilvl w:val="0"/>
          <w:numId w:val="19"/>
        </w:numPr>
      </w:pPr>
      <w:r>
        <w:t>Y</w:t>
      </w:r>
      <w:r w:rsidRPr="00FA5CBF">
        <w:t xml:space="preserve">ou will see </w:t>
      </w:r>
      <w:r>
        <w:t xml:space="preserve">and </w:t>
      </w:r>
      <w:r w:rsidRPr="00FA5CBF">
        <w:t>be able to select the role or facility you want.</w:t>
      </w:r>
    </w:p>
    <w:p w:rsidR="00FA5CBF" w:rsidRDefault="00FA5CBF" w:rsidP="00FB30E0">
      <w:pPr>
        <w:pStyle w:val="ListParagraph"/>
      </w:pPr>
    </w:p>
    <w:p w:rsidR="00FA5CBF" w:rsidRDefault="00AB5B0D" w:rsidP="00E431E3">
      <w:r>
        <w:rPr>
          <w:noProof/>
          <w:lang w:eastAsia="en-AU"/>
        </w:rPr>
        <w:drawing>
          <wp:inline distT="0" distB="0" distL="0" distR="0" wp14:anchorId="4D22D25D" wp14:editId="4BED192B">
            <wp:extent cx="6210300" cy="1330521"/>
            <wp:effectExtent l="19050" t="19050" r="19050" b="22225"/>
            <wp:docPr id="4" name="Picture 4" descr="C:\Users\83449988\AppData\Local\Temp\SNAGHTML2ad76e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449988\AppData\Local\Temp\SNAGHTML2ad76e1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305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30E0" w:rsidRDefault="00FB30E0" w:rsidP="00FB30E0">
      <w:pPr>
        <w:pStyle w:val="ListParagraph"/>
      </w:pPr>
    </w:p>
    <w:p w:rsidR="00F06849" w:rsidRDefault="00F06849" w:rsidP="00FB30E0">
      <w:pPr>
        <w:pStyle w:val="ListParagraph"/>
      </w:pPr>
    </w:p>
    <w:p w:rsidR="00FB30E0" w:rsidRDefault="00FB30E0" w:rsidP="00F06849">
      <w:pPr>
        <w:pStyle w:val="ListParagraph"/>
        <w:numPr>
          <w:ilvl w:val="0"/>
          <w:numId w:val="19"/>
        </w:numPr>
      </w:pPr>
      <w:r>
        <w:t>You can then start your initial authorisation request by clicking the Authorisation Requests tab then</w:t>
      </w:r>
    </w:p>
    <w:p w:rsidR="00FB30E0" w:rsidRDefault="00FB30E0" w:rsidP="00F06849">
      <w:pPr>
        <w:pStyle w:val="ListParagraph"/>
      </w:pPr>
      <w:r>
        <w:t>New Initial Authorisation Request</w:t>
      </w:r>
    </w:p>
    <w:p w:rsidR="00FB30E0" w:rsidRDefault="00FB30E0" w:rsidP="00FB30E0">
      <w:pPr>
        <w:pStyle w:val="ListParagraph"/>
      </w:pPr>
    </w:p>
    <w:p w:rsidR="00FB30E0" w:rsidRDefault="00CF6BDC" w:rsidP="00E431E3">
      <w:r>
        <w:rPr>
          <w:noProof/>
          <w:lang w:eastAsia="en-AU"/>
        </w:rPr>
        <w:drawing>
          <wp:inline distT="0" distB="0" distL="0" distR="0" wp14:anchorId="4DCEB86C" wp14:editId="2936A567">
            <wp:extent cx="6289482" cy="1587153"/>
            <wp:effectExtent l="19050" t="19050" r="16510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10623" cy="15924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30E0" w:rsidRDefault="00FB30E0" w:rsidP="00FB30E0">
      <w:pPr>
        <w:pStyle w:val="ListParagraph"/>
      </w:pPr>
    </w:p>
    <w:p w:rsidR="00FB30E0" w:rsidRDefault="00FB30E0" w:rsidP="00F06849">
      <w:pPr>
        <w:pStyle w:val="ListParagraph"/>
        <w:numPr>
          <w:ilvl w:val="0"/>
          <w:numId w:val="19"/>
        </w:numPr>
      </w:pPr>
      <w:r>
        <w:t>A warning will appear, specifying that you have only been granted a 14 day provisional access until</w:t>
      </w:r>
    </w:p>
    <w:p w:rsidR="00FB30E0" w:rsidRDefault="00FB30E0" w:rsidP="00F06849">
      <w:pPr>
        <w:pStyle w:val="ListParagraph"/>
      </w:pPr>
      <w:proofErr w:type="gramStart"/>
      <w:r>
        <w:t>approved</w:t>
      </w:r>
      <w:proofErr w:type="gramEnd"/>
      <w:r>
        <w:t xml:space="preserve"> by the facility administrator. During this time you can:</w:t>
      </w:r>
    </w:p>
    <w:p w:rsidR="00FB30E0" w:rsidRDefault="00FB30E0" w:rsidP="00FB30E0">
      <w:pPr>
        <w:pStyle w:val="ListParagraph"/>
      </w:pPr>
      <w:proofErr w:type="gramStart"/>
      <w:r>
        <w:t>a</w:t>
      </w:r>
      <w:proofErr w:type="gramEnd"/>
      <w:r>
        <w:t>. complete and submit your initial authorisation requests,</w:t>
      </w:r>
    </w:p>
    <w:p w:rsidR="00FB30E0" w:rsidRDefault="00FB30E0" w:rsidP="00FB30E0">
      <w:pPr>
        <w:pStyle w:val="ListParagraph"/>
      </w:pPr>
      <w:proofErr w:type="gramStart"/>
      <w:r>
        <w:t>b</w:t>
      </w:r>
      <w:proofErr w:type="gramEnd"/>
      <w:r>
        <w:t>. edit, recall and resubmit initial authorisation requests, if required</w:t>
      </w:r>
    </w:p>
    <w:p w:rsidR="00FB30E0" w:rsidRDefault="00FB30E0" w:rsidP="00FB30E0">
      <w:pPr>
        <w:pStyle w:val="ListParagraph"/>
      </w:pPr>
    </w:p>
    <w:p w:rsidR="00FB30E0" w:rsidRDefault="00FB30E0" w:rsidP="00F06849">
      <w:pPr>
        <w:pStyle w:val="ListParagraph"/>
        <w:numPr>
          <w:ilvl w:val="0"/>
          <w:numId w:val="19"/>
        </w:numPr>
      </w:pPr>
      <w:r>
        <w:t>You will then be navigated to a new Initial Authorisation Request, which you will be able to complete</w:t>
      </w:r>
    </w:p>
    <w:p w:rsidR="00FB30E0" w:rsidRDefault="00FB30E0" w:rsidP="00F06849">
      <w:pPr>
        <w:pStyle w:val="ListParagraph"/>
      </w:pPr>
      <w:proofErr w:type="gramStart"/>
      <w:r>
        <w:t>and</w:t>
      </w:r>
      <w:proofErr w:type="gramEnd"/>
      <w:r>
        <w:t xml:space="preserve"> submit as per the normal process. For more details on submitting an Initial Authorisation</w:t>
      </w:r>
    </w:p>
    <w:p w:rsidR="00FB30E0" w:rsidRDefault="00FB30E0" w:rsidP="00F06849">
      <w:pPr>
        <w:pStyle w:val="ListParagraph"/>
      </w:pPr>
      <w:r>
        <w:t xml:space="preserve">Request, see our </w:t>
      </w:r>
      <w:proofErr w:type="spellStart"/>
      <w:r>
        <w:t>Tipsheet</w:t>
      </w:r>
      <w:proofErr w:type="spellEnd"/>
      <w:r>
        <w:t xml:space="preserve"> at </w:t>
      </w:r>
      <w:hyperlink r:id="rId17" w:history="1">
        <w:r w:rsidRPr="008F3319">
          <w:rPr>
            <w:rStyle w:val="Hyperlink"/>
          </w:rPr>
          <w:t>https://www.blood.gov.au/medical-officer</w:t>
        </w:r>
      </w:hyperlink>
      <w:r>
        <w:t>.</w:t>
      </w:r>
    </w:p>
    <w:p w:rsidR="00FB30E0" w:rsidRDefault="00FB30E0" w:rsidP="00FB30E0">
      <w:pPr>
        <w:pStyle w:val="ListParagraph"/>
      </w:pPr>
    </w:p>
    <w:p w:rsidR="00F06849" w:rsidRDefault="00F06849" w:rsidP="00FB30E0">
      <w:pPr>
        <w:spacing w:before="240" w:after="120"/>
      </w:pPr>
      <w:r w:rsidRPr="00F06849">
        <w:rPr>
          <w:b/>
        </w:rPr>
        <w:t>Please Note:</w:t>
      </w:r>
      <w:r>
        <w:t xml:space="preserve"> You can submit an emergency, serious or standard authorisation request. Emergency requests will be assessed within two hours, Serious within one business day and Standard within two business days. </w:t>
      </w:r>
      <w:r w:rsidRPr="00A515DD">
        <w:t>Authorisation</w:t>
      </w:r>
      <w:r>
        <w:t xml:space="preserve"> request</w:t>
      </w:r>
      <w:r w:rsidRPr="00A515DD">
        <w:t xml:space="preserve">s that have a status of </w:t>
      </w:r>
      <w:r>
        <w:t>‘</w:t>
      </w:r>
      <w:r w:rsidRPr="00F06849">
        <w:rPr>
          <w:b/>
          <w:bCs/>
        </w:rPr>
        <w:t>Emergency’ must be accompanied by a call to your State/Territory Authorisers.</w:t>
      </w:r>
      <w:r>
        <w:br/>
      </w:r>
    </w:p>
    <w:p w:rsidR="00C17C72" w:rsidRDefault="00C17C72" w:rsidP="00FB30E0">
      <w:pPr>
        <w:spacing w:before="240" w:after="120"/>
      </w:pPr>
      <w:r>
        <w:t xml:space="preserve">To </w:t>
      </w:r>
      <w:r w:rsidRPr="00382F32">
        <w:rPr>
          <w:b/>
        </w:rPr>
        <w:t>edit, recall and resubmit</w:t>
      </w:r>
      <w:r>
        <w:t xml:space="preserve"> initial authorisation requests, see our </w:t>
      </w:r>
      <w:proofErr w:type="spellStart"/>
      <w:r>
        <w:t>Tipsheet</w:t>
      </w:r>
      <w:proofErr w:type="spellEnd"/>
      <w:r>
        <w:t xml:space="preserve"> </w:t>
      </w:r>
      <w:r w:rsidRPr="00382F32">
        <w:rPr>
          <w:i/>
        </w:rPr>
        <w:t>Recalling and/or Resubmitting an Authorisation Request</w:t>
      </w:r>
      <w:r>
        <w:t xml:space="preserve"> at </w:t>
      </w:r>
      <w:hyperlink r:id="rId18" w:history="1">
        <w:r w:rsidRPr="00F5239E">
          <w:rPr>
            <w:rStyle w:val="Hyperlink"/>
          </w:rPr>
          <w:t>https://www.blood.gov.au/medical-officer</w:t>
        </w:r>
      </w:hyperlink>
      <w:r>
        <w:t>.</w:t>
      </w:r>
    </w:p>
    <w:sectPr w:rsidR="00C17C72" w:rsidSect="003379B2">
      <w:headerReference w:type="default" r:id="rId19"/>
      <w:footerReference w:type="default" r:id="rId20"/>
      <w:headerReference w:type="first" r:id="rId21"/>
      <w:pgSz w:w="11906" w:h="16838"/>
      <w:pgMar w:top="720" w:right="1133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F6" w:rsidRDefault="00C973F6" w:rsidP="00856708">
      <w:pPr>
        <w:spacing w:after="0"/>
      </w:pPr>
      <w:r>
        <w:separator/>
      </w:r>
    </w:p>
  </w:endnote>
  <w:endnote w:type="continuationSeparator" w:id="0">
    <w:p w:rsidR="00C973F6" w:rsidRDefault="00C973F6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7A" w:rsidRPr="008F417A" w:rsidRDefault="00856708" w:rsidP="008F417A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</w:r>
    <w:r w:rsidR="008F417A" w:rsidRPr="008F417A">
      <w:rPr>
        <w:rFonts w:ascii="Arial" w:hAnsi="Arial" w:cs="Arial"/>
        <w:color w:val="C00000"/>
        <w:spacing w:val="-6"/>
        <w:sz w:val="26"/>
        <w:szCs w:val="26"/>
      </w:rPr>
      <w:t xml:space="preserve">Support </w:t>
    </w:r>
  </w:p>
  <w:p w:rsidR="008F417A" w:rsidRPr="008F417A" w:rsidRDefault="008F417A" w:rsidP="008F417A">
    <w:pPr>
      <w:tabs>
        <w:tab w:val="center" w:pos="4513"/>
        <w:tab w:val="left" w:pos="6521"/>
      </w:tabs>
      <w:spacing w:after="0"/>
      <w:ind w:right="-306"/>
      <w:rPr>
        <w:sz w:val="20"/>
        <w:szCs w:val="20"/>
      </w:rPr>
    </w:pPr>
    <w:r w:rsidRPr="008F417A">
      <w:tab/>
    </w:r>
    <w:r w:rsidRPr="008F417A">
      <w:tab/>
    </w:r>
    <w:proofErr w:type="gramStart"/>
    <w:r w:rsidRPr="008F417A">
      <w:rPr>
        <w:sz w:val="20"/>
        <w:szCs w:val="20"/>
      </w:rPr>
      <w:t>phone</w:t>
    </w:r>
    <w:proofErr w:type="gramEnd"/>
    <w:r w:rsidRPr="008F417A">
      <w:rPr>
        <w:sz w:val="20"/>
        <w:szCs w:val="20"/>
      </w:rPr>
      <w:t>: 13 000 BLOOD (13 000 25663)</w:t>
    </w:r>
    <w:r w:rsidRPr="008F417A">
      <w:rPr>
        <w:sz w:val="20"/>
        <w:szCs w:val="20"/>
      </w:rPr>
      <w:tab/>
    </w:r>
    <w:r w:rsidRPr="008F417A">
      <w:rPr>
        <w:sz w:val="20"/>
        <w:szCs w:val="20"/>
      </w:rPr>
      <w:tab/>
    </w:r>
    <w:r>
      <w:rPr>
        <w:sz w:val="20"/>
        <w:szCs w:val="20"/>
      </w:rPr>
      <w:tab/>
    </w:r>
    <w:r w:rsidRPr="008F417A">
      <w:rPr>
        <w:sz w:val="20"/>
        <w:szCs w:val="20"/>
      </w:rPr>
      <w:t xml:space="preserve">email: </w:t>
    </w:r>
    <w:hyperlink r:id="rId1" w:history="1">
      <w:r w:rsidRPr="008F417A">
        <w:rPr>
          <w:color w:val="0000FF"/>
          <w:sz w:val="20"/>
          <w:szCs w:val="20"/>
          <w:u w:val="single"/>
        </w:rPr>
        <w:t>support@blood.gov.au</w:t>
      </w:r>
    </w:hyperlink>
  </w:p>
  <w:p w:rsidR="008F417A" w:rsidRPr="008F417A" w:rsidRDefault="008F417A" w:rsidP="008F417A">
    <w:pPr>
      <w:tabs>
        <w:tab w:val="center" w:pos="4513"/>
        <w:tab w:val="left" w:pos="6521"/>
        <w:tab w:val="right" w:pos="9026"/>
      </w:tabs>
      <w:spacing w:after="0"/>
      <w:ind w:right="-306"/>
    </w:pPr>
    <w:r w:rsidRPr="008F417A">
      <w:rPr>
        <w:sz w:val="20"/>
        <w:szCs w:val="20"/>
      </w:rPr>
      <w:tab/>
    </w:r>
    <w:r w:rsidRPr="008F417A">
      <w:rPr>
        <w:sz w:val="20"/>
        <w:szCs w:val="20"/>
      </w:rPr>
      <w:tab/>
    </w:r>
    <w:proofErr w:type="gramStart"/>
    <w:r w:rsidRPr="008F417A">
      <w:rPr>
        <w:sz w:val="20"/>
        <w:szCs w:val="20"/>
      </w:rPr>
      <w:t>fax</w:t>
    </w:r>
    <w:proofErr w:type="gramEnd"/>
    <w:r w:rsidRPr="008F417A">
      <w:rPr>
        <w:sz w:val="20"/>
        <w:szCs w:val="20"/>
      </w:rPr>
      <w:t>: 02 6103 3840</w:t>
    </w:r>
  </w:p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F6" w:rsidRDefault="00C973F6" w:rsidP="00856708">
      <w:pPr>
        <w:spacing w:after="0"/>
      </w:pPr>
      <w:r>
        <w:separator/>
      </w:r>
    </w:p>
  </w:footnote>
  <w:footnote w:type="continuationSeparator" w:id="0">
    <w:p w:rsidR="00C973F6" w:rsidRDefault="00C973F6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95" w:rsidRDefault="007B599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563C5822" wp14:editId="640E052A">
          <wp:simplePos x="0" y="0"/>
          <wp:positionH relativeFrom="column">
            <wp:posOffset>-16400</wp:posOffset>
          </wp:positionH>
          <wp:positionV relativeFrom="paragraph">
            <wp:posOffset>-59718</wp:posOffset>
          </wp:positionV>
          <wp:extent cx="2897155" cy="4572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8E8FCEB" wp14:editId="6D3B82FC">
          <wp:simplePos x="0" y="0"/>
          <wp:positionH relativeFrom="column">
            <wp:posOffset>-462998</wp:posOffset>
          </wp:positionH>
          <wp:positionV relativeFrom="paragraph">
            <wp:posOffset>-463523</wp:posOffset>
          </wp:positionV>
          <wp:extent cx="7581900" cy="15811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95" w:rsidRDefault="007B599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F1CDF8E" wp14:editId="31B9148B">
          <wp:simplePos x="0" y="0"/>
          <wp:positionH relativeFrom="column">
            <wp:posOffset>149225</wp:posOffset>
          </wp:positionH>
          <wp:positionV relativeFrom="paragraph">
            <wp:posOffset>-100965</wp:posOffset>
          </wp:positionV>
          <wp:extent cx="2896870" cy="4572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455D6B0" wp14:editId="0C19EEA4">
          <wp:simplePos x="0" y="0"/>
          <wp:positionH relativeFrom="column">
            <wp:posOffset>-470949</wp:posOffset>
          </wp:positionH>
          <wp:positionV relativeFrom="paragraph">
            <wp:posOffset>-431717</wp:posOffset>
          </wp:positionV>
          <wp:extent cx="7581900" cy="158115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CC2"/>
    <w:multiLevelType w:val="hybridMultilevel"/>
    <w:tmpl w:val="623C1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4310"/>
    <w:multiLevelType w:val="hybridMultilevel"/>
    <w:tmpl w:val="012AFA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D33E6"/>
    <w:multiLevelType w:val="hybridMultilevel"/>
    <w:tmpl w:val="8C1A57F8"/>
    <w:lvl w:ilvl="0" w:tplc="05F02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7A1E"/>
    <w:multiLevelType w:val="hybridMultilevel"/>
    <w:tmpl w:val="524811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E27E2"/>
    <w:multiLevelType w:val="hybridMultilevel"/>
    <w:tmpl w:val="21C4DA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978DB"/>
    <w:multiLevelType w:val="hybridMultilevel"/>
    <w:tmpl w:val="28FA54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6C153D9"/>
    <w:multiLevelType w:val="hybridMultilevel"/>
    <w:tmpl w:val="FA789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63359"/>
    <w:multiLevelType w:val="hybridMultilevel"/>
    <w:tmpl w:val="226842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54ACA"/>
    <w:multiLevelType w:val="hybridMultilevel"/>
    <w:tmpl w:val="E45662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427F2"/>
    <w:multiLevelType w:val="hybridMultilevel"/>
    <w:tmpl w:val="42DC42C6"/>
    <w:lvl w:ilvl="0" w:tplc="05F02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A343B"/>
    <w:multiLevelType w:val="hybridMultilevel"/>
    <w:tmpl w:val="A1D84F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B4586"/>
    <w:multiLevelType w:val="hybridMultilevel"/>
    <w:tmpl w:val="E036076C"/>
    <w:lvl w:ilvl="0" w:tplc="05F02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642CF"/>
    <w:multiLevelType w:val="hybridMultilevel"/>
    <w:tmpl w:val="A100ED52"/>
    <w:lvl w:ilvl="0" w:tplc="05F02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13492"/>
    <w:multiLevelType w:val="hybridMultilevel"/>
    <w:tmpl w:val="140099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7"/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  <w:num w:numId="15">
    <w:abstractNumId w:val="2"/>
  </w:num>
  <w:num w:numId="16">
    <w:abstractNumId w:val="16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F6"/>
    <w:rsid w:val="00014D93"/>
    <w:rsid w:val="0001569F"/>
    <w:rsid w:val="00036EDC"/>
    <w:rsid w:val="00057852"/>
    <w:rsid w:val="00087810"/>
    <w:rsid w:val="000B5F6C"/>
    <w:rsid w:val="000C5F8E"/>
    <w:rsid w:val="00126976"/>
    <w:rsid w:val="00144370"/>
    <w:rsid w:val="001931EF"/>
    <w:rsid w:val="001A2340"/>
    <w:rsid w:val="001B3665"/>
    <w:rsid w:val="001F1DC1"/>
    <w:rsid w:val="00203E85"/>
    <w:rsid w:val="002075EA"/>
    <w:rsid w:val="00217CA7"/>
    <w:rsid w:val="002537F2"/>
    <w:rsid w:val="002566D2"/>
    <w:rsid w:val="002924EE"/>
    <w:rsid w:val="00295CD3"/>
    <w:rsid w:val="002A2917"/>
    <w:rsid w:val="002E4D3E"/>
    <w:rsid w:val="003379B2"/>
    <w:rsid w:val="00373DBF"/>
    <w:rsid w:val="00382F32"/>
    <w:rsid w:val="003D27F1"/>
    <w:rsid w:val="00411EB3"/>
    <w:rsid w:val="0044477E"/>
    <w:rsid w:val="004917CA"/>
    <w:rsid w:val="00497875"/>
    <w:rsid w:val="004A2A89"/>
    <w:rsid w:val="004A4B05"/>
    <w:rsid w:val="004D4636"/>
    <w:rsid w:val="005109E2"/>
    <w:rsid w:val="00540020"/>
    <w:rsid w:val="00557A06"/>
    <w:rsid w:val="005F283A"/>
    <w:rsid w:val="0061413D"/>
    <w:rsid w:val="006145C9"/>
    <w:rsid w:val="006346AD"/>
    <w:rsid w:val="00652761"/>
    <w:rsid w:val="006B1FD3"/>
    <w:rsid w:val="006C220D"/>
    <w:rsid w:val="006E3BF6"/>
    <w:rsid w:val="0077013A"/>
    <w:rsid w:val="007729E0"/>
    <w:rsid w:val="0079453F"/>
    <w:rsid w:val="007A586B"/>
    <w:rsid w:val="007B5995"/>
    <w:rsid w:val="007E5BDE"/>
    <w:rsid w:val="007E6125"/>
    <w:rsid w:val="00803D58"/>
    <w:rsid w:val="008242F5"/>
    <w:rsid w:val="00845C6F"/>
    <w:rsid w:val="008522F9"/>
    <w:rsid w:val="00856708"/>
    <w:rsid w:val="00865073"/>
    <w:rsid w:val="00893B40"/>
    <w:rsid w:val="00893E0A"/>
    <w:rsid w:val="008A5473"/>
    <w:rsid w:val="008B4713"/>
    <w:rsid w:val="008F417A"/>
    <w:rsid w:val="00911E5B"/>
    <w:rsid w:val="00935090"/>
    <w:rsid w:val="00951B85"/>
    <w:rsid w:val="0098292B"/>
    <w:rsid w:val="009E38CC"/>
    <w:rsid w:val="00A2699B"/>
    <w:rsid w:val="00A34776"/>
    <w:rsid w:val="00A35EA5"/>
    <w:rsid w:val="00A515DD"/>
    <w:rsid w:val="00A76244"/>
    <w:rsid w:val="00A976FF"/>
    <w:rsid w:val="00AB5B0D"/>
    <w:rsid w:val="00AC30AD"/>
    <w:rsid w:val="00B217C3"/>
    <w:rsid w:val="00B34187"/>
    <w:rsid w:val="00B3726E"/>
    <w:rsid w:val="00B37A7C"/>
    <w:rsid w:val="00B65337"/>
    <w:rsid w:val="00B73B80"/>
    <w:rsid w:val="00B90E29"/>
    <w:rsid w:val="00B957D6"/>
    <w:rsid w:val="00BA2643"/>
    <w:rsid w:val="00BA55A8"/>
    <w:rsid w:val="00BC1AD9"/>
    <w:rsid w:val="00BC5F96"/>
    <w:rsid w:val="00C17C72"/>
    <w:rsid w:val="00C25A67"/>
    <w:rsid w:val="00C41AEA"/>
    <w:rsid w:val="00C973F6"/>
    <w:rsid w:val="00CA7135"/>
    <w:rsid w:val="00CB15C9"/>
    <w:rsid w:val="00CB553F"/>
    <w:rsid w:val="00CB782D"/>
    <w:rsid w:val="00CE78CC"/>
    <w:rsid w:val="00CF6BDC"/>
    <w:rsid w:val="00D00C90"/>
    <w:rsid w:val="00D82B96"/>
    <w:rsid w:val="00E337EE"/>
    <w:rsid w:val="00E431E3"/>
    <w:rsid w:val="00E727C5"/>
    <w:rsid w:val="00E97D49"/>
    <w:rsid w:val="00EB562C"/>
    <w:rsid w:val="00F06849"/>
    <w:rsid w:val="00FA5CBF"/>
    <w:rsid w:val="00FB247F"/>
    <w:rsid w:val="00FB30E0"/>
    <w:rsid w:val="00FD543D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3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F6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8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D58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D58"/>
    <w:rPr>
      <w:rFonts w:ascii="Calibri" w:eastAsia="Dotum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413D"/>
    <w:pPr>
      <w:spacing w:after="0" w:line="240" w:lineRule="auto"/>
    </w:pPr>
    <w:rPr>
      <w:rFonts w:ascii="Calibri" w:eastAsia="Dotum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D54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3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F6"/>
    <w:rPr>
      <w:rFonts w:ascii="Tahoma" w:eastAsia="Dotum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8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D58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D58"/>
    <w:rPr>
      <w:rFonts w:ascii="Calibri" w:eastAsia="Dotum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413D"/>
    <w:pPr>
      <w:spacing w:after="0" w:line="240" w:lineRule="auto"/>
    </w:pPr>
    <w:rPr>
      <w:rFonts w:ascii="Calibri" w:eastAsia="Dotum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D54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lood.gov.au/medical-officer" TargetMode="External"/><Relationship Id="rId18" Type="http://schemas.openxmlformats.org/officeDocument/2006/relationships/hyperlink" Target="https://www.blood.gov.au/medical-office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blood.gov.au/medical-officer" TargetMode="External"/><Relationship Id="rId17" Type="http://schemas.openxmlformats.org/officeDocument/2006/relationships/hyperlink" Target="https://www.blood.gov.au/medical-office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lood.gov.au/bloodstar-support-materials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loo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3FB7-C49E-4F33-BE21-FED0E061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3139</Characters>
  <Application>Microsoft Office Word</Application>
  <DocSecurity>4</DocSecurity>
  <Lines>84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Danny Mamic</cp:lastModifiedBy>
  <cp:revision>2</cp:revision>
  <dcterms:created xsi:type="dcterms:W3CDTF">2017-08-28T03:06:00Z</dcterms:created>
  <dcterms:modified xsi:type="dcterms:W3CDTF">2017-08-28T03:06:00Z</dcterms:modified>
</cp:coreProperties>
</file>