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EE7E5" w14:textId="77777777" w:rsidR="00531CB2" w:rsidRPr="00394948" w:rsidRDefault="00B83844" w:rsidP="00B83844">
      <w:r w:rsidRPr="00394948">
        <w:rPr>
          <w:noProof/>
          <w:lang w:eastAsia="en-AU"/>
        </w:rPr>
        <w:drawing>
          <wp:anchor distT="0" distB="0" distL="114300" distR="114300" simplePos="0" relativeHeight="251658240" behindDoc="1" locked="0" layoutInCell="1" allowOverlap="1" wp14:anchorId="3DA2A14A" wp14:editId="23126D46">
            <wp:simplePos x="0" y="0"/>
            <wp:positionH relativeFrom="page">
              <wp:align>center</wp:align>
            </wp:positionH>
            <wp:positionV relativeFrom="page">
              <wp:align>center</wp:align>
            </wp:positionV>
            <wp:extent cx="7588800" cy="10731600"/>
            <wp:effectExtent l="0" t="0" r="0" b="0"/>
            <wp:wrapThrough wrapText="bothSides">
              <wp:wrapPolygon edited="0">
                <wp:start x="0" y="0"/>
                <wp:lineTo x="0" y="21549"/>
                <wp:lineTo x="21528" y="21549"/>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_Donor Haem Report 16-17_jpeg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8800" cy="1073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310C9" w14:textId="77777777" w:rsidR="00B3726E" w:rsidRPr="00394948" w:rsidRDefault="00B3726E" w:rsidP="00531CB2"/>
    <w:p w14:paraId="4077CBA2" w14:textId="77777777" w:rsidR="00DA6C98" w:rsidRPr="00394948" w:rsidRDefault="00DA6C98" w:rsidP="00531CB2"/>
    <w:p w14:paraId="4ECBCCCF" w14:textId="77777777" w:rsidR="00DA6C98" w:rsidRPr="00394948" w:rsidRDefault="00DA6C98" w:rsidP="00531CB2"/>
    <w:p w14:paraId="7B7CFB8F" w14:textId="77777777" w:rsidR="00DA6C98" w:rsidRPr="00394948" w:rsidRDefault="00DA6C98" w:rsidP="00531CB2"/>
    <w:p w14:paraId="04CB9F67" w14:textId="77777777" w:rsidR="00DA6C98" w:rsidRPr="00394948" w:rsidRDefault="00DA6C98" w:rsidP="00531CB2"/>
    <w:p w14:paraId="12AEEF0A" w14:textId="77777777" w:rsidR="00DA6C98" w:rsidRPr="00394948" w:rsidRDefault="00DA6C98" w:rsidP="00531CB2"/>
    <w:p w14:paraId="5C150416" w14:textId="77777777" w:rsidR="00DA6C98" w:rsidRPr="00394948" w:rsidRDefault="00DA6C98" w:rsidP="00531CB2"/>
    <w:p w14:paraId="2D4A9556" w14:textId="77777777" w:rsidR="00DA6C98" w:rsidRPr="00394948" w:rsidRDefault="00DA6C98" w:rsidP="00531CB2"/>
    <w:p w14:paraId="214FD9D0" w14:textId="77777777" w:rsidR="00DA6C98" w:rsidRPr="00394948" w:rsidRDefault="00DA6C98" w:rsidP="00531CB2"/>
    <w:p w14:paraId="08143BAF" w14:textId="77777777" w:rsidR="00DA6C98" w:rsidRPr="00394948" w:rsidRDefault="00DA6C98" w:rsidP="00531CB2"/>
    <w:p w14:paraId="0B424DAB" w14:textId="77777777" w:rsidR="00DA6C98" w:rsidRPr="00394948" w:rsidRDefault="00DA6C98" w:rsidP="00531CB2"/>
    <w:p w14:paraId="09AA493B" w14:textId="77777777" w:rsidR="00DA6C98" w:rsidRPr="00394948" w:rsidRDefault="00DA6C98" w:rsidP="00531CB2">
      <w:r w:rsidRPr="00394948">
        <w:rPr>
          <w:noProof/>
          <w:lang w:eastAsia="en-AU"/>
        </w:rPr>
        <w:drawing>
          <wp:inline distT="0" distB="0" distL="0" distR="0" wp14:anchorId="14F6E4A8" wp14:editId="5EAECCC8">
            <wp:extent cx="1175657" cy="414152"/>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1169285" cy="411907"/>
                    </a:xfrm>
                    <a:prstGeom prst="rect">
                      <a:avLst/>
                    </a:prstGeom>
                  </pic:spPr>
                </pic:pic>
              </a:graphicData>
            </a:graphic>
          </wp:inline>
        </w:drawing>
      </w:r>
    </w:p>
    <w:p w14:paraId="64C80112" w14:textId="77777777" w:rsidR="00DA6C98" w:rsidRPr="00394948" w:rsidRDefault="00DA6C98" w:rsidP="00DA6C98">
      <w:pPr>
        <w:pStyle w:val="Pa1"/>
        <w:spacing w:before="100" w:after="40"/>
        <w:rPr>
          <w:rFonts w:asciiTheme="minorHAnsi" w:hAnsiTheme="minorHAnsi" w:cs="Arial"/>
          <w:color w:val="221E1F"/>
          <w:sz w:val="20"/>
          <w:szCs w:val="20"/>
        </w:rPr>
      </w:pPr>
      <w:r w:rsidRPr="00394948">
        <w:rPr>
          <w:rFonts w:asciiTheme="minorHAnsi" w:hAnsiTheme="minorHAnsi" w:cs="Arial"/>
          <w:color w:val="221E1F"/>
          <w:sz w:val="20"/>
          <w:szCs w:val="20"/>
        </w:rPr>
        <w:t xml:space="preserve">With the exception of any logos and registered trademarks, and where otherwise noted, all material presented in this document is provided under a Creative Commons Attribution 4.0 license (https://creativecommons.org/licenses/by/4.0/) </w:t>
      </w:r>
    </w:p>
    <w:p w14:paraId="67DE08EC" w14:textId="77777777" w:rsidR="00DA6C98" w:rsidRPr="00394948" w:rsidRDefault="00DA6C98" w:rsidP="00DA6C98">
      <w:pPr>
        <w:pStyle w:val="Pa1"/>
        <w:spacing w:before="100" w:after="40"/>
        <w:rPr>
          <w:rFonts w:asciiTheme="minorHAnsi" w:hAnsiTheme="minorHAnsi" w:cs="Arial"/>
          <w:color w:val="221E1F"/>
          <w:sz w:val="20"/>
          <w:szCs w:val="20"/>
        </w:rPr>
      </w:pPr>
      <w:r w:rsidRPr="00394948">
        <w:rPr>
          <w:rFonts w:asciiTheme="minorHAnsi" w:hAnsiTheme="minorHAnsi" w:cs="Arial"/>
          <w:color w:val="221E1F"/>
          <w:sz w:val="20"/>
          <w:szCs w:val="20"/>
        </w:rPr>
        <w:t xml:space="preserve">The details of the relevant license conditions are available on the Creative Commons website (accessible using the links provided) as is the full legal code for the CC BY 4.0 license (https://creativecommons.org/licenses/by/4.0/legalcode) </w:t>
      </w:r>
    </w:p>
    <w:p w14:paraId="4C092977" w14:textId="77777777" w:rsidR="00DA6C98" w:rsidRPr="00394948" w:rsidRDefault="00DA6C98" w:rsidP="00DA6C98">
      <w:pPr>
        <w:pStyle w:val="Pa1"/>
        <w:spacing w:before="100" w:after="40"/>
        <w:rPr>
          <w:rFonts w:asciiTheme="minorHAnsi" w:hAnsiTheme="minorHAnsi" w:cs="Arial"/>
          <w:color w:val="221E1F"/>
          <w:sz w:val="20"/>
          <w:szCs w:val="20"/>
        </w:rPr>
      </w:pPr>
      <w:r w:rsidRPr="00394948">
        <w:rPr>
          <w:rFonts w:asciiTheme="minorHAnsi" w:hAnsiTheme="minorHAnsi" w:cs="Arial"/>
          <w:color w:val="221E1F"/>
          <w:sz w:val="20"/>
          <w:szCs w:val="20"/>
        </w:rPr>
        <w:t xml:space="preserve">The content obtained from this document or derivative of this work must be attributed as: </w:t>
      </w:r>
    </w:p>
    <w:p w14:paraId="16888B02" w14:textId="77777777" w:rsidR="00DA6C98" w:rsidRPr="00394948" w:rsidRDefault="00DA6C98" w:rsidP="00DA6C98">
      <w:pPr>
        <w:pStyle w:val="Pa1"/>
        <w:spacing w:before="100" w:after="40"/>
        <w:rPr>
          <w:rFonts w:asciiTheme="minorHAnsi" w:hAnsiTheme="minorHAnsi" w:cs="Arial"/>
          <w:color w:val="221E1F"/>
          <w:sz w:val="20"/>
          <w:szCs w:val="20"/>
        </w:rPr>
      </w:pPr>
      <w:r w:rsidRPr="00394948">
        <w:rPr>
          <w:rFonts w:asciiTheme="minorHAnsi" w:hAnsiTheme="minorHAnsi" w:cs="Arial"/>
          <w:color w:val="221E1F"/>
          <w:sz w:val="20"/>
          <w:szCs w:val="20"/>
        </w:rPr>
        <w:t xml:space="preserve">Australian Haemovigilance Report, Data for 2016-17 published by the National Blood Authority. </w:t>
      </w:r>
    </w:p>
    <w:p w14:paraId="0F4977DD" w14:textId="77777777" w:rsidR="00DA6C98" w:rsidRPr="00394948" w:rsidRDefault="00DA6C98" w:rsidP="00DA6C98">
      <w:pPr>
        <w:pStyle w:val="Pa1"/>
        <w:spacing w:before="100" w:after="40"/>
        <w:rPr>
          <w:rFonts w:asciiTheme="minorHAnsi" w:hAnsiTheme="minorHAnsi" w:cs="Arial"/>
          <w:color w:val="221E1F"/>
          <w:sz w:val="20"/>
          <w:szCs w:val="20"/>
        </w:rPr>
      </w:pPr>
      <w:r w:rsidRPr="00394948">
        <w:rPr>
          <w:rFonts w:asciiTheme="minorHAnsi" w:hAnsiTheme="minorHAnsi" w:cs="Arial"/>
          <w:color w:val="221E1F"/>
          <w:sz w:val="20"/>
          <w:szCs w:val="20"/>
        </w:rPr>
        <w:t xml:space="preserve">ISSN 1838-1790 </w:t>
      </w:r>
    </w:p>
    <w:p w14:paraId="10880C3D" w14:textId="77777777" w:rsidR="00DA6C98" w:rsidRPr="00394948" w:rsidRDefault="00DA6C98" w:rsidP="00DA6C98">
      <w:pPr>
        <w:pStyle w:val="Pa1"/>
        <w:spacing w:before="100" w:after="40"/>
        <w:rPr>
          <w:rFonts w:asciiTheme="minorHAnsi" w:hAnsiTheme="minorHAnsi" w:cs="Arial"/>
          <w:color w:val="263895"/>
          <w:sz w:val="20"/>
          <w:szCs w:val="20"/>
        </w:rPr>
      </w:pPr>
      <w:r w:rsidRPr="00394948">
        <w:rPr>
          <w:rFonts w:asciiTheme="minorHAnsi" w:hAnsiTheme="minorHAnsi" w:cs="Arial"/>
          <w:color w:val="221E1F"/>
          <w:sz w:val="20"/>
          <w:szCs w:val="20"/>
        </w:rPr>
        <w:t xml:space="preserve">This report is available online at </w:t>
      </w:r>
      <w:r w:rsidRPr="00394948">
        <w:rPr>
          <w:rStyle w:val="A4"/>
          <w:rFonts w:asciiTheme="minorHAnsi" w:hAnsiTheme="minorHAnsi" w:cs="Arial"/>
        </w:rPr>
        <w:t xml:space="preserve">www.blood.gov.au/haemovigilance-reporting </w:t>
      </w:r>
    </w:p>
    <w:p w14:paraId="4E4A476B" w14:textId="77777777" w:rsidR="00DA6C98" w:rsidRPr="00394948" w:rsidRDefault="00DA6C98" w:rsidP="00DA6C98">
      <w:pPr>
        <w:pStyle w:val="Default"/>
        <w:spacing w:before="160" w:line="201" w:lineRule="atLeast"/>
        <w:rPr>
          <w:rFonts w:asciiTheme="minorHAnsi" w:hAnsiTheme="minorHAnsi" w:cs="Arial"/>
          <w:color w:val="221E1F"/>
          <w:sz w:val="20"/>
          <w:szCs w:val="20"/>
        </w:rPr>
      </w:pPr>
      <w:r w:rsidRPr="00394948">
        <w:rPr>
          <w:rFonts w:asciiTheme="minorHAnsi" w:hAnsiTheme="minorHAnsi" w:cs="Arial"/>
          <w:color w:val="221E1F"/>
          <w:sz w:val="20"/>
          <w:szCs w:val="20"/>
        </w:rPr>
        <w:t xml:space="preserve">Contact officer: </w:t>
      </w:r>
    </w:p>
    <w:p w14:paraId="12A2A3BF" w14:textId="77777777" w:rsidR="00DA6C98" w:rsidRPr="00394948" w:rsidRDefault="00DA6C98" w:rsidP="00DA6C98">
      <w:pPr>
        <w:pStyle w:val="Pa3"/>
        <w:spacing w:before="220"/>
        <w:rPr>
          <w:rFonts w:asciiTheme="minorHAnsi" w:hAnsiTheme="minorHAnsi" w:cs="Arial"/>
          <w:color w:val="221E1F"/>
          <w:sz w:val="20"/>
          <w:szCs w:val="20"/>
        </w:rPr>
      </w:pPr>
      <w:r w:rsidRPr="00394948">
        <w:rPr>
          <w:rFonts w:asciiTheme="minorHAnsi" w:hAnsiTheme="minorHAnsi" w:cs="Arial"/>
          <w:color w:val="221E1F"/>
          <w:sz w:val="20"/>
          <w:szCs w:val="20"/>
        </w:rPr>
        <w:t xml:space="preserve">Communications Manager </w:t>
      </w:r>
    </w:p>
    <w:p w14:paraId="0470A1FE" w14:textId="77777777" w:rsidR="00DA6C98" w:rsidRPr="00394948" w:rsidRDefault="00DA6C98" w:rsidP="00DA6C98">
      <w:pPr>
        <w:pStyle w:val="Pa4"/>
        <w:rPr>
          <w:rFonts w:asciiTheme="minorHAnsi" w:hAnsiTheme="minorHAnsi" w:cs="Arial"/>
          <w:color w:val="221E1F"/>
          <w:sz w:val="20"/>
          <w:szCs w:val="20"/>
        </w:rPr>
      </w:pPr>
      <w:r w:rsidRPr="00394948">
        <w:rPr>
          <w:rFonts w:asciiTheme="minorHAnsi" w:hAnsiTheme="minorHAnsi" w:cs="Arial"/>
          <w:color w:val="221E1F"/>
          <w:sz w:val="20"/>
          <w:szCs w:val="20"/>
        </w:rPr>
        <w:t xml:space="preserve">Locked Bag 8430 </w:t>
      </w:r>
    </w:p>
    <w:p w14:paraId="70034B50" w14:textId="77777777" w:rsidR="00DA6C98" w:rsidRPr="00394948" w:rsidRDefault="00DA6C98" w:rsidP="00DA6C98">
      <w:pPr>
        <w:pStyle w:val="Pa4"/>
        <w:rPr>
          <w:rFonts w:asciiTheme="minorHAnsi" w:hAnsiTheme="minorHAnsi" w:cs="Arial"/>
          <w:color w:val="221E1F"/>
          <w:sz w:val="20"/>
          <w:szCs w:val="20"/>
        </w:rPr>
      </w:pPr>
      <w:r w:rsidRPr="00394948">
        <w:rPr>
          <w:rFonts w:asciiTheme="minorHAnsi" w:hAnsiTheme="minorHAnsi" w:cs="Arial"/>
          <w:color w:val="221E1F"/>
          <w:sz w:val="20"/>
          <w:szCs w:val="20"/>
        </w:rPr>
        <w:t xml:space="preserve">Canberra ACT 2601 </w:t>
      </w:r>
    </w:p>
    <w:p w14:paraId="496D2530" w14:textId="77777777" w:rsidR="00DA6C98" w:rsidRPr="00394948" w:rsidRDefault="00DA6C98" w:rsidP="00DA6C98">
      <w:pPr>
        <w:pStyle w:val="Pa3"/>
        <w:spacing w:before="220"/>
        <w:rPr>
          <w:rFonts w:asciiTheme="minorHAnsi" w:hAnsiTheme="minorHAnsi" w:cs="Arial"/>
          <w:color w:val="221E1F"/>
          <w:sz w:val="20"/>
          <w:szCs w:val="20"/>
        </w:rPr>
      </w:pPr>
      <w:r w:rsidRPr="00394948">
        <w:rPr>
          <w:rFonts w:asciiTheme="minorHAnsi" w:hAnsiTheme="minorHAnsi" w:cs="Arial"/>
          <w:color w:val="221E1F"/>
          <w:sz w:val="20"/>
          <w:szCs w:val="20"/>
        </w:rPr>
        <w:t xml:space="preserve">Phone: +61 2 6151 5000 </w:t>
      </w:r>
    </w:p>
    <w:p w14:paraId="7B387647" w14:textId="77777777" w:rsidR="00DA6C98" w:rsidRPr="00394948" w:rsidRDefault="00DA6C98" w:rsidP="00DA6C98">
      <w:pPr>
        <w:pStyle w:val="Pa4"/>
        <w:rPr>
          <w:rFonts w:asciiTheme="minorHAnsi" w:hAnsiTheme="minorHAnsi" w:cs="Arial"/>
          <w:color w:val="221E1F"/>
          <w:sz w:val="20"/>
          <w:szCs w:val="20"/>
        </w:rPr>
      </w:pPr>
      <w:r w:rsidRPr="00394948">
        <w:rPr>
          <w:rFonts w:asciiTheme="minorHAnsi" w:hAnsiTheme="minorHAnsi" w:cs="Arial"/>
          <w:color w:val="221E1F"/>
          <w:sz w:val="20"/>
          <w:szCs w:val="20"/>
        </w:rPr>
        <w:t xml:space="preserve">Fax: +61 2 6151 5300 </w:t>
      </w:r>
    </w:p>
    <w:p w14:paraId="401E8BD0" w14:textId="77777777" w:rsidR="00DA6C98" w:rsidRPr="00394948" w:rsidRDefault="00DA6C98" w:rsidP="00DA6C98">
      <w:pPr>
        <w:pStyle w:val="Pa4"/>
        <w:rPr>
          <w:rFonts w:asciiTheme="minorHAnsi" w:hAnsiTheme="minorHAnsi" w:cs="Arial"/>
          <w:color w:val="221E1F"/>
          <w:sz w:val="20"/>
          <w:szCs w:val="20"/>
        </w:rPr>
      </w:pPr>
      <w:r w:rsidRPr="00394948">
        <w:rPr>
          <w:rFonts w:asciiTheme="minorHAnsi" w:hAnsiTheme="minorHAnsi" w:cs="Arial"/>
          <w:color w:val="221E1F"/>
          <w:sz w:val="20"/>
          <w:szCs w:val="20"/>
        </w:rPr>
        <w:t xml:space="preserve">Email: haemovigilance@blood.gov.au </w:t>
      </w:r>
    </w:p>
    <w:p w14:paraId="6EE67484" w14:textId="3D7D24A8" w:rsidR="00531CB2" w:rsidRDefault="00DA6C98" w:rsidP="00DA6C98">
      <w:pPr>
        <w:rPr>
          <w:rStyle w:val="A4"/>
          <w:rFonts w:asciiTheme="minorHAnsi" w:hAnsiTheme="minorHAnsi" w:cs="Arial"/>
        </w:rPr>
      </w:pPr>
      <w:r w:rsidRPr="00394948">
        <w:rPr>
          <w:rFonts w:asciiTheme="minorHAnsi" w:hAnsiTheme="minorHAnsi" w:cs="Arial"/>
          <w:color w:val="221E1F"/>
          <w:sz w:val="20"/>
          <w:szCs w:val="20"/>
        </w:rPr>
        <w:t xml:space="preserve">Website: </w:t>
      </w:r>
      <w:hyperlink r:id="rId10" w:history="1">
        <w:r w:rsidR="00D748EF" w:rsidRPr="00A953DD">
          <w:rPr>
            <w:rStyle w:val="Hyperlink"/>
            <w:rFonts w:asciiTheme="minorHAnsi" w:hAnsiTheme="minorHAnsi" w:cs="Arial"/>
            <w:sz w:val="20"/>
            <w:szCs w:val="20"/>
          </w:rPr>
          <w:t>www.blood.gov.au</w:t>
        </w:r>
      </w:hyperlink>
    </w:p>
    <w:p w14:paraId="6F936272" w14:textId="76EDE0DB" w:rsidR="00D748EF" w:rsidRDefault="00D748EF" w:rsidP="00DA6C98">
      <w:pPr>
        <w:rPr>
          <w:rStyle w:val="A4"/>
          <w:rFonts w:asciiTheme="minorHAnsi" w:hAnsiTheme="minorHAnsi" w:cs="Arial"/>
        </w:rPr>
      </w:pPr>
    </w:p>
    <w:p w14:paraId="1ED8184A" w14:textId="506DF60B" w:rsidR="00D748EF" w:rsidRDefault="00D748EF" w:rsidP="00DA6C98">
      <w:pPr>
        <w:rPr>
          <w:rStyle w:val="A4"/>
          <w:rFonts w:asciiTheme="minorHAnsi" w:hAnsiTheme="minorHAnsi" w:cs="Arial"/>
        </w:rPr>
      </w:pPr>
    </w:p>
    <w:p w14:paraId="1A10D082" w14:textId="77777777" w:rsidR="00531CB2" w:rsidRPr="00394948" w:rsidRDefault="00531CB2" w:rsidP="00531CB2">
      <w:pPr>
        <w:sectPr w:rsidR="00531CB2" w:rsidRPr="00394948" w:rsidSect="00856708">
          <w:headerReference w:type="default" r:id="rId11"/>
          <w:headerReference w:type="first" r:id="rId12"/>
          <w:footerReference w:type="first" r:id="rId13"/>
          <w:pgSz w:w="11906" w:h="16838"/>
          <w:pgMar w:top="1440" w:right="1133" w:bottom="1440" w:left="1440" w:header="708" w:footer="708" w:gutter="0"/>
          <w:cols w:space="708"/>
          <w:titlePg/>
          <w:docGrid w:linePitch="360"/>
        </w:sectPr>
      </w:pPr>
    </w:p>
    <w:p w14:paraId="121BDC14" w14:textId="68B46532" w:rsidR="00D76F77" w:rsidRPr="00394948" w:rsidRDefault="0092264B" w:rsidP="0092264B">
      <w:pPr>
        <w:pStyle w:val="Heading1"/>
      </w:pPr>
      <w:bookmarkStart w:id="0" w:name="_Toc41909274"/>
      <w:r>
        <w:lastRenderedPageBreak/>
        <w:t>CONTENTS</w:t>
      </w:r>
      <w:bookmarkEnd w:id="0"/>
    </w:p>
    <w:sdt>
      <w:sdtPr>
        <w:rPr>
          <w:rFonts w:ascii="Calibri" w:eastAsia="Dotum" w:hAnsi="Calibri" w:cs="Calibri"/>
          <w:color w:val="auto"/>
          <w:sz w:val="22"/>
          <w:szCs w:val="22"/>
          <w:lang w:val="en-AU"/>
        </w:rPr>
        <w:id w:val="813758793"/>
        <w:docPartObj>
          <w:docPartGallery w:val="Table of Contents"/>
          <w:docPartUnique/>
        </w:docPartObj>
      </w:sdtPr>
      <w:sdtEndPr>
        <w:rPr>
          <w:b/>
          <w:bCs/>
          <w:noProof/>
        </w:rPr>
      </w:sdtEndPr>
      <w:sdtContent>
        <w:p w14:paraId="7FE875AB" w14:textId="27707495" w:rsidR="00A358DD" w:rsidRPr="00394948" w:rsidRDefault="00A358DD">
          <w:pPr>
            <w:pStyle w:val="TOCHeading"/>
          </w:pPr>
        </w:p>
        <w:p w14:paraId="7B50E0FA" w14:textId="18763B8F" w:rsidR="00D17170" w:rsidRDefault="00A358DD">
          <w:pPr>
            <w:pStyle w:val="TOC1"/>
            <w:rPr>
              <w:rFonts w:asciiTheme="minorHAnsi" w:eastAsiaTheme="minorEastAsia" w:hAnsiTheme="minorHAnsi" w:cstheme="minorBidi"/>
              <w:lang w:eastAsia="en-AU"/>
            </w:rPr>
          </w:pPr>
          <w:r w:rsidRPr="00394948">
            <w:rPr>
              <w:noProof w:val="0"/>
            </w:rPr>
            <w:fldChar w:fldCharType="begin"/>
          </w:r>
          <w:r w:rsidRPr="00394948">
            <w:instrText xml:space="preserve"> TOC \o "1-3" \h \z \u </w:instrText>
          </w:r>
          <w:r w:rsidRPr="00394948">
            <w:rPr>
              <w:noProof w:val="0"/>
            </w:rPr>
            <w:fldChar w:fldCharType="separate"/>
          </w:r>
          <w:hyperlink w:anchor="_Toc41909274" w:history="1">
            <w:r w:rsidR="00D17170" w:rsidRPr="00F55114">
              <w:rPr>
                <w:rStyle w:val="Hyperlink"/>
              </w:rPr>
              <w:t>CONTENTS</w:t>
            </w:r>
            <w:r w:rsidR="00D17170">
              <w:rPr>
                <w:webHidden/>
              </w:rPr>
              <w:tab/>
            </w:r>
            <w:r w:rsidR="00D17170">
              <w:rPr>
                <w:webHidden/>
              </w:rPr>
              <w:fldChar w:fldCharType="begin"/>
            </w:r>
            <w:r w:rsidR="00D17170">
              <w:rPr>
                <w:webHidden/>
              </w:rPr>
              <w:instrText xml:space="preserve"> PAGEREF _Toc41909274 \h </w:instrText>
            </w:r>
            <w:r w:rsidR="00D17170">
              <w:rPr>
                <w:webHidden/>
              </w:rPr>
            </w:r>
            <w:r w:rsidR="00D17170">
              <w:rPr>
                <w:webHidden/>
              </w:rPr>
              <w:fldChar w:fldCharType="separate"/>
            </w:r>
            <w:r w:rsidR="00D17170">
              <w:rPr>
                <w:webHidden/>
              </w:rPr>
              <w:t>1</w:t>
            </w:r>
            <w:r w:rsidR="00D17170">
              <w:rPr>
                <w:webHidden/>
              </w:rPr>
              <w:fldChar w:fldCharType="end"/>
            </w:r>
          </w:hyperlink>
        </w:p>
        <w:p w14:paraId="68D3BE12" w14:textId="1A1F4506" w:rsidR="00D17170" w:rsidRDefault="005D36B2">
          <w:pPr>
            <w:pStyle w:val="TOC1"/>
            <w:rPr>
              <w:rFonts w:asciiTheme="minorHAnsi" w:eastAsiaTheme="minorEastAsia" w:hAnsiTheme="minorHAnsi" w:cstheme="minorBidi"/>
              <w:lang w:eastAsia="en-AU"/>
            </w:rPr>
          </w:pPr>
          <w:hyperlink w:anchor="_Toc41909275" w:history="1">
            <w:r w:rsidR="00D17170" w:rsidRPr="00F55114">
              <w:rPr>
                <w:rStyle w:val="Hyperlink"/>
              </w:rPr>
              <w:t>TABLES AND FIGURES</w:t>
            </w:r>
            <w:r w:rsidR="00D17170">
              <w:rPr>
                <w:webHidden/>
              </w:rPr>
              <w:tab/>
            </w:r>
            <w:r w:rsidR="00D17170">
              <w:rPr>
                <w:webHidden/>
              </w:rPr>
              <w:fldChar w:fldCharType="begin"/>
            </w:r>
            <w:r w:rsidR="00D17170">
              <w:rPr>
                <w:webHidden/>
              </w:rPr>
              <w:instrText xml:space="preserve"> PAGEREF _Toc41909275 \h </w:instrText>
            </w:r>
            <w:r w:rsidR="00D17170">
              <w:rPr>
                <w:webHidden/>
              </w:rPr>
            </w:r>
            <w:r w:rsidR="00D17170">
              <w:rPr>
                <w:webHidden/>
              </w:rPr>
              <w:fldChar w:fldCharType="separate"/>
            </w:r>
            <w:r w:rsidR="00D17170">
              <w:rPr>
                <w:webHidden/>
              </w:rPr>
              <w:t>2</w:t>
            </w:r>
            <w:r w:rsidR="00D17170">
              <w:rPr>
                <w:webHidden/>
              </w:rPr>
              <w:fldChar w:fldCharType="end"/>
            </w:r>
          </w:hyperlink>
        </w:p>
        <w:p w14:paraId="1E2F9E12" w14:textId="11B6A904" w:rsidR="00D17170" w:rsidRDefault="005D36B2">
          <w:pPr>
            <w:pStyle w:val="TOC1"/>
            <w:rPr>
              <w:rFonts w:asciiTheme="minorHAnsi" w:eastAsiaTheme="minorEastAsia" w:hAnsiTheme="minorHAnsi" w:cstheme="minorBidi"/>
              <w:lang w:eastAsia="en-AU"/>
            </w:rPr>
          </w:pPr>
          <w:hyperlink w:anchor="_Toc41909276" w:history="1">
            <w:r w:rsidR="00D17170" w:rsidRPr="00F55114">
              <w:rPr>
                <w:rStyle w:val="Hyperlink"/>
              </w:rPr>
              <w:t>SECTION 1</w:t>
            </w:r>
            <w:r w:rsidR="00D17170">
              <w:rPr>
                <w:webHidden/>
              </w:rPr>
              <w:tab/>
            </w:r>
            <w:r w:rsidR="00D17170">
              <w:rPr>
                <w:webHidden/>
              </w:rPr>
              <w:fldChar w:fldCharType="begin"/>
            </w:r>
            <w:r w:rsidR="00D17170">
              <w:rPr>
                <w:webHidden/>
              </w:rPr>
              <w:instrText xml:space="preserve"> PAGEREF _Toc41909276 \h </w:instrText>
            </w:r>
            <w:r w:rsidR="00D17170">
              <w:rPr>
                <w:webHidden/>
              </w:rPr>
            </w:r>
            <w:r w:rsidR="00D17170">
              <w:rPr>
                <w:webHidden/>
              </w:rPr>
              <w:fldChar w:fldCharType="separate"/>
            </w:r>
            <w:r w:rsidR="00D17170">
              <w:rPr>
                <w:webHidden/>
              </w:rPr>
              <w:t>4</w:t>
            </w:r>
            <w:r w:rsidR="00D17170">
              <w:rPr>
                <w:webHidden/>
              </w:rPr>
              <w:fldChar w:fldCharType="end"/>
            </w:r>
          </w:hyperlink>
        </w:p>
        <w:p w14:paraId="23CFD0BD" w14:textId="445A2422" w:rsidR="00D17170" w:rsidRDefault="005D36B2">
          <w:pPr>
            <w:pStyle w:val="TOC1"/>
            <w:rPr>
              <w:rFonts w:asciiTheme="minorHAnsi" w:eastAsiaTheme="minorEastAsia" w:hAnsiTheme="minorHAnsi" w:cstheme="minorBidi"/>
              <w:lang w:eastAsia="en-AU"/>
            </w:rPr>
          </w:pPr>
          <w:hyperlink w:anchor="_Toc41909277" w:history="1">
            <w:r w:rsidR="00D17170" w:rsidRPr="00F55114">
              <w:rPr>
                <w:rStyle w:val="Hyperlink"/>
              </w:rPr>
              <w:t>AUSTRALIAN HAEMOVIGILANCE DATA</w:t>
            </w:r>
            <w:r w:rsidR="00D17170">
              <w:rPr>
                <w:webHidden/>
              </w:rPr>
              <w:tab/>
            </w:r>
            <w:r w:rsidR="00D17170">
              <w:rPr>
                <w:webHidden/>
              </w:rPr>
              <w:fldChar w:fldCharType="begin"/>
            </w:r>
            <w:r w:rsidR="00D17170">
              <w:rPr>
                <w:webHidden/>
              </w:rPr>
              <w:instrText xml:space="preserve"> PAGEREF _Toc41909277 \h </w:instrText>
            </w:r>
            <w:r w:rsidR="00D17170">
              <w:rPr>
                <w:webHidden/>
              </w:rPr>
            </w:r>
            <w:r w:rsidR="00D17170">
              <w:rPr>
                <w:webHidden/>
              </w:rPr>
              <w:fldChar w:fldCharType="separate"/>
            </w:r>
            <w:r w:rsidR="00D17170">
              <w:rPr>
                <w:webHidden/>
              </w:rPr>
              <w:t>4</w:t>
            </w:r>
            <w:r w:rsidR="00D17170">
              <w:rPr>
                <w:webHidden/>
              </w:rPr>
              <w:fldChar w:fldCharType="end"/>
            </w:r>
          </w:hyperlink>
        </w:p>
        <w:p w14:paraId="76879EF9" w14:textId="361CA248" w:rsidR="00D17170" w:rsidRDefault="005D36B2">
          <w:pPr>
            <w:pStyle w:val="TOC3"/>
            <w:tabs>
              <w:tab w:val="right" w:leader="dot" w:pos="9323"/>
            </w:tabs>
            <w:rPr>
              <w:rFonts w:asciiTheme="minorHAnsi" w:eastAsiaTheme="minorEastAsia" w:hAnsiTheme="minorHAnsi" w:cstheme="minorBidi"/>
              <w:noProof/>
              <w:lang w:eastAsia="en-AU"/>
            </w:rPr>
          </w:pPr>
          <w:hyperlink w:anchor="_Toc41909278" w:history="1">
            <w:r w:rsidR="00D17170" w:rsidRPr="00F55114">
              <w:rPr>
                <w:rStyle w:val="Hyperlink"/>
                <w:noProof/>
              </w:rPr>
              <w:t>Acknowledgements</w:t>
            </w:r>
            <w:r w:rsidR="00D17170">
              <w:rPr>
                <w:noProof/>
                <w:webHidden/>
              </w:rPr>
              <w:tab/>
            </w:r>
            <w:r w:rsidR="00D17170">
              <w:rPr>
                <w:noProof/>
                <w:webHidden/>
              </w:rPr>
              <w:fldChar w:fldCharType="begin"/>
            </w:r>
            <w:r w:rsidR="00D17170">
              <w:rPr>
                <w:noProof/>
                <w:webHidden/>
              </w:rPr>
              <w:instrText xml:space="preserve"> PAGEREF _Toc41909278 \h </w:instrText>
            </w:r>
            <w:r w:rsidR="00D17170">
              <w:rPr>
                <w:noProof/>
                <w:webHidden/>
              </w:rPr>
            </w:r>
            <w:r w:rsidR="00D17170">
              <w:rPr>
                <w:noProof/>
                <w:webHidden/>
              </w:rPr>
              <w:fldChar w:fldCharType="separate"/>
            </w:r>
            <w:r w:rsidR="00D17170">
              <w:rPr>
                <w:noProof/>
                <w:webHidden/>
              </w:rPr>
              <w:t>4</w:t>
            </w:r>
            <w:r w:rsidR="00D17170">
              <w:rPr>
                <w:noProof/>
                <w:webHidden/>
              </w:rPr>
              <w:fldChar w:fldCharType="end"/>
            </w:r>
          </w:hyperlink>
        </w:p>
        <w:p w14:paraId="4BEABF20" w14:textId="3BD301BC" w:rsidR="00D17170" w:rsidRDefault="005D36B2">
          <w:pPr>
            <w:pStyle w:val="TOC3"/>
            <w:tabs>
              <w:tab w:val="right" w:leader="dot" w:pos="9323"/>
            </w:tabs>
            <w:rPr>
              <w:rFonts w:asciiTheme="minorHAnsi" w:eastAsiaTheme="minorEastAsia" w:hAnsiTheme="minorHAnsi" w:cstheme="minorBidi"/>
              <w:noProof/>
              <w:lang w:eastAsia="en-AU"/>
            </w:rPr>
          </w:pPr>
          <w:hyperlink w:anchor="_Toc41909279" w:history="1">
            <w:r w:rsidR="00D17170" w:rsidRPr="00F55114">
              <w:rPr>
                <w:rStyle w:val="Hyperlink"/>
                <w:noProof/>
              </w:rPr>
              <w:t>Caveat</w:t>
            </w:r>
            <w:r w:rsidR="00D17170">
              <w:rPr>
                <w:noProof/>
                <w:webHidden/>
              </w:rPr>
              <w:tab/>
            </w:r>
            <w:r w:rsidR="00D17170">
              <w:rPr>
                <w:noProof/>
                <w:webHidden/>
              </w:rPr>
              <w:fldChar w:fldCharType="begin"/>
            </w:r>
            <w:r w:rsidR="00D17170">
              <w:rPr>
                <w:noProof/>
                <w:webHidden/>
              </w:rPr>
              <w:instrText xml:space="preserve"> PAGEREF _Toc41909279 \h </w:instrText>
            </w:r>
            <w:r w:rsidR="00D17170">
              <w:rPr>
                <w:noProof/>
                <w:webHidden/>
              </w:rPr>
            </w:r>
            <w:r w:rsidR="00D17170">
              <w:rPr>
                <w:noProof/>
                <w:webHidden/>
              </w:rPr>
              <w:fldChar w:fldCharType="separate"/>
            </w:r>
            <w:r w:rsidR="00D17170">
              <w:rPr>
                <w:noProof/>
                <w:webHidden/>
              </w:rPr>
              <w:t>4</w:t>
            </w:r>
            <w:r w:rsidR="00D17170">
              <w:rPr>
                <w:noProof/>
                <w:webHidden/>
              </w:rPr>
              <w:fldChar w:fldCharType="end"/>
            </w:r>
          </w:hyperlink>
        </w:p>
        <w:p w14:paraId="07B31475" w14:textId="3817907E" w:rsidR="00D17170" w:rsidRDefault="005D36B2">
          <w:pPr>
            <w:pStyle w:val="TOC3"/>
            <w:tabs>
              <w:tab w:val="right" w:leader="dot" w:pos="9323"/>
            </w:tabs>
            <w:rPr>
              <w:rFonts w:asciiTheme="minorHAnsi" w:eastAsiaTheme="minorEastAsia" w:hAnsiTheme="minorHAnsi" w:cstheme="minorBidi"/>
              <w:noProof/>
              <w:lang w:eastAsia="en-AU"/>
            </w:rPr>
          </w:pPr>
          <w:hyperlink w:anchor="_Toc41909280" w:history="1">
            <w:r w:rsidR="00D17170" w:rsidRPr="00F55114">
              <w:rPr>
                <w:rStyle w:val="Hyperlink"/>
                <w:noProof/>
              </w:rPr>
              <w:t>Collection and reporting process</w:t>
            </w:r>
            <w:r w:rsidR="00D17170">
              <w:rPr>
                <w:noProof/>
                <w:webHidden/>
              </w:rPr>
              <w:tab/>
            </w:r>
            <w:r w:rsidR="00D17170">
              <w:rPr>
                <w:noProof/>
                <w:webHidden/>
              </w:rPr>
              <w:fldChar w:fldCharType="begin"/>
            </w:r>
            <w:r w:rsidR="00D17170">
              <w:rPr>
                <w:noProof/>
                <w:webHidden/>
              </w:rPr>
              <w:instrText xml:space="preserve"> PAGEREF _Toc41909280 \h </w:instrText>
            </w:r>
            <w:r w:rsidR="00D17170">
              <w:rPr>
                <w:noProof/>
                <w:webHidden/>
              </w:rPr>
            </w:r>
            <w:r w:rsidR="00D17170">
              <w:rPr>
                <w:noProof/>
                <w:webHidden/>
              </w:rPr>
              <w:fldChar w:fldCharType="separate"/>
            </w:r>
            <w:r w:rsidR="00D17170">
              <w:rPr>
                <w:noProof/>
                <w:webHidden/>
              </w:rPr>
              <w:t>5</w:t>
            </w:r>
            <w:r w:rsidR="00D17170">
              <w:rPr>
                <w:noProof/>
                <w:webHidden/>
              </w:rPr>
              <w:fldChar w:fldCharType="end"/>
            </w:r>
          </w:hyperlink>
        </w:p>
        <w:p w14:paraId="7C247A35" w14:textId="13DF6ABC" w:rsidR="00D17170" w:rsidRDefault="005D36B2">
          <w:pPr>
            <w:pStyle w:val="TOC3"/>
            <w:tabs>
              <w:tab w:val="right" w:leader="dot" w:pos="9323"/>
            </w:tabs>
            <w:rPr>
              <w:rFonts w:asciiTheme="minorHAnsi" w:eastAsiaTheme="minorEastAsia" w:hAnsiTheme="minorHAnsi" w:cstheme="minorBidi"/>
              <w:noProof/>
              <w:lang w:eastAsia="en-AU"/>
            </w:rPr>
          </w:pPr>
          <w:hyperlink w:anchor="_Toc41909281" w:history="1">
            <w:r w:rsidR="00D17170" w:rsidRPr="00F55114">
              <w:rPr>
                <w:rStyle w:val="Hyperlink"/>
                <w:noProof/>
              </w:rPr>
              <w:t>Summary of findings for 2016-17</w:t>
            </w:r>
            <w:r w:rsidR="00D17170">
              <w:rPr>
                <w:noProof/>
                <w:webHidden/>
              </w:rPr>
              <w:tab/>
            </w:r>
            <w:r w:rsidR="00D17170">
              <w:rPr>
                <w:noProof/>
                <w:webHidden/>
              </w:rPr>
              <w:fldChar w:fldCharType="begin"/>
            </w:r>
            <w:r w:rsidR="00D17170">
              <w:rPr>
                <w:noProof/>
                <w:webHidden/>
              </w:rPr>
              <w:instrText xml:space="preserve"> PAGEREF _Toc41909281 \h </w:instrText>
            </w:r>
            <w:r w:rsidR="00D17170">
              <w:rPr>
                <w:noProof/>
                <w:webHidden/>
              </w:rPr>
            </w:r>
            <w:r w:rsidR="00D17170">
              <w:rPr>
                <w:noProof/>
                <w:webHidden/>
              </w:rPr>
              <w:fldChar w:fldCharType="separate"/>
            </w:r>
            <w:r w:rsidR="00D17170">
              <w:rPr>
                <w:noProof/>
                <w:webHidden/>
              </w:rPr>
              <w:t>6</w:t>
            </w:r>
            <w:r w:rsidR="00D17170">
              <w:rPr>
                <w:noProof/>
                <w:webHidden/>
              </w:rPr>
              <w:fldChar w:fldCharType="end"/>
            </w:r>
          </w:hyperlink>
        </w:p>
        <w:p w14:paraId="1E713BD1" w14:textId="1B40C80E" w:rsidR="00D17170" w:rsidRDefault="005D36B2">
          <w:pPr>
            <w:pStyle w:val="TOC1"/>
            <w:rPr>
              <w:rFonts w:asciiTheme="minorHAnsi" w:eastAsiaTheme="minorEastAsia" w:hAnsiTheme="minorHAnsi" w:cstheme="minorBidi"/>
              <w:lang w:eastAsia="en-AU"/>
            </w:rPr>
          </w:pPr>
          <w:hyperlink w:anchor="_Toc41909282" w:history="1">
            <w:r w:rsidR="00D17170" w:rsidRPr="00F55114">
              <w:rPr>
                <w:rStyle w:val="Hyperlink"/>
              </w:rPr>
              <w:t>SECTION 2</w:t>
            </w:r>
            <w:r w:rsidR="00D17170">
              <w:rPr>
                <w:webHidden/>
              </w:rPr>
              <w:tab/>
            </w:r>
            <w:r w:rsidR="00D17170">
              <w:rPr>
                <w:webHidden/>
              </w:rPr>
              <w:fldChar w:fldCharType="begin"/>
            </w:r>
            <w:r w:rsidR="00D17170">
              <w:rPr>
                <w:webHidden/>
              </w:rPr>
              <w:instrText xml:space="preserve"> PAGEREF _Toc41909282 \h </w:instrText>
            </w:r>
            <w:r w:rsidR="00D17170">
              <w:rPr>
                <w:webHidden/>
              </w:rPr>
            </w:r>
            <w:r w:rsidR="00D17170">
              <w:rPr>
                <w:webHidden/>
              </w:rPr>
              <w:fldChar w:fldCharType="separate"/>
            </w:r>
            <w:r w:rsidR="00D17170">
              <w:rPr>
                <w:webHidden/>
              </w:rPr>
              <w:t>24</w:t>
            </w:r>
            <w:r w:rsidR="00D17170">
              <w:rPr>
                <w:webHidden/>
              </w:rPr>
              <w:fldChar w:fldCharType="end"/>
            </w:r>
          </w:hyperlink>
        </w:p>
        <w:p w14:paraId="79107E70" w14:textId="1A2C2377" w:rsidR="00D17170" w:rsidRDefault="005D36B2">
          <w:pPr>
            <w:pStyle w:val="TOC1"/>
            <w:rPr>
              <w:rFonts w:asciiTheme="minorHAnsi" w:eastAsiaTheme="minorEastAsia" w:hAnsiTheme="minorHAnsi" w:cstheme="minorBidi"/>
              <w:lang w:eastAsia="en-AU"/>
            </w:rPr>
          </w:pPr>
          <w:hyperlink w:anchor="_Toc41909283" w:history="1">
            <w:r w:rsidR="00D17170" w:rsidRPr="00F55114">
              <w:rPr>
                <w:rStyle w:val="Hyperlink"/>
              </w:rPr>
              <w:t>DONOR HAEMOVIGILANCE DATA</w:t>
            </w:r>
            <w:r w:rsidR="00D17170">
              <w:rPr>
                <w:webHidden/>
              </w:rPr>
              <w:tab/>
            </w:r>
            <w:r w:rsidR="00D17170">
              <w:rPr>
                <w:webHidden/>
              </w:rPr>
              <w:fldChar w:fldCharType="begin"/>
            </w:r>
            <w:r w:rsidR="00D17170">
              <w:rPr>
                <w:webHidden/>
              </w:rPr>
              <w:instrText xml:space="preserve"> PAGEREF _Toc41909283 \h </w:instrText>
            </w:r>
            <w:r w:rsidR="00D17170">
              <w:rPr>
                <w:webHidden/>
              </w:rPr>
            </w:r>
            <w:r w:rsidR="00D17170">
              <w:rPr>
                <w:webHidden/>
              </w:rPr>
              <w:fldChar w:fldCharType="separate"/>
            </w:r>
            <w:r w:rsidR="00D17170">
              <w:rPr>
                <w:webHidden/>
              </w:rPr>
              <w:t>24</w:t>
            </w:r>
            <w:r w:rsidR="00D17170">
              <w:rPr>
                <w:webHidden/>
              </w:rPr>
              <w:fldChar w:fldCharType="end"/>
            </w:r>
          </w:hyperlink>
        </w:p>
        <w:p w14:paraId="08CF93C4" w14:textId="6078D81A" w:rsidR="00D17170" w:rsidRDefault="005D36B2">
          <w:pPr>
            <w:pStyle w:val="TOC3"/>
            <w:tabs>
              <w:tab w:val="right" w:leader="dot" w:pos="9323"/>
            </w:tabs>
            <w:rPr>
              <w:rFonts w:asciiTheme="minorHAnsi" w:eastAsiaTheme="minorEastAsia" w:hAnsiTheme="minorHAnsi" w:cstheme="minorBidi"/>
              <w:noProof/>
              <w:lang w:eastAsia="en-AU"/>
            </w:rPr>
          </w:pPr>
          <w:hyperlink w:anchor="_Toc41909284" w:history="1">
            <w:r w:rsidR="00D17170" w:rsidRPr="00F55114">
              <w:rPr>
                <w:rStyle w:val="Hyperlink"/>
                <w:noProof/>
              </w:rPr>
              <w:t>Executive Summary</w:t>
            </w:r>
            <w:r w:rsidR="00D17170">
              <w:rPr>
                <w:noProof/>
                <w:webHidden/>
              </w:rPr>
              <w:tab/>
            </w:r>
            <w:r w:rsidR="00D17170">
              <w:rPr>
                <w:noProof/>
                <w:webHidden/>
              </w:rPr>
              <w:fldChar w:fldCharType="begin"/>
            </w:r>
            <w:r w:rsidR="00D17170">
              <w:rPr>
                <w:noProof/>
                <w:webHidden/>
              </w:rPr>
              <w:instrText xml:space="preserve"> PAGEREF _Toc41909284 \h </w:instrText>
            </w:r>
            <w:r w:rsidR="00D17170">
              <w:rPr>
                <w:noProof/>
                <w:webHidden/>
              </w:rPr>
            </w:r>
            <w:r w:rsidR="00D17170">
              <w:rPr>
                <w:noProof/>
                <w:webHidden/>
              </w:rPr>
              <w:fldChar w:fldCharType="separate"/>
            </w:r>
            <w:r w:rsidR="00D17170">
              <w:rPr>
                <w:noProof/>
                <w:webHidden/>
              </w:rPr>
              <w:t>24</w:t>
            </w:r>
            <w:r w:rsidR="00D17170">
              <w:rPr>
                <w:noProof/>
                <w:webHidden/>
              </w:rPr>
              <w:fldChar w:fldCharType="end"/>
            </w:r>
          </w:hyperlink>
        </w:p>
        <w:p w14:paraId="1E646A19" w14:textId="7C12639A" w:rsidR="00D17170" w:rsidRDefault="005D36B2">
          <w:pPr>
            <w:pStyle w:val="TOC3"/>
            <w:tabs>
              <w:tab w:val="right" w:leader="dot" w:pos="9323"/>
            </w:tabs>
            <w:rPr>
              <w:rFonts w:asciiTheme="minorHAnsi" w:eastAsiaTheme="minorEastAsia" w:hAnsiTheme="minorHAnsi" w:cstheme="minorBidi"/>
              <w:noProof/>
              <w:lang w:eastAsia="en-AU"/>
            </w:rPr>
          </w:pPr>
          <w:hyperlink w:anchor="_Toc41909285" w:history="1">
            <w:r w:rsidR="00D17170" w:rsidRPr="00F55114">
              <w:rPr>
                <w:rStyle w:val="Hyperlink"/>
                <w:noProof/>
              </w:rPr>
              <w:t>Donation adverse event trends</w:t>
            </w:r>
            <w:r w:rsidR="00D17170">
              <w:rPr>
                <w:noProof/>
                <w:webHidden/>
              </w:rPr>
              <w:tab/>
            </w:r>
            <w:r w:rsidR="00D17170">
              <w:rPr>
                <w:noProof/>
                <w:webHidden/>
              </w:rPr>
              <w:fldChar w:fldCharType="begin"/>
            </w:r>
            <w:r w:rsidR="00D17170">
              <w:rPr>
                <w:noProof/>
                <w:webHidden/>
              </w:rPr>
              <w:instrText xml:space="preserve"> PAGEREF _Toc41909285 \h </w:instrText>
            </w:r>
            <w:r w:rsidR="00D17170">
              <w:rPr>
                <w:noProof/>
                <w:webHidden/>
              </w:rPr>
            </w:r>
            <w:r w:rsidR="00D17170">
              <w:rPr>
                <w:noProof/>
                <w:webHidden/>
              </w:rPr>
              <w:fldChar w:fldCharType="separate"/>
            </w:r>
            <w:r w:rsidR="00D17170">
              <w:rPr>
                <w:noProof/>
                <w:webHidden/>
              </w:rPr>
              <w:t>25</w:t>
            </w:r>
            <w:r w:rsidR="00D17170">
              <w:rPr>
                <w:noProof/>
                <w:webHidden/>
              </w:rPr>
              <w:fldChar w:fldCharType="end"/>
            </w:r>
          </w:hyperlink>
        </w:p>
        <w:p w14:paraId="0D46F4C9" w14:textId="5FBE739B" w:rsidR="00D17170" w:rsidRDefault="005D36B2">
          <w:pPr>
            <w:pStyle w:val="TOC3"/>
            <w:tabs>
              <w:tab w:val="right" w:leader="dot" w:pos="9323"/>
            </w:tabs>
            <w:rPr>
              <w:rFonts w:asciiTheme="minorHAnsi" w:eastAsiaTheme="minorEastAsia" w:hAnsiTheme="minorHAnsi" w:cstheme="minorBidi"/>
              <w:noProof/>
              <w:lang w:eastAsia="en-AU"/>
            </w:rPr>
          </w:pPr>
          <w:hyperlink w:anchor="_Toc41909286" w:history="1">
            <w:r w:rsidR="00D17170" w:rsidRPr="00F55114">
              <w:rPr>
                <w:rStyle w:val="Hyperlink"/>
                <w:noProof/>
              </w:rPr>
              <w:t>Adverse events by donation type</w:t>
            </w:r>
            <w:r w:rsidR="00D17170">
              <w:rPr>
                <w:noProof/>
                <w:webHidden/>
              </w:rPr>
              <w:tab/>
            </w:r>
            <w:r w:rsidR="00D17170">
              <w:rPr>
                <w:noProof/>
                <w:webHidden/>
              </w:rPr>
              <w:fldChar w:fldCharType="begin"/>
            </w:r>
            <w:r w:rsidR="00D17170">
              <w:rPr>
                <w:noProof/>
                <w:webHidden/>
              </w:rPr>
              <w:instrText xml:space="preserve"> PAGEREF _Toc41909286 \h </w:instrText>
            </w:r>
            <w:r w:rsidR="00D17170">
              <w:rPr>
                <w:noProof/>
                <w:webHidden/>
              </w:rPr>
            </w:r>
            <w:r w:rsidR="00D17170">
              <w:rPr>
                <w:noProof/>
                <w:webHidden/>
              </w:rPr>
              <w:fldChar w:fldCharType="separate"/>
            </w:r>
            <w:r w:rsidR="00D17170">
              <w:rPr>
                <w:noProof/>
                <w:webHidden/>
              </w:rPr>
              <w:t>28</w:t>
            </w:r>
            <w:r w:rsidR="00D17170">
              <w:rPr>
                <w:noProof/>
                <w:webHidden/>
              </w:rPr>
              <w:fldChar w:fldCharType="end"/>
            </w:r>
          </w:hyperlink>
        </w:p>
        <w:p w14:paraId="7629833B" w14:textId="4A4D96EA" w:rsidR="00D17170" w:rsidRDefault="005D36B2">
          <w:pPr>
            <w:pStyle w:val="TOC3"/>
            <w:tabs>
              <w:tab w:val="right" w:leader="dot" w:pos="9323"/>
            </w:tabs>
            <w:rPr>
              <w:rFonts w:asciiTheme="minorHAnsi" w:eastAsiaTheme="minorEastAsia" w:hAnsiTheme="minorHAnsi" w:cstheme="minorBidi"/>
              <w:noProof/>
              <w:lang w:eastAsia="en-AU"/>
            </w:rPr>
          </w:pPr>
          <w:hyperlink w:anchor="_Toc41909287" w:history="1">
            <w:r w:rsidR="00D17170" w:rsidRPr="00F55114">
              <w:rPr>
                <w:rStyle w:val="Hyperlink"/>
                <w:noProof/>
              </w:rPr>
              <w:t>Serious complications of blood donation</w:t>
            </w:r>
            <w:r w:rsidR="00D17170">
              <w:rPr>
                <w:noProof/>
                <w:webHidden/>
              </w:rPr>
              <w:tab/>
            </w:r>
            <w:r w:rsidR="00D17170">
              <w:rPr>
                <w:noProof/>
                <w:webHidden/>
              </w:rPr>
              <w:fldChar w:fldCharType="begin"/>
            </w:r>
            <w:r w:rsidR="00D17170">
              <w:rPr>
                <w:noProof/>
                <w:webHidden/>
              </w:rPr>
              <w:instrText xml:space="preserve"> PAGEREF _Toc41909287 \h </w:instrText>
            </w:r>
            <w:r w:rsidR="00D17170">
              <w:rPr>
                <w:noProof/>
                <w:webHidden/>
              </w:rPr>
            </w:r>
            <w:r w:rsidR="00D17170">
              <w:rPr>
                <w:noProof/>
                <w:webHidden/>
              </w:rPr>
              <w:fldChar w:fldCharType="separate"/>
            </w:r>
            <w:r w:rsidR="00D17170">
              <w:rPr>
                <w:noProof/>
                <w:webHidden/>
              </w:rPr>
              <w:t>30</w:t>
            </w:r>
            <w:r w:rsidR="00D17170">
              <w:rPr>
                <w:noProof/>
                <w:webHidden/>
              </w:rPr>
              <w:fldChar w:fldCharType="end"/>
            </w:r>
          </w:hyperlink>
        </w:p>
        <w:p w14:paraId="319C61D3" w14:textId="23A15705" w:rsidR="00D17170" w:rsidRDefault="005D36B2">
          <w:pPr>
            <w:pStyle w:val="TOC3"/>
            <w:tabs>
              <w:tab w:val="right" w:leader="dot" w:pos="9323"/>
            </w:tabs>
            <w:rPr>
              <w:rFonts w:asciiTheme="minorHAnsi" w:eastAsiaTheme="minorEastAsia" w:hAnsiTheme="minorHAnsi" w:cstheme="minorBidi"/>
              <w:noProof/>
              <w:lang w:eastAsia="en-AU"/>
            </w:rPr>
          </w:pPr>
          <w:hyperlink w:anchor="_Toc41909288" w:history="1">
            <w:r w:rsidR="00D17170" w:rsidRPr="00F55114">
              <w:rPr>
                <w:rStyle w:val="Hyperlink"/>
                <w:noProof/>
              </w:rPr>
              <w:t>Donor gender and age and adverse reactions to donation</w:t>
            </w:r>
            <w:r w:rsidR="00D17170">
              <w:rPr>
                <w:noProof/>
                <w:webHidden/>
              </w:rPr>
              <w:tab/>
            </w:r>
            <w:r w:rsidR="00D17170">
              <w:rPr>
                <w:noProof/>
                <w:webHidden/>
              </w:rPr>
              <w:fldChar w:fldCharType="begin"/>
            </w:r>
            <w:r w:rsidR="00D17170">
              <w:rPr>
                <w:noProof/>
                <w:webHidden/>
              </w:rPr>
              <w:instrText xml:space="preserve"> PAGEREF _Toc41909288 \h </w:instrText>
            </w:r>
            <w:r w:rsidR="00D17170">
              <w:rPr>
                <w:noProof/>
                <w:webHidden/>
              </w:rPr>
            </w:r>
            <w:r w:rsidR="00D17170">
              <w:rPr>
                <w:noProof/>
                <w:webHidden/>
              </w:rPr>
              <w:fldChar w:fldCharType="separate"/>
            </w:r>
            <w:r w:rsidR="00D17170">
              <w:rPr>
                <w:noProof/>
                <w:webHidden/>
              </w:rPr>
              <w:t>32</w:t>
            </w:r>
            <w:r w:rsidR="00D17170">
              <w:rPr>
                <w:noProof/>
                <w:webHidden/>
              </w:rPr>
              <w:fldChar w:fldCharType="end"/>
            </w:r>
          </w:hyperlink>
        </w:p>
        <w:p w14:paraId="5761AB00" w14:textId="2AD52832" w:rsidR="00D17170" w:rsidRDefault="005D36B2">
          <w:pPr>
            <w:pStyle w:val="TOC3"/>
            <w:tabs>
              <w:tab w:val="right" w:leader="dot" w:pos="9323"/>
            </w:tabs>
            <w:rPr>
              <w:rFonts w:asciiTheme="minorHAnsi" w:eastAsiaTheme="minorEastAsia" w:hAnsiTheme="minorHAnsi" w:cstheme="minorBidi"/>
              <w:noProof/>
              <w:lang w:eastAsia="en-AU"/>
            </w:rPr>
          </w:pPr>
          <w:hyperlink w:anchor="_Toc41909289" w:history="1">
            <w:r w:rsidR="00D17170" w:rsidRPr="00F55114">
              <w:rPr>
                <w:rStyle w:val="Hyperlink"/>
                <w:noProof/>
              </w:rPr>
              <w:t>Current strategies to reduce the risk of adverse events</w:t>
            </w:r>
            <w:r w:rsidR="00D17170">
              <w:rPr>
                <w:noProof/>
                <w:webHidden/>
              </w:rPr>
              <w:tab/>
            </w:r>
            <w:r w:rsidR="00D17170">
              <w:rPr>
                <w:noProof/>
                <w:webHidden/>
              </w:rPr>
              <w:fldChar w:fldCharType="begin"/>
            </w:r>
            <w:r w:rsidR="00D17170">
              <w:rPr>
                <w:noProof/>
                <w:webHidden/>
              </w:rPr>
              <w:instrText xml:space="preserve"> PAGEREF _Toc41909289 \h </w:instrText>
            </w:r>
            <w:r w:rsidR="00D17170">
              <w:rPr>
                <w:noProof/>
                <w:webHidden/>
              </w:rPr>
            </w:r>
            <w:r w:rsidR="00D17170">
              <w:rPr>
                <w:noProof/>
                <w:webHidden/>
              </w:rPr>
              <w:fldChar w:fldCharType="separate"/>
            </w:r>
            <w:r w:rsidR="00D17170">
              <w:rPr>
                <w:noProof/>
                <w:webHidden/>
              </w:rPr>
              <w:t>34</w:t>
            </w:r>
            <w:r w:rsidR="00D17170">
              <w:rPr>
                <w:noProof/>
                <w:webHidden/>
              </w:rPr>
              <w:fldChar w:fldCharType="end"/>
            </w:r>
          </w:hyperlink>
        </w:p>
        <w:p w14:paraId="58EA068D" w14:textId="0D7E1B0C" w:rsidR="00D17170" w:rsidRDefault="005D36B2">
          <w:pPr>
            <w:pStyle w:val="TOC1"/>
            <w:rPr>
              <w:rFonts w:asciiTheme="minorHAnsi" w:eastAsiaTheme="minorEastAsia" w:hAnsiTheme="minorHAnsi" w:cstheme="minorBidi"/>
              <w:lang w:eastAsia="en-AU"/>
            </w:rPr>
          </w:pPr>
          <w:hyperlink w:anchor="_Toc41909290" w:history="1">
            <w:r w:rsidR="00D17170" w:rsidRPr="00F55114">
              <w:rPr>
                <w:rStyle w:val="Hyperlink"/>
              </w:rPr>
              <w:t>APPENDIX 1</w:t>
            </w:r>
            <w:r w:rsidR="00D17170">
              <w:rPr>
                <w:webHidden/>
              </w:rPr>
              <w:tab/>
            </w:r>
            <w:r w:rsidR="00D17170">
              <w:rPr>
                <w:webHidden/>
              </w:rPr>
              <w:fldChar w:fldCharType="begin"/>
            </w:r>
            <w:r w:rsidR="00D17170">
              <w:rPr>
                <w:webHidden/>
              </w:rPr>
              <w:instrText xml:space="preserve"> PAGEREF _Toc41909290 \h </w:instrText>
            </w:r>
            <w:r w:rsidR="00D17170">
              <w:rPr>
                <w:webHidden/>
              </w:rPr>
            </w:r>
            <w:r w:rsidR="00D17170">
              <w:rPr>
                <w:webHidden/>
              </w:rPr>
              <w:fldChar w:fldCharType="separate"/>
            </w:r>
            <w:r w:rsidR="00D17170">
              <w:rPr>
                <w:webHidden/>
              </w:rPr>
              <w:t>35</w:t>
            </w:r>
            <w:r w:rsidR="00D17170">
              <w:rPr>
                <w:webHidden/>
              </w:rPr>
              <w:fldChar w:fldCharType="end"/>
            </w:r>
          </w:hyperlink>
        </w:p>
        <w:p w14:paraId="250A2A1D" w14:textId="60DEB1FC" w:rsidR="00D17170" w:rsidRDefault="005D36B2">
          <w:pPr>
            <w:pStyle w:val="TOC1"/>
            <w:rPr>
              <w:rFonts w:asciiTheme="minorHAnsi" w:eastAsiaTheme="minorEastAsia" w:hAnsiTheme="minorHAnsi" w:cstheme="minorBidi"/>
              <w:lang w:eastAsia="en-AU"/>
            </w:rPr>
          </w:pPr>
          <w:hyperlink w:anchor="_Toc41909291" w:history="1">
            <w:r w:rsidR="00D17170" w:rsidRPr="00F55114">
              <w:rPr>
                <w:rStyle w:val="Hyperlink"/>
              </w:rPr>
              <w:t>ABBREVIATIONS</w:t>
            </w:r>
            <w:r w:rsidR="00D17170">
              <w:rPr>
                <w:webHidden/>
              </w:rPr>
              <w:tab/>
            </w:r>
            <w:r w:rsidR="00D17170">
              <w:rPr>
                <w:webHidden/>
              </w:rPr>
              <w:fldChar w:fldCharType="begin"/>
            </w:r>
            <w:r w:rsidR="00D17170">
              <w:rPr>
                <w:webHidden/>
              </w:rPr>
              <w:instrText xml:space="preserve"> PAGEREF _Toc41909291 \h </w:instrText>
            </w:r>
            <w:r w:rsidR="00D17170">
              <w:rPr>
                <w:webHidden/>
              </w:rPr>
            </w:r>
            <w:r w:rsidR="00D17170">
              <w:rPr>
                <w:webHidden/>
              </w:rPr>
              <w:fldChar w:fldCharType="separate"/>
            </w:r>
            <w:r w:rsidR="00D17170">
              <w:rPr>
                <w:webHidden/>
              </w:rPr>
              <w:t>36</w:t>
            </w:r>
            <w:r w:rsidR="00D17170">
              <w:rPr>
                <w:webHidden/>
              </w:rPr>
              <w:fldChar w:fldCharType="end"/>
            </w:r>
          </w:hyperlink>
        </w:p>
        <w:p w14:paraId="11FE5AAD" w14:textId="41901214" w:rsidR="00D17170" w:rsidRDefault="005D36B2">
          <w:pPr>
            <w:pStyle w:val="TOC1"/>
            <w:rPr>
              <w:rFonts w:asciiTheme="minorHAnsi" w:eastAsiaTheme="minorEastAsia" w:hAnsiTheme="minorHAnsi" w:cstheme="minorBidi"/>
              <w:lang w:eastAsia="en-AU"/>
            </w:rPr>
          </w:pPr>
          <w:hyperlink w:anchor="_Toc41909292" w:history="1">
            <w:r w:rsidR="00D17170" w:rsidRPr="00F55114">
              <w:rPr>
                <w:rStyle w:val="Hyperlink"/>
              </w:rPr>
              <w:t>ACKNOWLEDGEMENTS LIST</w:t>
            </w:r>
            <w:r w:rsidR="00D17170">
              <w:rPr>
                <w:webHidden/>
              </w:rPr>
              <w:tab/>
            </w:r>
            <w:r w:rsidR="00D17170">
              <w:rPr>
                <w:webHidden/>
              </w:rPr>
              <w:fldChar w:fldCharType="begin"/>
            </w:r>
            <w:r w:rsidR="00D17170">
              <w:rPr>
                <w:webHidden/>
              </w:rPr>
              <w:instrText xml:space="preserve"> PAGEREF _Toc41909292 \h </w:instrText>
            </w:r>
            <w:r w:rsidR="00D17170">
              <w:rPr>
                <w:webHidden/>
              </w:rPr>
            </w:r>
            <w:r w:rsidR="00D17170">
              <w:rPr>
                <w:webHidden/>
              </w:rPr>
              <w:fldChar w:fldCharType="separate"/>
            </w:r>
            <w:r w:rsidR="00D17170">
              <w:rPr>
                <w:webHidden/>
              </w:rPr>
              <w:t>37</w:t>
            </w:r>
            <w:r w:rsidR="00D17170">
              <w:rPr>
                <w:webHidden/>
              </w:rPr>
              <w:fldChar w:fldCharType="end"/>
            </w:r>
          </w:hyperlink>
        </w:p>
        <w:p w14:paraId="13F716B0" w14:textId="67D2488C" w:rsidR="00A358DD" w:rsidRPr="00394948" w:rsidRDefault="00A358DD">
          <w:r w:rsidRPr="00394948">
            <w:rPr>
              <w:b/>
              <w:bCs/>
              <w:noProof/>
            </w:rPr>
            <w:fldChar w:fldCharType="end"/>
          </w:r>
        </w:p>
      </w:sdtContent>
    </w:sdt>
    <w:p w14:paraId="51D69E5E" w14:textId="05D3575E" w:rsidR="007B667A" w:rsidRDefault="007B667A">
      <w:pPr>
        <w:spacing w:line="276" w:lineRule="auto"/>
      </w:pPr>
      <w:r>
        <w:br w:type="page"/>
      </w:r>
    </w:p>
    <w:p w14:paraId="2435BAC4" w14:textId="1F10CE2E" w:rsidR="007B667A" w:rsidRDefault="00C42E2A" w:rsidP="00C42E2A">
      <w:pPr>
        <w:pStyle w:val="Heading1"/>
      </w:pPr>
      <w:bookmarkStart w:id="1" w:name="_Toc41909275"/>
      <w:r>
        <w:lastRenderedPageBreak/>
        <w:t>TABLES AND FIGURES</w:t>
      </w:r>
      <w:bookmarkEnd w:id="1"/>
    </w:p>
    <w:p w14:paraId="728131CC" w14:textId="2EB433AE" w:rsidR="00D17170" w:rsidRDefault="00A569F5">
      <w:pPr>
        <w:pStyle w:val="TableofFigures"/>
        <w:tabs>
          <w:tab w:val="right" w:leader="dot" w:pos="9323"/>
        </w:tabs>
        <w:rPr>
          <w:rFonts w:asciiTheme="minorHAnsi" w:eastAsiaTheme="minorEastAsia" w:hAnsiTheme="minorHAnsi" w:cstheme="minorBidi"/>
          <w:noProof/>
          <w:lang w:eastAsia="en-AU"/>
        </w:rPr>
      </w:pPr>
      <w:r>
        <w:fldChar w:fldCharType="begin"/>
      </w:r>
      <w:r>
        <w:instrText xml:space="preserve"> TOC \c "Table" </w:instrText>
      </w:r>
      <w:r>
        <w:fldChar w:fldCharType="separate"/>
      </w:r>
      <w:r w:rsidR="00D17170" w:rsidRPr="00FD2EB0">
        <w:rPr>
          <w:noProof/>
        </w:rPr>
        <w:t>Table 1: Adverse events by state, 2016-17</w:t>
      </w:r>
      <w:r w:rsidR="00D17170">
        <w:rPr>
          <w:noProof/>
        </w:rPr>
        <w:tab/>
      </w:r>
      <w:r w:rsidR="00D17170">
        <w:rPr>
          <w:noProof/>
        </w:rPr>
        <w:fldChar w:fldCharType="begin"/>
      </w:r>
      <w:r w:rsidR="00D17170">
        <w:rPr>
          <w:noProof/>
        </w:rPr>
        <w:instrText xml:space="preserve"> PAGEREF _Toc41909293 \h </w:instrText>
      </w:r>
      <w:r w:rsidR="00D17170">
        <w:rPr>
          <w:noProof/>
        </w:rPr>
      </w:r>
      <w:r w:rsidR="00D17170">
        <w:rPr>
          <w:noProof/>
        </w:rPr>
        <w:fldChar w:fldCharType="separate"/>
      </w:r>
      <w:r w:rsidR="00D17170">
        <w:rPr>
          <w:noProof/>
        </w:rPr>
        <w:t>6</w:t>
      </w:r>
      <w:r w:rsidR="00D17170">
        <w:rPr>
          <w:noProof/>
        </w:rPr>
        <w:fldChar w:fldCharType="end"/>
      </w:r>
    </w:p>
    <w:p w14:paraId="616040E4" w14:textId="1799A83B"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 Adverse events by imputability score, 2016-17</w:t>
      </w:r>
      <w:r>
        <w:rPr>
          <w:noProof/>
        </w:rPr>
        <w:tab/>
      </w:r>
      <w:r>
        <w:rPr>
          <w:noProof/>
        </w:rPr>
        <w:fldChar w:fldCharType="begin"/>
      </w:r>
      <w:r>
        <w:rPr>
          <w:noProof/>
        </w:rPr>
        <w:instrText xml:space="preserve"> PAGEREF _Toc41909294 \h </w:instrText>
      </w:r>
      <w:r>
        <w:rPr>
          <w:noProof/>
        </w:rPr>
      </w:r>
      <w:r>
        <w:rPr>
          <w:noProof/>
        </w:rPr>
        <w:fldChar w:fldCharType="separate"/>
      </w:r>
      <w:r>
        <w:rPr>
          <w:noProof/>
        </w:rPr>
        <w:t>6</w:t>
      </w:r>
      <w:r>
        <w:rPr>
          <w:noProof/>
        </w:rPr>
        <w:fldChar w:fldCharType="end"/>
      </w:r>
    </w:p>
    <w:p w14:paraId="44A64651" w14:textId="432F8496"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 Adverse events by blood product, 2016-17</w:t>
      </w:r>
      <w:r>
        <w:rPr>
          <w:noProof/>
        </w:rPr>
        <w:tab/>
      </w:r>
      <w:r>
        <w:rPr>
          <w:noProof/>
        </w:rPr>
        <w:fldChar w:fldCharType="begin"/>
      </w:r>
      <w:r>
        <w:rPr>
          <w:noProof/>
        </w:rPr>
        <w:instrText xml:space="preserve"> PAGEREF _Toc41909295 \h </w:instrText>
      </w:r>
      <w:r>
        <w:rPr>
          <w:noProof/>
        </w:rPr>
      </w:r>
      <w:r>
        <w:rPr>
          <w:noProof/>
        </w:rPr>
        <w:fldChar w:fldCharType="separate"/>
      </w:r>
      <w:r>
        <w:rPr>
          <w:noProof/>
        </w:rPr>
        <w:t>7</w:t>
      </w:r>
      <w:r>
        <w:rPr>
          <w:noProof/>
        </w:rPr>
        <w:fldChar w:fldCharType="end"/>
      </w:r>
    </w:p>
    <w:p w14:paraId="39E462F3" w14:textId="55E81D3D"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4: Adverse events by clinical outcome severity, 2016-17</w:t>
      </w:r>
      <w:r>
        <w:rPr>
          <w:noProof/>
        </w:rPr>
        <w:tab/>
      </w:r>
      <w:r>
        <w:rPr>
          <w:noProof/>
        </w:rPr>
        <w:fldChar w:fldCharType="begin"/>
      </w:r>
      <w:r>
        <w:rPr>
          <w:noProof/>
        </w:rPr>
        <w:instrText xml:space="preserve"> PAGEREF _Toc41909296 \h </w:instrText>
      </w:r>
      <w:r>
        <w:rPr>
          <w:noProof/>
        </w:rPr>
      </w:r>
      <w:r>
        <w:rPr>
          <w:noProof/>
        </w:rPr>
        <w:fldChar w:fldCharType="separate"/>
      </w:r>
      <w:r>
        <w:rPr>
          <w:noProof/>
        </w:rPr>
        <w:t>7</w:t>
      </w:r>
      <w:r>
        <w:rPr>
          <w:noProof/>
        </w:rPr>
        <w:fldChar w:fldCharType="end"/>
      </w:r>
    </w:p>
    <w:p w14:paraId="09B4CFBC" w14:textId="7E3485F6"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5: Reported adverse events by sex, 2016-17</w:t>
      </w:r>
      <w:r>
        <w:rPr>
          <w:noProof/>
        </w:rPr>
        <w:tab/>
      </w:r>
      <w:r>
        <w:rPr>
          <w:noProof/>
        </w:rPr>
        <w:fldChar w:fldCharType="begin"/>
      </w:r>
      <w:r>
        <w:rPr>
          <w:noProof/>
        </w:rPr>
        <w:instrText xml:space="preserve"> PAGEREF _Toc41909297 \h </w:instrText>
      </w:r>
      <w:r>
        <w:rPr>
          <w:noProof/>
        </w:rPr>
      </w:r>
      <w:r>
        <w:rPr>
          <w:noProof/>
        </w:rPr>
        <w:fldChar w:fldCharType="separate"/>
      </w:r>
      <w:r>
        <w:rPr>
          <w:noProof/>
        </w:rPr>
        <w:t>8</w:t>
      </w:r>
      <w:r>
        <w:rPr>
          <w:noProof/>
        </w:rPr>
        <w:fldChar w:fldCharType="end"/>
      </w:r>
    </w:p>
    <w:p w14:paraId="78920F66" w14:textId="014B34BB"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6: Adverse events by age and sex, 2016-17</w:t>
      </w:r>
      <w:r>
        <w:rPr>
          <w:noProof/>
        </w:rPr>
        <w:tab/>
      </w:r>
      <w:r>
        <w:rPr>
          <w:noProof/>
        </w:rPr>
        <w:fldChar w:fldCharType="begin"/>
      </w:r>
      <w:r>
        <w:rPr>
          <w:noProof/>
        </w:rPr>
        <w:instrText xml:space="preserve"> PAGEREF _Toc41909298 \h </w:instrText>
      </w:r>
      <w:r>
        <w:rPr>
          <w:noProof/>
        </w:rPr>
      </w:r>
      <w:r>
        <w:rPr>
          <w:noProof/>
        </w:rPr>
        <w:fldChar w:fldCharType="separate"/>
      </w:r>
      <w:r>
        <w:rPr>
          <w:noProof/>
        </w:rPr>
        <w:t>8</w:t>
      </w:r>
      <w:r>
        <w:rPr>
          <w:noProof/>
        </w:rPr>
        <w:fldChar w:fldCharType="end"/>
      </w:r>
    </w:p>
    <w:p w14:paraId="1665AD6D" w14:textId="58D23277"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7: Serious adverse events by outcome severity and imputability score, 2016-17</w:t>
      </w:r>
      <w:r>
        <w:rPr>
          <w:noProof/>
        </w:rPr>
        <w:tab/>
      </w:r>
      <w:r>
        <w:rPr>
          <w:noProof/>
        </w:rPr>
        <w:fldChar w:fldCharType="begin"/>
      </w:r>
      <w:r>
        <w:rPr>
          <w:noProof/>
        </w:rPr>
        <w:instrText xml:space="preserve"> PAGEREF _Toc41909299 \h </w:instrText>
      </w:r>
      <w:r>
        <w:rPr>
          <w:noProof/>
        </w:rPr>
      </w:r>
      <w:r>
        <w:rPr>
          <w:noProof/>
        </w:rPr>
        <w:fldChar w:fldCharType="separate"/>
      </w:r>
      <w:r>
        <w:rPr>
          <w:noProof/>
        </w:rPr>
        <w:t>8</w:t>
      </w:r>
      <w:r>
        <w:rPr>
          <w:noProof/>
        </w:rPr>
        <w:fldChar w:fldCharType="end"/>
      </w:r>
    </w:p>
    <w:p w14:paraId="55BADB54" w14:textId="1B05231A"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8: Adverse events by state, 2012-13 to 2016-17</w:t>
      </w:r>
      <w:r>
        <w:rPr>
          <w:noProof/>
        </w:rPr>
        <w:tab/>
      </w:r>
      <w:r>
        <w:rPr>
          <w:noProof/>
        </w:rPr>
        <w:fldChar w:fldCharType="begin"/>
      </w:r>
      <w:r>
        <w:rPr>
          <w:noProof/>
        </w:rPr>
        <w:instrText xml:space="preserve"> PAGEREF _Toc41909300 \h </w:instrText>
      </w:r>
      <w:r>
        <w:rPr>
          <w:noProof/>
        </w:rPr>
      </w:r>
      <w:r>
        <w:rPr>
          <w:noProof/>
        </w:rPr>
        <w:fldChar w:fldCharType="separate"/>
      </w:r>
      <w:r>
        <w:rPr>
          <w:noProof/>
        </w:rPr>
        <w:t>9</w:t>
      </w:r>
      <w:r>
        <w:rPr>
          <w:noProof/>
        </w:rPr>
        <w:fldChar w:fldCharType="end"/>
      </w:r>
    </w:p>
    <w:p w14:paraId="7C7D1036" w14:textId="2CB9859B"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9: Adverse events by hospital type, 2012-13 to 2016-17</w:t>
      </w:r>
      <w:r>
        <w:rPr>
          <w:noProof/>
        </w:rPr>
        <w:tab/>
      </w:r>
      <w:r>
        <w:rPr>
          <w:noProof/>
        </w:rPr>
        <w:fldChar w:fldCharType="begin"/>
      </w:r>
      <w:r>
        <w:rPr>
          <w:noProof/>
        </w:rPr>
        <w:instrText xml:space="preserve"> PAGEREF _Toc41909301 \h </w:instrText>
      </w:r>
      <w:r>
        <w:rPr>
          <w:noProof/>
        </w:rPr>
      </w:r>
      <w:r>
        <w:rPr>
          <w:noProof/>
        </w:rPr>
        <w:fldChar w:fldCharType="separate"/>
      </w:r>
      <w:r>
        <w:rPr>
          <w:noProof/>
        </w:rPr>
        <w:t>9</w:t>
      </w:r>
      <w:r>
        <w:rPr>
          <w:noProof/>
        </w:rPr>
        <w:fldChar w:fldCharType="end"/>
      </w:r>
    </w:p>
    <w:p w14:paraId="64E3DAA1" w14:textId="4A017EC4"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10: Australian adverse event data, 2012-13 to 2016-17</w:t>
      </w:r>
      <w:r>
        <w:rPr>
          <w:noProof/>
        </w:rPr>
        <w:tab/>
      </w:r>
      <w:r>
        <w:rPr>
          <w:noProof/>
        </w:rPr>
        <w:fldChar w:fldCharType="begin"/>
      </w:r>
      <w:r>
        <w:rPr>
          <w:noProof/>
        </w:rPr>
        <w:instrText xml:space="preserve"> PAGEREF _Toc41909302 \h </w:instrText>
      </w:r>
      <w:r>
        <w:rPr>
          <w:noProof/>
        </w:rPr>
      </w:r>
      <w:r>
        <w:rPr>
          <w:noProof/>
        </w:rPr>
        <w:fldChar w:fldCharType="separate"/>
      </w:r>
      <w:r>
        <w:rPr>
          <w:noProof/>
        </w:rPr>
        <w:t>10</w:t>
      </w:r>
      <w:r>
        <w:rPr>
          <w:noProof/>
        </w:rPr>
        <w:fldChar w:fldCharType="end"/>
      </w:r>
    </w:p>
    <w:p w14:paraId="14474BCD" w14:textId="693FBBC7"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11: Serious adverse events by state, 2012-13 to 2016-17</w:t>
      </w:r>
      <w:r>
        <w:rPr>
          <w:noProof/>
        </w:rPr>
        <w:tab/>
      </w:r>
      <w:r>
        <w:rPr>
          <w:noProof/>
        </w:rPr>
        <w:fldChar w:fldCharType="begin"/>
      </w:r>
      <w:r>
        <w:rPr>
          <w:noProof/>
        </w:rPr>
        <w:instrText xml:space="preserve"> PAGEREF _Toc41909303 \h </w:instrText>
      </w:r>
      <w:r>
        <w:rPr>
          <w:noProof/>
        </w:rPr>
      </w:r>
      <w:r>
        <w:rPr>
          <w:noProof/>
        </w:rPr>
        <w:fldChar w:fldCharType="separate"/>
      </w:r>
      <w:r>
        <w:rPr>
          <w:noProof/>
        </w:rPr>
        <w:t>10</w:t>
      </w:r>
      <w:r>
        <w:rPr>
          <w:noProof/>
        </w:rPr>
        <w:fldChar w:fldCharType="end"/>
      </w:r>
    </w:p>
    <w:p w14:paraId="0E33ADE0" w14:textId="04703CA6"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12: Serious adverse events, 2012-13 to 2016-17</w:t>
      </w:r>
      <w:r>
        <w:rPr>
          <w:noProof/>
        </w:rPr>
        <w:tab/>
      </w:r>
      <w:r>
        <w:rPr>
          <w:noProof/>
        </w:rPr>
        <w:fldChar w:fldCharType="begin"/>
      </w:r>
      <w:r>
        <w:rPr>
          <w:noProof/>
        </w:rPr>
        <w:instrText xml:space="preserve"> PAGEREF _Toc41909304 \h </w:instrText>
      </w:r>
      <w:r>
        <w:rPr>
          <w:noProof/>
        </w:rPr>
      </w:r>
      <w:r>
        <w:rPr>
          <w:noProof/>
        </w:rPr>
        <w:fldChar w:fldCharType="separate"/>
      </w:r>
      <w:r>
        <w:rPr>
          <w:noProof/>
        </w:rPr>
        <w:t>11</w:t>
      </w:r>
      <w:r>
        <w:rPr>
          <w:noProof/>
        </w:rPr>
        <w:fldChar w:fldCharType="end"/>
      </w:r>
    </w:p>
    <w:p w14:paraId="6FA218E7" w14:textId="462FDC29"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13: Serious adverse events by product, 2012-13 to 2016-17</w:t>
      </w:r>
      <w:r>
        <w:rPr>
          <w:noProof/>
        </w:rPr>
        <w:tab/>
      </w:r>
      <w:r>
        <w:rPr>
          <w:noProof/>
        </w:rPr>
        <w:fldChar w:fldCharType="begin"/>
      </w:r>
      <w:r>
        <w:rPr>
          <w:noProof/>
        </w:rPr>
        <w:instrText xml:space="preserve"> PAGEREF _Toc41909305 \h </w:instrText>
      </w:r>
      <w:r>
        <w:rPr>
          <w:noProof/>
        </w:rPr>
      </w:r>
      <w:r>
        <w:rPr>
          <w:noProof/>
        </w:rPr>
        <w:fldChar w:fldCharType="separate"/>
      </w:r>
      <w:r>
        <w:rPr>
          <w:noProof/>
        </w:rPr>
        <w:t>11</w:t>
      </w:r>
      <w:r>
        <w:rPr>
          <w:noProof/>
        </w:rPr>
        <w:fldChar w:fldCharType="end"/>
      </w:r>
    </w:p>
    <w:p w14:paraId="38A24E67" w14:textId="490C21C6"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14: Serious adverse events by transfusion time, 2012-13 to 2016-17</w:t>
      </w:r>
      <w:r>
        <w:rPr>
          <w:noProof/>
        </w:rPr>
        <w:tab/>
      </w:r>
      <w:r>
        <w:rPr>
          <w:noProof/>
        </w:rPr>
        <w:fldChar w:fldCharType="begin"/>
      </w:r>
      <w:r>
        <w:rPr>
          <w:noProof/>
        </w:rPr>
        <w:instrText xml:space="preserve"> PAGEREF _Toc41909306 \h </w:instrText>
      </w:r>
      <w:r>
        <w:rPr>
          <w:noProof/>
        </w:rPr>
      </w:r>
      <w:r>
        <w:rPr>
          <w:noProof/>
        </w:rPr>
        <w:fldChar w:fldCharType="separate"/>
      </w:r>
      <w:r>
        <w:rPr>
          <w:noProof/>
        </w:rPr>
        <w:t>12</w:t>
      </w:r>
      <w:r>
        <w:rPr>
          <w:noProof/>
        </w:rPr>
        <w:fldChar w:fldCharType="end"/>
      </w:r>
    </w:p>
    <w:p w14:paraId="45A6A241" w14:textId="347F65FC"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15: Serious adverse events by week day/weekend, 2012-13 to 2016-17</w:t>
      </w:r>
      <w:r>
        <w:rPr>
          <w:noProof/>
        </w:rPr>
        <w:tab/>
      </w:r>
      <w:r>
        <w:rPr>
          <w:noProof/>
        </w:rPr>
        <w:fldChar w:fldCharType="begin"/>
      </w:r>
      <w:r>
        <w:rPr>
          <w:noProof/>
        </w:rPr>
        <w:instrText xml:space="preserve"> PAGEREF _Toc41909307 \h </w:instrText>
      </w:r>
      <w:r>
        <w:rPr>
          <w:noProof/>
        </w:rPr>
      </w:r>
      <w:r>
        <w:rPr>
          <w:noProof/>
        </w:rPr>
        <w:fldChar w:fldCharType="separate"/>
      </w:r>
      <w:r>
        <w:rPr>
          <w:noProof/>
        </w:rPr>
        <w:t>12</w:t>
      </w:r>
      <w:r>
        <w:rPr>
          <w:noProof/>
        </w:rPr>
        <w:fldChar w:fldCharType="end"/>
      </w:r>
    </w:p>
    <w:p w14:paraId="24AB737A" w14:textId="7895332B"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16: Serious adverse events by age group, 2012-13 to 2016-17</w:t>
      </w:r>
      <w:r>
        <w:rPr>
          <w:noProof/>
        </w:rPr>
        <w:tab/>
      </w:r>
      <w:r>
        <w:rPr>
          <w:noProof/>
        </w:rPr>
        <w:fldChar w:fldCharType="begin"/>
      </w:r>
      <w:r>
        <w:rPr>
          <w:noProof/>
        </w:rPr>
        <w:instrText xml:space="preserve"> PAGEREF _Toc41909308 \h </w:instrText>
      </w:r>
      <w:r>
        <w:rPr>
          <w:noProof/>
        </w:rPr>
      </w:r>
      <w:r>
        <w:rPr>
          <w:noProof/>
        </w:rPr>
        <w:fldChar w:fldCharType="separate"/>
      </w:r>
      <w:r>
        <w:rPr>
          <w:noProof/>
        </w:rPr>
        <w:t>12</w:t>
      </w:r>
      <w:r>
        <w:rPr>
          <w:noProof/>
        </w:rPr>
        <w:fldChar w:fldCharType="end"/>
      </w:r>
    </w:p>
    <w:p w14:paraId="6079DD52" w14:textId="1BF7DE41"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17: FNHTR data summary, 2016-17</w:t>
      </w:r>
      <w:r>
        <w:rPr>
          <w:noProof/>
        </w:rPr>
        <w:tab/>
      </w:r>
      <w:r>
        <w:rPr>
          <w:noProof/>
        </w:rPr>
        <w:fldChar w:fldCharType="begin"/>
      </w:r>
      <w:r>
        <w:rPr>
          <w:noProof/>
        </w:rPr>
        <w:instrText xml:space="preserve"> PAGEREF _Toc41909309 \h </w:instrText>
      </w:r>
      <w:r>
        <w:rPr>
          <w:noProof/>
        </w:rPr>
      </w:r>
      <w:r>
        <w:rPr>
          <w:noProof/>
        </w:rPr>
        <w:fldChar w:fldCharType="separate"/>
      </w:r>
      <w:r>
        <w:rPr>
          <w:noProof/>
        </w:rPr>
        <w:t>13</w:t>
      </w:r>
      <w:r>
        <w:rPr>
          <w:noProof/>
        </w:rPr>
        <w:fldChar w:fldCharType="end"/>
      </w:r>
    </w:p>
    <w:p w14:paraId="3E2C7000" w14:textId="1E7BDC20"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18: FNHTR clinical outcome severity by imputability, 2016-17</w:t>
      </w:r>
      <w:r>
        <w:rPr>
          <w:noProof/>
        </w:rPr>
        <w:tab/>
      </w:r>
      <w:r>
        <w:rPr>
          <w:noProof/>
        </w:rPr>
        <w:fldChar w:fldCharType="begin"/>
      </w:r>
      <w:r>
        <w:rPr>
          <w:noProof/>
        </w:rPr>
        <w:instrText xml:space="preserve"> PAGEREF _Toc41909310 \h </w:instrText>
      </w:r>
      <w:r>
        <w:rPr>
          <w:noProof/>
        </w:rPr>
      </w:r>
      <w:r>
        <w:rPr>
          <w:noProof/>
        </w:rPr>
        <w:fldChar w:fldCharType="separate"/>
      </w:r>
      <w:r>
        <w:rPr>
          <w:noProof/>
        </w:rPr>
        <w:t>13</w:t>
      </w:r>
      <w:r>
        <w:rPr>
          <w:noProof/>
        </w:rPr>
        <w:fldChar w:fldCharType="end"/>
      </w:r>
    </w:p>
    <w:p w14:paraId="49D18857" w14:textId="07F9B92F"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19: Allergic reaction data summary, 2016-17</w:t>
      </w:r>
      <w:r>
        <w:rPr>
          <w:noProof/>
        </w:rPr>
        <w:tab/>
      </w:r>
      <w:r>
        <w:rPr>
          <w:noProof/>
        </w:rPr>
        <w:fldChar w:fldCharType="begin"/>
      </w:r>
      <w:r>
        <w:rPr>
          <w:noProof/>
        </w:rPr>
        <w:instrText xml:space="preserve"> PAGEREF _Toc41909311 \h </w:instrText>
      </w:r>
      <w:r>
        <w:rPr>
          <w:noProof/>
        </w:rPr>
      </w:r>
      <w:r>
        <w:rPr>
          <w:noProof/>
        </w:rPr>
        <w:fldChar w:fldCharType="separate"/>
      </w:r>
      <w:r>
        <w:rPr>
          <w:noProof/>
        </w:rPr>
        <w:t>14</w:t>
      </w:r>
      <w:r>
        <w:rPr>
          <w:noProof/>
        </w:rPr>
        <w:fldChar w:fldCharType="end"/>
      </w:r>
    </w:p>
    <w:p w14:paraId="0668515E" w14:textId="0E6130FF"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20: Allergic reaction clinical outcome severity by imputability, 2016-17</w:t>
      </w:r>
      <w:r>
        <w:rPr>
          <w:noProof/>
        </w:rPr>
        <w:tab/>
      </w:r>
      <w:r>
        <w:rPr>
          <w:noProof/>
        </w:rPr>
        <w:fldChar w:fldCharType="begin"/>
      </w:r>
      <w:r>
        <w:rPr>
          <w:noProof/>
        </w:rPr>
        <w:instrText xml:space="preserve"> PAGEREF _Toc41909312 \h </w:instrText>
      </w:r>
      <w:r>
        <w:rPr>
          <w:noProof/>
        </w:rPr>
      </w:r>
      <w:r>
        <w:rPr>
          <w:noProof/>
        </w:rPr>
        <w:fldChar w:fldCharType="separate"/>
      </w:r>
      <w:r>
        <w:rPr>
          <w:noProof/>
        </w:rPr>
        <w:t>14</w:t>
      </w:r>
      <w:r>
        <w:rPr>
          <w:noProof/>
        </w:rPr>
        <w:fldChar w:fldCharType="end"/>
      </w:r>
    </w:p>
    <w:p w14:paraId="6B063BDE" w14:textId="1E0468A3"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21: TACO data summary, 2016-17</w:t>
      </w:r>
      <w:r>
        <w:rPr>
          <w:noProof/>
        </w:rPr>
        <w:tab/>
      </w:r>
      <w:r>
        <w:rPr>
          <w:noProof/>
        </w:rPr>
        <w:fldChar w:fldCharType="begin"/>
      </w:r>
      <w:r>
        <w:rPr>
          <w:noProof/>
        </w:rPr>
        <w:instrText xml:space="preserve"> PAGEREF _Toc41909313 \h </w:instrText>
      </w:r>
      <w:r>
        <w:rPr>
          <w:noProof/>
        </w:rPr>
      </w:r>
      <w:r>
        <w:rPr>
          <w:noProof/>
        </w:rPr>
        <w:fldChar w:fldCharType="separate"/>
      </w:r>
      <w:r>
        <w:rPr>
          <w:noProof/>
        </w:rPr>
        <w:t>15</w:t>
      </w:r>
      <w:r>
        <w:rPr>
          <w:noProof/>
        </w:rPr>
        <w:fldChar w:fldCharType="end"/>
      </w:r>
    </w:p>
    <w:p w14:paraId="6933A0BE" w14:textId="7BB981BA"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22: TACO clinical outcome severity by imputability, 2016-17</w:t>
      </w:r>
      <w:r>
        <w:rPr>
          <w:noProof/>
        </w:rPr>
        <w:tab/>
      </w:r>
      <w:r>
        <w:rPr>
          <w:noProof/>
        </w:rPr>
        <w:fldChar w:fldCharType="begin"/>
      </w:r>
      <w:r>
        <w:rPr>
          <w:noProof/>
        </w:rPr>
        <w:instrText xml:space="preserve"> PAGEREF _Toc41909314 \h </w:instrText>
      </w:r>
      <w:r>
        <w:rPr>
          <w:noProof/>
        </w:rPr>
      </w:r>
      <w:r>
        <w:rPr>
          <w:noProof/>
        </w:rPr>
        <w:fldChar w:fldCharType="separate"/>
      </w:r>
      <w:r>
        <w:rPr>
          <w:noProof/>
        </w:rPr>
        <w:t>15</w:t>
      </w:r>
      <w:r>
        <w:rPr>
          <w:noProof/>
        </w:rPr>
        <w:fldChar w:fldCharType="end"/>
      </w:r>
    </w:p>
    <w:p w14:paraId="7CAA84D8" w14:textId="1A0A2DAB"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23: IBCT data summary, 2016-17</w:t>
      </w:r>
      <w:r>
        <w:rPr>
          <w:noProof/>
        </w:rPr>
        <w:tab/>
      </w:r>
      <w:r>
        <w:rPr>
          <w:noProof/>
        </w:rPr>
        <w:fldChar w:fldCharType="begin"/>
      </w:r>
      <w:r>
        <w:rPr>
          <w:noProof/>
        </w:rPr>
        <w:instrText xml:space="preserve"> PAGEREF _Toc41909315 \h </w:instrText>
      </w:r>
      <w:r>
        <w:rPr>
          <w:noProof/>
        </w:rPr>
      </w:r>
      <w:r>
        <w:rPr>
          <w:noProof/>
        </w:rPr>
        <w:fldChar w:fldCharType="separate"/>
      </w:r>
      <w:r>
        <w:rPr>
          <w:noProof/>
        </w:rPr>
        <w:t>16</w:t>
      </w:r>
      <w:r>
        <w:rPr>
          <w:noProof/>
        </w:rPr>
        <w:fldChar w:fldCharType="end"/>
      </w:r>
    </w:p>
    <w:p w14:paraId="34B73AEB" w14:textId="78681199"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24: IBCT clinical outcome severity by imputability, 2016-17</w:t>
      </w:r>
      <w:r>
        <w:rPr>
          <w:noProof/>
        </w:rPr>
        <w:tab/>
      </w:r>
      <w:r>
        <w:rPr>
          <w:noProof/>
        </w:rPr>
        <w:fldChar w:fldCharType="begin"/>
      </w:r>
      <w:r>
        <w:rPr>
          <w:noProof/>
        </w:rPr>
        <w:instrText xml:space="preserve"> PAGEREF _Toc41909316 \h </w:instrText>
      </w:r>
      <w:r>
        <w:rPr>
          <w:noProof/>
        </w:rPr>
      </w:r>
      <w:r>
        <w:rPr>
          <w:noProof/>
        </w:rPr>
        <w:fldChar w:fldCharType="separate"/>
      </w:r>
      <w:r>
        <w:rPr>
          <w:noProof/>
        </w:rPr>
        <w:t>16</w:t>
      </w:r>
      <w:r>
        <w:rPr>
          <w:noProof/>
        </w:rPr>
        <w:fldChar w:fldCharType="end"/>
      </w:r>
    </w:p>
    <w:p w14:paraId="745C2B4D" w14:textId="6CB90E5B"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25: Contributory factors cited in IBCT, 2012-13 to 2016-17</w:t>
      </w:r>
      <w:r>
        <w:rPr>
          <w:noProof/>
        </w:rPr>
        <w:tab/>
      </w:r>
      <w:r>
        <w:rPr>
          <w:noProof/>
        </w:rPr>
        <w:fldChar w:fldCharType="begin"/>
      </w:r>
      <w:r>
        <w:rPr>
          <w:noProof/>
        </w:rPr>
        <w:instrText xml:space="preserve"> PAGEREF _Toc41909317 \h </w:instrText>
      </w:r>
      <w:r>
        <w:rPr>
          <w:noProof/>
        </w:rPr>
      </w:r>
      <w:r>
        <w:rPr>
          <w:noProof/>
        </w:rPr>
        <w:fldChar w:fldCharType="separate"/>
      </w:r>
      <w:r>
        <w:rPr>
          <w:noProof/>
        </w:rPr>
        <w:t>17</w:t>
      </w:r>
      <w:r>
        <w:rPr>
          <w:noProof/>
        </w:rPr>
        <w:fldChar w:fldCharType="end"/>
      </w:r>
    </w:p>
    <w:p w14:paraId="0EF61253" w14:textId="33429CEE"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26: Anaphylactic or anaphylactoid reaction data summary, 2016-17</w:t>
      </w:r>
      <w:r>
        <w:rPr>
          <w:noProof/>
        </w:rPr>
        <w:tab/>
      </w:r>
      <w:r>
        <w:rPr>
          <w:noProof/>
        </w:rPr>
        <w:fldChar w:fldCharType="begin"/>
      </w:r>
      <w:r>
        <w:rPr>
          <w:noProof/>
        </w:rPr>
        <w:instrText xml:space="preserve"> PAGEREF _Toc41909318 \h </w:instrText>
      </w:r>
      <w:r>
        <w:rPr>
          <w:noProof/>
        </w:rPr>
      </w:r>
      <w:r>
        <w:rPr>
          <w:noProof/>
        </w:rPr>
        <w:fldChar w:fldCharType="separate"/>
      </w:r>
      <w:r>
        <w:rPr>
          <w:noProof/>
        </w:rPr>
        <w:t>18</w:t>
      </w:r>
      <w:r>
        <w:rPr>
          <w:noProof/>
        </w:rPr>
        <w:fldChar w:fldCharType="end"/>
      </w:r>
    </w:p>
    <w:p w14:paraId="1129BC9E" w14:textId="64ECE744"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27: Anaphylactic or anaphylactoid reaction clinical outcome severity by imputability, 2016-17</w:t>
      </w:r>
      <w:r>
        <w:rPr>
          <w:noProof/>
        </w:rPr>
        <w:tab/>
      </w:r>
      <w:r>
        <w:rPr>
          <w:noProof/>
        </w:rPr>
        <w:fldChar w:fldCharType="begin"/>
      </w:r>
      <w:r>
        <w:rPr>
          <w:noProof/>
        </w:rPr>
        <w:instrText xml:space="preserve"> PAGEREF _Toc41909319 \h </w:instrText>
      </w:r>
      <w:r>
        <w:rPr>
          <w:noProof/>
        </w:rPr>
      </w:r>
      <w:r>
        <w:rPr>
          <w:noProof/>
        </w:rPr>
        <w:fldChar w:fldCharType="separate"/>
      </w:r>
      <w:r>
        <w:rPr>
          <w:noProof/>
        </w:rPr>
        <w:t>18</w:t>
      </w:r>
      <w:r>
        <w:rPr>
          <w:noProof/>
        </w:rPr>
        <w:fldChar w:fldCharType="end"/>
      </w:r>
    </w:p>
    <w:p w14:paraId="0935B14C" w14:textId="3D40B235"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28: DHTR data summary, 2016-17</w:t>
      </w:r>
      <w:r>
        <w:rPr>
          <w:noProof/>
        </w:rPr>
        <w:tab/>
      </w:r>
      <w:r>
        <w:rPr>
          <w:noProof/>
        </w:rPr>
        <w:fldChar w:fldCharType="begin"/>
      </w:r>
      <w:r>
        <w:rPr>
          <w:noProof/>
        </w:rPr>
        <w:instrText xml:space="preserve"> PAGEREF _Toc41909320 \h </w:instrText>
      </w:r>
      <w:r>
        <w:rPr>
          <w:noProof/>
        </w:rPr>
      </w:r>
      <w:r>
        <w:rPr>
          <w:noProof/>
        </w:rPr>
        <w:fldChar w:fldCharType="separate"/>
      </w:r>
      <w:r>
        <w:rPr>
          <w:noProof/>
        </w:rPr>
        <w:t>19</w:t>
      </w:r>
      <w:r>
        <w:rPr>
          <w:noProof/>
        </w:rPr>
        <w:fldChar w:fldCharType="end"/>
      </w:r>
    </w:p>
    <w:p w14:paraId="6BDF776A" w14:textId="74E8AC9F"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29: DHTR clinical outcome severity by imputability, 2016-17</w:t>
      </w:r>
      <w:r>
        <w:rPr>
          <w:noProof/>
        </w:rPr>
        <w:tab/>
      </w:r>
      <w:r>
        <w:rPr>
          <w:noProof/>
        </w:rPr>
        <w:fldChar w:fldCharType="begin"/>
      </w:r>
      <w:r>
        <w:rPr>
          <w:noProof/>
        </w:rPr>
        <w:instrText xml:space="preserve"> PAGEREF _Toc41909321 \h </w:instrText>
      </w:r>
      <w:r>
        <w:rPr>
          <w:noProof/>
        </w:rPr>
      </w:r>
      <w:r>
        <w:rPr>
          <w:noProof/>
        </w:rPr>
        <w:fldChar w:fldCharType="separate"/>
      </w:r>
      <w:r>
        <w:rPr>
          <w:noProof/>
        </w:rPr>
        <w:t>19</w:t>
      </w:r>
      <w:r>
        <w:rPr>
          <w:noProof/>
        </w:rPr>
        <w:fldChar w:fldCharType="end"/>
      </w:r>
    </w:p>
    <w:p w14:paraId="76F5104C" w14:textId="2D7B5A78"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30: AHTR data summary, 2016-17</w:t>
      </w:r>
      <w:r>
        <w:rPr>
          <w:noProof/>
        </w:rPr>
        <w:tab/>
      </w:r>
      <w:r>
        <w:rPr>
          <w:noProof/>
        </w:rPr>
        <w:fldChar w:fldCharType="begin"/>
      </w:r>
      <w:r>
        <w:rPr>
          <w:noProof/>
        </w:rPr>
        <w:instrText xml:space="preserve"> PAGEREF _Toc41909322 \h </w:instrText>
      </w:r>
      <w:r>
        <w:rPr>
          <w:noProof/>
        </w:rPr>
      </w:r>
      <w:r>
        <w:rPr>
          <w:noProof/>
        </w:rPr>
        <w:fldChar w:fldCharType="separate"/>
      </w:r>
      <w:r>
        <w:rPr>
          <w:noProof/>
        </w:rPr>
        <w:t>20</w:t>
      </w:r>
      <w:r>
        <w:rPr>
          <w:noProof/>
        </w:rPr>
        <w:fldChar w:fldCharType="end"/>
      </w:r>
    </w:p>
    <w:p w14:paraId="327F17F1" w14:textId="5F2F929B"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31: AHTR clinical outcome severity by imputability, 2016-17</w:t>
      </w:r>
      <w:r>
        <w:rPr>
          <w:noProof/>
        </w:rPr>
        <w:tab/>
      </w:r>
      <w:r>
        <w:rPr>
          <w:noProof/>
        </w:rPr>
        <w:fldChar w:fldCharType="begin"/>
      </w:r>
      <w:r>
        <w:rPr>
          <w:noProof/>
        </w:rPr>
        <w:instrText xml:space="preserve"> PAGEREF _Toc41909323 \h </w:instrText>
      </w:r>
      <w:r>
        <w:rPr>
          <w:noProof/>
        </w:rPr>
      </w:r>
      <w:r>
        <w:rPr>
          <w:noProof/>
        </w:rPr>
        <w:fldChar w:fldCharType="separate"/>
      </w:r>
      <w:r>
        <w:rPr>
          <w:noProof/>
        </w:rPr>
        <w:t>20</w:t>
      </w:r>
      <w:r>
        <w:rPr>
          <w:noProof/>
        </w:rPr>
        <w:fldChar w:fldCharType="end"/>
      </w:r>
    </w:p>
    <w:p w14:paraId="50C6346B" w14:textId="717F6289"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32: TTI data summary, 2016-17</w:t>
      </w:r>
      <w:r>
        <w:rPr>
          <w:noProof/>
        </w:rPr>
        <w:tab/>
      </w:r>
      <w:r>
        <w:rPr>
          <w:noProof/>
        </w:rPr>
        <w:fldChar w:fldCharType="begin"/>
      </w:r>
      <w:r>
        <w:rPr>
          <w:noProof/>
        </w:rPr>
        <w:instrText xml:space="preserve"> PAGEREF _Toc41909324 \h </w:instrText>
      </w:r>
      <w:r>
        <w:rPr>
          <w:noProof/>
        </w:rPr>
      </w:r>
      <w:r>
        <w:rPr>
          <w:noProof/>
        </w:rPr>
        <w:fldChar w:fldCharType="separate"/>
      </w:r>
      <w:r>
        <w:rPr>
          <w:noProof/>
        </w:rPr>
        <w:t>21</w:t>
      </w:r>
      <w:r>
        <w:rPr>
          <w:noProof/>
        </w:rPr>
        <w:fldChar w:fldCharType="end"/>
      </w:r>
    </w:p>
    <w:p w14:paraId="5ED5CBBB" w14:textId="62095C62"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33: TTI clinical outcome severity by imputability, 2016-17</w:t>
      </w:r>
      <w:r>
        <w:rPr>
          <w:noProof/>
        </w:rPr>
        <w:tab/>
      </w:r>
      <w:r>
        <w:rPr>
          <w:noProof/>
        </w:rPr>
        <w:fldChar w:fldCharType="begin"/>
      </w:r>
      <w:r>
        <w:rPr>
          <w:noProof/>
        </w:rPr>
        <w:instrText xml:space="preserve"> PAGEREF _Toc41909325 \h </w:instrText>
      </w:r>
      <w:r>
        <w:rPr>
          <w:noProof/>
        </w:rPr>
      </w:r>
      <w:r>
        <w:rPr>
          <w:noProof/>
        </w:rPr>
        <w:fldChar w:fldCharType="separate"/>
      </w:r>
      <w:r>
        <w:rPr>
          <w:noProof/>
        </w:rPr>
        <w:t>21</w:t>
      </w:r>
      <w:r>
        <w:rPr>
          <w:noProof/>
        </w:rPr>
        <w:fldChar w:fldCharType="end"/>
      </w:r>
    </w:p>
    <w:p w14:paraId="4AF59D20" w14:textId="7D7670A4"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34: TRALI data summary, 2016-17</w:t>
      </w:r>
      <w:r>
        <w:rPr>
          <w:noProof/>
        </w:rPr>
        <w:tab/>
      </w:r>
      <w:r>
        <w:rPr>
          <w:noProof/>
        </w:rPr>
        <w:fldChar w:fldCharType="begin"/>
      </w:r>
      <w:r>
        <w:rPr>
          <w:noProof/>
        </w:rPr>
        <w:instrText xml:space="preserve"> PAGEREF _Toc41909326 \h </w:instrText>
      </w:r>
      <w:r>
        <w:rPr>
          <w:noProof/>
        </w:rPr>
      </w:r>
      <w:r>
        <w:rPr>
          <w:noProof/>
        </w:rPr>
        <w:fldChar w:fldCharType="separate"/>
      </w:r>
      <w:r>
        <w:rPr>
          <w:noProof/>
        </w:rPr>
        <w:t>22</w:t>
      </w:r>
      <w:r>
        <w:rPr>
          <w:noProof/>
        </w:rPr>
        <w:fldChar w:fldCharType="end"/>
      </w:r>
    </w:p>
    <w:p w14:paraId="4B99A672" w14:textId="0E6CB4C4"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35: TRALI clinical outcome severity by imputability, 2016-17</w:t>
      </w:r>
      <w:r>
        <w:rPr>
          <w:noProof/>
        </w:rPr>
        <w:tab/>
      </w:r>
      <w:r>
        <w:rPr>
          <w:noProof/>
        </w:rPr>
        <w:fldChar w:fldCharType="begin"/>
      </w:r>
      <w:r>
        <w:rPr>
          <w:noProof/>
        </w:rPr>
        <w:instrText xml:space="preserve"> PAGEREF _Toc41909327 \h </w:instrText>
      </w:r>
      <w:r>
        <w:rPr>
          <w:noProof/>
        </w:rPr>
      </w:r>
      <w:r>
        <w:rPr>
          <w:noProof/>
        </w:rPr>
        <w:fldChar w:fldCharType="separate"/>
      </w:r>
      <w:r>
        <w:rPr>
          <w:noProof/>
        </w:rPr>
        <w:t>22</w:t>
      </w:r>
      <w:r>
        <w:rPr>
          <w:noProof/>
        </w:rPr>
        <w:fldChar w:fldCharType="end"/>
      </w:r>
    </w:p>
    <w:p w14:paraId="60934ABD" w14:textId="752A7504"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36: Contributory factors data summary, 2016-17</w:t>
      </w:r>
      <w:r>
        <w:rPr>
          <w:noProof/>
        </w:rPr>
        <w:tab/>
      </w:r>
      <w:r>
        <w:rPr>
          <w:noProof/>
        </w:rPr>
        <w:fldChar w:fldCharType="begin"/>
      </w:r>
      <w:r>
        <w:rPr>
          <w:noProof/>
        </w:rPr>
        <w:instrText xml:space="preserve"> PAGEREF _Toc41909328 \h </w:instrText>
      </w:r>
      <w:r>
        <w:rPr>
          <w:noProof/>
        </w:rPr>
      </w:r>
      <w:r>
        <w:rPr>
          <w:noProof/>
        </w:rPr>
        <w:fldChar w:fldCharType="separate"/>
      </w:r>
      <w:r>
        <w:rPr>
          <w:noProof/>
        </w:rPr>
        <w:t>23</w:t>
      </w:r>
      <w:r>
        <w:rPr>
          <w:noProof/>
        </w:rPr>
        <w:fldChar w:fldCharType="end"/>
      </w:r>
    </w:p>
    <w:p w14:paraId="0DA72103" w14:textId="5F753F31"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37: Contributory factors cited by adverse event and by clinical outcome severity, 2016-17</w:t>
      </w:r>
      <w:r>
        <w:rPr>
          <w:noProof/>
        </w:rPr>
        <w:tab/>
      </w:r>
      <w:r>
        <w:rPr>
          <w:noProof/>
        </w:rPr>
        <w:fldChar w:fldCharType="begin"/>
      </w:r>
      <w:r>
        <w:rPr>
          <w:noProof/>
        </w:rPr>
        <w:instrText xml:space="preserve"> PAGEREF _Toc41909329 \h </w:instrText>
      </w:r>
      <w:r>
        <w:rPr>
          <w:noProof/>
        </w:rPr>
      </w:r>
      <w:r>
        <w:rPr>
          <w:noProof/>
        </w:rPr>
        <w:fldChar w:fldCharType="separate"/>
      </w:r>
      <w:r>
        <w:rPr>
          <w:noProof/>
        </w:rPr>
        <w:t>23</w:t>
      </w:r>
      <w:r>
        <w:rPr>
          <w:noProof/>
        </w:rPr>
        <w:fldChar w:fldCharType="end"/>
      </w:r>
    </w:p>
    <w:p w14:paraId="5FAA163A" w14:textId="72BBBF80"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38: Total number of collections by donation type, 2012-13 to 2016-17</w:t>
      </w:r>
      <w:r>
        <w:rPr>
          <w:noProof/>
        </w:rPr>
        <w:tab/>
      </w:r>
      <w:r>
        <w:rPr>
          <w:noProof/>
        </w:rPr>
        <w:fldChar w:fldCharType="begin"/>
      </w:r>
      <w:r>
        <w:rPr>
          <w:noProof/>
        </w:rPr>
        <w:instrText xml:space="preserve"> PAGEREF _Toc41909330 \h </w:instrText>
      </w:r>
      <w:r>
        <w:rPr>
          <w:noProof/>
        </w:rPr>
      </w:r>
      <w:r>
        <w:rPr>
          <w:noProof/>
        </w:rPr>
        <w:fldChar w:fldCharType="separate"/>
      </w:r>
      <w:r>
        <w:rPr>
          <w:noProof/>
        </w:rPr>
        <w:t>25</w:t>
      </w:r>
      <w:r>
        <w:rPr>
          <w:noProof/>
        </w:rPr>
        <w:fldChar w:fldCharType="end"/>
      </w:r>
    </w:p>
    <w:p w14:paraId="1B239A5F" w14:textId="59F76351"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39: Donation-associated events by category and frequency, 2012-13 to 2016-17 (per 10,000 donations)</w:t>
      </w:r>
      <w:r>
        <w:rPr>
          <w:noProof/>
        </w:rPr>
        <w:tab/>
      </w:r>
      <w:r>
        <w:rPr>
          <w:noProof/>
        </w:rPr>
        <w:fldChar w:fldCharType="begin"/>
      </w:r>
      <w:r>
        <w:rPr>
          <w:noProof/>
        </w:rPr>
        <w:instrText xml:space="preserve"> PAGEREF _Toc41909331 \h </w:instrText>
      </w:r>
      <w:r>
        <w:rPr>
          <w:noProof/>
        </w:rPr>
      </w:r>
      <w:r>
        <w:rPr>
          <w:noProof/>
        </w:rPr>
        <w:fldChar w:fldCharType="separate"/>
      </w:r>
      <w:r>
        <w:rPr>
          <w:noProof/>
        </w:rPr>
        <w:t>27</w:t>
      </w:r>
      <w:r>
        <w:rPr>
          <w:noProof/>
        </w:rPr>
        <w:fldChar w:fldCharType="end"/>
      </w:r>
    </w:p>
    <w:p w14:paraId="3FE5E62F" w14:textId="3FC16E47"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40: Adverse event reaction rate by procedure, 2012-13 to 2016-17 (per 10,000 donations)</w:t>
      </w:r>
      <w:r>
        <w:rPr>
          <w:noProof/>
        </w:rPr>
        <w:tab/>
      </w:r>
      <w:r>
        <w:rPr>
          <w:noProof/>
        </w:rPr>
        <w:fldChar w:fldCharType="begin"/>
      </w:r>
      <w:r>
        <w:rPr>
          <w:noProof/>
        </w:rPr>
        <w:instrText xml:space="preserve"> PAGEREF _Toc41909332 \h </w:instrText>
      </w:r>
      <w:r>
        <w:rPr>
          <w:noProof/>
        </w:rPr>
      </w:r>
      <w:r>
        <w:rPr>
          <w:noProof/>
        </w:rPr>
        <w:fldChar w:fldCharType="separate"/>
      </w:r>
      <w:r>
        <w:rPr>
          <w:noProof/>
        </w:rPr>
        <w:t>28</w:t>
      </w:r>
      <w:r>
        <w:rPr>
          <w:noProof/>
        </w:rPr>
        <w:fldChar w:fldCharType="end"/>
      </w:r>
    </w:p>
    <w:p w14:paraId="71BC7156" w14:textId="1300EC98"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41: Donation associated events by reaction type and injury, 2016-17</w:t>
      </w:r>
      <w:r>
        <w:rPr>
          <w:noProof/>
        </w:rPr>
        <w:tab/>
      </w:r>
      <w:r>
        <w:rPr>
          <w:noProof/>
        </w:rPr>
        <w:fldChar w:fldCharType="begin"/>
      </w:r>
      <w:r>
        <w:rPr>
          <w:noProof/>
        </w:rPr>
        <w:instrText xml:space="preserve"> PAGEREF _Toc41909333 \h </w:instrText>
      </w:r>
      <w:r>
        <w:rPr>
          <w:noProof/>
        </w:rPr>
      </w:r>
      <w:r>
        <w:rPr>
          <w:noProof/>
        </w:rPr>
        <w:fldChar w:fldCharType="separate"/>
      </w:r>
      <w:r>
        <w:rPr>
          <w:noProof/>
        </w:rPr>
        <w:t>29</w:t>
      </w:r>
      <w:r>
        <w:rPr>
          <w:noProof/>
        </w:rPr>
        <w:fldChar w:fldCharType="end"/>
      </w:r>
    </w:p>
    <w:p w14:paraId="6554EF65" w14:textId="5ECB6C1E"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42: Summary of external medical referrals, 2016-17</w:t>
      </w:r>
      <w:r>
        <w:rPr>
          <w:noProof/>
        </w:rPr>
        <w:tab/>
      </w:r>
      <w:r>
        <w:rPr>
          <w:noProof/>
        </w:rPr>
        <w:fldChar w:fldCharType="begin"/>
      </w:r>
      <w:r>
        <w:rPr>
          <w:noProof/>
        </w:rPr>
        <w:instrText xml:space="preserve"> PAGEREF _Toc41909334 \h </w:instrText>
      </w:r>
      <w:r>
        <w:rPr>
          <w:noProof/>
        </w:rPr>
      </w:r>
      <w:r>
        <w:rPr>
          <w:noProof/>
        </w:rPr>
        <w:fldChar w:fldCharType="separate"/>
      </w:r>
      <w:r>
        <w:rPr>
          <w:noProof/>
        </w:rPr>
        <w:t>30</w:t>
      </w:r>
      <w:r>
        <w:rPr>
          <w:noProof/>
        </w:rPr>
        <w:fldChar w:fldCharType="end"/>
      </w:r>
    </w:p>
    <w:p w14:paraId="0670D8FA" w14:textId="5A5252A4"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lastRenderedPageBreak/>
        <w:t>Table 43: The rate per 10,000 donations and total numbers of adverse donor reactions (in bracket) requiring hospital attendance, 2012-13 to 2016-17</w:t>
      </w:r>
      <w:r>
        <w:rPr>
          <w:noProof/>
        </w:rPr>
        <w:tab/>
      </w:r>
      <w:r>
        <w:rPr>
          <w:noProof/>
        </w:rPr>
        <w:fldChar w:fldCharType="begin"/>
      </w:r>
      <w:r>
        <w:rPr>
          <w:noProof/>
        </w:rPr>
        <w:instrText xml:space="preserve"> PAGEREF _Toc41909335 \h </w:instrText>
      </w:r>
      <w:r>
        <w:rPr>
          <w:noProof/>
        </w:rPr>
      </w:r>
      <w:r>
        <w:rPr>
          <w:noProof/>
        </w:rPr>
        <w:fldChar w:fldCharType="separate"/>
      </w:r>
      <w:r>
        <w:rPr>
          <w:noProof/>
        </w:rPr>
        <w:t>31</w:t>
      </w:r>
      <w:r>
        <w:rPr>
          <w:noProof/>
        </w:rPr>
        <w:fldChar w:fldCharType="end"/>
      </w:r>
    </w:p>
    <w:p w14:paraId="324095C9" w14:textId="4CAEFFB8"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44: Adverse donation reactions in female donors by age, including odds ratio, 2016-17</w:t>
      </w:r>
      <w:r>
        <w:rPr>
          <w:noProof/>
        </w:rPr>
        <w:tab/>
      </w:r>
      <w:r>
        <w:rPr>
          <w:noProof/>
        </w:rPr>
        <w:fldChar w:fldCharType="begin"/>
      </w:r>
      <w:r>
        <w:rPr>
          <w:noProof/>
        </w:rPr>
        <w:instrText xml:space="preserve"> PAGEREF _Toc41909336 \h </w:instrText>
      </w:r>
      <w:r>
        <w:rPr>
          <w:noProof/>
        </w:rPr>
      </w:r>
      <w:r>
        <w:rPr>
          <w:noProof/>
        </w:rPr>
        <w:fldChar w:fldCharType="separate"/>
      </w:r>
      <w:r>
        <w:rPr>
          <w:noProof/>
        </w:rPr>
        <w:t>32</w:t>
      </w:r>
      <w:r>
        <w:rPr>
          <w:noProof/>
        </w:rPr>
        <w:fldChar w:fldCharType="end"/>
      </w:r>
    </w:p>
    <w:p w14:paraId="72BF04E0" w14:textId="3A77DF60" w:rsidR="00D17170" w:rsidRDefault="00D17170">
      <w:pPr>
        <w:pStyle w:val="TableofFigures"/>
        <w:tabs>
          <w:tab w:val="right" w:leader="dot" w:pos="9323"/>
        </w:tabs>
        <w:rPr>
          <w:rFonts w:asciiTheme="minorHAnsi" w:eastAsiaTheme="minorEastAsia" w:hAnsiTheme="minorHAnsi" w:cstheme="minorBidi"/>
          <w:noProof/>
          <w:lang w:eastAsia="en-AU"/>
        </w:rPr>
      </w:pPr>
      <w:r w:rsidRPr="00FD2EB0">
        <w:rPr>
          <w:noProof/>
        </w:rPr>
        <w:t>Table 45: Adverse donation reactions in male donors by age, including odds ratio, 2016-17</w:t>
      </w:r>
      <w:r>
        <w:rPr>
          <w:noProof/>
        </w:rPr>
        <w:tab/>
      </w:r>
      <w:r>
        <w:rPr>
          <w:noProof/>
        </w:rPr>
        <w:fldChar w:fldCharType="begin"/>
      </w:r>
      <w:r>
        <w:rPr>
          <w:noProof/>
        </w:rPr>
        <w:instrText xml:space="preserve"> PAGEREF _Toc41909337 \h </w:instrText>
      </w:r>
      <w:r>
        <w:rPr>
          <w:noProof/>
        </w:rPr>
      </w:r>
      <w:r>
        <w:rPr>
          <w:noProof/>
        </w:rPr>
        <w:fldChar w:fldCharType="separate"/>
      </w:r>
      <w:r>
        <w:rPr>
          <w:noProof/>
        </w:rPr>
        <w:t>33</w:t>
      </w:r>
      <w:r>
        <w:rPr>
          <w:noProof/>
        </w:rPr>
        <w:fldChar w:fldCharType="end"/>
      </w:r>
    </w:p>
    <w:p w14:paraId="5CADA6E6" w14:textId="67D5072D" w:rsidR="00A569F5" w:rsidRDefault="00A569F5" w:rsidP="00531CB2">
      <w:r>
        <w:fldChar w:fldCharType="end"/>
      </w:r>
    </w:p>
    <w:p w14:paraId="6F8CB4DA" w14:textId="31260F95" w:rsidR="00D17170" w:rsidRDefault="00A569F5">
      <w:pPr>
        <w:pStyle w:val="TableofFigures"/>
        <w:tabs>
          <w:tab w:val="right" w:leader="dot" w:pos="9323"/>
        </w:tabs>
        <w:rPr>
          <w:rFonts w:asciiTheme="minorHAnsi" w:eastAsiaTheme="minorEastAsia" w:hAnsiTheme="minorHAnsi" w:cstheme="minorBidi"/>
          <w:noProof/>
          <w:lang w:eastAsia="en-AU"/>
        </w:rPr>
      </w:pPr>
      <w:r>
        <w:fldChar w:fldCharType="begin"/>
      </w:r>
      <w:r>
        <w:instrText xml:space="preserve"> TOC \c "Figure" </w:instrText>
      </w:r>
      <w:r>
        <w:fldChar w:fldCharType="separate"/>
      </w:r>
      <w:r w:rsidR="00D17170" w:rsidRPr="002224B2">
        <w:rPr>
          <w:noProof/>
        </w:rPr>
        <w:t>Figure 1: Total donation-associated events, 2012–13 to 2016–17</w:t>
      </w:r>
      <w:r w:rsidR="00D17170">
        <w:rPr>
          <w:noProof/>
        </w:rPr>
        <w:tab/>
      </w:r>
      <w:r w:rsidR="00D17170">
        <w:rPr>
          <w:noProof/>
        </w:rPr>
        <w:fldChar w:fldCharType="begin"/>
      </w:r>
      <w:r w:rsidR="00D17170">
        <w:rPr>
          <w:noProof/>
        </w:rPr>
        <w:instrText xml:space="preserve"> PAGEREF _Toc41909338 \h </w:instrText>
      </w:r>
      <w:r w:rsidR="00D17170">
        <w:rPr>
          <w:noProof/>
        </w:rPr>
      </w:r>
      <w:r w:rsidR="00D17170">
        <w:rPr>
          <w:noProof/>
        </w:rPr>
        <w:fldChar w:fldCharType="separate"/>
      </w:r>
      <w:r w:rsidR="00D17170">
        <w:rPr>
          <w:noProof/>
        </w:rPr>
        <w:t>26</w:t>
      </w:r>
      <w:r w:rsidR="00D17170">
        <w:rPr>
          <w:noProof/>
        </w:rPr>
        <w:fldChar w:fldCharType="end"/>
      </w:r>
    </w:p>
    <w:p w14:paraId="31865158" w14:textId="4021E64B" w:rsidR="00531CB2" w:rsidRPr="00394948" w:rsidRDefault="00A569F5" w:rsidP="00531CB2">
      <w:r>
        <w:fldChar w:fldCharType="end"/>
      </w:r>
    </w:p>
    <w:p w14:paraId="724D853E" w14:textId="60B119FC" w:rsidR="007E5D50" w:rsidRDefault="00D748EF" w:rsidP="007E5D50">
      <w:pPr>
        <w:spacing w:line="276" w:lineRule="auto"/>
        <w:rPr>
          <w:rStyle w:val="Heading3Char"/>
        </w:rPr>
      </w:pPr>
      <w:r>
        <w:rPr>
          <w:rStyle w:val="Heading3Char"/>
        </w:rPr>
        <w:br w:type="page"/>
      </w:r>
    </w:p>
    <w:p w14:paraId="5F836D7C" w14:textId="53C6AB69" w:rsidR="007E5D50" w:rsidRPr="00587F4A" w:rsidRDefault="007E5D50" w:rsidP="007E5D50">
      <w:pPr>
        <w:pStyle w:val="Heading1"/>
        <w:rPr>
          <w:color w:val="auto"/>
        </w:rPr>
      </w:pPr>
      <w:bookmarkStart w:id="2" w:name="_Toc39127449"/>
      <w:bookmarkStart w:id="3" w:name="_Toc40179302"/>
      <w:bookmarkStart w:id="4" w:name="_Toc40179321"/>
      <w:bookmarkStart w:id="5" w:name="_Toc41909276"/>
      <w:r w:rsidRPr="00394948">
        <w:rPr>
          <w:noProof/>
          <w:lang w:eastAsia="en-AU"/>
        </w:rPr>
        <w:lastRenderedPageBreak/>
        <w:drawing>
          <wp:anchor distT="0" distB="0" distL="114300" distR="114300" simplePos="0" relativeHeight="251732992" behindDoc="1" locked="0" layoutInCell="1" allowOverlap="1" wp14:anchorId="7D8664DF" wp14:editId="0DE83D93">
            <wp:simplePos x="0" y="0"/>
            <wp:positionH relativeFrom="page">
              <wp:posOffset>-81887</wp:posOffset>
            </wp:positionH>
            <wp:positionV relativeFrom="page">
              <wp:posOffset>-191069</wp:posOffset>
            </wp:positionV>
            <wp:extent cx="7667983" cy="11027391"/>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nor Haem Report 16-17_v24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67983" cy="11027391"/>
                    </a:xfrm>
                    <a:prstGeom prst="rect">
                      <a:avLst/>
                    </a:prstGeom>
                  </pic:spPr>
                </pic:pic>
              </a:graphicData>
            </a:graphic>
            <wp14:sizeRelH relativeFrom="margin">
              <wp14:pctWidth>0</wp14:pctWidth>
            </wp14:sizeRelH>
            <wp14:sizeRelV relativeFrom="margin">
              <wp14:pctHeight>0</wp14:pctHeight>
            </wp14:sizeRelV>
          </wp:anchor>
        </w:drawing>
      </w:r>
      <w:r>
        <w:t>SECTION 1</w:t>
      </w:r>
      <w:bookmarkEnd w:id="2"/>
      <w:bookmarkEnd w:id="3"/>
      <w:bookmarkEnd w:id="4"/>
      <w:bookmarkEnd w:id="5"/>
    </w:p>
    <w:p w14:paraId="78AE6019" w14:textId="5DC48683" w:rsidR="007E5D50" w:rsidRPr="00587F4A" w:rsidRDefault="007E5D50" w:rsidP="007E5D50">
      <w:pPr>
        <w:pStyle w:val="Heading3"/>
        <w:rPr>
          <w:color w:val="auto"/>
        </w:rPr>
      </w:pPr>
      <w:bookmarkStart w:id="6" w:name="_Toc39127451"/>
      <w:bookmarkStart w:id="7" w:name="_Toc40179304"/>
      <w:bookmarkStart w:id="8" w:name="_Toc40179323"/>
    </w:p>
    <w:p w14:paraId="5111D141" w14:textId="77777777" w:rsidR="007E5D50" w:rsidRDefault="007E5D50" w:rsidP="007E5D50">
      <w:pPr>
        <w:rPr>
          <w:rFonts w:asciiTheme="minorHAnsi" w:hAnsiTheme="minorHAnsi" w:cstheme="minorHAnsi"/>
          <w:b/>
          <w:color w:val="FFFFFF" w:themeColor="background1"/>
          <w:sz w:val="36"/>
          <w:szCs w:val="36"/>
        </w:rPr>
      </w:pPr>
    </w:p>
    <w:p w14:paraId="54A9A43B" w14:textId="4716CF0C" w:rsidR="007E5D50" w:rsidRPr="007E5D50" w:rsidRDefault="007E5D50" w:rsidP="00565DB0">
      <w:pPr>
        <w:spacing w:before="360"/>
        <w:rPr>
          <w:rFonts w:asciiTheme="minorHAnsi" w:hAnsiTheme="minorHAnsi" w:cstheme="minorHAnsi"/>
          <w:b/>
          <w:color w:val="FFFFFF" w:themeColor="background1"/>
          <w:sz w:val="36"/>
          <w:szCs w:val="36"/>
        </w:rPr>
      </w:pPr>
      <w:r w:rsidRPr="007E5D50">
        <w:rPr>
          <w:rFonts w:asciiTheme="minorHAnsi" w:hAnsiTheme="minorHAnsi" w:cstheme="minorHAnsi"/>
          <w:b/>
          <w:color w:val="FFFFFF" w:themeColor="background1"/>
          <w:sz w:val="36"/>
          <w:szCs w:val="36"/>
        </w:rPr>
        <w:t>July 2016 – June 2017</w:t>
      </w:r>
    </w:p>
    <w:p w14:paraId="3EF69814" w14:textId="77777777" w:rsidR="007E5D50" w:rsidRPr="007E5D50" w:rsidRDefault="007E5D50" w:rsidP="007E5D50"/>
    <w:p w14:paraId="7FCA71E9" w14:textId="77777777" w:rsidR="007E5D50" w:rsidRPr="00587F4A" w:rsidRDefault="007E5D50" w:rsidP="007E5D50">
      <w:pPr>
        <w:pStyle w:val="Heading1"/>
        <w:rPr>
          <w:color w:val="auto"/>
        </w:rPr>
      </w:pPr>
      <w:bookmarkStart w:id="9" w:name="_Toc39127450"/>
      <w:bookmarkStart w:id="10" w:name="_Toc40179303"/>
      <w:bookmarkStart w:id="11" w:name="_Toc40179322"/>
      <w:bookmarkStart w:id="12" w:name="_Toc41909277"/>
      <w:r w:rsidRPr="00587F4A">
        <w:rPr>
          <w:color w:val="auto"/>
        </w:rPr>
        <w:t>AUSTRALIAN HAEMOVIGILANCE</w:t>
      </w:r>
      <w:r>
        <w:rPr>
          <w:color w:val="auto"/>
        </w:rPr>
        <w:t xml:space="preserve"> </w:t>
      </w:r>
      <w:r w:rsidRPr="00587F4A">
        <w:rPr>
          <w:color w:val="auto"/>
        </w:rPr>
        <w:t>DATA</w:t>
      </w:r>
      <w:bookmarkEnd w:id="9"/>
      <w:bookmarkEnd w:id="10"/>
      <w:bookmarkEnd w:id="11"/>
      <w:bookmarkEnd w:id="12"/>
    </w:p>
    <w:p w14:paraId="0B0E3CBC" w14:textId="7B1E4968" w:rsidR="007E5D50" w:rsidRPr="00651D43" w:rsidRDefault="007E5D50" w:rsidP="007E5D50">
      <w:pPr>
        <w:pStyle w:val="Heading3"/>
      </w:pPr>
      <w:bookmarkStart w:id="13" w:name="_Toc41909278"/>
      <w:r w:rsidRPr="00651D43">
        <w:t>Acknowledgements</w:t>
      </w:r>
      <w:bookmarkEnd w:id="6"/>
      <w:bookmarkEnd w:id="7"/>
      <w:bookmarkEnd w:id="8"/>
      <w:bookmarkEnd w:id="13"/>
    </w:p>
    <w:p w14:paraId="3C3CAED8" w14:textId="77777777" w:rsidR="007E5D50" w:rsidRDefault="007E5D50" w:rsidP="007E5D50">
      <w:r>
        <w:t>This report is published on behalf of the states and territories who voluntarily provided data to the national system. The National Blood Authority (NBA) thank them for their contributions and ongoing commitment to haemovigilance.</w:t>
      </w:r>
    </w:p>
    <w:p w14:paraId="7F0C774C" w14:textId="77777777" w:rsidR="007E5D50" w:rsidRDefault="007E5D50" w:rsidP="007E5D50">
      <w:r>
        <w:t>Appreciation is also extended to the members of the Haemovigilance Advisory Committee (HAC) for their advice on improvements in adverse event reporting and analysis of the data for this report.</w:t>
      </w:r>
    </w:p>
    <w:p w14:paraId="1C498EDB" w14:textId="77777777" w:rsidR="007E5D50" w:rsidRPr="00651D43" w:rsidRDefault="007E5D50" w:rsidP="007E5D50">
      <w:pPr>
        <w:pStyle w:val="Heading3"/>
      </w:pPr>
      <w:bookmarkStart w:id="14" w:name="_Toc39127452"/>
      <w:bookmarkStart w:id="15" w:name="_Toc40179305"/>
      <w:bookmarkStart w:id="16" w:name="_Toc40179324"/>
      <w:bookmarkStart w:id="17" w:name="_Toc41909279"/>
      <w:r w:rsidRPr="00651D43">
        <w:t>Caveat</w:t>
      </w:r>
      <w:bookmarkEnd w:id="14"/>
      <w:bookmarkEnd w:id="15"/>
      <w:bookmarkEnd w:id="16"/>
      <w:bookmarkEnd w:id="17"/>
    </w:p>
    <w:p w14:paraId="4CFA1EEE" w14:textId="77777777" w:rsidR="007E5D50" w:rsidRDefault="007E5D50" w:rsidP="007E5D50">
      <w:r>
        <w:t>Reporting of haemovigilance data to the national haemovigilance program is voluntary and data validation is not performed in all instances in Australia.</w:t>
      </w:r>
    </w:p>
    <w:p w14:paraId="32817338" w14:textId="77777777" w:rsidR="007E5D50" w:rsidRDefault="007E5D50" w:rsidP="007E5D50">
      <w:r>
        <w:t>When using the data from this report it is important to note that it has quality issues in relation to data completeness, standardisation and relevance.</w:t>
      </w:r>
    </w:p>
    <w:p w14:paraId="2B2DEE42" w14:textId="77777777" w:rsidR="007E5D50" w:rsidRDefault="007E5D50" w:rsidP="007E5D50">
      <w:r>
        <w:t>Notwithstanding these limitations, the NBA is publishing this data as an aid to relevant analysis and to maintain the time series of data published during the last ten years.</w:t>
      </w:r>
    </w:p>
    <w:p w14:paraId="1C1A1553" w14:textId="77777777" w:rsidR="007E5D50" w:rsidRDefault="007E5D50" w:rsidP="007E5D50">
      <w:pPr>
        <w:pStyle w:val="ListParagraph"/>
        <w:numPr>
          <w:ilvl w:val="0"/>
          <w:numId w:val="20"/>
        </w:numPr>
      </w:pPr>
      <w:r>
        <w:t>Data in this report are in accordance with the National Blood Authority National Haemovigilance Data Dictionary (NHDD) 2010</w:t>
      </w:r>
    </w:p>
    <w:p w14:paraId="2FB0BF3C" w14:textId="77777777" w:rsidR="007E5D50" w:rsidRDefault="007E5D50" w:rsidP="007E5D50">
      <w:pPr>
        <w:pStyle w:val="ListParagraph"/>
        <w:numPr>
          <w:ilvl w:val="0"/>
          <w:numId w:val="20"/>
        </w:numPr>
      </w:pPr>
      <w:r>
        <w:t>Data contributions vary across years and between states/territories.</w:t>
      </w:r>
    </w:p>
    <w:p w14:paraId="2AA52F79" w14:textId="77777777" w:rsidR="007E5D50" w:rsidRDefault="007E5D50" w:rsidP="007E5D50">
      <w:pPr>
        <w:pStyle w:val="ListParagraph"/>
        <w:numPr>
          <w:ilvl w:val="0"/>
          <w:numId w:val="20"/>
        </w:numPr>
      </w:pPr>
      <w:r>
        <w:t>Near misses and denominator data (number of transfusions) are not collected and reported at national level.</w:t>
      </w:r>
    </w:p>
    <w:p w14:paraId="1E1B0429" w14:textId="77777777" w:rsidR="007E5D50" w:rsidRDefault="007E5D50" w:rsidP="007E5D50">
      <w:pPr>
        <w:pStyle w:val="ListParagraph"/>
        <w:numPr>
          <w:ilvl w:val="0"/>
          <w:numId w:val="20"/>
        </w:numPr>
      </w:pPr>
      <w:r>
        <w:t>All the adverse events in this report are reported cases rather than confirmed cases.</w:t>
      </w:r>
    </w:p>
    <w:p w14:paraId="0D7B4C26" w14:textId="77777777" w:rsidR="007E5D50" w:rsidRDefault="007E5D50" w:rsidP="007E5D50">
      <w:pPr>
        <w:pStyle w:val="ListParagraph"/>
        <w:numPr>
          <w:ilvl w:val="0"/>
          <w:numId w:val="20"/>
        </w:numPr>
      </w:pPr>
      <w:r>
        <w:t>The definitions for the adverse events in the 2010 NHDD, Appendix I align with those used by the International Haemovigilance Network (IHN) and International Society Blood Transfusion (ISBT). However, it is not expected that they are applied rigorously.</w:t>
      </w:r>
    </w:p>
    <w:p w14:paraId="4E250A92" w14:textId="77777777" w:rsidR="007E5D50" w:rsidRPr="00587F4A" w:rsidRDefault="007E5D50" w:rsidP="007E5D50">
      <w:pPr>
        <w:pStyle w:val="ListParagraph"/>
        <w:numPr>
          <w:ilvl w:val="0"/>
          <w:numId w:val="20"/>
        </w:numPr>
      </w:pPr>
      <w:r>
        <w:t>The national data set accepts the categorisation assigned by the contributing jurisdiction and the reviewing clinicians, regardless of minor differences to definitions.</w:t>
      </w:r>
    </w:p>
    <w:p w14:paraId="302196A9" w14:textId="77777777" w:rsidR="007E5D50" w:rsidRPr="007E5D50" w:rsidRDefault="007E5D50" w:rsidP="007E5D50">
      <w:pPr>
        <w:rPr>
          <w:rStyle w:val="Heading3Char"/>
          <w:rFonts w:asciiTheme="minorHAnsi" w:hAnsiTheme="minorHAnsi"/>
          <w:color w:val="auto"/>
          <w:sz w:val="22"/>
          <w:szCs w:val="22"/>
        </w:rPr>
      </w:pPr>
    </w:p>
    <w:p w14:paraId="21397461" w14:textId="77DA3CDD" w:rsidR="00B34DE4" w:rsidRPr="00394948" w:rsidRDefault="00D748EF" w:rsidP="007E5D50">
      <w:pPr>
        <w:spacing w:line="276" w:lineRule="auto"/>
      </w:pPr>
      <w:r>
        <w:rPr>
          <w:rStyle w:val="Heading3Char"/>
        </w:rPr>
        <w:br w:type="page"/>
      </w:r>
      <w:bookmarkStart w:id="18" w:name="_Toc41909280"/>
      <w:r w:rsidR="00302726" w:rsidRPr="00394948">
        <w:rPr>
          <w:rStyle w:val="Heading3Char"/>
        </w:rPr>
        <w:lastRenderedPageBreak/>
        <w:t xml:space="preserve">Collection and reporting </w:t>
      </w:r>
      <w:r w:rsidR="00AA3776" w:rsidRPr="00394948">
        <w:rPr>
          <w:rStyle w:val="Heading3Char"/>
        </w:rPr>
        <w:t>proces</w:t>
      </w:r>
      <w:r w:rsidR="00302726" w:rsidRPr="00394948">
        <w:rPr>
          <w:rStyle w:val="Heading3Char"/>
        </w:rPr>
        <w:t>s</w:t>
      </w:r>
      <w:bookmarkEnd w:id="18"/>
    </w:p>
    <w:p w14:paraId="34326CEE" w14:textId="77777777" w:rsidR="00302726" w:rsidRPr="00394948" w:rsidRDefault="00302726" w:rsidP="00302726">
      <w:pPr>
        <w:pStyle w:val="ListParagraph"/>
        <w:numPr>
          <w:ilvl w:val="0"/>
          <w:numId w:val="21"/>
        </w:numPr>
      </w:pPr>
      <w:r w:rsidRPr="00394948">
        <w:t xml:space="preserve">Data is provided to the national haemovigilance program according to each jurisdiction’s review and reporting requirements. </w:t>
      </w:r>
    </w:p>
    <w:p w14:paraId="0D89A913" w14:textId="77777777" w:rsidR="00302726" w:rsidRPr="00394948" w:rsidRDefault="00302726" w:rsidP="00302726">
      <w:pPr>
        <w:pStyle w:val="ListParagraph"/>
        <w:numPr>
          <w:ilvl w:val="0"/>
          <w:numId w:val="21"/>
        </w:numPr>
      </w:pPr>
      <w:r w:rsidRPr="00394948">
        <w:t xml:space="preserve">Data is reconciled by the Blood Service. </w:t>
      </w:r>
    </w:p>
    <w:p w14:paraId="752803BC" w14:textId="77777777" w:rsidR="00302726" w:rsidRPr="00394948" w:rsidRDefault="00302726" w:rsidP="00302726">
      <w:pPr>
        <w:pStyle w:val="ListParagraph"/>
        <w:numPr>
          <w:ilvl w:val="0"/>
          <w:numId w:val="21"/>
        </w:numPr>
      </w:pPr>
      <w:r w:rsidRPr="00394948">
        <w:t>State and territory health departments aggregate and de-identify data and report to the NBA.</w:t>
      </w:r>
    </w:p>
    <w:p w14:paraId="55280652" w14:textId="77777777" w:rsidR="00302726" w:rsidRPr="00394948" w:rsidRDefault="002C382E" w:rsidP="002C382E">
      <w:pPr>
        <w:jc w:val="center"/>
      </w:pPr>
      <w:r w:rsidRPr="00394948">
        <w:rPr>
          <w:noProof/>
          <w:lang w:eastAsia="en-AU"/>
        </w:rPr>
        <w:drawing>
          <wp:inline distT="0" distB="0" distL="0" distR="0" wp14:anchorId="54022158" wp14:editId="70C60CB9">
            <wp:extent cx="4695825" cy="6629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5825" cy="6629400"/>
                    </a:xfrm>
                    <a:prstGeom prst="rect">
                      <a:avLst/>
                    </a:prstGeom>
                  </pic:spPr>
                </pic:pic>
              </a:graphicData>
            </a:graphic>
          </wp:inline>
        </w:drawing>
      </w:r>
    </w:p>
    <w:p w14:paraId="09DA97EA" w14:textId="77777777" w:rsidR="00C868B7" w:rsidRDefault="00C868B7">
      <w:pPr>
        <w:spacing w:line="276" w:lineRule="auto"/>
        <w:rPr>
          <w:rFonts w:ascii="Arial" w:hAnsi="Arial" w:cs="Arial"/>
          <w:color w:val="C60C30"/>
          <w:sz w:val="28"/>
          <w:szCs w:val="28"/>
        </w:rPr>
      </w:pPr>
      <w:r>
        <w:br w:type="page"/>
      </w:r>
    </w:p>
    <w:p w14:paraId="12F9F6A4" w14:textId="6DB2948D" w:rsidR="006B6C0A" w:rsidRDefault="00A426F5" w:rsidP="00A426F5">
      <w:pPr>
        <w:pStyle w:val="Heading3"/>
      </w:pPr>
      <w:bookmarkStart w:id="19" w:name="_Toc41909281"/>
      <w:r w:rsidRPr="00394948">
        <w:lastRenderedPageBreak/>
        <w:t>Summary of findings for 2016-17</w:t>
      </w:r>
      <w:bookmarkEnd w:id="19"/>
    </w:p>
    <w:p w14:paraId="33B177D8" w14:textId="641DB448" w:rsidR="00C868B7" w:rsidRPr="00253126" w:rsidRDefault="00C868B7" w:rsidP="00BB2EED">
      <w:pPr>
        <w:pStyle w:val="Caption"/>
        <w:keepNext/>
        <w:spacing w:after="0"/>
        <w:rPr>
          <w:color w:val="auto"/>
        </w:rPr>
      </w:pPr>
      <w:bookmarkStart w:id="20" w:name="_Toc36208151"/>
      <w:bookmarkStart w:id="21" w:name="_Toc41909293"/>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w:t>
      </w:r>
      <w:r w:rsidRPr="00253126">
        <w:rPr>
          <w:color w:val="auto"/>
        </w:rPr>
        <w:fldChar w:fldCharType="end"/>
      </w:r>
      <w:r w:rsidR="00BB2EED" w:rsidRPr="00253126">
        <w:rPr>
          <w:color w:val="auto"/>
        </w:rPr>
        <w:t>: Adverse events by state, 2016</w:t>
      </w:r>
      <w:r w:rsidRPr="00253126">
        <w:rPr>
          <w:color w:val="auto"/>
        </w:rPr>
        <w:t>-17</w:t>
      </w:r>
      <w:bookmarkEnd w:id="20"/>
      <w:bookmarkEnd w:id="21"/>
    </w:p>
    <w:p w14:paraId="1C922D89" w14:textId="093D8023" w:rsidR="00C439A8" w:rsidRPr="00394948" w:rsidRDefault="00565DB0">
      <w:pPr>
        <w:spacing w:line="276" w:lineRule="auto"/>
      </w:pPr>
      <w:r w:rsidRPr="00565DB0">
        <w:rPr>
          <w:noProof/>
          <w:lang w:eastAsia="en-AU"/>
        </w:rPr>
        <w:drawing>
          <wp:inline distT="0" distB="0" distL="0" distR="0" wp14:anchorId="3C3EAB32" wp14:editId="2CAB802A">
            <wp:extent cx="5926455" cy="245414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2454146"/>
                    </a:xfrm>
                    <a:prstGeom prst="rect">
                      <a:avLst/>
                    </a:prstGeom>
                    <a:noFill/>
                    <a:ln>
                      <a:noFill/>
                    </a:ln>
                  </pic:spPr>
                </pic:pic>
              </a:graphicData>
            </a:graphic>
          </wp:inline>
        </w:drawing>
      </w:r>
    </w:p>
    <w:p w14:paraId="07449A14" w14:textId="77777777" w:rsidR="00565DB0" w:rsidRPr="00565DB0" w:rsidRDefault="00565DB0" w:rsidP="00565DB0">
      <w:pPr>
        <w:pStyle w:val="Caption"/>
        <w:keepNext/>
        <w:spacing w:after="0"/>
        <w:rPr>
          <w:b w:val="0"/>
          <w:color w:val="auto"/>
        </w:rPr>
      </w:pPr>
      <w:bookmarkStart w:id="22" w:name="_Toc36208152"/>
      <w:r w:rsidRPr="00565DB0">
        <w:rPr>
          <w:b w:val="0"/>
          <w:color w:val="auto"/>
        </w:rPr>
        <w:t>Notes</w:t>
      </w:r>
    </w:p>
    <w:p w14:paraId="029058F4" w14:textId="10E93FE1" w:rsidR="00565DB0" w:rsidRPr="00565DB0" w:rsidRDefault="00394695" w:rsidP="00565DB0">
      <w:pPr>
        <w:pStyle w:val="Caption"/>
        <w:keepNext/>
        <w:spacing w:after="0"/>
        <w:rPr>
          <w:b w:val="0"/>
          <w:color w:val="auto"/>
        </w:rPr>
      </w:pPr>
      <w:r>
        <w:rPr>
          <w:b w:val="0"/>
          <w:color w:val="auto"/>
        </w:rPr>
        <w:t>1</w:t>
      </w:r>
      <w:r w:rsidR="00565DB0" w:rsidRPr="00565DB0">
        <w:rPr>
          <w:b w:val="0"/>
          <w:color w:val="auto"/>
        </w:rPr>
        <w:t>.      All TTIs were suspected but not confirmed bacterial infections</w:t>
      </w:r>
    </w:p>
    <w:p w14:paraId="76B13452" w14:textId="5F44528F" w:rsidR="00565DB0" w:rsidRPr="00565DB0" w:rsidRDefault="00394695" w:rsidP="00565DB0">
      <w:pPr>
        <w:pStyle w:val="Caption"/>
        <w:keepNext/>
        <w:spacing w:after="0"/>
        <w:rPr>
          <w:b w:val="0"/>
          <w:color w:val="auto"/>
        </w:rPr>
      </w:pPr>
      <w:r>
        <w:rPr>
          <w:b w:val="0"/>
          <w:color w:val="auto"/>
        </w:rPr>
        <w:t>2</w:t>
      </w:r>
      <w:r w:rsidR="00565DB0" w:rsidRPr="00565DB0">
        <w:rPr>
          <w:b w:val="0"/>
          <w:color w:val="auto"/>
        </w:rPr>
        <w:t>.      Number of patients or transfusion episodes is unavailable</w:t>
      </w:r>
    </w:p>
    <w:p w14:paraId="2D130D9E" w14:textId="5B201E26" w:rsidR="00565DB0" w:rsidRDefault="00394695" w:rsidP="00565DB0">
      <w:pPr>
        <w:pStyle w:val="Caption"/>
        <w:keepNext/>
        <w:spacing w:after="0"/>
        <w:rPr>
          <w:b w:val="0"/>
          <w:color w:val="auto"/>
        </w:rPr>
      </w:pPr>
      <w:r>
        <w:rPr>
          <w:b w:val="0"/>
          <w:color w:val="auto"/>
        </w:rPr>
        <w:t>3</w:t>
      </w:r>
      <w:r w:rsidR="00565DB0" w:rsidRPr="00565DB0">
        <w:rPr>
          <w:b w:val="0"/>
          <w:color w:val="auto"/>
        </w:rPr>
        <w:t>.      STIR uses a higher level temperature threshold for the reporting of FNHTR</w:t>
      </w:r>
    </w:p>
    <w:p w14:paraId="00117212" w14:textId="77777777" w:rsidR="00565DB0" w:rsidRPr="00565DB0" w:rsidRDefault="00565DB0" w:rsidP="00565DB0"/>
    <w:p w14:paraId="27ECF39E" w14:textId="77777777" w:rsidR="00BB2EED" w:rsidRPr="00253126" w:rsidRDefault="00BB2EED" w:rsidP="00BB2EED">
      <w:pPr>
        <w:pStyle w:val="Caption"/>
        <w:keepNext/>
        <w:spacing w:after="0"/>
        <w:rPr>
          <w:color w:val="auto"/>
        </w:rPr>
      </w:pPr>
      <w:bookmarkStart w:id="23" w:name="_Toc41909294"/>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w:t>
      </w:r>
      <w:r w:rsidRPr="00253126">
        <w:rPr>
          <w:color w:val="auto"/>
        </w:rPr>
        <w:fldChar w:fldCharType="end"/>
      </w:r>
      <w:r w:rsidRPr="00253126">
        <w:rPr>
          <w:color w:val="auto"/>
        </w:rPr>
        <w:t>: Adverse events by imputability score, 2016-17</w:t>
      </w:r>
      <w:bookmarkEnd w:id="22"/>
      <w:bookmarkEnd w:id="23"/>
    </w:p>
    <w:p w14:paraId="0B373777" w14:textId="373F21C5" w:rsidR="00565DB0" w:rsidRDefault="00565DB0">
      <w:pPr>
        <w:spacing w:line="276" w:lineRule="auto"/>
      </w:pPr>
      <w:r w:rsidRPr="00565DB0">
        <w:rPr>
          <w:noProof/>
          <w:lang w:eastAsia="en-AU"/>
        </w:rPr>
        <w:drawing>
          <wp:inline distT="0" distB="0" distL="0" distR="0" wp14:anchorId="73DD3956" wp14:editId="137D317B">
            <wp:extent cx="5231765" cy="269557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1765" cy="2695575"/>
                    </a:xfrm>
                    <a:prstGeom prst="rect">
                      <a:avLst/>
                    </a:prstGeom>
                    <a:noFill/>
                    <a:ln>
                      <a:noFill/>
                    </a:ln>
                  </pic:spPr>
                </pic:pic>
              </a:graphicData>
            </a:graphic>
          </wp:inline>
        </w:drawing>
      </w:r>
    </w:p>
    <w:p w14:paraId="54B7B4B9" w14:textId="77777777" w:rsidR="00565DB0" w:rsidRPr="00565DB0" w:rsidRDefault="00565DB0" w:rsidP="00565DB0">
      <w:pPr>
        <w:spacing w:after="0"/>
        <w:rPr>
          <w:sz w:val="18"/>
          <w:szCs w:val="18"/>
        </w:rPr>
      </w:pPr>
      <w:r w:rsidRPr="00565DB0">
        <w:rPr>
          <w:sz w:val="18"/>
          <w:szCs w:val="18"/>
        </w:rPr>
        <w:t>Notes</w:t>
      </w:r>
    </w:p>
    <w:p w14:paraId="6EE69738" w14:textId="31591E9B" w:rsidR="00565DB0" w:rsidRPr="00565DB0" w:rsidRDefault="009D3D6C" w:rsidP="00565DB0">
      <w:pPr>
        <w:spacing w:after="0"/>
        <w:rPr>
          <w:sz w:val="18"/>
          <w:szCs w:val="18"/>
        </w:rPr>
      </w:pPr>
      <w:r>
        <w:rPr>
          <w:sz w:val="18"/>
          <w:szCs w:val="18"/>
        </w:rPr>
        <w:t>1</w:t>
      </w:r>
      <w:r w:rsidR="00565DB0" w:rsidRPr="00565DB0">
        <w:rPr>
          <w:sz w:val="18"/>
          <w:szCs w:val="18"/>
        </w:rPr>
        <w:t>.      All TTIs were suspected but not confirmed bacterial infections</w:t>
      </w:r>
    </w:p>
    <w:p w14:paraId="1F442BC4" w14:textId="42F7EFCF" w:rsidR="00565DB0" w:rsidRPr="00565DB0" w:rsidRDefault="009D3D6C" w:rsidP="00565DB0">
      <w:pPr>
        <w:spacing w:after="0"/>
        <w:rPr>
          <w:sz w:val="18"/>
          <w:szCs w:val="18"/>
        </w:rPr>
      </w:pPr>
      <w:r>
        <w:rPr>
          <w:sz w:val="18"/>
          <w:szCs w:val="18"/>
        </w:rPr>
        <w:t>2</w:t>
      </w:r>
      <w:r w:rsidR="00565DB0" w:rsidRPr="00565DB0">
        <w:rPr>
          <w:sz w:val="18"/>
          <w:szCs w:val="18"/>
        </w:rPr>
        <w:t>.      Number of patients or transfusion episodes is unavailable</w:t>
      </w:r>
    </w:p>
    <w:p w14:paraId="0BFF566A" w14:textId="3CB7A753" w:rsidR="00912FC1" w:rsidRPr="00565DB0" w:rsidRDefault="009D3D6C" w:rsidP="00565DB0">
      <w:pPr>
        <w:spacing w:after="0"/>
        <w:rPr>
          <w:sz w:val="18"/>
          <w:szCs w:val="18"/>
        </w:rPr>
      </w:pPr>
      <w:r>
        <w:rPr>
          <w:sz w:val="18"/>
          <w:szCs w:val="18"/>
        </w:rPr>
        <w:t>3</w:t>
      </w:r>
      <w:r w:rsidR="00565DB0" w:rsidRPr="00565DB0">
        <w:rPr>
          <w:sz w:val="18"/>
          <w:szCs w:val="18"/>
        </w:rPr>
        <w:t>.      STIR uses a higher level temperature threshold for the reporting of FNHTR</w:t>
      </w:r>
    </w:p>
    <w:p w14:paraId="67C36C5F" w14:textId="601B6C12" w:rsidR="00BB2EED" w:rsidRPr="00253126" w:rsidRDefault="00BB2EED" w:rsidP="00BB2EED">
      <w:pPr>
        <w:pStyle w:val="Caption"/>
        <w:keepNext/>
        <w:spacing w:after="0"/>
        <w:rPr>
          <w:color w:val="auto"/>
        </w:rPr>
      </w:pPr>
      <w:bookmarkStart w:id="24" w:name="_Toc36208153"/>
      <w:bookmarkStart w:id="25" w:name="_Toc41909295"/>
      <w:r w:rsidRPr="00253126">
        <w:rPr>
          <w:color w:val="auto"/>
        </w:rPr>
        <w:lastRenderedPageBreak/>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w:t>
      </w:r>
      <w:r w:rsidRPr="00253126">
        <w:rPr>
          <w:color w:val="auto"/>
        </w:rPr>
        <w:fldChar w:fldCharType="end"/>
      </w:r>
      <w:r w:rsidRPr="00253126">
        <w:rPr>
          <w:color w:val="auto"/>
        </w:rPr>
        <w:t>: Adverse events by blood product, 2016-17</w:t>
      </w:r>
      <w:bookmarkEnd w:id="24"/>
      <w:bookmarkEnd w:id="25"/>
    </w:p>
    <w:p w14:paraId="61033088" w14:textId="77CD5DFB" w:rsidR="00912FC1" w:rsidRPr="00394948" w:rsidRDefault="00565DB0">
      <w:pPr>
        <w:spacing w:line="276" w:lineRule="auto"/>
      </w:pPr>
      <w:r w:rsidRPr="00565DB0">
        <w:rPr>
          <w:noProof/>
          <w:lang w:eastAsia="en-AU"/>
        </w:rPr>
        <w:drawing>
          <wp:inline distT="0" distB="0" distL="0" distR="0" wp14:anchorId="3F0962B6" wp14:editId="51C63C86">
            <wp:extent cx="4746625" cy="2751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5770" cy="2762247"/>
                    </a:xfrm>
                    <a:prstGeom prst="rect">
                      <a:avLst/>
                    </a:prstGeom>
                    <a:noFill/>
                    <a:ln>
                      <a:noFill/>
                    </a:ln>
                  </pic:spPr>
                </pic:pic>
              </a:graphicData>
            </a:graphic>
          </wp:inline>
        </w:drawing>
      </w:r>
    </w:p>
    <w:p w14:paraId="20A12819" w14:textId="77777777" w:rsidR="00565DB0" w:rsidRPr="00565DB0" w:rsidRDefault="00565DB0" w:rsidP="00565DB0">
      <w:pPr>
        <w:pStyle w:val="Caption"/>
        <w:keepNext/>
        <w:spacing w:after="0"/>
        <w:rPr>
          <w:b w:val="0"/>
          <w:color w:val="auto"/>
        </w:rPr>
      </w:pPr>
      <w:bookmarkStart w:id="26" w:name="_Toc36208154"/>
      <w:r w:rsidRPr="00565DB0">
        <w:rPr>
          <w:b w:val="0"/>
          <w:color w:val="auto"/>
        </w:rPr>
        <w:t>Notes</w:t>
      </w:r>
    </w:p>
    <w:p w14:paraId="55A468C1" w14:textId="0EA1925D" w:rsidR="00565DB0" w:rsidRPr="00565DB0" w:rsidRDefault="00DF4A63" w:rsidP="00565DB0">
      <w:pPr>
        <w:pStyle w:val="Caption"/>
        <w:keepNext/>
        <w:spacing w:after="0"/>
        <w:rPr>
          <w:b w:val="0"/>
          <w:color w:val="auto"/>
        </w:rPr>
      </w:pPr>
      <w:r>
        <w:rPr>
          <w:b w:val="0"/>
          <w:color w:val="auto"/>
        </w:rPr>
        <w:t>1</w:t>
      </w:r>
      <w:r w:rsidR="00565DB0" w:rsidRPr="00565DB0">
        <w:rPr>
          <w:b w:val="0"/>
          <w:color w:val="auto"/>
        </w:rPr>
        <w:t>.      All TTIs were suspected but not confirmed bacterial infections</w:t>
      </w:r>
    </w:p>
    <w:p w14:paraId="1F538F9A" w14:textId="6778B8F3" w:rsidR="00565DB0" w:rsidRPr="00565DB0" w:rsidRDefault="00DF4A63" w:rsidP="00565DB0">
      <w:pPr>
        <w:pStyle w:val="Caption"/>
        <w:keepNext/>
        <w:spacing w:after="0"/>
        <w:rPr>
          <w:b w:val="0"/>
          <w:color w:val="auto"/>
        </w:rPr>
      </w:pPr>
      <w:r>
        <w:rPr>
          <w:b w:val="0"/>
          <w:color w:val="auto"/>
        </w:rPr>
        <w:t>2</w:t>
      </w:r>
      <w:r w:rsidR="00565DB0" w:rsidRPr="00565DB0">
        <w:rPr>
          <w:b w:val="0"/>
          <w:color w:val="auto"/>
        </w:rPr>
        <w:t>.      Number of patients or transfusion episodes is unavailable</w:t>
      </w:r>
    </w:p>
    <w:p w14:paraId="4A481529" w14:textId="1D5C20D7" w:rsidR="00565DB0" w:rsidRDefault="00DF4A63" w:rsidP="00565DB0">
      <w:pPr>
        <w:pStyle w:val="Caption"/>
        <w:keepNext/>
        <w:spacing w:after="0"/>
        <w:rPr>
          <w:b w:val="0"/>
          <w:color w:val="auto"/>
        </w:rPr>
      </w:pPr>
      <w:r>
        <w:rPr>
          <w:b w:val="0"/>
          <w:color w:val="auto"/>
        </w:rPr>
        <w:t>3</w:t>
      </w:r>
      <w:r w:rsidR="00565DB0" w:rsidRPr="00565DB0">
        <w:rPr>
          <w:b w:val="0"/>
          <w:color w:val="auto"/>
        </w:rPr>
        <w:t>.      STIR uses a higher level temperature threshold for the reporting of FNHTR</w:t>
      </w:r>
    </w:p>
    <w:p w14:paraId="6AF78495" w14:textId="77777777" w:rsidR="00DD4825" w:rsidRDefault="00DD4825" w:rsidP="00BB2EED">
      <w:pPr>
        <w:pStyle w:val="Caption"/>
        <w:keepNext/>
        <w:spacing w:after="0"/>
        <w:rPr>
          <w:color w:val="auto"/>
        </w:rPr>
      </w:pPr>
    </w:p>
    <w:p w14:paraId="13F2E3E1" w14:textId="49B62007" w:rsidR="00BB2EED" w:rsidRPr="00253126" w:rsidRDefault="00BB2EED" w:rsidP="00BB2EED">
      <w:pPr>
        <w:pStyle w:val="Caption"/>
        <w:keepNext/>
        <w:spacing w:after="0"/>
        <w:rPr>
          <w:color w:val="auto"/>
        </w:rPr>
      </w:pPr>
      <w:bookmarkStart w:id="27" w:name="_Toc41909296"/>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4</w:t>
      </w:r>
      <w:r w:rsidRPr="00253126">
        <w:rPr>
          <w:color w:val="auto"/>
        </w:rPr>
        <w:fldChar w:fldCharType="end"/>
      </w:r>
      <w:r w:rsidRPr="00253126">
        <w:rPr>
          <w:color w:val="auto"/>
        </w:rPr>
        <w:t>: Adverse events by clinical outcome severity, 2016-17</w:t>
      </w:r>
      <w:bookmarkEnd w:id="26"/>
      <w:bookmarkEnd w:id="27"/>
    </w:p>
    <w:p w14:paraId="455E12CC" w14:textId="77777777" w:rsidR="00DD4825" w:rsidRDefault="00565DB0" w:rsidP="00DD4825">
      <w:pPr>
        <w:spacing w:line="276" w:lineRule="auto"/>
      </w:pPr>
      <w:r w:rsidRPr="00565DB0">
        <w:rPr>
          <w:noProof/>
          <w:lang w:eastAsia="en-AU"/>
        </w:rPr>
        <w:drawing>
          <wp:inline distT="0" distB="0" distL="0" distR="0" wp14:anchorId="3D577DB0" wp14:editId="4F210680">
            <wp:extent cx="4777713" cy="286246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8939" cy="2875186"/>
                    </a:xfrm>
                    <a:prstGeom prst="rect">
                      <a:avLst/>
                    </a:prstGeom>
                    <a:noFill/>
                    <a:ln>
                      <a:noFill/>
                    </a:ln>
                  </pic:spPr>
                </pic:pic>
              </a:graphicData>
            </a:graphic>
          </wp:inline>
        </w:drawing>
      </w:r>
      <w:bookmarkStart w:id="28" w:name="_Toc36208155"/>
    </w:p>
    <w:p w14:paraId="20F4A281" w14:textId="77777777" w:rsidR="00DD4825" w:rsidRPr="00DD4825" w:rsidRDefault="00DD4825" w:rsidP="00DD4825">
      <w:pPr>
        <w:spacing w:after="0"/>
        <w:rPr>
          <w:sz w:val="18"/>
          <w:szCs w:val="18"/>
        </w:rPr>
      </w:pPr>
      <w:r w:rsidRPr="00DD4825">
        <w:rPr>
          <w:sz w:val="18"/>
          <w:szCs w:val="18"/>
        </w:rPr>
        <w:t>Notes</w:t>
      </w:r>
    </w:p>
    <w:p w14:paraId="33B81472" w14:textId="2E5B70E8" w:rsidR="00DD4825" w:rsidRDefault="00DF4A63" w:rsidP="00DD4825">
      <w:pPr>
        <w:spacing w:after="0"/>
        <w:rPr>
          <w:sz w:val="18"/>
          <w:szCs w:val="18"/>
        </w:rPr>
      </w:pPr>
      <w:r>
        <w:rPr>
          <w:sz w:val="18"/>
          <w:szCs w:val="18"/>
        </w:rPr>
        <w:t>1</w:t>
      </w:r>
      <w:r w:rsidR="00DD4825" w:rsidRPr="00DD4825">
        <w:rPr>
          <w:sz w:val="18"/>
          <w:szCs w:val="18"/>
        </w:rPr>
        <w:t>.      All TTIs were suspected but not confirmed bacterial infections</w:t>
      </w:r>
    </w:p>
    <w:p w14:paraId="2160E07B" w14:textId="05074C07" w:rsidR="00DD4825" w:rsidRDefault="00DF4A63" w:rsidP="00DD4825">
      <w:pPr>
        <w:spacing w:after="0"/>
        <w:rPr>
          <w:sz w:val="18"/>
          <w:szCs w:val="18"/>
        </w:rPr>
      </w:pPr>
      <w:r>
        <w:rPr>
          <w:sz w:val="18"/>
          <w:szCs w:val="18"/>
        </w:rPr>
        <w:t>2</w:t>
      </w:r>
      <w:r w:rsidR="00DD4825" w:rsidRPr="00DD4825">
        <w:rPr>
          <w:sz w:val="18"/>
          <w:szCs w:val="18"/>
        </w:rPr>
        <w:t>.      Number of patients or transfusion episodes is unavailable</w:t>
      </w:r>
    </w:p>
    <w:p w14:paraId="05A37050" w14:textId="03FC508F" w:rsidR="00DD4825" w:rsidRPr="00DD4825" w:rsidRDefault="00DF4A63" w:rsidP="00DD4825">
      <w:pPr>
        <w:spacing w:after="0"/>
        <w:rPr>
          <w:b/>
          <w:sz w:val="18"/>
          <w:szCs w:val="18"/>
        </w:rPr>
      </w:pPr>
      <w:r>
        <w:rPr>
          <w:sz w:val="18"/>
          <w:szCs w:val="18"/>
        </w:rPr>
        <w:t>3</w:t>
      </w:r>
      <w:r w:rsidR="00DD4825" w:rsidRPr="00DD4825">
        <w:rPr>
          <w:sz w:val="18"/>
          <w:szCs w:val="18"/>
        </w:rPr>
        <w:t>.      STIR uses a higher level temperature threshold for the reporting of FNHTR</w:t>
      </w:r>
    </w:p>
    <w:p w14:paraId="697B7B5D" w14:textId="77777777" w:rsidR="00DD4825" w:rsidRDefault="00DD4825" w:rsidP="00BB2EED">
      <w:pPr>
        <w:pStyle w:val="Caption"/>
        <w:keepNext/>
        <w:spacing w:after="0"/>
        <w:rPr>
          <w:color w:val="auto"/>
        </w:rPr>
      </w:pPr>
    </w:p>
    <w:p w14:paraId="2DF4A5BB" w14:textId="744DD89A" w:rsidR="00BB2EED" w:rsidRPr="00253126" w:rsidRDefault="00BB2EED" w:rsidP="00BB2EED">
      <w:pPr>
        <w:pStyle w:val="Caption"/>
        <w:keepNext/>
        <w:spacing w:after="0"/>
        <w:rPr>
          <w:color w:val="auto"/>
        </w:rPr>
      </w:pPr>
      <w:bookmarkStart w:id="29" w:name="_Toc41909297"/>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5</w:t>
      </w:r>
      <w:r w:rsidRPr="00253126">
        <w:rPr>
          <w:color w:val="auto"/>
        </w:rPr>
        <w:fldChar w:fldCharType="end"/>
      </w:r>
      <w:r w:rsidRPr="00253126">
        <w:rPr>
          <w:color w:val="auto"/>
        </w:rPr>
        <w:t>: Reported adverse events by sex, 2016-17</w:t>
      </w:r>
      <w:bookmarkEnd w:id="28"/>
      <w:bookmarkEnd w:id="29"/>
    </w:p>
    <w:p w14:paraId="01CD9B43" w14:textId="2B3AB94D" w:rsidR="002B160C" w:rsidRDefault="00DD4825">
      <w:pPr>
        <w:spacing w:line="276" w:lineRule="auto"/>
      </w:pPr>
      <w:r w:rsidRPr="00DD4825">
        <w:rPr>
          <w:noProof/>
          <w:lang w:eastAsia="en-AU"/>
        </w:rPr>
        <w:drawing>
          <wp:inline distT="0" distB="0" distL="0" distR="0" wp14:anchorId="08B89C39" wp14:editId="1CC654A3">
            <wp:extent cx="4071068" cy="2142309"/>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8349" cy="2151403"/>
                    </a:xfrm>
                    <a:prstGeom prst="rect">
                      <a:avLst/>
                    </a:prstGeom>
                    <a:noFill/>
                    <a:ln>
                      <a:noFill/>
                    </a:ln>
                  </pic:spPr>
                </pic:pic>
              </a:graphicData>
            </a:graphic>
          </wp:inline>
        </w:drawing>
      </w:r>
    </w:p>
    <w:p w14:paraId="6DE782B7" w14:textId="77777777" w:rsidR="00DD4825" w:rsidRPr="00DD4825" w:rsidRDefault="00DD4825" w:rsidP="00DD4825">
      <w:pPr>
        <w:spacing w:after="0"/>
        <w:rPr>
          <w:sz w:val="18"/>
          <w:szCs w:val="18"/>
        </w:rPr>
      </w:pPr>
      <w:r w:rsidRPr="00DD4825">
        <w:rPr>
          <w:sz w:val="18"/>
          <w:szCs w:val="18"/>
        </w:rPr>
        <w:t>Notes</w:t>
      </w:r>
    </w:p>
    <w:p w14:paraId="658E9599" w14:textId="77777777" w:rsidR="00DD4825" w:rsidRPr="00DD4825" w:rsidRDefault="00DD4825" w:rsidP="00DD4825">
      <w:pPr>
        <w:spacing w:after="0"/>
        <w:rPr>
          <w:sz w:val="18"/>
          <w:szCs w:val="18"/>
        </w:rPr>
      </w:pPr>
      <w:r w:rsidRPr="00DD4825">
        <w:rPr>
          <w:sz w:val="18"/>
          <w:szCs w:val="18"/>
        </w:rPr>
        <w:t>1.      Limited sex data available for NSW</w:t>
      </w:r>
    </w:p>
    <w:p w14:paraId="06E3869C" w14:textId="7D6A0096" w:rsidR="00DD4825" w:rsidRDefault="00DD4825" w:rsidP="00DD4825">
      <w:pPr>
        <w:spacing w:after="0"/>
        <w:rPr>
          <w:sz w:val="18"/>
          <w:szCs w:val="18"/>
        </w:rPr>
      </w:pPr>
      <w:r w:rsidRPr="00DD4825">
        <w:rPr>
          <w:sz w:val="18"/>
          <w:szCs w:val="18"/>
        </w:rPr>
        <w:t>2.      Number of patients or transfusion episodes is unavailable</w:t>
      </w:r>
    </w:p>
    <w:p w14:paraId="66A583FC" w14:textId="77777777" w:rsidR="00DD4825" w:rsidRPr="00DD4825" w:rsidRDefault="00DD4825" w:rsidP="00DD4825">
      <w:pPr>
        <w:spacing w:after="0"/>
        <w:rPr>
          <w:sz w:val="18"/>
          <w:szCs w:val="18"/>
        </w:rPr>
      </w:pPr>
    </w:p>
    <w:p w14:paraId="705EFAB3" w14:textId="751C3703" w:rsidR="00BB2EED" w:rsidRPr="00253126" w:rsidRDefault="00BB2EED" w:rsidP="00BB2EED">
      <w:pPr>
        <w:pStyle w:val="Caption"/>
        <w:keepNext/>
        <w:spacing w:after="0"/>
        <w:rPr>
          <w:color w:val="auto"/>
        </w:rPr>
      </w:pPr>
      <w:bookmarkStart w:id="30" w:name="_Toc36208156"/>
      <w:bookmarkStart w:id="31" w:name="_Toc41909298"/>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6</w:t>
      </w:r>
      <w:r w:rsidRPr="00253126">
        <w:rPr>
          <w:color w:val="auto"/>
        </w:rPr>
        <w:fldChar w:fldCharType="end"/>
      </w:r>
      <w:r w:rsidRPr="00253126">
        <w:rPr>
          <w:color w:val="auto"/>
        </w:rPr>
        <w:t>: Adverse events by age and sex, 2016-17</w:t>
      </w:r>
      <w:bookmarkEnd w:id="30"/>
      <w:bookmarkEnd w:id="31"/>
    </w:p>
    <w:p w14:paraId="5C73B6D0" w14:textId="7BF7299C" w:rsidR="00DD4825" w:rsidRDefault="00DD4825">
      <w:pPr>
        <w:spacing w:line="276" w:lineRule="auto"/>
      </w:pPr>
      <w:r w:rsidRPr="00DD4825">
        <w:rPr>
          <w:noProof/>
          <w:lang w:eastAsia="en-AU"/>
        </w:rPr>
        <w:drawing>
          <wp:inline distT="0" distB="0" distL="0" distR="0" wp14:anchorId="4FFEE7AD" wp14:editId="40669506">
            <wp:extent cx="4508390" cy="225089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7792" cy="2260584"/>
                    </a:xfrm>
                    <a:prstGeom prst="rect">
                      <a:avLst/>
                    </a:prstGeom>
                    <a:noFill/>
                    <a:ln>
                      <a:noFill/>
                    </a:ln>
                  </pic:spPr>
                </pic:pic>
              </a:graphicData>
            </a:graphic>
          </wp:inline>
        </w:drawing>
      </w:r>
    </w:p>
    <w:p w14:paraId="6BEDA923" w14:textId="77777777" w:rsidR="00DD4825" w:rsidRPr="00DD4825" w:rsidRDefault="00DD4825" w:rsidP="00DD4825">
      <w:pPr>
        <w:spacing w:after="0"/>
        <w:rPr>
          <w:sz w:val="18"/>
          <w:szCs w:val="18"/>
        </w:rPr>
      </w:pPr>
      <w:r w:rsidRPr="00DD4825">
        <w:rPr>
          <w:sz w:val="18"/>
          <w:szCs w:val="18"/>
        </w:rPr>
        <w:t>Notes</w:t>
      </w:r>
    </w:p>
    <w:p w14:paraId="177E81AE" w14:textId="77777777" w:rsidR="00DD4825" w:rsidRPr="00DD4825" w:rsidRDefault="00DD4825" w:rsidP="00DD4825">
      <w:pPr>
        <w:spacing w:after="0"/>
        <w:rPr>
          <w:sz w:val="18"/>
          <w:szCs w:val="18"/>
        </w:rPr>
      </w:pPr>
      <w:r w:rsidRPr="00DD4825">
        <w:rPr>
          <w:sz w:val="18"/>
          <w:szCs w:val="18"/>
        </w:rPr>
        <w:t>1.      Limited sex data available for NSW</w:t>
      </w:r>
    </w:p>
    <w:p w14:paraId="540450E4" w14:textId="7EC2475E" w:rsidR="002B160C" w:rsidRDefault="00DD4825" w:rsidP="00DD4825">
      <w:pPr>
        <w:spacing w:after="0"/>
        <w:rPr>
          <w:sz w:val="18"/>
          <w:szCs w:val="18"/>
        </w:rPr>
      </w:pPr>
      <w:r w:rsidRPr="00DD4825">
        <w:rPr>
          <w:sz w:val="18"/>
          <w:szCs w:val="18"/>
        </w:rPr>
        <w:t>2.      Number of patients or transfusion episodes is unavailable</w:t>
      </w:r>
    </w:p>
    <w:p w14:paraId="7E38DA27" w14:textId="77777777" w:rsidR="00DD4825" w:rsidRPr="00DD4825" w:rsidRDefault="00DD4825" w:rsidP="00DD4825">
      <w:pPr>
        <w:spacing w:after="0"/>
        <w:rPr>
          <w:sz w:val="18"/>
          <w:szCs w:val="18"/>
        </w:rPr>
      </w:pPr>
    </w:p>
    <w:p w14:paraId="543C8D46" w14:textId="7612D999" w:rsidR="00BB2EED" w:rsidRPr="00253126" w:rsidRDefault="00BB2EED" w:rsidP="00BB2EED">
      <w:pPr>
        <w:pStyle w:val="Caption"/>
        <w:keepNext/>
        <w:spacing w:after="0"/>
        <w:rPr>
          <w:color w:val="auto"/>
        </w:rPr>
      </w:pPr>
      <w:bookmarkStart w:id="32" w:name="_Toc36208157"/>
      <w:bookmarkStart w:id="33" w:name="_Toc41909299"/>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7</w:t>
      </w:r>
      <w:r w:rsidRPr="00253126">
        <w:rPr>
          <w:color w:val="auto"/>
        </w:rPr>
        <w:fldChar w:fldCharType="end"/>
      </w:r>
      <w:r w:rsidRPr="00253126">
        <w:rPr>
          <w:color w:val="auto"/>
        </w:rPr>
        <w:t>: Serious adverse events by outcome severity and imputability score, 2016-17</w:t>
      </w:r>
      <w:bookmarkEnd w:id="32"/>
      <w:bookmarkEnd w:id="33"/>
    </w:p>
    <w:p w14:paraId="2D735CF6" w14:textId="660B2594" w:rsidR="002B160C" w:rsidRPr="00394948" w:rsidRDefault="00DD4825">
      <w:pPr>
        <w:spacing w:line="276" w:lineRule="auto"/>
      </w:pPr>
      <w:r w:rsidRPr="00DD4825">
        <w:rPr>
          <w:noProof/>
          <w:lang w:eastAsia="en-AU"/>
        </w:rPr>
        <w:drawing>
          <wp:inline distT="0" distB="0" distL="0" distR="0" wp14:anchorId="05765F51" wp14:editId="36E8F41B">
            <wp:extent cx="4405023" cy="103875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9575" cy="1061050"/>
                    </a:xfrm>
                    <a:prstGeom prst="rect">
                      <a:avLst/>
                    </a:prstGeom>
                    <a:noFill/>
                    <a:ln>
                      <a:noFill/>
                    </a:ln>
                  </pic:spPr>
                </pic:pic>
              </a:graphicData>
            </a:graphic>
          </wp:inline>
        </w:drawing>
      </w:r>
    </w:p>
    <w:p w14:paraId="66744134" w14:textId="77777777" w:rsidR="00DD4825" w:rsidRDefault="00DD4825" w:rsidP="00DD4825">
      <w:pPr>
        <w:pStyle w:val="NoSpacing"/>
      </w:pPr>
      <w:r>
        <w:t>Notes</w:t>
      </w:r>
    </w:p>
    <w:p w14:paraId="14F66480" w14:textId="77777777" w:rsidR="00DD4825" w:rsidRDefault="00DD4825" w:rsidP="00DD4825">
      <w:pPr>
        <w:pStyle w:val="NoSpacing"/>
      </w:pPr>
      <w:r>
        <w:t>1.        Not assessable and excluded/unlikely imputability scores are not included in the analysis</w:t>
      </w:r>
    </w:p>
    <w:p w14:paraId="41168F9F" w14:textId="77777777" w:rsidR="00DD4825" w:rsidRDefault="00DD4825" w:rsidP="00DD4825">
      <w:pPr>
        <w:pStyle w:val="NoSpacing"/>
      </w:pPr>
      <w:r>
        <w:t>2.        Outcome severity with unknown outcomes, minor and no morbidities are not included in the analysis</w:t>
      </w:r>
    </w:p>
    <w:p w14:paraId="3C5A73B4" w14:textId="0FF18F63" w:rsidR="00DD4825" w:rsidRDefault="00DD4825" w:rsidP="00DD4825">
      <w:pPr>
        <w:pStyle w:val="NoSpacing"/>
      </w:pPr>
      <w:r>
        <w:t>3.        Number of patients or transfusion episodes is unavailable</w:t>
      </w:r>
      <w:r>
        <w:br w:type="page"/>
      </w:r>
    </w:p>
    <w:p w14:paraId="1BB35C8D" w14:textId="139453AB" w:rsidR="008D67C7" w:rsidRPr="008D67C7" w:rsidRDefault="008D67C7">
      <w:pPr>
        <w:spacing w:line="276" w:lineRule="auto"/>
        <w:rPr>
          <w:b/>
          <w:sz w:val="28"/>
          <w:szCs w:val="28"/>
        </w:rPr>
      </w:pPr>
      <w:r w:rsidRPr="008D67C7">
        <w:rPr>
          <w:b/>
          <w:sz w:val="28"/>
          <w:szCs w:val="28"/>
        </w:rPr>
        <w:lastRenderedPageBreak/>
        <w:t>Cumulative results for 2012-13 to 2016-17</w:t>
      </w:r>
    </w:p>
    <w:p w14:paraId="6FEC1243" w14:textId="04EC4B06" w:rsidR="00BB2EED" w:rsidRDefault="00BB2EED" w:rsidP="00BB2EED">
      <w:pPr>
        <w:pStyle w:val="Caption"/>
        <w:keepNext/>
        <w:spacing w:after="0"/>
      </w:pPr>
      <w:bookmarkStart w:id="34" w:name="_Toc36208158"/>
      <w:bookmarkStart w:id="35" w:name="_Toc41909300"/>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8</w:t>
      </w:r>
      <w:r w:rsidRPr="00253126">
        <w:rPr>
          <w:color w:val="auto"/>
        </w:rPr>
        <w:fldChar w:fldCharType="end"/>
      </w:r>
      <w:r w:rsidRPr="00253126">
        <w:rPr>
          <w:color w:val="auto"/>
        </w:rPr>
        <w:t>: Adverse events by state, 2012-13 to 2016-17</w:t>
      </w:r>
      <w:bookmarkEnd w:id="34"/>
      <w:bookmarkEnd w:id="35"/>
    </w:p>
    <w:p w14:paraId="62D98BAE" w14:textId="2BE5447C" w:rsidR="002B160C" w:rsidRPr="00394948" w:rsidRDefault="005D36B2">
      <w:pPr>
        <w:spacing w:line="276" w:lineRule="auto"/>
      </w:pPr>
      <w:r w:rsidRPr="005D36B2">
        <w:drawing>
          <wp:inline distT="0" distB="0" distL="0" distR="0" wp14:anchorId="7F73A25A" wp14:editId="19515F8E">
            <wp:extent cx="4278630" cy="21907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2190750"/>
                    </a:xfrm>
                    <a:prstGeom prst="rect">
                      <a:avLst/>
                    </a:prstGeom>
                    <a:noFill/>
                    <a:ln>
                      <a:noFill/>
                    </a:ln>
                  </pic:spPr>
                </pic:pic>
              </a:graphicData>
            </a:graphic>
          </wp:inline>
        </w:drawing>
      </w:r>
    </w:p>
    <w:p w14:paraId="54FFC195" w14:textId="77777777" w:rsidR="00DD4825" w:rsidRDefault="00DD4825" w:rsidP="00DD4825">
      <w:pPr>
        <w:pStyle w:val="NoSpacing"/>
      </w:pPr>
      <w:bookmarkStart w:id="36" w:name="_Toc36208159"/>
      <w:r>
        <w:t>Notes</w:t>
      </w:r>
    </w:p>
    <w:p w14:paraId="72B2450C" w14:textId="15202E39" w:rsidR="00DD4825" w:rsidRDefault="00DD4825" w:rsidP="00DD4825">
      <w:pPr>
        <w:pStyle w:val="NoSpacing"/>
        <w:ind w:left="426" w:hanging="426"/>
      </w:pPr>
      <w:r>
        <w:t>1.       ACT reported zero adverse events for 2013–14 and 2014–15</w:t>
      </w:r>
    </w:p>
    <w:p w14:paraId="3C0FC7FC" w14:textId="07B84E2F" w:rsidR="00DD4825" w:rsidRDefault="00DD4825" w:rsidP="00DD4825">
      <w:pPr>
        <w:pStyle w:val="NoSpacing"/>
        <w:ind w:left="426" w:hanging="426"/>
      </w:pPr>
      <w:r>
        <w:t>2.       QLD did not contribute data for 2012–13</w:t>
      </w:r>
    </w:p>
    <w:p w14:paraId="4477D44E" w14:textId="124E7714" w:rsidR="00DD4825" w:rsidRDefault="00DD4825" w:rsidP="00DD4825">
      <w:pPr>
        <w:pStyle w:val="NoSpacing"/>
        <w:ind w:left="426" w:hanging="426"/>
      </w:pPr>
      <w:r>
        <w:t>3.       WA did not contribute data from 2012–13 to 2014–15</w:t>
      </w:r>
    </w:p>
    <w:p w14:paraId="4418924C" w14:textId="341D210C" w:rsidR="00DD4825" w:rsidRDefault="00DD4825" w:rsidP="00DD4825">
      <w:pPr>
        <w:pStyle w:val="NoSpacing"/>
        <w:ind w:left="426" w:hanging="426"/>
      </w:pPr>
      <w:r>
        <w:t>4.       Number of patients or transfusion episodes is unavailable</w:t>
      </w:r>
    </w:p>
    <w:p w14:paraId="4B123083" w14:textId="5E9F867D" w:rsidR="00DD4825" w:rsidRDefault="00DD4825" w:rsidP="00DD4825">
      <w:pPr>
        <w:pStyle w:val="NoSpacing"/>
        <w:ind w:left="426" w:hanging="426"/>
      </w:pPr>
      <w:r>
        <w:t>5.       STIR uses a higher level temperature threshold for the reporting of FNHTR and cases are validated by an expert group prior to finalisation of the report</w:t>
      </w:r>
    </w:p>
    <w:p w14:paraId="3EF9ED58" w14:textId="77777777" w:rsidR="00DD4825" w:rsidRDefault="00DD4825" w:rsidP="00DD4825">
      <w:pPr>
        <w:pStyle w:val="NoSpacing"/>
      </w:pPr>
    </w:p>
    <w:p w14:paraId="6D8CE8AC" w14:textId="45438A01" w:rsidR="00BB2EED" w:rsidRPr="00253126" w:rsidRDefault="00BB2EED" w:rsidP="00BB2EED">
      <w:pPr>
        <w:pStyle w:val="Caption"/>
        <w:keepNext/>
        <w:spacing w:after="0"/>
        <w:rPr>
          <w:color w:val="auto"/>
        </w:rPr>
      </w:pPr>
      <w:bookmarkStart w:id="37" w:name="_Toc41909301"/>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9</w:t>
      </w:r>
      <w:r w:rsidRPr="00253126">
        <w:rPr>
          <w:color w:val="auto"/>
        </w:rPr>
        <w:fldChar w:fldCharType="end"/>
      </w:r>
      <w:r w:rsidRPr="00253126">
        <w:rPr>
          <w:color w:val="auto"/>
        </w:rPr>
        <w:t>: Adverse events by hospital type, 2012-13 to 2016-17</w:t>
      </w:r>
      <w:bookmarkEnd w:id="36"/>
      <w:bookmarkEnd w:id="37"/>
    </w:p>
    <w:p w14:paraId="576A9570" w14:textId="4FA6621C" w:rsidR="00443DBE" w:rsidRDefault="00443DBE">
      <w:pPr>
        <w:spacing w:line="276" w:lineRule="auto"/>
      </w:pPr>
      <w:r w:rsidRPr="00443DBE">
        <w:rPr>
          <w:noProof/>
          <w:lang w:eastAsia="en-AU"/>
        </w:rPr>
        <w:drawing>
          <wp:inline distT="0" distB="0" distL="0" distR="0" wp14:anchorId="1942227F" wp14:editId="2FEFC4FE">
            <wp:extent cx="5836257" cy="14168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760" cy="1422043"/>
                    </a:xfrm>
                    <a:prstGeom prst="rect">
                      <a:avLst/>
                    </a:prstGeom>
                    <a:noFill/>
                    <a:ln>
                      <a:noFill/>
                    </a:ln>
                  </pic:spPr>
                </pic:pic>
              </a:graphicData>
            </a:graphic>
          </wp:inline>
        </w:drawing>
      </w:r>
    </w:p>
    <w:p w14:paraId="6C1DE46F" w14:textId="77777777" w:rsidR="00443DBE" w:rsidRDefault="00443DBE" w:rsidP="00443DBE">
      <w:pPr>
        <w:pStyle w:val="NoSpacing"/>
      </w:pPr>
      <w:r>
        <w:t>Notes</w:t>
      </w:r>
    </w:p>
    <w:p w14:paraId="51D171BB" w14:textId="30817FAF" w:rsidR="00443DBE" w:rsidRDefault="00443DBE" w:rsidP="00443DBE">
      <w:pPr>
        <w:pStyle w:val="NoSpacing"/>
        <w:ind w:left="426" w:hanging="426"/>
      </w:pPr>
      <w:r>
        <w:t>1.       ACT reported zero adverse events for 2013–14 and 2014–15</w:t>
      </w:r>
    </w:p>
    <w:p w14:paraId="6B04F310" w14:textId="29B1E517" w:rsidR="00443DBE" w:rsidRDefault="00443DBE" w:rsidP="00443DBE">
      <w:pPr>
        <w:pStyle w:val="NoSpacing"/>
        <w:ind w:left="426" w:hanging="426"/>
      </w:pPr>
      <w:r>
        <w:t>2.       QLD did not contribute data for 2012–13</w:t>
      </w:r>
    </w:p>
    <w:p w14:paraId="37EDAEBD" w14:textId="3B8059B3" w:rsidR="00443DBE" w:rsidRDefault="00443DBE" w:rsidP="00443DBE">
      <w:pPr>
        <w:pStyle w:val="NoSpacing"/>
        <w:ind w:left="426" w:hanging="426"/>
      </w:pPr>
      <w:r>
        <w:t>3.       WA did not contribute data from 2012–13 to 2014–15</w:t>
      </w:r>
    </w:p>
    <w:p w14:paraId="3455614D" w14:textId="6C6DFC02" w:rsidR="00443DBE" w:rsidRDefault="00443DBE" w:rsidP="00443DBE">
      <w:pPr>
        <w:pStyle w:val="NoSpacing"/>
        <w:ind w:left="426" w:hanging="426"/>
      </w:pPr>
      <w:r>
        <w:t>4.       Only VIC, QLD and WA contributed private hospital data</w:t>
      </w:r>
    </w:p>
    <w:p w14:paraId="4A829C3E" w14:textId="2F85AF6F" w:rsidR="00443DBE" w:rsidRDefault="00443DBE" w:rsidP="00443DBE">
      <w:pPr>
        <w:pStyle w:val="NoSpacing"/>
        <w:ind w:left="426" w:hanging="426"/>
      </w:pPr>
      <w:r>
        <w:t>5.       Number of patients or transfusion episodes is unavailable</w:t>
      </w:r>
    </w:p>
    <w:p w14:paraId="3D0EAA0F" w14:textId="4BA83AC7" w:rsidR="002B160C" w:rsidRPr="00443DBE" w:rsidRDefault="00443DBE" w:rsidP="00443DBE">
      <w:pPr>
        <w:pStyle w:val="NoSpacing"/>
        <w:ind w:left="426" w:hanging="426"/>
      </w:pPr>
      <w:r>
        <w:t>6.       Private hospitals include private free-standing day hospital and other private hospitals (exclude private free standing day hospitals)</w:t>
      </w:r>
    </w:p>
    <w:p w14:paraId="449A537D" w14:textId="252F9618" w:rsidR="00BB2EED" w:rsidRPr="00253126" w:rsidRDefault="00BB2EED" w:rsidP="00BB2EED">
      <w:pPr>
        <w:pStyle w:val="Caption"/>
        <w:keepNext/>
        <w:spacing w:after="0"/>
        <w:rPr>
          <w:color w:val="auto"/>
        </w:rPr>
      </w:pPr>
      <w:bookmarkStart w:id="38" w:name="_Toc36208160"/>
      <w:bookmarkStart w:id="39" w:name="_Toc41909302"/>
      <w:r w:rsidRPr="00253126">
        <w:rPr>
          <w:color w:val="auto"/>
        </w:rPr>
        <w:lastRenderedPageBreak/>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10</w:t>
      </w:r>
      <w:r w:rsidRPr="00253126">
        <w:rPr>
          <w:color w:val="auto"/>
        </w:rPr>
        <w:fldChar w:fldCharType="end"/>
      </w:r>
      <w:r w:rsidRPr="00253126">
        <w:rPr>
          <w:color w:val="auto"/>
        </w:rPr>
        <w:t>: Australian adverse event data, 2012-13 to 2016-17</w:t>
      </w:r>
      <w:bookmarkEnd w:id="38"/>
      <w:bookmarkEnd w:id="39"/>
    </w:p>
    <w:p w14:paraId="3651284B" w14:textId="77E876D6" w:rsidR="002B160C" w:rsidRPr="00394948" w:rsidRDefault="00B3502B">
      <w:pPr>
        <w:spacing w:line="276" w:lineRule="auto"/>
      </w:pPr>
      <w:r w:rsidRPr="00B3502B">
        <w:rPr>
          <w:noProof/>
          <w:lang w:eastAsia="en-AU"/>
        </w:rPr>
        <w:drawing>
          <wp:inline distT="0" distB="0" distL="0" distR="0" wp14:anchorId="38481B7A" wp14:editId="4BE56D4A">
            <wp:extent cx="5926455" cy="264237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2642378"/>
                    </a:xfrm>
                    <a:prstGeom prst="rect">
                      <a:avLst/>
                    </a:prstGeom>
                    <a:noFill/>
                    <a:ln>
                      <a:noFill/>
                    </a:ln>
                  </pic:spPr>
                </pic:pic>
              </a:graphicData>
            </a:graphic>
          </wp:inline>
        </w:drawing>
      </w:r>
    </w:p>
    <w:p w14:paraId="38C58A0E" w14:textId="77777777" w:rsidR="00443DBE" w:rsidRDefault="00443DBE" w:rsidP="00443DBE">
      <w:pPr>
        <w:pStyle w:val="NoSpacing"/>
      </w:pPr>
      <w:bookmarkStart w:id="40" w:name="_Toc36208161"/>
      <w:r>
        <w:t>Notes</w:t>
      </w:r>
    </w:p>
    <w:p w14:paraId="0D4E1C59" w14:textId="3EE4F409" w:rsidR="00443DBE" w:rsidRDefault="00443DBE" w:rsidP="00443DBE">
      <w:pPr>
        <w:pStyle w:val="NoSpacing"/>
      </w:pPr>
      <w:r>
        <w:t>1.       ACT reported zero adverse events for 2013–14 and 2014–15</w:t>
      </w:r>
    </w:p>
    <w:p w14:paraId="08A22CF8" w14:textId="57FA1764" w:rsidR="00443DBE" w:rsidRDefault="00443DBE" w:rsidP="00443DBE">
      <w:pPr>
        <w:pStyle w:val="NoSpacing"/>
      </w:pPr>
      <w:r>
        <w:t>2.       QLD did not contribute data for 2012–13</w:t>
      </w:r>
    </w:p>
    <w:p w14:paraId="50A3E721" w14:textId="328F5249" w:rsidR="00443DBE" w:rsidRDefault="00443DBE" w:rsidP="00443DBE">
      <w:pPr>
        <w:pStyle w:val="NoSpacing"/>
      </w:pPr>
      <w:r>
        <w:t>3.       WA did not contribute data from 2012–13 to 2014–15</w:t>
      </w:r>
    </w:p>
    <w:p w14:paraId="3AE6D04E" w14:textId="4156639A" w:rsidR="00443DBE" w:rsidRDefault="00443DBE" w:rsidP="00443DBE">
      <w:pPr>
        <w:pStyle w:val="NoSpacing"/>
      </w:pPr>
      <w:r>
        <w:t>4.       Only VIC, QLD and WA contributed private hospital data</w:t>
      </w:r>
    </w:p>
    <w:p w14:paraId="43D208B7" w14:textId="1BFF6C9C" w:rsidR="00443DBE" w:rsidRDefault="00443DBE" w:rsidP="00443DBE">
      <w:pPr>
        <w:pStyle w:val="NoSpacing"/>
      </w:pPr>
      <w:r>
        <w:t>5.       All TTIs were suspected but not confirmed bacterial infections</w:t>
      </w:r>
    </w:p>
    <w:p w14:paraId="6BA54026" w14:textId="04E7BED3" w:rsidR="00443DBE" w:rsidRDefault="00443DBE" w:rsidP="00443DBE">
      <w:pPr>
        <w:pStyle w:val="NoSpacing"/>
      </w:pPr>
      <w:r>
        <w:t>6.       Number of patients or transfusion episodes is unavailable</w:t>
      </w:r>
    </w:p>
    <w:p w14:paraId="14434379" w14:textId="64027BFE" w:rsidR="00443DBE" w:rsidRDefault="00443DBE" w:rsidP="00443DBE">
      <w:pPr>
        <w:pStyle w:val="NoSpacing"/>
      </w:pPr>
      <w:r>
        <w:t>*Australian Red Cross Blood Service (2015), Blood Component Information: An extension of blood component labels</w:t>
      </w:r>
    </w:p>
    <w:p w14:paraId="4E5B9AD6" w14:textId="77777777" w:rsidR="00443DBE" w:rsidRDefault="00443DBE" w:rsidP="00443DBE">
      <w:pPr>
        <w:pStyle w:val="NoSpacing"/>
      </w:pPr>
    </w:p>
    <w:p w14:paraId="5CA353F6" w14:textId="5DB56DD4" w:rsidR="00BB2EED" w:rsidRPr="00105018" w:rsidRDefault="00BB2EED" w:rsidP="00BB2EED">
      <w:pPr>
        <w:pStyle w:val="Caption"/>
        <w:keepNext/>
        <w:spacing w:after="0"/>
        <w:rPr>
          <w:color w:val="auto"/>
        </w:rPr>
      </w:pPr>
      <w:bookmarkStart w:id="41" w:name="_Toc41909303"/>
      <w:r w:rsidRPr="00105018">
        <w:rPr>
          <w:color w:val="auto"/>
        </w:rPr>
        <w:t xml:space="preserve">Table </w:t>
      </w:r>
      <w:r w:rsidRPr="00105018">
        <w:rPr>
          <w:color w:val="auto"/>
        </w:rPr>
        <w:fldChar w:fldCharType="begin"/>
      </w:r>
      <w:r w:rsidRPr="00105018">
        <w:rPr>
          <w:color w:val="auto"/>
        </w:rPr>
        <w:instrText xml:space="preserve"> SEQ Table \* ARABIC </w:instrText>
      </w:r>
      <w:r w:rsidRPr="00105018">
        <w:rPr>
          <w:color w:val="auto"/>
        </w:rPr>
        <w:fldChar w:fldCharType="separate"/>
      </w:r>
      <w:r w:rsidR="00942707">
        <w:rPr>
          <w:noProof/>
          <w:color w:val="auto"/>
        </w:rPr>
        <w:t>11</w:t>
      </w:r>
      <w:r w:rsidRPr="00105018">
        <w:rPr>
          <w:color w:val="auto"/>
        </w:rPr>
        <w:fldChar w:fldCharType="end"/>
      </w:r>
      <w:r w:rsidRPr="00105018">
        <w:rPr>
          <w:color w:val="auto"/>
        </w:rPr>
        <w:t>: Serious adverse events by state, 2012-13 to 2016-17</w:t>
      </w:r>
      <w:bookmarkEnd w:id="40"/>
      <w:bookmarkEnd w:id="41"/>
    </w:p>
    <w:p w14:paraId="138246FC" w14:textId="1750DFC7" w:rsidR="00443DBE" w:rsidRDefault="005D36B2">
      <w:pPr>
        <w:spacing w:line="276" w:lineRule="auto"/>
      </w:pPr>
      <w:r w:rsidRPr="005D36B2">
        <w:drawing>
          <wp:inline distT="0" distB="0" distL="0" distR="0" wp14:anchorId="2C6FD3FE" wp14:editId="425378DF">
            <wp:extent cx="4278630" cy="232664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8630" cy="2326640"/>
                    </a:xfrm>
                    <a:prstGeom prst="rect">
                      <a:avLst/>
                    </a:prstGeom>
                    <a:noFill/>
                    <a:ln>
                      <a:noFill/>
                    </a:ln>
                  </pic:spPr>
                </pic:pic>
              </a:graphicData>
            </a:graphic>
          </wp:inline>
        </w:drawing>
      </w:r>
    </w:p>
    <w:p w14:paraId="52A6250B" w14:textId="77777777" w:rsidR="00443DBE" w:rsidRDefault="00443DBE" w:rsidP="00443DBE">
      <w:pPr>
        <w:pStyle w:val="NoSpacing"/>
      </w:pPr>
      <w:r>
        <w:t>Notes</w:t>
      </w:r>
    </w:p>
    <w:p w14:paraId="4AE80990" w14:textId="41BE5738" w:rsidR="00443DBE" w:rsidRDefault="00443DBE" w:rsidP="00443DBE">
      <w:pPr>
        <w:pStyle w:val="NoSpacing"/>
      </w:pPr>
      <w:r>
        <w:t>1.       ACT reported zero adverse events for 2013–14 and 2014–15</w:t>
      </w:r>
      <w:bookmarkStart w:id="42" w:name="_GoBack"/>
      <w:bookmarkEnd w:id="42"/>
    </w:p>
    <w:p w14:paraId="42C3A8BD" w14:textId="244E7FB0" w:rsidR="00443DBE" w:rsidRDefault="00443DBE" w:rsidP="00443DBE">
      <w:pPr>
        <w:pStyle w:val="NoSpacing"/>
      </w:pPr>
      <w:r>
        <w:t>2.       QLD did not contribute data for 2012–13</w:t>
      </w:r>
    </w:p>
    <w:p w14:paraId="672D22D0" w14:textId="61C6B58E" w:rsidR="00443DBE" w:rsidRDefault="00443DBE" w:rsidP="00443DBE">
      <w:pPr>
        <w:pStyle w:val="NoSpacing"/>
      </w:pPr>
      <w:r>
        <w:t>3.       WA did not contribute data from 2012–13 to 2014–15</w:t>
      </w:r>
    </w:p>
    <w:p w14:paraId="499D82B1" w14:textId="06FBE468" w:rsidR="00443DBE" w:rsidRDefault="00443DBE" w:rsidP="00443DBE">
      <w:pPr>
        <w:pStyle w:val="NoSpacing"/>
      </w:pPr>
      <w:r>
        <w:t>4.       Number of patients or transfusion episodes is unavailable</w:t>
      </w:r>
    </w:p>
    <w:p w14:paraId="19D65C94" w14:textId="6BF966F9" w:rsidR="002B160C" w:rsidRPr="00443DBE" w:rsidRDefault="00443DBE" w:rsidP="00443DBE">
      <w:pPr>
        <w:pStyle w:val="NoSpacing"/>
        <w:ind w:left="426" w:hanging="426"/>
      </w:pPr>
      <w:r>
        <w:t>5.       STIR uses a higher level temperature threshold for the reporting of FNHTR and cases are validated by an expert group prior to finalisation of the report</w:t>
      </w:r>
    </w:p>
    <w:p w14:paraId="1FF4DCC8" w14:textId="1709F327" w:rsidR="00BB2EED" w:rsidRPr="00105018" w:rsidRDefault="00BB2EED" w:rsidP="00105018">
      <w:pPr>
        <w:pStyle w:val="Caption"/>
        <w:keepNext/>
        <w:spacing w:after="0"/>
        <w:rPr>
          <w:color w:val="auto"/>
        </w:rPr>
      </w:pPr>
      <w:bookmarkStart w:id="43" w:name="_Toc36208162"/>
      <w:bookmarkStart w:id="44" w:name="_Toc41909304"/>
      <w:r w:rsidRPr="00105018">
        <w:rPr>
          <w:color w:val="auto"/>
        </w:rPr>
        <w:lastRenderedPageBreak/>
        <w:t xml:space="preserve">Table </w:t>
      </w:r>
      <w:r w:rsidRPr="00105018">
        <w:rPr>
          <w:color w:val="auto"/>
        </w:rPr>
        <w:fldChar w:fldCharType="begin"/>
      </w:r>
      <w:r w:rsidRPr="00105018">
        <w:rPr>
          <w:color w:val="auto"/>
        </w:rPr>
        <w:instrText xml:space="preserve"> SEQ Table \* ARABIC </w:instrText>
      </w:r>
      <w:r w:rsidRPr="00105018">
        <w:rPr>
          <w:color w:val="auto"/>
        </w:rPr>
        <w:fldChar w:fldCharType="separate"/>
      </w:r>
      <w:r w:rsidR="00942707">
        <w:rPr>
          <w:noProof/>
          <w:color w:val="auto"/>
        </w:rPr>
        <w:t>12</w:t>
      </w:r>
      <w:r w:rsidRPr="00105018">
        <w:rPr>
          <w:color w:val="auto"/>
        </w:rPr>
        <w:fldChar w:fldCharType="end"/>
      </w:r>
      <w:r w:rsidRPr="00105018">
        <w:rPr>
          <w:color w:val="auto"/>
        </w:rPr>
        <w:t>: Serious adverse events, 2012-13 to 2016-17</w:t>
      </w:r>
      <w:bookmarkEnd w:id="43"/>
      <w:bookmarkEnd w:id="44"/>
    </w:p>
    <w:p w14:paraId="177EAB31" w14:textId="4CCBF06E" w:rsidR="00871089" w:rsidRPr="00394948" w:rsidRDefault="00284DB4">
      <w:pPr>
        <w:spacing w:line="276" w:lineRule="auto"/>
      </w:pPr>
      <w:r w:rsidRPr="00284DB4">
        <w:rPr>
          <w:noProof/>
          <w:lang w:eastAsia="en-AU"/>
        </w:rPr>
        <w:drawing>
          <wp:inline distT="0" distB="0" distL="0" distR="0" wp14:anchorId="1B6268D8" wp14:editId="6C1677DF">
            <wp:extent cx="4985468" cy="251584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8415" cy="2517333"/>
                    </a:xfrm>
                    <a:prstGeom prst="rect">
                      <a:avLst/>
                    </a:prstGeom>
                    <a:noFill/>
                    <a:ln>
                      <a:noFill/>
                    </a:ln>
                  </pic:spPr>
                </pic:pic>
              </a:graphicData>
            </a:graphic>
          </wp:inline>
        </w:drawing>
      </w:r>
    </w:p>
    <w:p w14:paraId="26485112" w14:textId="77777777" w:rsidR="00284DB4" w:rsidRDefault="00284DB4" w:rsidP="00284DB4">
      <w:pPr>
        <w:pStyle w:val="NoSpacing"/>
      </w:pPr>
      <w:bookmarkStart w:id="45" w:name="_Toc36208163"/>
      <w:r>
        <w:t>Notes</w:t>
      </w:r>
    </w:p>
    <w:p w14:paraId="3F5AF7E1" w14:textId="03C4EE15" w:rsidR="00284DB4" w:rsidRDefault="00284DB4" w:rsidP="00284DB4">
      <w:pPr>
        <w:pStyle w:val="NoSpacing"/>
      </w:pPr>
      <w:r>
        <w:t>1.       ACT reported zero adverse events for 2013–14 and 2014–15</w:t>
      </w:r>
    </w:p>
    <w:p w14:paraId="1FE45280" w14:textId="4E258CE0" w:rsidR="00284DB4" w:rsidRDefault="00284DB4" w:rsidP="00284DB4">
      <w:pPr>
        <w:pStyle w:val="NoSpacing"/>
      </w:pPr>
      <w:r>
        <w:t>2.       QLD did not contribute data for 2012–13</w:t>
      </w:r>
    </w:p>
    <w:p w14:paraId="153DB139" w14:textId="50146047" w:rsidR="00284DB4" w:rsidRDefault="00284DB4" w:rsidP="00284DB4">
      <w:pPr>
        <w:pStyle w:val="NoSpacing"/>
      </w:pPr>
      <w:r>
        <w:t>3.       WA did not contribute data from 2012–13 to 2014–15</w:t>
      </w:r>
    </w:p>
    <w:p w14:paraId="7AC49E70" w14:textId="14F4E8DC" w:rsidR="00284DB4" w:rsidRDefault="00284DB4" w:rsidP="00284DB4">
      <w:pPr>
        <w:pStyle w:val="NoSpacing"/>
      </w:pPr>
      <w:r>
        <w:t>4.       All TTIs were suspected but not confirmed bacterial infections</w:t>
      </w:r>
    </w:p>
    <w:p w14:paraId="1F6E971A" w14:textId="1444F55F" w:rsidR="00284DB4" w:rsidRDefault="00284DB4" w:rsidP="00284DB4">
      <w:pPr>
        <w:pStyle w:val="NoSpacing"/>
      </w:pPr>
      <w:r>
        <w:t>5.       Number of patients or transfusion episodes is unavailable</w:t>
      </w:r>
    </w:p>
    <w:p w14:paraId="3485EA9F" w14:textId="77777777" w:rsidR="00284DB4" w:rsidRDefault="00284DB4" w:rsidP="00284DB4">
      <w:pPr>
        <w:pStyle w:val="NoSpacing"/>
      </w:pPr>
    </w:p>
    <w:p w14:paraId="2E36132A" w14:textId="31017191" w:rsidR="00105018" w:rsidRPr="00105018" w:rsidRDefault="00105018" w:rsidP="00105018">
      <w:pPr>
        <w:pStyle w:val="Caption"/>
        <w:keepNext/>
        <w:spacing w:after="0"/>
        <w:rPr>
          <w:color w:val="auto"/>
        </w:rPr>
      </w:pPr>
      <w:bookmarkStart w:id="46" w:name="_Toc41909305"/>
      <w:r w:rsidRPr="00105018">
        <w:rPr>
          <w:color w:val="auto"/>
        </w:rPr>
        <w:t xml:space="preserve">Table </w:t>
      </w:r>
      <w:r w:rsidRPr="00105018">
        <w:rPr>
          <w:color w:val="auto"/>
        </w:rPr>
        <w:fldChar w:fldCharType="begin"/>
      </w:r>
      <w:r w:rsidRPr="00105018">
        <w:rPr>
          <w:color w:val="auto"/>
        </w:rPr>
        <w:instrText xml:space="preserve"> SEQ Table \* ARABIC </w:instrText>
      </w:r>
      <w:r w:rsidRPr="00105018">
        <w:rPr>
          <w:color w:val="auto"/>
        </w:rPr>
        <w:fldChar w:fldCharType="separate"/>
      </w:r>
      <w:r w:rsidR="00942707">
        <w:rPr>
          <w:noProof/>
          <w:color w:val="auto"/>
        </w:rPr>
        <w:t>13</w:t>
      </w:r>
      <w:r w:rsidRPr="00105018">
        <w:rPr>
          <w:color w:val="auto"/>
        </w:rPr>
        <w:fldChar w:fldCharType="end"/>
      </w:r>
      <w:r w:rsidRPr="00105018">
        <w:rPr>
          <w:color w:val="auto"/>
        </w:rPr>
        <w:t>: Serious adverse events by product, 2012-13 to 2016-17</w:t>
      </w:r>
      <w:bookmarkEnd w:id="45"/>
      <w:bookmarkEnd w:id="46"/>
    </w:p>
    <w:p w14:paraId="2EC3DACB" w14:textId="20EB4CE7" w:rsidR="00284DB4" w:rsidRDefault="00284DB4">
      <w:pPr>
        <w:spacing w:line="276" w:lineRule="auto"/>
      </w:pPr>
      <w:r w:rsidRPr="00284DB4">
        <w:rPr>
          <w:noProof/>
          <w:lang w:eastAsia="en-AU"/>
        </w:rPr>
        <w:drawing>
          <wp:inline distT="0" distB="0" distL="0" distR="0" wp14:anchorId="01DB2235" wp14:editId="03937912">
            <wp:extent cx="5926455" cy="225883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6455" cy="2258834"/>
                    </a:xfrm>
                    <a:prstGeom prst="rect">
                      <a:avLst/>
                    </a:prstGeom>
                    <a:noFill/>
                    <a:ln>
                      <a:noFill/>
                    </a:ln>
                  </pic:spPr>
                </pic:pic>
              </a:graphicData>
            </a:graphic>
          </wp:inline>
        </w:drawing>
      </w:r>
    </w:p>
    <w:p w14:paraId="737B07FD" w14:textId="77777777" w:rsidR="00284DB4" w:rsidRDefault="00284DB4" w:rsidP="00284DB4">
      <w:pPr>
        <w:pStyle w:val="NoSpacing"/>
      </w:pPr>
      <w:r>
        <w:t>Notes</w:t>
      </w:r>
    </w:p>
    <w:p w14:paraId="51EE61EE" w14:textId="51816AB5" w:rsidR="00284DB4" w:rsidRDefault="00284DB4" w:rsidP="00284DB4">
      <w:pPr>
        <w:pStyle w:val="NoSpacing"/>
      </w:pPr>
      <w:r>
        <w:t>1.       ACT reported zero adverse events for 2013–14 and 2014–15</w:t>
      </w:r>
    </w:p>
    <w:p w14:paraId="412FCC64" w14:textId="6DF2E4FF" w:rsidR="00284DB4" w:rsidRDefault="00284DB4" w:rsidP="00284DB4">
      <w:pPr>
        <w:pStyle w:val="NoSpacing"/>
      </w:pPr>
      <w:r>
        <w:t>2.       QLD did not contribute data for 2012–13</w:t>
      </w:r>
    </w:p>
    <w:p w14:paraId="61C0E581" w14:textId="60B8CA0B" w:rsidR="00284DB4" w:rsidRDefault="00284DB4" w:rsidP="00284DB4">
      <w:pPr>
        <w:pStyle w:val="NoSpacing"/>
      </w:pPr>
      <w:r>
        <w:t>3.       WA did not contribute data from 2012–13 to 2014–15</w:t>
      </w:r>
    </w:p>
    <w:p w14:paraId="40316326" w14:textId="55594BE2" w:rsidR="00284DB4" w:rsidRDefault="00284DB4" w:rsidP="00284DB4">
      <w:pPr>
        <w:pStyle w:val="NoSpacing"/>
      </w:pPr>
      <w:r>
        <w:t>4.       All TTIs were suspected but not confirmed bacterial infections</w:t>
      </w:r>
    </w:p>
    <w:p w14:paraId="7DF1F016" w14:textId="77A7F06A" w:rsidR="00871089" w:rsidRPr="00284DB4" w:rsidRDefault="00284DB4" w:rsidP="00284DB4">
      <w:pPr>
        <w:pStyle w:val="NoSpacing"/>
      </w:pPr>
      <w:r>
        <w:t>5.       Number of patients or transfusion episodes is unavailable</w:t>
      </w:r>
    </w:p>
    <w:p w14:paraId="6BE99215" w14:textId="32C1135F" w:rsidR="00105018" w:rsidRDefault="00105018" w:rsidP="00105018">
      <w:pPr>
        <w:pStyle w:val="Caption"/>
        <w:keepNext/>
        <w:spacing w:after="0"/>
        <w:rPr>
          <w:color w:val="auto"/>
        </w:rPr>
      </w:pPr>
      <w:bookmarkStart w:id="47" w:name="_Toc36208164"/>
      <w:bookmarkStart w:id="48" w:name="_Toc41909306"/>
      <w:r w:rsidRPr="00253126">
        <w:rPr>
          <w:color w:val="auto"/>
        </w:rPr>
        <w:lastRenderedPageBreak/>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14</w:t>
      </w:r>
      <w:r w:rsidRPr="00253126">
        <w:rPr>
          <w:color w:val="auto"/>
        </w:rPr>
        <w:fldChar w:fldCharType="end"/>
      </w:r>
      <w:r w:rsidRPr="00253126">
        <w:rPr>
          <w:color w:val="auto"/>
        </w:rPr>
        <w:t>: Serious adverse events by transfusion time, 2012-13 to 2016-17</w:t>
      </w:r>
      <w:bookmarkEnd w:id="47"/>
      <w:bookmarkEnd w:id="48"/>
    </w:p>
    <w:p w14:paraId="3410F02A" w14:textId="068E69D3" w:rsidR="002C1AB9" w:rsidRPr="002C1AB9" w:rsidRDefault="00284DB4" w:rsidP="002C1AB9">
      <w:r w:rsidRPr="00284DB4">
        <w:rPr>
          <w:noProof/>
          <w:lang w:eastAsia="en-AU"/>
        </w:rPr>
        <w:drawing>
          <wp:inline distT="0" distB="0" distL="0" distR="0" wp14:anchorId="521D3321" wp14:editId="52BF0E24">
            <wp:extent cx="5542280" cy="119253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2280" cy="1192530"/>
                    </a:xfrm>
                    <a:prstGeom prst="rect">
                      <a:avLst/>
                    </a:prstGeom>
                    <a:noFill/>
                    <a:ln>
                      <a:noFill/>
                    </a:ln>
                  </pic:spPr>
                </pic:pic>
              </a:graphicData>
            </a:graphic>
          </wp:inline>
        </w:drawing>
      </w:r>
    </w:p>
    <w:p w14:paraId="4BBD4934" w14:textId="77777777" w:rsidR="00284DB4" w:rsidRDefault="00284DB4" w:rsidP="00284DB4">
      <w:pPr>
        <w:pStyle w:val="NoSpacing"/>
      </w:pPr>
      <w:r>
        <w:t>Notes</w:t>
      </w:r>
    </w:p>
    <w:p w14:paraId="37AE1D5E" w14:textId="77777777" w:rsidR="00284DB4" w:rsidRDefault="00284DB4" w:rsidP="00284DB4">
      <w:pPr>
        <w:pStyle w:val="NoSpacing"/>
      </w:pPr>
      <w:r>
        <w:t>1.       SA did not report transfusion time data from 2012–13 to 2014–15</w:t>
      </w:r>
    </w:p>
    <w:p w14:paraId="2DA971F2" w14:textId="038DB900" w:rsidR="00284DB4" w:rsidRDefault="00284DB4" w:rsidP="00284DB4">
      <w:pPr>
        <w:pStyle w:val="NoSpacing"/>
      </w:pPr>
      <w:r>
        <w:t>2.       ACT reported zero adverse events for 2013–14 and 2014–15</w:t>
      </w:r>
    </w:p>
    <w:p w14:paraId="58851FBD" w14:textId="2FCC88E8" w:rsidR="00284DB4" w:rsidRDefault="00284DB4" w:rsidP="00284DB4">
      <w:pPr>
        <w:pStyle w:val="NoSpacing"/>
      </w:pPr>
      <w:r>
        <w:t>3.       QLD did not contribute data for 2012–13</w:t>
      </w:r>
    </w:p>
    <w:p w14:paraId="061F72CD" w14:textId="4401F3A8" w:rsidR="00284DB4" w:rsidRDefault="00284DB4" w:rsidP="00284DB4">
      <w:pPr>
        <w:pStyle w:val="NoSpacing"/>
      </w:pPr>
      <w:r>
        <w:t>4.       WA did not contribute data from 2012–13 to 2014–15</w:t>
      </w:r>
    </w:p>
    <w:p w14:paraId="2E6D00BA" w14:textId="0FB96FB8" w:rsidR="009C1B65" w:rsidRDefault="00284DB4" w:rsidP="00284DB4">
      <w:pPr>
        <w:pStyle w:val="NoSpacing"/>
      </w:pPr>
      <w:r>
        <w:t>5.       Number of patients or transfusion episodes is unavailable</w:t>
      </w:r>
    </w:p>
    <w:p w14:paraId="57FFA29C" w14:textId="77777777" w:rsidR="00284DB4" w:rsidRPr="00394948" w:rsidRDefault="00284DB4" w:rsidP="00284DB4">
      <w:pPr>
        <w:pStyle w:val="NoSpacing"/>
      </w:pPr>
    </w:p>
    <w:p w14:paraId="125D06B5" w14:textId="07C64781" w:rsidR="00105018" w:rsidRPr="00253126" w:rsidRDefault="00105018" w:rsidP="00105018">
      <w:pPr>
        <w:pStyle w:val="Caption"/>
        <w:keepNext/>
        <w:spacing w:after="0"/>
        <w:rPr>
          <w:color w:val="auto"/>
        </w:rPr>
      </w:pPr>
      <w:bookmarkStart w:id="49" w:name="_Toc36208165"/>
      <w:bookmarkStart w:id="50" w:name="_Toc41909307"/>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15</w:t>
      </w:r>
      <w:r w:rsidRPr="00253126">
        <w:rPr>
          <w:color w:val="auto"/>
        </w:rPr>
        <w:fldChar w:fldCharType="end"/>
      </w:r>
      <w:r w:rsidRPr="00253126">
        <w:rPr>
          <w:color w:val="auto"/>
        </w:rPr>
        <w:t>: Serious adverse events by week day/weekend, 2012-13 to 2016-17</w:t>
      </w:r>
      <w:bookmarkEnd w:id="49"/>
      <w:bookmarkEnd w:id="50"/>
    </w:p>
    <w:p w14:paraId="6E0DE77D" w14:textId="62132573" w:rsidR="009C1B65" w:rsidRDefault="00284DB4">
      <w:pPr>
        <w:spacing w:line="276" w:lineRule="auto"/>
      </w:pPr>
      <w:r w:rsidRPr="00284DB4">
        <w:rPr>
          <w:noProof/>
          <w:lang w:eastAsia="en-AU"/>
        </w:rPr>
        <w:drawing>
          <wp:inline distT="0" distB="0" distL="0" distR="0" wp14:anchorId="4D317FC6" wp14:editId="0D0DEE0B">
            <wp:extent cx="5136515" cy="99377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6515" cy="993775"/>
                    </a:xfrm>
                    <a:prstGeom prst="rect">
                      <a:avLst/>
                    </a:prstGeom>
                    <a:noFill/>
                    <a:ln>
                      <a:noFill/>
                    </a:ln>
                  </pic:spPr>
                </pic:pic>
              </a:graphicData>
            </a:graphic>
          </wp:inline>
        </w:drawing>
      </w:r>
    </w:p>
    <w:p w14:paraId="4CAD97B6" w14:textId="77777777" w:rsidR="00284DB4" w:rsidRDefault="00284DB4" w:rsidP="00284DB4">
      <w:pPr>
        <w:pStyle w:val="NoSpacing"/>
      </w:pPr>
      <w:r>
        <w:t>Notes</w:t>
      </w:r>
    </w:p>
    <w:p w14:paraId="3AA21050" w14:textId="7415A7A4" w:rsidR="00284DB4" w:rsidRDefault="00284DB4" w:rsidP="00284DB4">
      <w:pPr>
        <w:pStyle w:val="NoSpacing"/>
      </w:pPr>
      <w:r>
        <w:t>1.       ACT reported zero adverse events for 2013–14 and 2014–15</w:t>
      </w:r>
    </w:p>
    <w:p w14:paraId="765895D1" w14:textId="2B4220DD" w:rsidR="00284DB4" w:rsidRDefault="00284DB4" w:rsidP="00284DB4">
      <w:pPr>
        <w:pStyle w:val="NoSpacing"/>
      </w:pPr>
      <w:r>
        <w:t>2.       QLD did not contribute data for 2012–13</w:t>
      </w:r>
    </w:p>
    <w:p w14:paraId="3F785B14" w14:textId="14A4DA20" w:rsidR="00284DB4" w:rsidRDefault="00284DB4" w:rsidP="00284DB4">
      <w:pPr>
        <w:pStyle w:val="NoSpacing"/>
      </w:pPr>
      <w:r>
        <w:t>3.       WA did not contribute data from 2012–13 to 2014–15</w:t>
      </w:r>
    </w:p>
    <w:p w14:paraId="1390A57E" w14:textId="00F6AD73" w:rsidR="00284DB4" w:rsidRDefault="00284DB4" w:rsidP="00284DB4">
      <w:pPr>
        <w:pStyle w:val="NoSpacing"/>
      </w:pPr>
      <w:r>
        <w:t>4.       Number of patients or transfusion episodes is unavailable</w:t>
      </w:r>
    </w:p>
    <w:p w14:paraId="1268C1F6" w14:textId="77777777" w:rsidR="00284DB4" w:rsidRPr="00394948" w:rsidRDefault="00284DB4" w:rsidP="00284DB4">
      <w:pPr>
        <w:pStyle w:val="NoSpacing"/>
      </w:pPr>
    </w:p>
    <w:p w14:paraId="2CFDD79A" w14:textId="6368254B" w:rsidR="00105018" w:rsidRPr="00253126" w:rsidRDefault="00105018" w:rsidP="00105018">
      <w:pPr>
        <w:pStyle w:val="Caption"/>
        <w:keepNext/>
        <w:spacing w:after="0"/>
        <w:rPr>
          <w:color w:val="auto"/>
        </w:rPr>
      </w:pPr>
      <w:bookmarkStart w:id="51" w:name="_Toc36208166"/>
      <w:bookmarkStart w:id="52" w:name="_Toc41909308"/>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16</w:t>
      </w:r>
      <w:r w:rsidRPr="00253126">
        <w:rPr>
          <w:color w:val="auto"/>
        </w:rPr>
        <w:fldChar w:fldCharType="end"/>
      </w:r>
      <w:r w:rsidRPr="00253126">
        <w:rPr>
          <w:color w:val="auto"/>
        </w:rPr>
        <w:t>: Serious adverse events by age group, 2012-13 to 2016-17</w:t>
      </w:r>
      <w:bookmarkEnd w:id="51"/>
      <w:bookmarkEnd w:id="52"/>
    </w:p>
    <w:p w14:paraId="3A295DC9" w14:textId="0C8CC072" w:rsidR="00275046" w:rsidRPr="00394948" w:rsidRDefault="00284DB4">
      <w:pPr>
        <w:spacing w:line="276" w:lineRule="auto"/>
      </w:pPr>
      <w:r w:rsidRPr="00284DB4">
        <w:rPr>
          <w:noProof/>
          <w:lang w:eastAsia="en-AU"/>
        </w:rPr>
        <w:drawing>
          <wp:inline distT="0" distB="0" distL="0" distR="0" wp14:anchorId="31932D2E" wp14:editId="68C0389D">
            <wp:extent cx="5017273" cy="247438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958" cy="2480644"/>
                    </a:xfrm>
                    <a:prstGeom prst="rect">
                      <a:avLst/>
                    </a:prstGeom>
                    <a:noFill/>
                    <a:ln>
                      <a:noFill/>
                    </a:ln>
                  </pic:spPr>
                </pic:pic>
              </a:graphicData>
            </a:graphic>
          </wp:inline>
        </w:drawing>
      </w:r>
    </w:p>
    <w:p w14:paraId="3F71F559" w14:textId="77777777" w:rsidR="00284DB4" w:rsidRDefault="00284DB4" w:rsidP="00284DB4">
      <w:pPr>
        <w:pStyle w:val="NoSpacing"/>
      </w:pPr>
      <w:r>
        <w:t>Notes</w:t>
      </w:r>
    </w:p>
    <w:p w14:paraId="11DE1ED1" w14:textId="078F8E2F" w:rsidR="00284DB4" w:rsidRDefault="00284DB4" w:rsidP="00284DB4">
      <w:pPr>
        <w:pStyle w:val="NoSpacing"/>
      </w:pPr>
      <w:r>
        <w:t>1.       ACT reported zero adverse events for 2013–14 and 2014–15</w:t>
      </w:r>
    </w:p>
    <w:p w14:paraId="1150F658" w14:textId="45C6C90A" w:rsidR="00284DB4" w:rsidRDefault="00284DB4" w:rsidP="00284DB4">
      <w:pPr>
        <w:pStyle w:val="NoSpacing"/>
      </w:pPr>
      <w:r>
        <w:t>2.       QLD did not contribute data for 2012–13</w:t>
      </w:r>
    </w:p>
    <w:p w14:paraId="6A074D35" w14:textId="1C462DF4" w:rsidR="00284DB4" w:rsidRDefault="00284DB4" w:rsidP="00284DB4">
      <w:pPr>
        <w:pStyle w:val="NoSpacing"/>
      </w:pPr>
      <w:r>
        <w:t>3.       WA did not contribute data from 2012–13 to 2014–15</w:t>
      </w:r>
    </w:p>
    <w:p w14:paraId="0FE111BE" w14:textId="2258B9B7" w:rsidR="00105018" w:rsidRDefault="00284DB4" w:rsidP="00284DB4">
      <w:pPr>
        <w:pStyle w:val="NoSpacing"/>
      </w:pPr>
      <w:r>
        <w:t>4.       Number of patients or transfusion episodes is unavailable</w:t>
      </w:r>
      <w:r w:rsidR="00105018">
        <w:br w:type="page"/>
      </w:r>
    </w:p>
    <w:p w14:paraId="325D17B2" w14:textId="6327FB50" w:rsidR="00394948" w:rsidRPr="00810096" w:rsidRDefault="00810096">
      <w:pPr>
        <w:spacing w:line="276" w:lineRule="auto"/>
        <w:rPr>
          <w:b/>
          <w:sz w:val="28"/>
          <w:szCs w:val="28"/>
        </w:rPr>
      </w:pPr>
      <w:r w:rsidRPr="00810096">
        <w:rPr>
          <w:b/>
          <w:sz w:val="28"/>
          <w:szCs w:val="28"/>
        </w:rPr>
        <w:lastRenderedPageBreak/>
        <w:t>Febrile non haemolytic transfusion reaction (FNHTR)</w:t>
      </w:r>
    </w:p>
    <w:p w14:paraId="34A46423" w14:textId="3CB6603C" w:rsidR="00105018" w:rsidRPr="00253126" w:rsidRDefault="00105018" w:rsidP="00105018">
      <w:pPr>
        <w:pStyle w:val="Caption"/>
        <w:keepNext/>
        <w:spacing w:after="0"/>
        <w:rPr>
          <w:color w:val="auto"/>
        </w:rPr>
      </w:pPr>
      <w:bookmarkStart w:id="53" w:name="_Toc36208167"/>
      <w:bookmarkStart w:id="54" w:name="_Toc41909309"/>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17</w:t>
      </w:r>
      <w:r w:rsidRPr="00253126">
        <w:rPr>
          <w:color w:val="auto"/>
        </w:rPr>
        <w:fldChar w:fldCharType="end"/>
      </w:r>
      <w:r w:rsidRPr="00253126">
        <w:rPr>
          <w:color w:val="auto"/>
        </w:rPr>
        <w:t>: FNHTR data summary, 2016-17</w:t>
      </w:r>
      <w:bookmarkEnd w:id="53"/>
      <w:bookmarkEnd w:id="54"/>
    </w:p>
    <w:p w14:paraId="59C4DAAB" w14:textId="63D4D821" w:rsidR="00810096" w:rsidRDefault="009A00FE">
      <w:pPr>
        <w:spacing w:line="276" w:lineRule="auto"/>
      </w:pPr>
      <w:r w:rsidRPr="009A00FE">
        <w:rPr>
          <w:noProof/>
          <w:lang w:eastAsia="en-AU"/>
        </w:rPr>
        <w:drawing>
          <wp:inline distT="0" distB="0" distL="0" distR="0" wp14:anchorId="280ED833" wp14:editId="59162D3B">
            <wp:extent cx="5926455" cy="353505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6455" cy="3535059"/>
                    </a:xfrm>
                    <a:prstGeom prst="rect">
                      <a:avLst/>
                    </a:prstGeom>
                    <a:noFill/>
                    <a:ln>
                      <a:noFill/>
                    </a:ln>
                  </pic:spPr>
                </pic:pic>
              </a:graphicData>
            </a:graphic>
          </wp:inline>
        </w:drawing>
      </w:r>
    </w:p>
    <w:p w14:paraId="3566E541" w14:textId="77777777" w:rsidR="009A00FE" w:rsidRDefault="009A00FE" w:rsidP="009A00FE">
      <w:pPr>
        <w:pStyle w:val="NoSpacing"/>
      </w:pPr>
      <w:r>
        <w:t>Notes</w:t>
      </w:r>
    </w:p>
    <w:p w14:paraId="4775C1A2" w14:textId="77777777" w:rsidR="009A00FE" w:rsidRDefault="009A00FE" w:rsidP="009A00FE">
      <w:pPr>
        <w:pStyle w:val="NoSpacing"/>
      </w:pPr>
      <w:r>
        <w:t>1.        NSW did not report the facility location data and limited reporting of sex data</w:t>
      </w:r>
    </w:p>
    <w:p w14:paraId="3706F530" w14:textId="70FA3EC9" w:rsidR="00810096" w:rsidRDefault="009A00FE" w:rsidP="009A00FE">
      <w:pPr>
        <w:pStyle w:val="NoSpacing"/>
      </w:pPr>
      <w:r>
        <w:t>2.        Number of patients or transfusion episodes is unavailable</w:t>
      </w:r>
    </w:p>
    <w:p w14:paraId="4B47A79F" w14:textId="77777777" w:rsidR="009A00FE" w:rsidRDefault="009A00FE" w:rsidP="009A00FE">
      <w:pPr>
        <w:pStyle w:val="NoSpacing"/>
      </w:pPr>
    </w:p>
    <w:p w14:paraId="5EC83F5F" w14:textId="3F1A6273" w:rsidR="00105018" w:rsidRPr="00253126" w:rsidRDefault="00105018" w:rsidP="00105018">
      <w:pPr>
        <w:pStyle w:val="Caption"/>
        <w:keepNext/>
        <w:spacing w:after="0"/>
        <w:rPr>
          <w:color w:val="auto"/>
        </w:rPr>
      </w:pPr>
      <w:bookmarkStart w:id="55" w:name="_Toc36208168"/>
      <w:bookmarkStart w:id="56" w:name="_Toc41909310"/>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18</w:t>
      </w:r>
      <w:r w:rsidRPr="00253126">
        <w:rPr>
          <w:color w:val="auto"/>
        </w:rPr>
        <w:fldChar w:fldCharType="end"/>
      </w:r>
      <w:r w:rsidRPr="00253126">
        <w:rPr>
          <w:color w:val="auto"/>
        </w:rPr>
        <w:t>: FNHTR clinical outcome severity by imputability, 2016-17</w:t>
      </w:r>
      <w:bookmarkEnd w:id="55"/>
      <w:bookmarkEnd w:id="56"/>
    </w:p>
    <w:p w14:paraId="0A5E6528" w14:textId="52DCCCAE" w:rsidR="00810096" w:rsidRDefault="00810096">
      <w:pPr>
        <w:spacing w:line="276" w:lineRule="auto"/>
      </w:pPr>
      <w:r w:rsidRPr="00810096">
        <w:rPr>
          <w:noProof/>
          <w:lang w:eastAsia="en-AU"/>
        </w:rPr>
        <w:drawing>
          <wp:inline distT="0" distB="0" distL="0" distR="0" wp14:anchorId="4673B6E5" wp14:editId="0856E080">
            <wp:extent cx="4450801" cy="1534987"/>
            <wp:effectExtent l="0" t="0" r="698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a:extLst>
                        <a:ext uri="{28A0092B-C50C-407E-A947-70E740481C1C}">
                          <a14:useLocalDpi xmlns:a14="http://schemas.microsoft.com/office/drawing/2010/main" val="0"/>
                        </a:ext>
                      </a:extLst>
                    </a:blip>
                    <a:srcRect t="10104"/>
                    <a:stretch/>
                  </pic:blipFill>
                  <pic:spPr bwMode="auto">
                    <a:xfrm>
                      <a:off x="0" y="0"/>
                      <a:ext cx="4488341" cy="1547934"/>
                    </a:xfrm>
                    <a:prstGeom prst="rect">
                      <a:avLst/>
                    </a:prstGeom>
                    <a:noFill/>
                    <a:ln>
                      <a:noFill/>
                    </a:ln>
                    <a:extLst>
                      <a:ext uri="{53640926-AAD7-44D8-BBD7-CCE9431645EC}">
                        <a14:shadowObscured xmlns:a14="http://schemas.microsoft.com/office/drawing/2010/main"/>
                      </a:ext>
                    </a:extLst>
                  </pic:spPr>
                </pic:pic>
              </a:graphicData>
            </a:graphic>
          </wp:inline>
        </w:drawing>
      </w:r>
    </w:p>
    <w:p w14:paraId="7ED2CEDB" w14:textId="3C7C146F" w:rsidR="00810096" w:rsidRDefault="00810096">
      <w:pPr>
        <w:spacing w:line="276" w:lineRule="auto"/>
      </w:pPr>
      <w:r>
        <w:br w:type="page"/>
      </w:r>
    </w:p>
    <w:p w14:paraId="7F28BDFD" w14:textId="12CE9460" w:rsidR="00810096" w:rsidRDefault="00810096">
      <w:pPr>
        <w:spacing w:line="276" w:lineRule="auto"/>
        <w:rPr>
          <w:b/>
        </w:rPr>
      </w:pPr>
      <w:r w:rsidRPr="00810096">
        <w:rPr>
          <w:b/>
          <w:sz w:val="28"/>
          <w:szCs w:val="28"/>
        </w:rPr>
        <w:lastRenderedPageBreak/>
        <w:t>Allergic reaction</w:t>
      </w:r>
    </w:p>
    <w:p w14:paraId="11831332" w14:textId="4A977FB2" w:rsidR="00105018" w:rsidRPr="00253126" w:rsidRDefault="00105018" w:rsidP="00105018">
      <w:pPr>
        <w:pStyle w:val="Caption"/>
        <w:keepNext/>
        <w:spacing w:after="0"/>
        <w:rPr>
          <w:color w:val="auto"/>
        </w:rPr>
      </w:pPr>
      <w:bookmarkStart w:id="57" w:name="_Toc36208169"/>
      <w:bookmarkStart w:id="58" w:name="_Toc41909311"/>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19</w:t>
      </w:r>
      <w:r w:rsidRPr="00253126">
        <w:rPr>
          <w:color w:val="auto"/>
        </w:rPr>
        <w:fldChar w:fldCharType="end"/>
      </w:r>
      <w:r w:rsidRPr="00253126">
        <w:rPr>
          <w:color w:val="auto"/>
        </w:rPr>
        <w:t>: Allergic reaction data summary, 2016-17</w:t>
      </w:r>
      <w:bookmarkEnd w:id="57"/>
      <w:bookmarkEnd w:id="58"/>
    </w:p>
    <w:p w14:paraId="1A1EF361" w14:textId="0D6C15AD" w:rsidR="00810096" w:rsidRDefault="009A00FE">
      <w:pPr>
        <w:spacing w:line="276" w:lineRule="auto"/>
        <w:rPr>
          <w:b/>
        </w:rPr>
      </w:pPr>
      <w:r w:rsidRPr="009A00FE">
        <w:rPr>
          <w:noProof/>
          <w:lang w:eastAsia="en-AU"/>
        </w:rPr>
        <w:drawing>
          <wp:inline distT="0" distB="0" distL="0" distR="0" wp14:anchorId="42C41EEA" wp14:editId="1C36FB23">
            <wp:extent cx="5926455" cy="35323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6455" cy="3532376"/>
                    </a:xfrm>
                    <a:prstGeom prst="rect">
                      <a:avLst/>
                    </a:prstGeom>
                    <a:noFill/>
                    <a:ln>
                      <a:noFill/>
                    </a:ln>
                  </pic:spPr>
                </pic:pic>
              </a:graphicData>
            </a:graphic>
          </wp:inline>
        </w:drawing>
      </w:r>
    </w:p>
    <w:p w14:paraId="7FF8D584" w14:textId="77777777" w:rsidR="009A00FE" w:rsidRDefault="009A00FE" w:rsidP="009A00FE">
      <w:pPr>
        <w:pStyle w:val="NoSpacing"/>
      </w:pPr>
      <w:r>
        <w:t>Notes</w:t>
      </w:r>
    </w:p>
    <w:p w14:paraId="0824136E" w14:textId="77777777" w:rsidR="009A00FE" w:rsidRDefault="009A00FE" w:rsidP="009A00FE">
      <w:pPr>
        <w:pStyle w:val="NoSpacing"/>
      </w:pPr>
      <w:r>
        <w:t>1.        NSW did not report the facility location data and limited reporting of sex data</w:t>
      </w:r>
    </w:p>
    <w:p w14:paraId="04202F65" w14:textId="15A2FEB1" w:rsidR="00810096" w:rsidRDefault="009A00FE" w:rsidP="009A00FE">
      <w:pPr>
        <w:pStyle w:val="NoSpacing"/>
      </w:pPr>
      <w:r>
        <w:t>2.        Number of patients or transfusion episodes is unavailable</w:t>
      </w:r>
    </w:p>
    <w:p w14:paraId="291198CE" w14:textId="77777777" w:rsidR="009A00FE" w:rsidRDefault="009A00FE" w:rsidP="009A00FE">
      <w:pPr>
        <w:pStyle w:val="NoSpacing"/>
      </w:pPr>
    </w:p>
    <w:p w14:paraId="0E886574" w14:textId="2870C7C5" w:rsidR="00105018" w:rsidRPr="00253126" w:rsidRDefault="00105018" w:rsidP="00105018">
      <w:pPr>
        <w:pStyle w:val="Caption"/>
        <w:keepNext/>
        <w:spacing w:after="0"/>
        <w:rPr>
          <w:color w:val="auto"/>
        </w:rPr>
      </w:pPr>
      <w:bookmarkStart w:id="59" w:name="_Toc36208170"/>
      <w:bookmarkStart w:id="60" w:name="_Toc41909312"/>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20</w:t>
      </w:r>
      <w:r w:rsidRPr="00253126">
        <w:rPr>
          <w:color w:val="auto"/>
        </w:rPr>
        <w:fldChar w:fldCharType="end"/>
      </w:r>
      <w:r w:rsidRPr="00253126">
        <w:rPr>
          <w:color w:val="auto"/>
        </w:rPr>
        <w:t>: Allergic reaction clinical outcome severity by imputability, 2016-17</w:t>
      </w:r>
      <w:bookmarkEnd w:id="59"/>
      <w:bookmarkEnd w:id="60"/>
    </w:p>
    <w:p w14:paraId="08166B15" w14:textId="11AA0E8C" w:rsidR="00810096" w:rsidRDefault="00810096">
      <w:pPr>
        <w:spacing w:line="276" w:lineRule="auto"/>
        <w:rPr>
          <w:b/>
        </w:rPr>
      </w:pPr>
      <w:r w:rsidRPr="00810096">
        <w:rPr>
          <w:noProof/>
          <w:lang w:eastAsia="en-AU"/>
        </w:rPr>
        <w:drawing>
          <wp:inline distT="0" distB="0" distL="0" distR="0" wp14:anchorId="6E596612" wp14:editId="32BAFC10">
            <wp:extent cx="4184122" cy="147477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a:extLst>
                        <a:ext uri="{28A0092B-C50C-407E-A947-70E740481C1C}">
                          <a14:useLocalDpi xmlns:a14="http://schemas.microsoft.com/office/drawing/2010/main" val="0"/>
                        </a:ext>
                      </a:extLst>
                    </a:blip>
                    <a:srcRect t="9526"/>
                    <a:stretch/>
                  </pic:blipFill>
                  <pic:spPr bwMode="auto">
                    <a:xfrm>
                      <a:off x="0" y="0"/>
                      <a:ext cx="4201531" cy="1480906"/>
                    </a:xfrm>
                    <a:prstGeom prst="rect">
                      <a:avLst/>
                    </a:prstGeom>
                    <a:noFill/>
                    <a:ln>
                      <a:noFill/>
                    </a:ln>
                    <a:extLst>
                      <a:ext uri="{53640926-AAD7-44D8-BBD7-CCE9431645EC}">
                        <a14:shadowObscured xmlns:a14="http://schemas.microsoft.com/office/drawing/2010/main"/>
                      </a:ext>
                    </a:extLst>
                  </pic:spPr>
                </pic:pic>
              </a:graphicData>
            </a:graphic>
          </wp:inline>
        </w:drawing>
      </w:r>
    </w:p>
    <w:p w14:paraId="43FCCE4D" w14:textId="7E8F1838" w:rsidR="00810096" w:rsidRDefault="00810096">
      <w:pPr>
        <w:spacing w:line="276" w:lineRule="auto"/>
        <w:rPr>
          <w:b/>
        </w:rPr>
      </w:pPr>
      <w:r>
        <w:rPr>
          <w:b/>
        </w:rPr>
        <w:br w:type="page"/>
      </w:r>
    </w:p>
    <w:p w14:paraId="52A10AA3" w14:textId="7E4F824A" w:rsidR="00810096" w:rsidRPr="008D67C7" w:rsidRDefault="00810096">
      <w:pPr>
        <w:spacing w:line="276" w:lineRule="auto"/>
        <w:rPr>
          <w:b/>
          <w:sz w:val="28"/>
          <w:szCs w:val="28"/>
        </w:rPr>
      </w:pPr>
      <w:r w:rsidRPr="008D67C7">
        <w:rPr>
          <w:b/>
          <w:sz w:val="28"/>
          <w:szCs w:val="28"/>
        </w:rPr>
        <w:lastRenderedPageBreak/>
        <w:t>Transfusion-associated circulatory overload (TACO)</w:t>
      </w:r>
    </w:p>
    <w:p w14:paraId="03806E26" w14:textId="62732774" w:rsidR="00105018" w:rsidRPr="00253126" w:rsidRDefault="00105018" w:rsidP="00105018">
      <w:pPr>
        <w:pStyle w:val="Caption"/>
        <w:keepNext/>
        <w:spacing w:after="0"/>
        <w:rPr>
          <w:color w:val="auto"/>
        </w:rPr>
      </w:pPr>
      <w:bookmarkStart w:id="61" w:name="_Toc36208171"/>
      <w:bookmarkStart w:id="62" w:name="_Toc41909313"/>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21</w:t>
      </w:r>
      <w:r w:rsidRPr="00253126">
        <w:rPr>
          <w:color w:val="auto"/>
        </w:rPr>
        <w:fldChar w:fldCharType="end"/>
      </w:r>
      <w:r w:rsidRPr="00253126">
        <w:rPr>
          <w:color w:val="auto"/>
        </w:rPr>
        <w:t>: TACO data summary, 2016-17</w:t>
      </w:r>
      <w:bookmarkEnd w:id="61"/>
      <w:bookmarkEnd w:id="62"/>
    </w:p>
    <w:p w14:paraId="4B465761" w14:textId="47A1FF92" w:rsidR="00810096" w:rsidRDefault="009A00FE">
      <w:pPr>
        <w:spacing w:line="276" w:lineRule="auto"/>
        <w:rPr>
          <w:b/>
        </w:rPr>
      </w:pPr>
      <w:r w:rsidRPr="009A00FE">
        <w:rPr>
          <w:noProof/>
          <w:lang w:eastAsia="en-AU"/>
        </w:rPr>
        <w:drawing>
          <wp:inline distT="0" distB="0" distL="0" distR="0" wp14:anchorId="5CB8FB53" wp14:editId="256C91B2">
            <wp:extent cx="5926455" cy="351593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6455" cy="3515937"/>
                    </a:xfrm>
                    <a:prstGeom prst="rect">
                      <a:avLst/>
                    </a:prstGeom>
                    <a:noFill/>
                    <a:ln>
                      <a:noFill/>
                    </a:ln>
                  </pic:spPr>
                </pic:pic>
              </a:graphicData>
            </a:graphic>
          </wp:inline>
        </w:drawing>
      </w:r>
    </w:p>
    <w:p w14:paraId="0B447EC6" w14:textId="77777777" w:rsidR="009A00FE" w:rsidRDefault="009A00FE" w:rsidP="009A00FE">
      <w:pPr>
        <w:pStyle w:val="NoSpacing"/>
      </w:pPr>
      <w:r>
        <w:t>Notes</w:t>
      </w:r>
    </w:p>
    <w:p w14:paraId="5DC02DB9" w14:textId="77777777" w:rsidR="009A00FE" w:rsidRDefault="009A00FE" w:rsidP="009A00FE">
      <w:pPr>
        <w:pStyle w:val="NoSpacing"/>
      </w:pPr>
      <w:r>
        <w:t>1.        NSW did not report the facility location data and limited reporting of sex data</w:t>
      </w:r>
    </w:p>
    <w:p w14:paraId="6C8A46F9" w14:textId="4065B377" w:rsidR="00810096" w:rsidRDefault="009A00FE" w:rsidP="009A00FE">
      <w:pPr>
        <w:pStyle w:val="NoSpacing"/>
      </w:pPr>
      <w:r>
        <w:t>2.        Number of patients or transfusion episodes is unavailable</w:t>
      </w:r>
    </w:p>
    <w:p w14:paraId="18A2B553" w14:textId="77777777" w:rsidR="009A00FE" w:rsidRDefault="009A00FE" w:rsidP="009A00FE">
      <w:pPr>
        <w:pStyle w:val="NoSpacing"/>
      </w:pPr>
    </w:p>
    <w:p w14:paraId="4A00609B" w14:textId="6C786759" w:rsidR="0015084B" w:rsidRPr="00253126" w:rsidRDefault="0015084B" w:rsidP="0015084B">
      <w:pPr>
        <w:pStyle w:val="Caption"/>
        <w:keepNext/>
        <w:spacing w:after="0"/>
        <w:rPr>
          <w:color w:val="auto"/>
        </w:rPr>
      </w:pPr>
      <w:bookmarkStart w:id="63" w:name="_Toc36208172"/>
      <w:bookmarkStart w:id="64" w:name="_Toc41909314"/>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22</w:t>
      </w:r>
      <w:r w:rsidRPr="00253126">
        <w:rPr>
          <w:color w:val="auto"/>
        </w:rPr>
        <w:fldChar w:fldCharType="end"/>
      </w:r>
      <w:r w:rsidRPr="00253126">
        <w:rPr>
          <w:color w:val="auto"/>
        </w:rPr>
        <w:t>: TACO clinical outcome severity by imputability, 2016-17</w:t>
      </w:r>
      <w:bookmarkEnd w:id="63"/>
      <w:bookmarkEnd w:id="64"/>
    </w:p>
    <w:p w14:paraId="2ECE8D41" w14:textId="6DC11418" w:rsidR="00810096" w:rsidRDefault="00810096">
      <w:pPr>
        <w:spacing w:line="276" w:lineRule="auto"/>
        <w:rPr>
          <w:b/>
        </w:rPr>
      </w:pPr>
      <w:r w:rsidRPr="00810096">
        <w:rPr>
          <w:noProof/>
          <w:lang w:eastAsia="en-AU"/>
        </w:rPr>
        <w:drawing>
          <wp:inline distT="0" distB="0" distL="0" distR="0" wp14:anchorId="2E2C5312" wp14:editId="1F886478">
            <wp:extent cx="4190604" cy="1474506"/>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a:extLst>
                        <a:ext uri="{28A0092B-C50C-407E-A947-70E740481C1C}">
                          <a14:useLocalDpi xmlns:a14="http://schemas.microsoft.com/office/drawing/2010/main" val="0"/>
                        </a:ext>
                      </a:extLst>
                    </a:blip>
                    <a:srcRect t="9046"/>
                    <a:stretch/>
                  </pic:blipFill>
                  <pic:spPr bwMode="auto">
                    <a:xfrm>
                      <a:off x="0" y="0"/>
                      <a:ext cx="4221083" cy="1485230"/>
                    </a:xfrm>
                    <a:prstGeom prst="rect">
                      <a:avLst/>
                    </a:prstGeom>
                    <a:noFill/>
                    <a:ln>
                      <a:noFill/>
                    </a:ln>
                    <a:extLst>
                      <a:ext uri="{53640926-AAD7-44D8-BBD7-CCE9431645EC}">
                        <a14:shadowObscured xmlns:a14="http://schemas.microsoft.com/office/drawing/2010/main"/>
                      </a:ext>
                    </a:extLst>
                  </pic:spPr>
                </pic:pic>
              </a:graphicData>
            </a:graphic>
          </wp:inline>
        </w:drawing>
      </w:r>
    </w:p>
    <w:p w14:paraId="232CD26F" w14:textId="3D3D4EA0" w:rsidR="00810096" w:rsidRDefault="00810096">
      <w:pPr>
        <w:spacing w:line="276" w:lineRule="auto"/>
        <w:rPr>
          <w:b/>
        </w:rPr>
      </w:pPr>
      <w:r>
        <w:rPr>
          <w:b/>
        </w:rPr>
        <w:br w:type="page"/>
      </w:r>
    </w:p>
    <w:p w14:paraId="73FE308E" w14:textId="40476EB5" w:rsidR="00810096" w:rsidRPr="00810096" w:rsidRDefault="00810096">
      <w:pPr>
        <w:spacing w:line="276" w:lineRule="auto"/>
        <w:rPr>
          <w:b/>
          <w:sz w:val="28"/>
          <w:szCs w:val="28"/>
        </w:rPr>
      </w:pPr>
      <w:r w:rsidRPr="00810096">
        <w:rPr>
          <w:b/>
          <w:sz w:val="28"/>
          <w:szCs w:val="28"/>
        </w:rPr>
        <w:lastRenderedPageBreak/>
        <w:t>Incorrect blood component transfused (IBCT)</w:t>
      </w:r>
    </w:p>
    <w:p w14:paraId="28DB7B34" w14:textId="08EAD65A" w:rsidR="00EE205F" w:rsidRPr="00253126" w:rsidRDefault="00EE205F" w:rsidP="00EE205F">
      <w:pPr>
        <w:pStyle w:val="Caption"/>
        <w:keepNext/>
        <w:spacing w:after="0"/>
        <w:rPr>
          <w:color w:val="auto"/>
        </w:rPr>
      </w:pPr>
      <w:bookmarkStart w:id="65" w:name="_Toc36208173"/>
      <w:bookmarkStart w:id="66" w:name="_Toc41909315"/>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23</w:t>
      </w:r>
      <w:r w:rsidRPr="00253126">
        <w:rPr>
          <w:color w:val="auto"/>
        </w:rPr>
        <w:fldChar w:fldCharType="end"/>
      </w:r>
      <w:r w:rsidRPr="00253126">
        <w:rPr>
          <w:color w:val="auto"/>
        </w:rPr>
        <w:t>: IBCT data summary, 2016-17</w:t>
      </w:r>
      <w:bookmarkEnd w:id="65"/>
      <w:bookmarkEnd w:id="66"/>
    </w:p>
    <w:p w14:paraId="0F92682C" w14:textId="14851EC7" w:rsidR="00810096" w:rsidRDefault="004D0A41">
      <w:pPr>
        <w:spacing w:line="276" w:lineRule="auto"/>
      </w:pPr>
      <w:r w:rsidRPr="004D0A41">
        <w:rPr>
          <w:noProof/>
          <w:lang w:eastAsia="en-AU"/>
        </w:rPr>
        <w:drawing>
          <wp:inline distT="0" distB="0" distL="0" distR="0" wp14:anchorId="5206B631" wp14:editId="4F97883C">
            <wp:extent cx="5926455" cy="35284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455" cy="3528416"/>
                    </a:xfrm>
                    <a:prstGeom prst="rect">
                      <a:avLst/>
                    </a:prstGeom>
                    <a:noFill/>
                    <a:ln>
                      <a:noFill/>
                    </a:ln>
                  </pic:spPr>
                </pic:pic>
              </a:graphicData>
            </a:graphic>
          </wp:inline>
        </w:drawing>
      </w:r>
    </w:p>
    <w:p w14:paraId="5AF29438" w14:textId="77777777" w:rsidR="004D0A41" w:rsidRDefault="004D0A41" w:rsidP="004D0A41">
      <w:pPr>
        <w:pStyle w:val="NoSpacing"/>
      </w:pPr>
      <w:r>
        <w:t>Notes</w:t>
      </w:r>
    </w:p>
    <w:p w14:paraId="272CFCB7" w14:textId="77777777" w:rsidR="004D0A41" w:rsidRDefault="004D0A41" w:rsidP="004D0A41">
      <w:pPr>
        <w:pStyle w:val="NoSpacing"/>
      </w:pPr>
      <w:r>
        <w:t>1.        NSW did not report the facility location data and limited reporting of sex data</w:t>
      </w:r>
    </w:p>
    <w:p w14:paraId="5CFB2F49" w14:textId="441ACEC6" w:rsidR="00EE205F" w:rsidRDefault="004D0A41" w:rsidP="004D0A41">
      <w:pPr>
        <w:pStyle w:val="NoSpacing"/>
      </w:pPr>
      <w:r>
        <w:t>2.        Number of patients or transfusion episodes is unavailable</w:t>
      </w:r>
    </w:p>
    <w:p w14:paraId="537B5925" w14:textId="77777777" w:rsidR="004D0A41" w:rsidRDefault="004D0A41" w:rsidP="004D0A41">
      <w:pPr>
        <w:pStyle w:val="NoSpacing"/>
      </w:pPr>
    </w:p>
    <w:p w14:paraId="46BCCEB9" w14:textId="70B4687C" w:rsidR="00EE205F" w:rsidRPr="00253126" w:rsidRDefault="00EE205F" w:rsidP="00EE205F">
      <w:pPr>
        <w:pStyle w:val="Caption"/>
        <w:keepNext/>
        <w:spacing w:after="0"/>
        <w:rPr>
          <w:color w:val="auto"/>
        </w:rPr>
      </w:pPr>
      <w:bookmarkStart w:id="67" w:name="_Toc36208174"/>
      <w:bookmarkStart w:id="68" w:name="_Toc41909316"/>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24</w:t>
      </w:r>
      <w:r w:rsidRPr="00253126">
        <w:rPr>
          <w:color w:val="auto"/>
        </w:rPr>
        <w:fldChar w:fldCharType="end"/>
      </w:r>
      <w:r w:rsidRPr="00253126">
        <w:rPr>
          <w:color w:val="auto"/>
        </w:rPr>
        <w:t>: IBCT clinical outcome severity by imputability, 2016-17</w:t>
      </w:r>
      <w:bookmarkEnd w:id="67"/>
      <w:bookmarkEnd w:id="68"/>
    </w:p>
    <w:p w14:paraId="3923CF47" w14:textId="7B4474DA" w:rsidR="00970E01" w:rsidRDefault="00970E01">
      <w:pPr>
        <w:spacing w:line="276" w:lineRule="auto"/>
      </w:pPr>
      <w:r w:rsidRPr="00970E01">
        <w:rPr>
          <w:noProof/>
          <w:lang w:eastAsia="en-AU"/>
        </w:rPr>
        <w:drawing>
          <wp:inline distT="0" distB="0" distL="0" distR="0" wp14:anchorId="2B96EB3F" wp14:editId="3E54563E">
            <wp:extent cx="4157832" cy="1439844"/>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a:extLst>
                        <a:ext uri="{28A0092B-C50C-407E-A947-70E740481C1C}">
                          <a14:useLocalDpi xmlns:a14="http://schemas.microsoft.com/office/drawing/2010/main" val="0"/>
                        </a:ext>
                      </a:extLst>
                    </a:blip>
                    <a:srcRect t="9734"/>
                    <a:stretch/>
                  </pic:blipFill>
                  <pic:spPr bwMode="auto">
                    <a:xfrm>
                      <a:off x="0" y="0"/>
                      <a:ext cx="4179084" cy="1447203"/>
                    </a:xfrm>
                    <a:prstGeom prst="rect">
                      <a:avLst/>
                    </a:prstGeom>
                    <a:noFill/>
                    <a:ln>
                      <a:noFill/>
                    </a:ln>
                    <a:extLst>
                      <a:ext uri="{53640926-AAD7-44D8-BBD7-CCE9431645EC}">
                        <a14:shadowObscured xmlns:a14="http://schemas.microsoft.com/office/drawing/2010/main"/>
                      </a:ext>
                    </a:extLst>
                  </pic:spPr>
                </pic:pic>
              </a:graphicData>
            </a:graphic>
          </wp:inline>
        </w:drawing>
      </w:r>
    </w:p>
    <w:p w14:paraId="70174566" w14:textId="3E8777EF" w:rsidR="00EE205F" w:rsidRPr="00253126" w:rsidRDefault="00EE205F" w:rsidP="00EE205F">
      <w:pPr>
        <w:pStyle w:val="Caption"/>
        <w:keepNext/>
        <w:spacing w:after="0"/>
        <w:rPr>
          <w:color w:val="auto"/>
        </w:rPr>
      </w:pPr>
      <w:bookmarkStart w:id="69" w:name="_Toc36208175"/>
      <w:bookmarkStart w:id="70" w:name="_Toc41909317"/>
      <w:r w:rsidRPr="00253126">
        <w:rPr>
          <w:color w:val="auto"/>
        </w:rPr>
        <w:lastRenderedPageBreak/>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25</w:t>
      </w:r>
      <w:r w:rsidRPr="00253126">
        <w:rPr>
          <w:color w:val="auto"/>
        </w:rPr>
        <w:fldChar w:fldCharType="end"/>
      </w:r>
      <w:r w:rsidRPr="00253126">
        <w:rPr>
          <w:color w:val="auto"/>
        </w:rPr>
        <w:t>: Contributory factors cited in IBCT, 2012-13 to 2016-17</w:t>
      </w:r>
      <w:bookmarkEnd w:id="69"/>
      <w:bookmarkEnd w:id="70"/>
    </w:p>
    <w:p w14:paraId="3FDAF00E" w14:textId="1DC6CECD" w:rsidR="00F86065" w:rsidRPr="00810096" w:rsidRDefault="004D0A41">
      <w:pPr>
        <w:spacing w:line="276" w:lineRule="auto"/>
      </w:pPr>
      <w:r w:rsidRPr="004D0A41">
        <w:rPr>
          <w:noProof/>
          <w:lang w:eastAsia="en-AU"/>
        </w:rPr>
        <w:drawing>
          <wp:inline distT="0" distB="0" distL="0" distR="0" wp14:anchorId="52D76F1F" wp14:editId="45B857E6">
            <wp:extent cx="4627659" cy="2647389"/>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3363" cy="2650652"/>
                    </a:xfrm>
                    <a:prstGeom prst="rect">
                      <a:avLst/>
                    </a:prstGeom>
                    <a:noFill/>
                    <a:ln>
                      <a:noFill/>
                    </a:ln>
                  </pic:spPr>
                </pic:pic>
              </a:graphicData>
            </a:graphic>
          </wp:inline>
        </w:drawing>
      </w:r>
    </w:p>
    <w:p w14:paraId="221B3326" w14:textId="77777777" w:rsidR="004D0A41" w:rsidRDefault="004D0A41" w:rsidP="004D0A41">
      <w:pPr>
        <w:pStyle w:val="NoSpacing"/>
      </w:pPr>
      <w:r>
        <w:t>Notes</w:t>
      </w:r>
    </w:p>
    <w:p w14:paraId="088604C9" w14:textId="77777777" w:rsidR="004D0A41" w:rsidRDefault="004D0A41" w:rsidP="004D0A41">
      <w:pPr>
        <w:pStyle w:val="NoSpacing"/>
      </w:pPr>
      <w:r>
        <w:t>1.       Contributory factors are not reported for SA</w:t>
      </w:r>
    </w:p>
    <w:p w14:paraId="6A992865" w14:textId="18724D8B" w:rsidR="00F86065" w:rsidRDefault="004D0A41" w:rsidP="004D0A41">
      <w:pPr>
        <w:pStyle w:val="NoSpacing"/>
      </w:pPr>
      <w:r>
        <w:t>2.        * refers to potentially avoidable human errors</w:t>
      </w:r>
      <w:r w:rsidR="00F86065">
        <w:br w:type="page"/>
      </w:r>
    </w:p>
    <w:p w14:paraId="6E26E90B" w14:textId="7F9D0ABA" w:rsidR="00394948" w:rsidRPr="00F86065" w:rsidRDefault="00F86065">
      <w:pPr>
        <w:spacing w:line="276" w:lineRule="auto"/>
        <w:rPr>
          <w:b/>
          <w:sz w:val="28"/>
          <w:szCs w:val="28"/>
        </w:rPr>
      </w:pPr>
      <w:r w:rsidRPr="00F86065">
        <w:rPr>
          <w:b/>
          <w:sz w:val="28"/>
          <w:szCs w:val="28"/>
        </w:rPr>
        <w:lastRenderedPageBreak/>
        <w:t>Anaphylactic or anaphylactoid reaction</w:t>
      </w:r>
    </w:p>
    <w:p w14:paraId="752FB14B" w14:textId="1F5B22E9" w:rsidR="00EE205F" w:rsidRPr="00253126" w:rsidRDefault="00EE205F" w:rsidP="00EE205F">
      <w:pPr>
        <w:pStyle w:val="Caption"/>
        <w:keepNext/>
        <w:spacing w:after="0"/>
        <w:rPr>
          <w:color w:val="auto"/>
        </w:rPr>
      </w:pPr>
      <w:bookmarkStart w:id="71" w:name="_Toc36208176"/>
      <w:bookmarkStart w:id="72" w:name="_Toc41909318"/>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26</w:t>
      </w:r>
      <w:r w:rsidRPr="00253126">
        <w:rPr>
          <w:color w:val="auto"/>
        </w:rPr>
        <w:fldChar w:fldCharType="end"/>
      </w:r>
      <w:r w:rsidRPr="00253126">
        <w:rPr>
          <w:color w:val="auto"/>
        </w:rPr>
        <w:t>: Anaphylactic or anaphylactoid reaction data summary, 2016-17</w:t>
      </w:r>
      <w:bookmarkEnd w:id="71"/>
      <w:bookmarkEnd w:id="72"/>
    </w:p>
    <w:p w14:paraId="64E7582C" w14:textId="2FABDBFF" w:rsidR="00F86065" w:rsidRDefault="004D0A41">
      <w:pPr>
        <w:spacing w:line="276" w:lineRule="auto"/>
      </w:pPr>
      <w:r w:rsidRPr="004D0A41">
        <w:rPr>
          <w:noProof/>
          <w:lang w:eastAsia="en-AU"/>
        </w:rPr>
        <w:drawing>
          <wp:inline distT="0" distB="0" distL="0" distR="0" wp14:anchorId="5B12B9D2" wp14:editId="51D8FB1D">
            <wp:extent cx="5926455" cy="353237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6455" cy="3532376"/>
                    </a:xfrm>
                    <a:prstGeom prst="rect">
                      <a:avLst/>
                    </a:prstGeom>
                    <a:noFill/>
                    <a:ln>
                      <a:noFill/>
                    </a:ln>
                  </pic:spPr>
                </pic:pic>
              </a:graphicData>
            </a:graphic>
          </wp:inline>
        </w:drawing>
      </w:r>
    </w:p>
    <w:p w14:paraId="00DF7AE2" w14:textId="77777777" w:rsidR="004D0A41" w:rsidRDefault="004D0A41" w:rsidP="004D0A41">
      <w:pPr>
        <w:pStyle w:val="NoSpacing"/>
      </w:pPr>
      <w:r>
        <w:t>Notes</w:t>
      </w:r>
    </w:p>
    <w:p w14:paraId="1879E24E" w14:textId="77777777" w:rsidR="004D0A41" w:rsidRDefault="004D0A41" w:rsidP="004D0A41">
      <w:pPr>
        <w:pStyle w:val="NoSpacing"/>
      </w:pPr>
      <w:r>
        <w:t>1.        NSW did not report the facility location data and limited reporting of sex data</w:t>
      </w:r>
    </w:p>
    <w:p w14:paraId="508EB7AA" w14:textId="18050962" w:rsidR="00F86065" w:rsidRDefault="004D0A41" w:rsidP="004D0A41">
      <w:pPr>
        <w:pStyle w:val="NoSpacing"/>
      </w:pPr>
      <w:r>
        <w:t>2.        Number of patients or transfusion episodes is unavailable</w:t>
      </w:r>
    </w:p>
    <w:p w14:paraId="1445B891" w14:textId="77777777" w:rsidR="004D0A41" w:rsidRDefault="004D0A41" w:rsidP="004D0A41">
      <w:pPr>
        <w:pStyle w:val="NoSpacing"/>
      </w:pPr>
    </w:p>
    <w:p w14:paraId="6A0CEF4F" w14:textId="3C4A2A2E" w:rsidR="00EE205F" w:rsidRPr="00253126" w:rsidRDefault="00EE205F" w:rsidP="00EE205F">
      <w:pPr>
        <w:pStyle w:val="Caption"/>
        <w:keepNext/>
        <w:spacing w:after="0"/>
        <w:rPr>
          <w:color w:val="auto"/>
        </w:rPr>
      </w:pPr>
      <w:bookmarkStart w:id="73" w:name="_Toc36208177"/>
      <w:bookmarkStart w:id="74" w:name="_Toc41909319"/>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27</w:t>
      </w:r>
      <w:r w:rsidRPr="00253126">
        <w:rPr>
          <w:color w:val="auto"/>
        </w:rPr>
        <w:fldChar w:fldCharType="end"/>
      </w:r>
      <w:r w:rsidRPr="00253126">
        <w:rPr>
          <w:color w:val="auto"/>
        </w:rPr>
        <w:t>: Anaphylactic or anaphylactoid reaction clinical outcome severity by imputability, 2016-17</w:t>
      </w:r>
      <w:bookmarkEnd w:id="73"/>
      <w:bookmarkEnd w:id="74"/>
    </w:p>
    <w:p w14:paraId="659CFC4D" w14:textId="553D43EE" w:rsidR="00F86065" w:rsidRDefault="00F86065">
      <w:pPr>
        <w:spacing w:line="276" w:lineRule="auto"/>
      </w:pPr>
      <w:r w:rsidRPr="00F86065">
        <w:rPr>
          <w:noProof/>
          <w:lang w:eastAsia="en-AU"/>
        </w:rPr>
        <w:drawing>
          <wp:inline distT="0" distB="0" distL="0" distR="0" wp14:anchorId="77DDE62F" wp14:editId="1DE333CC">
            <wp:extent cx="5338742" cy="16664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2">
                      <a:extLst>
                        <a:ext uri="{28A0092B-C50C-407E-A947-70E740481C1C}">
                          <a14:useLocalDpi xmlns:a14="http://schemas.microsoft.com/office/drawing/2010/main" val="0"/>
                        </a:ext>
                      </a:extLst>
                    </a:blip>
                    <a:srcRect t="9382"/>
                    <a:stretch/>
                  </pic:blipFill>
                  <pic:spPr bwMode="auto">
                    <a:xfrm>
                      <a:off x="0" y="0"/>
                      <a:ext cx="5360280" cy="1673155"/>
                    </a:xfrm>
                    <a:prstGeom prst="rect">
                      <a:avLst/>
                    </a:prstGeom>
                    <a:noFill/>
                    <a:ln>
                      <a:noFill/>
                    </a:ln>
                    <a:extLst>
                      <a:ext uri="{53640926-AAD7-44D8-BBD7-CCE9431645EC}">
                        <a14:shadowObscured xmlns:a14="http://schemas.microsoft.com/office/drawing/2010/main"/>
                      </a:ext>
                    </a:extLst>
                  </pic:spPr>
                </pic:pic>
              </a:graphicData>
            </a:graphic>
          </wp:inline>
        </w:drawing>
      </w:r>
    </w:p>
    <w:p w14:paraId="2A63DFCC" w14:textId="7CE39D56" w:rsidR="001F77F9" w:rsidRDefault="001F77F9">
      <w:pPr>
        <w:spacing w:line="276" w:lineRule="auto"/>
      </w:pPr>
      <w:r>
        <w:br w:type="page"/>
      </w:r>
    </w:p>
    <w:p w14:paraId="4317F0CA" w14:textId="4B075524" w:rsidR="001F77F9" w:rsidRPr="001F77F9" w:rsidRDefault="001F77F9">
      <w:pPr>
        <w:spacing w:line="276" w:lineRule="auto"/>
        <w:rPr>
          <w:b/>
          <w:sz w:val="28"/>
          <w:szCs w:val="28"/>
        </w:rPr>
      </w:pPr>
      <w:r w:rsidRPr="001F77F9">
        <w:rPr>
          <w:b/>
          <w:sz w:val="28"/>
          <w:szCs w:val="28"/>
        </w:rPr>
        <w:lastRenderedPageBreak/>
        <w:t>Delayed haemolytic transfusion reaction (DHTR)</w:t>
      </w:r>
    </w:p>
    <w:p w14:paraId="4AA5E040" w14:textId="541FF81F" w:rsidR="00EE205F" w:rsidRPr="00253126" w:rsidRDefault="00EE205F" w:rsidP="00EE205F">
      <w:pPr>
        <w:pStyle w:val="Caption"/>
        <w:keepNext/>
        <w:spacing w:after="0"/>
        <w:rPr>
          <w:color w:val="auto"/>
        </w:rPr>
      </w:pPr>
      <w:bookmarkStart w:id="75" w:name="_Toc36208178"/>
      <w:bookmarkStart w:id="76" w:name="_Toc41909320"/>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28</w:t>
      </w:r>
      <w:r w:rsidRPr="00253126">
        <w:rPr>
          <w:color w:val="auto"/>
        </w:rPr>
        <w:fldChar w:fldCharType="end"/>
      </w:r>
      <w:r w:rsidRPr="00253126">
        <w:rPr>
          <w:color w:val="auto"/>
        </w:rPr>
        <w:t>: DHTR data summary, 2016-17</w:t>
      </w:r>
      <w:bookmarkEnd w:id="75"/>
      <w:bookmarkEnd w:id="76"/>
    </w:p>
    <w:p w14:paraId="735A1FEA" w14:textId="4D40C7CC" w:rsidR="001F77F9" w:rsidRDefault="004D0A41">
      <w:pPr>
        <w:spacing w:line="276" w:lineRule="auto"/>
      </w:pPr>
      <w:r w:rsidRPr="004D0A41">
        <w:rPr>
          <w:noProof/>
          <w:lang w:eastAsia="en-AU"/>
        </w:rPr>
        <w:drawing>
          <wp:inline distT="0" distB="0" distL="0" distR="0" wp14:anchorId="659D287E" wp14:editId="6B8EEA66">
            <wp:extent cx="5926455" cy="35284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6455" cy="3528416"/>
                    </a:xfrm>
                    <a:prstGeom prst="rect">
                      <a:avLst/>
                    </a:prstGeom>
                    <a:noFill/>
                    <a:ln>
                      <a:noFill/>
                    </a:ln>
                  </pic:spPr>
                </pic:pic>
              </a:graphicData>
            </a:graphic>
          </wp:inline>
        </w:drawing>
      </w:r>
    </w:p>
    <w:p w14:paraId="72BA455B" w14:textId="77777777" w:rsidR="004D0A41" w:rsidRDefault="004D0A41" w:rsidP="004D0A41">
      <w:pPr>
        <w:pStyle w:val="NoSpacing"/>
      </w:pPr>
      <w:r>
        <w:t>Notes</w:t>
      </w:r>
    </w:p>
    <w:p w14:paraId="6F03ACB1" w14:textId="77777777" w:rsidR="004D0A41" w:rsidRDefault="004D0A41" w:rsidP="004D0A41">
      <w:pPr>
        <w:pStyle w:val="NoSpacing"/>
      </w:pPr>
      <w:r>
        <w:t>1.        NSW did not report the facility location data and limited reporting of sex data</w:t>
      </w:r>
    </w:p>
    <w:p w14:paraId="64B73793" w14:textId="2FDAF605" w:rsidR="001F77F9" w:rsidRDefault="004D0A41" w:rsidP="004D0A41">
      <w:pPr>
        <w:pStyle w:val="NoSpacing"/>
      </w:pPr>
      <w:r>
        <w:t>2.        Number of patients or transfusion episodes is unavailable</w:t>
      </w:r>
    </w:p>
    <w:p w14:paraId="7E1CDA35" w14:textId="77777777" w:rsidR="004D0A41" w:rsidRDefault="004D0A41" w:rsidP="004D0A41">
      <w:pPr>
        <w:pStyle w:val="NoSpacing"/>
      </w:pPr>
    </w:p>
    <w:p w14:paraId="39C1CE13" w14:textId="43FAB981" w:rsidR="00EE205F" w:rsidRPr="00253126" w:rsidRDefault="00EE205F" w:rsidP="00EE205F">
      <w:pPr>
        <w:pStyle w:val="Caption"/>
        <w:keepNext/>
        <w:spacing w:after="0"/>
        <w:rPr>
          <w:color w:val="auto"/>
        </w:rPr>
      </w:pPr>
      <w:bookmarkStart w:id="77" w:name="_Toc36208179"/>
      <w:bookmarkStart w:id="78" w:name="_Toc41909321"/>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29</w:t>
      </w:r>
      <w:r w:rsidRPr="00253126">
        <w:rPr>
          <w:color w:val="auto"/>
        </w:rPr>
        <w:fldChar w:fldCharType="end"/>
      </w:r>
      <w:r w:rsidRPr="00253126">
        <w:rPr>
          <w:color w:val="auto"/>
        </w:rPr>
        <w:t>: DHTR clinical outcome severity by imputability, 2016-17</w:t>
      </w:r>
      <w:bookmarkEnd w:id="77"/>
      <w:bookmarkEnd w:id="78"/>
    </w:p>
    <w:p w14:paraId="37D67129" w14:textId="5772B72B" w:rsidR="001F77F9" w:rsidRDefault="001F77F9">
      <w:pPr>
        <w:spacing w:line="276" w:lineRule="auto"/>
      </w:pPr>
      <w:r w:rsidRPr="001F77F9">
        <w:rPr>
          <w:noProof/>
          <w:lang w:eastAsia="en-AU"/>
        </w:rPr>
        <w:drawing>
          <wp:inline distT="0" distB="0" distL="0" distR="0" wp14:anchorId="135B21DA" wp14:editId="6CF725CC">
            <wp:extent cx="4346745" cy="152646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a:extLst>
                        <a:ext uri="{28A0092B-C50C-407E-A947-70E740481C1C}">
                          <a14:useLocalDpi xmlns:a14="http://schemas.microsoft.com/office/drawing/2010/main" val="0"/>
                        </a:ext>
                      </a:extLst>
                    </a:blip>
                    <a:srcRect t="9696"/>
                    <a:stretch/>
                  </pic:blipFill>
                  <pic:spPr bwMode="auto">
                    <a:xfrm>
                      <a:off x="0" y="0"/>
                      <a:ext cx="4416404" cy="1550930"/>
                    </a:xfrm>
                    <a:prstGeom prst="rect">
                      <a:avLst/>
                    </a:prstGeom>
                    <a:noFill/>
                    <a:ln>
                      <a:noFill/>
                    </a:ln>
                    <a:extLst>
                      <a:ext uri="{53640926-AAD7-44D8-BBD7-CCE9431645EC}">
                        <a14:shadowObscured xmlns:a14="http://schemas.microsoft.com/office/drawing/2010/main"/>
                      </a:ext>
                    </a:extLst>
                  </pic:spPr>
                </pic:pic>
              </a:graphicData>
            </a:graphic>
          </wp:inline>
        </w:drawing>
      </w:r>
    </w:p>
    <w:p w14:paraId="66E9CAF4" w14:textId="4FAA3587" w:rsidR="006961EA" w:rsidRDefault="006961EA">
      <w:pPr>
        <w:spacing w:line="276" w:lineRule="auto"/>
      </w:pPr>
      <w:r>
        <w:br w:type="page"/>
      </w:r>
    </w:p>
    <w:p w14:paraId="4FD46458" w14:textId="78D57DC0" w:rsidR="006961EA" w:rsidRPr="006961EA" w:rsidRDefault="006961EA">
      <w:pPr>
        <w:spacing w:line="276" w:lineRule="auto"/>
        <w:rPr>
          <w:b/>
          <w:sz w:val="28"/>
          <w:szCs w:val="28"/>
        </w:rPr>
      </w:pPr>
      <w:r w:rsidRPr="006961EA">
        <w:rPr>
          <w:b/>
          <w:sz w:val="28"/>
          <w:szCs w:val="28"/>
        </w:rPr>
        <w:lastRenderedPageBreak/>
        <w:t>Acute haemolytic transfusion reaction (AHTR)</w:t>
      </w:r>
    </w:p>
    <w:p w14:paraId="20805E69" w14:textId="3A962265" w:rsidR="00EE205F" w:rsidRDefault="00EE205F" w:rsidP="00EE205F">
      <w:pPr>
        <w:pStyle w:val="Caption"/>
        <w:keepNext/>
        <w:spacing w:after="0"/>
      </w:pPr>
      <w:bookmarkStart w:id="79" w:name="_Toc36208180"/>
      <w:bookmarkStart w:id="80" w:name="_Toc41909322"/>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30</w:t>
      </w:r>
      <w:r w:rsidRPr="00253126">
        <w:rPr>
          <w:color w:val="auto"/>
        </w:rPr>
        <w:fldChar w:fldCharType="end"/>
      </w:r>
      <w:r w:rsidRPr="00253126">
        <w:rPr>
          <w:color w:val="auto"/>
        </w:rPr>
        <w:t>: AHTR data summary, 2016-17</w:t>
      </w:r>
      <w:bookmarkEnd w:id="79"/>
      <w:bookmarkEnd w:id="80"/>
    </w:p>
    <w:p w14:paraId="31463566" w14:textId="64B3E511" w:rsidR="006961EA" w:rsidRPr="00394948" w:rsidRDefault="004D0A41">
      <w:pPr>
        <w:spacing w:line="276" w:lineRule="auto"/>
      </w:pPr>
      <w:r w:rsidRPr="004D0A41">
        <w:rPr>
          <w:noProof/>
          <w:lang w:eastAsia="en-AU"/>
        </w:rPr>
        <w:drawing>
          <wp:inline distT="0" distB="0" distL="0" distR="0" wp14:anchorId="17F82160" wp14:editId="045F6F46">
            <wp:extent cx="5926455" cy="35284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6455" cy="3528416"/>
                    </a:xfrm>
                    <a:prstGeom prst="rect">
                      <a:avLst/>
                    </a:prstGeom>
                    <a:noFill/>
                    <a:ln>
                      <a:noFill/>
                    </a:ln>
                  </pic:spPr>
                </pic:pic>
              </a:graphicData>
            </a:graphic>
          </wp:inline>
        </w:drawing>
      </w:r>
    </w:p>
    <w:p w14:paraId="57EC53E3" w14:textId="77777777" w:rsidR="004D0A41" w:rsidRDefault="004D0A41" w:rsidP="004D0A41">
      <w:pPr>
        <w:pStyle w:val="NoSpacing"/>
      </w:pPr>
      <w:r>
        <w:t>Notes</w:t>
      </w:r>
    </w:p>
    <w:p w14:paraId="205B15B7" w14:textId="77777777" w:rsidR="004D0A41" w:rsidRDefault="004D0A41" w:rsidP="004D0A41">
      <w:pPr>
        <w:pStyle w:val="NoSpacing"/>
      </w:pPr>
      <w:r>
        <w:t>1.        NSW did not report the facility location data and limited reporting of sex data</w:t>
      </w:r>
    </w:p>
    <w:p w14:paraId="4D991604" w14:textId="3D483D9D" w:rsidR="006961EA" w:rsidRDefault="004D0A41" w:rsidP="004D0A41">
      <w:pPr>
        <w:pStyle w:val="NoSpacing"/>
      </w:pPr>
      <w:r>
        <w:t>2.        Number of patients or transfusion episodes is unavailable</w:t>
      </w:r>
    </w:p>
    <w:p w14:paraId="17708BFA" w14:textId="77777777" w:rsidR="004D0A41" w:rsidRDefault="004D0A41" w:rsidP="004D0A41">
      <w:pPr>
        <w:pStyle w:val="NoSpacing"/>
      </w:pPr>
    </w:p>
    <w:p w14:paraId="628A2C83" w14:textId="1FE3737C" w:rsidR="00EE205F" w:rsidRPr="00253126" w:rsidRDefault="00EE205F" w:rsidP="00EE205F">
      <w:pPr>
        <w:pStyle w:val="Caption"/>
        <w:keepNext/>
        <w:spacing w:after="0"/>
        <w:rPr>
          <w:color w:val="auto"/>
        </w:rPr>
      </w:pPr>
      <w:bookmarkStart w:id="81" w:name="_Toc36208181"/>
      <w:bookmarkStart w:id="82" w:name="_Toc41909323"/>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31</w:t>
      </w:r>
      <w:r w:rsidRPr="00253126">
        <w:rPr>
          <w:color w:val="auto"/>
        </w:rPr>
        <w:fldChar w:fldCharType="end"/>
      </w:r>
      <w:r w:rsidRPr="00253126">
        <w:rPr>
          <w:color w:val="auto"/>
        </w:rPr>
        <w:t>: AHTR clinical outcome severity by imputability, 2016-17</w:t>
      </w:r>
      <w:bookmarkEnd w:id="81"/>
      <w:bookmarkEnd w:id="82"/>
    </w:p>
    <w:p w14:paraId="1213C1B6" w14:textId="77777777" w:rsidR="00E81FCF" w:rsidRDefault="006961EA">
      <w:pPr>
        <w:spacing w:line="276" w:lineRule="auto"/>
      </w:pPr>
      <w:r w:rsidRPr="006961EA">
        <w:rPr>
          <w:noProof/>
          <w:lang w:eastAsia="en-AU"/>
        </w:rPr>
        <w:drawing>
          <wp:inline distT="0" distB="0" distL="0" distR="0" wp14:anchorId="1AC9420A" wp14:editId="4FDBE524">
            <wp:extent cx="4338582" cy="1514667"/>
            <wp:effectExtent l="0" t="0" r="508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6">
                      <a:extLst>
                        <a:ext uri="{28A0092B-C50C-407E-A947-70E740481C1C}">
                          <a14:useLocalDpi xmlns:a14="http://schemas.microsoft.com/office/drawing/2010/main" val="0"/>
                        </a:ext>
                      </a:extLst>
                    </a:blip>
                    <a:srcRect t="10225"/>
                    <a:stretch/>
                  </pic:blipFill>
                  <pic:spPr bwMode="auto">
                    <a:xfrm>
                      <a:off x="0" y="0"/>
                      <a:ext cx="4370054" cy="1525654"/>
                    </a:xfrm>
                    <a:prstGeom prst="rect">
                      <a:avLst/>
                    </a:prstGeom>
                    <a:noFill/>
                    <a:ln>
                      <a:noFill/>
                    </a:ln>
                    <a:extLst>
                      <a:ext uri="{53640926-AAD7-44D8-BBD7-CCE9431645EC}">
                        <a14:shadowObscured xmlns:a14="http://schemas.microsoft.com/office/drawing/2010/main"/>
                      </a:ext>
                    </a:extLst>
                  </pic:spPr>
                </pic:pic>
              </a:graphicData>
            </a:graphic>
          </wp:inline>
        </w:drawing>
      </w:r>
    </w:p>
    <w:p w14:paraId="090B329D" w14:textId="77777777" w:rsidR="00E81FCF" w:rsidRDefault="00E81FCF">
      <w:pPr>
        <w:spacing w:line="276" w:lineRule="auto"/>
      </w:pPr>
      <w:r>
        <w:br w:type="page"/>
      </w:r>
    </w:p>
    <w:p w14:paraId="4A7CDF8F" w14:textId="77777777" w:rsidR="00E81FCF" w:rsidRPr="00532C03" w:rsidRDefault="00E81FCF">
      <w:pPr>
        <w:spacing w:line="276" w:lineRule="auto"/>
        <w:rPr>
          <w:b/>
          <w:sz w:val="28"/>
          <w:szCs w:val="28"/>
        </w:rPr>
      </w:pPr>
      <w:r w:rsidRPr="00532C03">
        <w:rPr>
          <w:b/>
          <w:sz w:val="28"/>
          <w:szCs w:val="28"/>
        </w:rPr>
        <w:lastRenderedPageBreak/>
        <w:t>Transfusion-transmitted infection (TTI)</w:t>
      </w:r>
    </w:p>
    <w:p w14:paraId="30F0DA25" w14:textId="0025DBD7" w:rsidR="00EE205F" w:rsidRDefault="00EE205F" w:rsidP="00EE205F">
      <w:pPr>
        <w:pStyle w:val="Caption"/>
        <w:keepNext/>
        <w:spacing w:after="0"/>
      </w:pPr>
      <w:bookmarkStart w:id="83" w:name="_Toc36208182"/>
      <w:bookmarkStart w:id="84" w:name="_Toc41909324"/>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32</w:t>
      </w:r>
      <w:r w:rsidRPr="00253126">
        <w:rPr>
          <w:color w:val="auto"/>
        </w:rPr>
        <w:fldChar w:fldCharType="end"/>
      </w:r>
      <w:r w:rsidRPr="00253126">
        <w:rPr>
          <w:color w:val="auto"/>
        </w:rPr>
        <w:t>: TTI data summary, 2016-17</w:t>
      </w:r>
      <w:bookmarkEnd w:id="83"/>
      <w:bookmarkEnd w:id="84"/>
    </w:p>
    <w:p w14:paraId="51CFECD3" w14:textId="426615DA" w:rsidR="00E81FCF" w:rsidRDefault="004D0A41">
      <w:pPr>
        <w:spacing w:line="276" w:lineRule="auto"/>
      </w:pPr>
      <w:r w:rsidRPr="004D0A41">
        <w:rPr>
          <w:noProof/>
          <w:lang w:eastAsia="en-AU"/>
        </w:rPr>
        <w:drawing>
          <wp:inline distT="0" distB="0" distL="0" distR="0" wp14:anchorId="59A5B1A8" wp14:editId="04397B2D">
            <wp:extent cx="5926455" cy="35323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6455" cy="3532376"/>
                    </a:xfrm>
                    <a:prstGeom prst="rect">
                      <a:avLst/>
                    </a:prstGeom>
                    <a:noFill/>
                    <a:ln>
                      <a:noFill/>
                    </a:ln>
                  </pic:spPr>
                </pic:pic>
              </a:graphicData>
            </a:graphic>
          </wp:inline>
        </w:drawing>
      </w:r>
    </w:p>
    <w:p w14:paraId="44825F9E" w14:textId="77777777" w:rsidR="004D0A41" w:rsidRDefault="004D0A41" w:rsidP="004D0A41">
      <w:pPr>
        <w:pStyle w:val="NoSpacing"/>
      </w:pPr>
      <w:r>
        <w:t>Notes</w:t>
      </w:r>
    </w:p>
    <w:p w14:paraId="589B18C6" w14:textId="77777777" w:rsidR="004D0A41" w:rsidRDefault="004D0A41" w:rsidP="004D0A41">
      <w:pPr>
        <w:pStyle w:val="NoSpacing"/>
      </w:pPr>
      <w:r>
        <w:t>1.        NSW did not report the facility location data and limited reporting of sex data</w:t>
      </w:r>
    </w:p>
    <w:p w14:paraId="4CBF525D" w14:textId="54953487" w:rsidR="00E81FCF" w:rsidRDefault="004D0A41" w:rsidP="004D0A41">
      <w:pPr>
        <w:pStyle w:val="NoSpacing"/>
      </w:pPr>
      <w:r>
        <w:t>2.        Number of patients or transfusion episodes is unavailable</w:t>
      </w:r>
    </w:p>
    <w:p w14:paraId="7B0D0B03" w14:textId="77777777" w:rsidR="004D0A41" w:rsidRDefault="004D0A41" w:rsidP="004D0A41">
      <w:pPr>
        <w:pStyle w:val="NoSpacing"/>
      </w:pPr>
    </w:p>
    <w:p w14:paraId="01BF6CAF" w14:textId="67726927" w:rsidR="00EE205F" w:rsidRPr="00253126" w:rsidRDefault="00EE205F" w:rsidP="00EE205F">
      <w:pPr>
        <w:pStyle w:val="Caption"/>
        <w:keepNext/>
        <w:spacing w:after="0"/>
        <w:rPr>
          <w:color w:val="auto"/>
        </w:rPr>
      </w:pPr>
      <w:bookmarkStart w:id="85" w:name="_Toc36208183"/>
      <w:bookmarkStart w:id="86" w:name="_Toc41909325"/>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33</w:t>
      </w:r>
      <w:r w:rsidRPr="00253126">
        <w:rPr>
          <w:color w:val="auto"/>
        </w:rPr>
        <w:fldChar w:fldCharType="end"/>
      </w:r>
      <w:r w:rsidRPr="00253126">
        <w:rPr>
          <w:color w:val="auto"/>
        </w:rPr>
        <w:t>: TTI clinical outcome severity by imputability, 2016-17</w:t>
      </w:r>
      <w:bookmarkEnd w:id="85"/>
      <w:bookmarkEnd w:id="86"/>
    </w:p>
    <w:p w14:paraId="34EF71D0" w14:textId="77777777" w:rsidR="00096088" w:rsidRDefault="00E81FCF">
      <w:pPr>
        <w:spacing w:line="276" w:lineRule="auto"/>
      </w:pPr>
      <w:r w:rsidRPr="00E81FCF">
        <w:rPr>
          <w:noProof/>
          <w:lang w:eastAsia="en-AU"/>
        </w:rPr>
        <w:drawing>
          <wp:inline distT="0" distB="0" distL="0" distR="0" wp14:anchorId="50D96F7D" wp14:editId="4C62319D">
            <wp:extent cx="4278189" cy="1508952"/>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8">
                      <a:extLst>
                        <a:ext uri="{28A0092B-C50C-407E-A947-70E740481C1C}">
                          <a14:useLocalDpi xmlns:a14="http://schemas.microsoft.com/office/drawing/2010/main" val="0"/>
                        </a:ext>
                      </a:extLst>
                    </a:blip>
                    <a:srcRect t="10261"/>
                    <a:stretch/>
                  </pic:blipFill>
                  <pic:spPr bwMode="auto">
                    <a:xfrm>
                      <a:off x="0" y="0"/>
                      <a:ext cx="4296409" cy="1515378"/>
                    </a:xfrm>
                    <a:prstGeom prst="rect">
                      <a:avLst/>
                    </a:prstGeom>
                    <a:noFill/>
                    <a:ln>
                      <a:noFill/>
                    </a:ln>
                    <a:extLst>
                      <a:ext uri="{53640926-AAD7-44D8-BBD7-CCE9431645EC}">
                        <a14:shadowObscured xmlns:a14="http://schemas.microsoft.com/office/drawing/2010/main"/>
                      </a:ext>
                    </a:extLst>
                  </pic:spPr>
                </pic:pic>
              </a:graphicData>
            </a:graphic>
          </wp:inline>
        </w:drawing>
      </w:r>
    </w:p>
    <w:p w14:paraId="3E62F92A" w14:textId="77777777" w:rsidR="00096088" w:rsidRDefault="00096088">
      <w:pPr>
        <w:spacing w:line="276" w:lineRule="auto"/>
      </w:pPr>
      <w:r>
        <w:br w:type="page"/>
      </w:r>
    </w:p>
    <w:p w14:paraId="3EF422CE" w14:textId="4A7E72E9" w:rsidR="00532C03" w:rsidRPr="00532C03" w:rsidRDefault="00532C03">
      <w:pPr>
        <w:spacing w:line="276" w:lineRule="auto"/>
        <w:rPr>
          <w:b/>
          <w:sz w:val="28"/>
          <w:szCs w:val="28"/>
        </w:rPr>
      </w:pPr>
      <w:r w:rsidRPr="00532C03">
        <w:rPr>
          <w:b/>
          <w:sz w:val="28"/>
          <w:szCs w:val="28"/>
        </w:rPr>
        <w:lastRenderedPageBreak/>
        <w:t>Transfusion related acute lung injury (TRALI)</w:t>
      </w:r>
    </w:p>
    <w:p w14:paraId="150B68E4" w14:textId="5B790D46" w:rsidR="00EE205F" w:rsidRPr="00253126" w:rsidRDefault="00EE205F" w:rsidP="00EE205F">
      <w:pPr>
        <w:pStyle w:val="Caption"/>
        <w:keepNext/>
        <w:spacing w:after="0"/>
        <w:rPr>
          <w:color w:val="auto"/>
        </w:rPr>
      </w:pPr>
      <w:bookmarkStart w:id="87" w:name="_Toc36208184"/>
      <w:bookmarkStart w:id="88" w:name="_Toc41909326"/>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34</w:t>
      </w:r>
      <w:r w:rsidRPr="00253126">
        <w:rPr>
          <w:color w:val="auto"/>
        </w:rPr>
        <w:fldChar w:fldCharType="end"/>
      </w:r>
      <w:r w:rsidRPr="00253126">
        <w:rPr>
          <w:color w:val="auto"/>
        </w:rPr>
        <w:t>: TRALI data summary, 2016-17</w:t>
      </w:r>
      <w:bookmarkEnd w:id="87"/>
      <w:bookmarkEnd w:id="88"/>
    </w:p>
    <w:p w14:paraId="700B1E85" w14:textId="0F7C9654" w:rsidR="00532C03" w:rsidRDefault="004D0A41">
      <w:pPr>
        <w:spacing w:line="276" w:lineRule="auto"/>
      </w:pPr>
      <w:r w:rsidRPr="004D0A41">
        <w:rPr>
          <w:noProof/>
          <w:lang w:eastAsia="en-AU"/>
        </w:rPr>
        <w:drawing>
          <wp:inline distT="0" distB="0" distL="0" distR="0" wp14:anchorId="25E4173D" wp14:editId="042C9AE2">
            <wp:extent cx="5926455" cy="3540653"/>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6455" cy="3540653"/>
                    </a:xfrm>
                    <a:prstGeom prst="rect">
                      <a:avLst/>
                    </a:prstGeom>
                    <a:noFill/>
                    <a:ln>
                      <a:noFill/>
                    </a:ln>
                  </pic:spPr>
                </pic:pic>
              </a:graphicData>
            </a:graphic>
          </wp:inline>
        </w:drawing>
      </w:r>
    </w:p>
    <w:p w14:paraId="0F09ED1E" w14:textId="77777777" w:rsidR="004D0A41" w:rsidRDefault="004D0A41" w:rsidP="004D0A41">
      <w:pPr>
        <w:pStyle w:val="NoSpacing"/>
      </w:pPr>
      <w:r>
        <w:t>Notes</w:t>
      </w:r>
    </w:p>
    <w:p w14:paraId="0ADA5C63" w14:textId="77777777" w:rsidR="004D0A41" w:rsidRDefault="004D0A41" w:rsidP="004D0A41">
      <w:pPr>
        <w:pStyle w:val="NoSpacing"/>
      </w:pPr>
      <w:r>
        <w:t>1.        NSW did not report the facility location data and limited reporting of sex data</w:t>
      </w:r>
    </w:p>
    <w:p w14:paraId="3B8DDA0D" w14:textId="120DFBC4" w:rsidR="00532C03" w:rsidRDefault="004D0A41" w:rsidP="004D0A41">
      <w:pPr>
        <w:pStyle w:val="NoSpacing"/>
      </w:pPr>
      <w:r>
        <w:t>2.        Number of patients or transfusion episodes is unavailable</w:t>
      </w:r>
    </w:p>
    <w:p w14:paraId="3D803A69" w14:textId="77777777" w:rsidR="004D0A41" w:rsidRDefault="004D0A41" w:rsidP="004D0A41">
      <w:pPr>
        <w:pStyle w:val="NoSpacing"/>
      </w:pPr>
    </w:p>
    <w:p w14:paraId="57123BC8" w14:textId="3308CAE3" w:rsidR="00EE205F" w:rsidRPr="00253126" w:rsidRDefault="00EE205F" w:rsidP="00EE205F">
      <w:pPr>
        <w:pStyle w:val="Caption"/>
        <w:keepNext/>
        <w:spacing w:after="0"/>
        <w:rPr>
          <w:color w:val="auto"/>
        </w:rPr>
      </w:pPr>
      <w:bookmarkStart w:id="89" w:name="_Toc36208185"/>
      <w:bookmarkStart w:id="90" w:name="_Toc41909327"/>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35</w:t>
      </w:r>
      <w:r w:rsidRPr="00253126">
        <w:rPr>
          <w:color w:val="auto"/>
        </w:rPr>
        <w:fldChar w:fldCharType="end"/>
      </w:r>
      <w:r w:rsidRPr="00253126">
        <w:rPr>
          <w:color w:val="auto"/>
        </w:rPr>
        <w:t>: TRALI clinical outcome severity by imputability, 2016-17</w:t>
      </w:r>
      <w:bookmarkEnd w:id="89"/>
      <w:bookmarkEnd w:id="90"/>
    </w:p>
    <w:p w14:paraId="32ABA4AD" w14:textId="1BA0B4C6" w:rsidR="00532C03" w:rsidRDefault="00532C03">
      <w:pPr>
        <w:spacing w:line="276" w:lineRule="auto"/>
      </w:pPr>
      <w:r w:rsidRPr="00532C03">
        <w:rPr>
          <w:noProof/>
          <w:lang w:eastAsia="en-AU"/>
        </w:rPr>
        <w:drawing>
          <wp:inline distT="0" distB="0" distL="0" distR="0" wp14:anchorId="7EA244D0" wp14:editId="361F11E9">
            <wp:extent cx="4406779" cy="169627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0">
                      <a:extLst>
                        <a:ext uri="{28A0092B-C50C-407E-A947-70E740481C1C}">
                          <a14:useLocalDpi xmlns:a14="http://schemas.microsoft.com/office/drawing/2010/main" val="0"/>
                        </a:ext>
                      </a:extLst>
                    </a:blip>
                    <a:srcRect t="9232"/>
                    <a:stretch/>
                  </pic:blipFill>
                  <pic:spPr bwMode="auto">
                    <a:xfrm>
                      <a:off x="0" y="0"/>
                      <a:ext cx="4423123" cy="1702568"/>
                    </a:xfrm>
                    <a:prstGeom prst="rect">
                      <a:avLst/>
                    </a:prstGeom>
                    <a:noFill/>
                    <a:ln>
                      <a:noFill/>
                    </a:ln>
                    <a:extLst>
                      <a:ext uri="{53640926-AAD7-44D8-BBD7-CCE9431645EC}">
                        <a14:shadowObscured xmlns:a14="http://schemas.microsoft.com/office/drawing/2010/main"/>
                      </a:ext>
                    </a:extLst>
                  </pic:spPr>
                </pic:pic>
              </a:graphicData>
            </a:graphic>
          </wp:inline>
        </w:drawing>
      </w:r>
    </w:p>
    <w:p w14:paraId="7F43C1AE" w14:textId="0E2FF05D" w:rsidR="00532C03" w:rsidRDefault="00532C03">
      <w:pPr>
        <w:spacing w:line="276" w:lineRule="auto"/>
      </w:pPr>
      <w:r>
        <w:br w:type="page"/>
      </w:r>
    </w:p>
    <w:p w14:paraId="6024EB89" w14:textId="7C0B6B0A" w:rsidR="00532C03" w:rsidRPr="00CB4B38" w:rsidRDefault="00532C03">
      <w:pPr>
        <w:spacing w:line="276" w:lineRule="auto"/>
        <w:rPr>
          <w:b/>
          <w:sz w:val="28"/>
          <w:szCs w:val="28"/>
        </w:rPr>
      </w:pPr>
      <w:r w:rsidRPr="00CB4B38">
        <w:rPr>
          <w:b/>
          <w:sz w:val="28"/>
          <w:szCs w:val="28"/>
        </w:rPr>
        <w:lastRenderedPageBreak/>
        <w:t>Contributory Factors</w:t>
      </w:r>
    </w:p>
    <w:p w14:paraId="0414F78F" w14:textId="2A49DBC3" w:rsidR="00EE205F" w:rsidRPr="00253126" w:rsidRDefault="00EE205F" w:rsidP="00EE205F">
      <w:pPr>
        <w:pStyle w:val="Caption"/>
        <w:keepNext/>
        <w:spacing w:after="0"/>
        <w:rPr>
          <w:color w:val="auto"/>
        </w:rPr>
      </w:pPr>
      <w:bookmarkStart w:id="91" w:name="_Toc36208186"/>
      <w:bookmarkStart w:id="92" w:name="_Toc41909328"/>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36</w:t>
      </w:r>
      <w:r w:rsidRPr="00253126">
        <w:rPr>
          <w:color w:val="auto"/>
        </w:rPr>
        <w:fldChar w:fldCharType="end"/>
      </w:r>
      <w:r w:rsidRPr="00253126">
        <w:rPr>
          <w:color w:val="auto"/>
        </w:rPr>
        <w:t>: Contributory factors data summary, 2016-17</w:t>
      </w:r>
      <w:bookmarkEnd w:id="91"/>
      <w:bookmarkEnd w:id="92"/>
    </w:p>
    <w:p w14:paraId="5D1655FE" w14:textId="4AA145D5" w:rsidR="00532C03" w:rsidRDefault="004D0A41">
      <w:pPr>
        <w:spacing w:line="276" w:lineRule="auto"/>
      </w:pPr>
      <w:r w:rsidRPr="004D0A41">
        <w:rPr>
          <w:noProof/>
          <w:lang w:eastAsia="en-AU"/>
        </w:rPr>
        <w:drawing>
          <wp:inline distT="0" distB="0" distL="0" distR="0" wp14:anchorId="3CF34CB7" wp14:editId="0B6E2538">
            <wp:extent cx="3315694" cy="2832916"/>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537" cy="2848161"/>
                    </a:xfrm>
                    <a:prstGeom prst="rect">
                      <a:avLst/>
                    </a:prstGeom>
                    <a:noFill/>
                    <a:ln>
                      <a:noFill/>
                    </a:ln>
                  </pic:spPr>
                </pic:pic>
              </a:graphicData>
            </a:graphic>
          </wp:inline>
        </w:drawing>
      </w:r>
    </w:p>
    <w:p w14:paraId="1851BEA4" w14:textId="77777777" w:rsidR="004D0A41" w:rsidRDefault="004D0A41" w:rsidP="004D0A41">
      <w:pPr>
        <w:pStyle w:val="NoSpacing"/>
      </w:pPr>
      <w:r>
        <w:t>Notes</w:t>
      </w:r>
    </w:p>
    <w:p w14:paraId="130B4B42" w14:textId="77777777" w:rsidR="004D0A41" w:rsidRDefault="004D0A41" w:rsidP="004D0A41">
      <w:pPr>
        <w:pStyle w:val="NoSpacing"/>
      </w:pPr>
      <w:r>
        <w:t>1.        Contributory factors are not reported for SA</w:t>
      </w:r>
    </w:p>
    <w:p w14:paraId="2800D851" w14:textId="2EE9A939" w:rsidR="004D0A41" w:rsidRDefault="004D0A41" w:rsidP="004D0A41">
      <w:pPr>
        <w:pStyle w:val="NoSpacing"/>
      </w:pPr>
      <w:r>
        <w:t>2.        * refers to potentially avoidable human errors</w:t>
      </w:r>
    </w:p>
    <w:p w14:paraId="550DAFEB" w14:textId="77777777" w:rsidR="004D0A41" w:rsidRDefault="004D0A41" w:rsidP="004D0A41">
      <w:pPr>
        <w:pStyle w:val="NoSpacing"/>
      </w:pPr>
    </w:p>
    <w:p w14:paraId="2CA5560C" w14:textId="35A7DA60" w:rsidR="003C353C" w:rsidRPr="00253126" w:rsidRDefault="003C353C" w:rsidP="00090AF8">
      <w:pPr>
        <w:pStyle w:val="Caption"/>
        <w:keepNext/>
        <w:spacing w:after="0"/>
        <w:rPr>
          <w:color w:val="auto"/>
        </w:rPr>
      </w:pPr>
      <w:bookmarkStart w:id="93" w:name="_Toc36208187"/>
      <w:bookmarkStart w:id="94" w:name="_Toc41909329"/>
      <w:r w:rsidRPr="00253126">
        <w:rPr>
          <w:color w:val="auto"/>
        </w:rPr>
        <w:t xml:space="preserve">Table </w:t>
      </w:r>
      <w:r w:rsidRPr="00253126">
        <w:rPr>
          <w:color w:val="auto"/>
        </w:rPr>
        <w:fldChar w:fldCharType="begin"/>
      </w:r>
      <w:r w:rsidRPr="00253126">
        <w:rPr>
          <w:color w:val="auto"/>
        </w:rPr>
        <w:instrText xml:space="preserve"> SEQ Table \* ARABIC </w:instrText>
      </w:r>
      <w:r w:rsidRPr="00253126">
        <w:rPr>
          <w:color w:val="auto"/>
        </w:rPr>
        <w:fldChar w:fldCharType="separate"/>
      </w:r>
      <w:r w:rsidR="00942707">
        <w:rPr>
          <w:noProof/>
          <w:color w:val="auto"/>
        </w:rPr>
        <w:t>37</w:t>
      </w:r>
      <w:r w:rsidRPr="00253126">
        <w:rPr>
          <w:color w:val="auto"/>
        </w:rPr>
        <w:fldChar w:fldCharType="end"/>
      </w:r>
      <w:r w:rsidRPr="00253126">
        <w:rPr>
          <w:color w:val="auto"/>
        </w:rPr>
        <w:t>: Contributory factors cited by adverse event and by clinical outcome severity, 2016-17</w:t>
      </w:r>
      <w:bookmarkEnd w:id="93"/>
      <w:bookmarkEnd w:id="94"/>
    </w:p>
    <w:p w14:paraId="658C4DF9" w14:textId="152038B4" w:rsidR="0031391B" w:rsidRDefault="004D0A41">
      <w:pPr>
        <w:spacing w:line="276" w:lineRule="auto"/>
      </w:pPr>
      <w:r w:rsidRPr="004D0A41">
        <w:rPr>
          <w:noProof/>
          <w:lang w:eastAsia="en-AU"/>
        </w:rPr>
        <w:drawing>
          <wp:inline distT="0" distB="0" distL="0" distR="0" wp14:anchorId="6468E2D7" wp14:editId="69BC4917">
            <wp:extent cx="5486400" cy="33354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7550" cy="3342195"/>
                    </a:xfrm>
                    <a:prstGeom prst="rect">
                      <a:avLst/>
                    </a:prstGeom>
                    <a:noFill/>
                    <a:ln>
                      <a:noFill/>
                    </a:ln>
                  </pic:spPr>
                </pic:pic>
              </a:graphicData>
            </a:graphic>
          </wp:inline>
        </w:drawing>
      </w:r>
    </w:p>
    <w:p w14:paraId="2650ADF1" w14:textId="77777777" w:rsidR="004D0A41" w:rsidRDefault="004D0A41" w:rsidP="004D0A41">
      <w:pPr>
        <w:pStyle w:val="NoSpacing"/>
      </w:pPr>
      <w:r>
        <w:t>Notes</w:t>
      </w:r>
    </w:p>
    <w:p w14:paraId="002DB6C5" w14:textId="77777777" w:rsidR="004D0A41" w:rsidRDefault="004D0A41" w:rsidP="004D0A41">
      <w:pPr>
        <w:pStyle w:val="NoSpacing"/>
      </w:pPr>
      <w:r>
        <w:t>1.        Contributory factors are not reported for SA</w:t>
      </w:r>
    </w:p>
    <w:p w14:paraId="24FB5ED0" w14:textId="74C94A3A" w:rsidR="004D0A41" w:rsidRDefault="004D0A41" w:rsidP="004D0A41">
      <w:pPr>
        <w:pStyle w:val="NoSpacing"/>
      </w:pPr>
      <w:r>
        <w:t>2.       * refers to potentially avoidable human errors</w:t>
      </w:r>
    </w:p>
    <w:p w14:paraId="05E6628D" w14:textId="77777777" w:rsidR="00970131" w:rsidRDefault="009F6127" w:rsidP="005A5B44">
      <w:r w:rsidRPr="004D0A41">
        <w:br w:type="page"/>
      </w:r>
      <w:r w:rsidR="00970131" w:rsidRPr="00394948">
        <w:rPr>
          <w:noProof/>
          <w:lang w:eastAsia="en-AU"/>
        </w:rPr>
        <w:lastRenderedPageBreak/>
        <w:drawing>
          <wp:anchor distT="0" distB="0" distL="114300" distR="114300" simplePos="0" relativeHeight="251655165" behindDoc="1" locked="0" layoutInCell="1" allowOverlap="1" wp14:anchorId="5113C15B" wp14:editId="703AA97D">
            <wp:simplePos x="0" y="0"/>
            <wp:positionH relativeFrom="page">
              <wp:posOffset>0</wp:posOffset>
            </wp:positionH>
            <wp:positionV relativeFrom="page">
              <wp:posOffset>-217777</wp:posOffset>
            </wp:positionV>
            <wp:extent cx="7583805" cy="1091707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nor Haem Report 16-17_v24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83805" cy="10917072"/>
                    </a:xfrm>
                    <a:prstGeom prst="rect">
                      <a:avLst/>
                    </a:prstGeom>
                  </pic:spPr>
                </pic:pic>
              </a:graphicData>
            </a:graphic>
            <wp14:sizeRelH relativeFrom="margin">
              <wp14:pctWidth>0</wp14:pctWidth>
            </wp14:sizeRelH>
            <wp14:sizeRelV relativeFrom="margin">
              <wp14:pctHeight>0</wp14:pctHeight>
            </wp14:sizeRelV>
          </wp:anchor>
        </w:drawing>
      </w:r>
      <w:r w:rsidR="00970131">
        <w:t xml:space="preserve"> </w:t>
      </w:r>
    </w:p>
    <w:p w14:paraId="7F06A6EE" w14:textId="5412BEF5" w:rsidR="00D22C68" w:rsidRDefault="00D22C68" w:rsidP="00D22C68">
      <w:pPr>
        <w:pStyle w:val="Heading1"/>
      </w:pPr>
      <w:bookmarkStart w:id="95" w:name="_Toc41909282"/>
      <w:r>
        <w:t>SECTION 2</w:t>
      </w:r>
      <w:bookmarkEnd w:id="95"/>
    </w:p>
    <w:p w14:paraId="7FB74DAA" w14:textId="3689996F" w:rsidR="00970131" w:rsidRDefault="00970131" w:rsidP="005A5B44"/>
    <w:p w14:paraId="57D00267" w14:textId="77777777" w:rsidR="005A5B44" w:rsidRDefault="005A5B44" w:rsidP="005A5B44"/>
    <w:p w14:paraId="23A9CF62" w14:textId="0672DDE5" w:rsidR="00D22C68" w:rsidRPr="00970131" w:rsidRDefault="00D22C68" w:rsidP="00D22C68">
      <w:pPr>
        <w:rPr>
          <w:rFonts w:asciiTheme="minorHAnsi" w:hAnsiTheme="minorHAnsi" w:cstheme="minorHAnsi"/>
          <w:b/>
          <w:color w:val="FFFFFF" w:themeColor="background1"/>
          <w:sz w:val="36"/>
          <w:szCs w:val="36"/>
        </w:rPr>
      </w:pPr>
      <w:r w:rsidRPr="00970131">
        <w:rPr>
          <w:rFonts w:asciiTheme="minorHAnsi" w:hAnsiTheme="minorHAnsi" w:cstheme="minorHAnsi"/>
          <w:b/>
          <w:color w:val="FFFFFF" w:themeColor="background1"/>
          <w:sz w:val="36"/>
          <w:szCs w:val="36"/>
        </w:rPr>
        <w:t>July 2016 – June 2017</w:t>
      </w:r>
    </w:p>
    <w:p w14:paraId="4485AA88" w14:textId="77777777" w:rsidR="00D22C68" w:rsidRDefault="00D22C68" w:rsidP="005A5B44"/>
    <w:p w14:paraId="134A74B5" w14:textId="1BFEE64C" w:rsidR="00970131" w:rsidRPr="00587F4A" w:rsidRDefault="00970131" w:rsidP="00970131">
      <w:pPr>
        <w:pStyle w:val="Heading1"/>
        <w:rPr>
          <w:color w:val="auto"/>
        </w:rPr>
      </w:pPr>
      <w:bookmarkStart w:id="96" w:name="_Toc41909283"/>
      <w:r>
        <w:rPr>
          <w:color w:val="auto"/>
        </w:rPr>
        <w:t>DONOR</w:t>
      </w:r>
      <w:r w:rsidRPr="00587F4A">
        <w:rPr>
          <w:color w:val="auto"/>
        </w:rPr>
        <w:t xml:space="preserve"> HAEMOVIGILANCE</w:t>
      </w:r>
      <w:r>
        <w:rPr>
          <w:color w:val="auto"/>
        </w:rPr>
        <w:t xml:space="preserve"> </w:t>
      </w:r>
      <w:r w:rsidRPr="00587F4A">
        <w:rPr>
          <w:color w:val="auto"/>
        </w:rPr>
        <w:t>DATA</w:t>
      </w:r>
      <w:bookmarkEnd w:id="96"/>
    </w:p>
    <w:p w14:paraId="5F9B8FC5" w14:textId="77777777" w:rsidR="00970131" w:rsidRDefault="00970131" w:rsidP="005A5B44"/>
    <w:p w14:paraId="56EC0BA1" w14:textId="0C48CADF" w:rsidR="00D22C68" w:rsidRDefault="00D22C68" w:rsidP="00D22C68">
      <w:pPr>
        <w:pStyle w:val="Heading3"/>
      </w:pPr>
      <w:bookmarkStart w:id="97" w:name="_Toc41909284"/>
      <w:r>
        <w:t>Executive Summary</w:t>
      </w:r>
      <w:bookmarkEnd w:id="97"/>
    </w:p>
    <w:p w14:paraId="30E65159" w14:textId="590185CB" w:rsidR="00D22C68" w:rsidRDefault="00D22C68" w:rsidP="00D22C68">
      <w:pPr>
        <w:rPr>
          <w:rFonts w:cs="Arial"/>
        </w:rPr>
      </w:pPr>
      <w:r w:rsidRPr="007F3765">
        <w:rPr>
          <w:rFonts w:cs="Arial"/>
        </w:rPr>
        <w:t>Donor vigilance is the systematic monitoring of adverse reactions and incidents in blood donor care with a view to improving quality and safety for blood donors.</w:t>
      </w:r>
      <w:r w:rsidRPr="00017988">
        <w:rPr>
          <w:rFonts w:cs="Arial"/>
        </w:rPr>
        <w:t xml:space="preserve"> Australia contributed to a joint initiative by the International Society for Blood Transfusion (ISBT), the International Haemovigilance Network (IHN) and the AABB to standardise donor haemovigilance definitions internationally. </w:t>
      </w:r>
      <w:r>
        <w:rPr>
          <w:rFonts w:cs="Arial"/>
        </w:rPr>
        <w:t>In 2014, a</w:t>
      </w:r>
      <w:r w:rsidRPr="00017988">
        <w:rPr>
          <w:rFonts w:cs="Arial"/>
        </w:rPr>
        <w:t xml:space="preserve">greement </w:t>
      </w:r>
      <w:r>
        <w:rPr>
          <w:rFonts w:cs="Arial"/>
        </w:rPr>
        <w:t xml:space="preserve">was reached </w:t>
      </w:r>
      <w:r w:rsidRPr="00017988">
        <w:rPr>
          <w:rFonts w:cs="Arial"/>
        </w:rPr>
        <w:t xml:space="preserve">on standard definitions and </w:t>
      </w:r>
      <w:r>
        <w:rPr>
          <w:rFonts w:cs="Arial"/>
        </w:rPr>
        <w:t>this report is the second to be published using these</w:t>
      </w:r>
      <w:r w:rsidRPr="00017988">
        <w:rPr>
          <w:rFonts w:cs="Arial"/>
        </w:rPr>
        <w:t xml:space="preserve"> definitions. </w:t>
      </w:r>
      <w:r w:rsidRPr="00806C08">
        <w:rPr>
          <w:rFonts w:cs="Arial"/>
        </w:rPr>
        <w:t>Appendix 1 shows the correlation between the classification of events using ISBT definitions and the Blood Service’s historic definitions.</w:t>
      </w:r>
    </w:p>
    <w:p w14:paraId="0ECB8CC4" w14:textId="3213916C" w:rsidR="00D22C68" w:rsidRDefault="00D22C68" w:rsidP="00D22C68">
      <w:pPr>
        <w:rPr>
          <w:rFonts w:cs="Arial"/>
        </w:rPr>
      </w:pPr>
      <w:r w:rsidRPr="005A5C2F">
        <w:rPr>
          <w:rFonts w:cs="Arial"/>
        </w:rPr>
        <w:t>Historical data in this report has been updated to inc</w:t>
      </w:r>
      <w:r>
        <w:rPr>
          <w:rFonts w:cs="Arial"/>
        </w:rPr>
        <w:t xml:space="preserve">orporate this delayed reporting of adverse reactions by blood donors returning to donate; this is </w:t>
      </w:r>
      <w:r w:rsidRPr="005A5C2F">
        <w:rPr>
          <w:rFonts w:cs="Arial"/>
        </w:rPr>
        <w:t>usually prompted by the donor wellness question</w:t>
      </w:r>
      <w:r>
        <w:rPr>
          <w:rFonts w:cs="Arial"/>
        </w:rPr>
        <w:t xml:space="preserve"> which prompts donors to report previous reactions. The donor may report reactions months or even </w:t>
      </w:r>
      <w:r w:rsidRPr="005A5C2F">
        <w:rPr>
          <w:rFonts w:cs="Arial"/>
        </w:rPr>
        <w:t>years</w:t>
      </w:r>
      <w:r>
        <w:rPr>
          <w:rFonts w:cs="Arial"/>
        </w:rPr>
        <w:t xml:space="preserve"> after it occurred. </w:t>
      </w:r>
    </w:p>
    <w:p w14:paraId="31E3EEFB" w14:textId="29FE6D0F" w:rsidR="00D22C68" w:rsidRPr="00C31A01" w:rsidRDefault="00D22C68" w:rsidP="00D22C68">
      <w:pPr>
        <w:rPr>
          <w:rFonts w:cs="Arial"/>
        </w:rPr>
      </w:pPr>
      <w:r w:rsidRPr="007F3765">
        <w:rPr>
          <w:rFonts w:cs="Arial"/>
        </w:rPr>
        <w:t>Between 1 July 201</w:t>
      </w:r>
      <w:r>
        <w:rPr>
          <w:rFonts w:cs="Arial"/>
        </w:rPr>
        <w:t>6 and 30 June 2017</w:t>
      </w:r>
      <w:r w:rsidRPr="007F3765">
        <w:rPr>
          <w:rFonts w:cs="Arial"/>
        </w:rPr>
        <w:t xml:space="preserve"> there were </w:t>
      </w:r>
      <w:r>
        <w:rPr>
          <w:rFonts w:cs="Arial"/>
        </w:rPr>
        <w:t xml:space="preserve">just over </w:t>
      </w:r>
      <w:r w:rsidRPr="007F3765">
        <w:rPr>
          <w:rFonts w:cs="Arial"/>
        </w:rPr>
        <w:t>1.3</w:t>
      </w:r>
      <w:r>
        <w:rPr>
          <w:rFonts w:cs="Arial"/>
        </w:rPr>
        <w:t>3</w:t>
      </w:r>
      <w:r w:rsidRPr="007F3765">
        <w:rPr>
          <w:rFonts w:cs="Arial"/>
        </w:rPr>
        <w:t xml:space="preserve"> million donations, including </w:t>
      </w:r>
      <w:r>
        <w:rPr>
          <w:rFonts w:cs="Arial"/>
        </w:rPr>
        <w:t>0.71</w:t>
      </w:r>
      <w:r w:rsidRPr="007F3765">
        <w:rPr>
          <w:rFonts w:cs="Arial"/>
        </w:rPr>
        <w:t xml:space="preserve"> million whole blood donations, </w:t>
      </w:r>
      <w:r w:rsidRPr="00BD20C3">
        <w:rPr>
          <w:rFonts w:cs="Arial"/>
        </w:rPr>
        <w:t>0.</w:t>
      </w:r>
      <w:r>
        <w:rPr>
          <w:rFonts w:cs="Arial"/>
        </w:rPr>
        <w:t>59</w:t>
      </w:r>
      <w:r w:rsidRPr="007F3765">
        <w:rPr>
          <w:rFonts w:cs="Arial"/>
        </w:rPr>
        <w:t xml:space="preserve"> million plasmapheresis donations and </w:t>
      </w:r>
      <w:r w:rsidRPr="00BD20C3">
        <w:rPr>
          <w:rFonts w:cs="Arial"/>
        </w:rPr>
        <w:t>0.04</w:t>
      </w:r>
      <w:r w:rsidRPr="007F3765">
        <w:rPr>
          <w:rFonts w:cs="Arial"/>
        </w:rPr>
        <w:t xml:space="preserve"> million plateletpheresis donations. There were</w:t>
      </w:r>
      <w:r>
        <w:rPr>
          <w:rFonts w:cs="Arial"/>
        </w:rPr>
        <w:t xml:space="preserve"> 40,995 donor </w:t>
      </w:r>
      <w:r w:rsidRPr="007F3765">
        <w:rPr>
          <w:rFonts w:cs="Arial"/>
        </w:rPr>
        <w:t xml:space="preserve">adverse events reported. The overall reported rate of donation related adverse events has </w:t>
      </w:r>
      <w:r>
        <w:rPr>
          <w:rFonts w:cs="Arial"/>
        </w:rPr>
        <w:t xml:space="preserve">seen a slight decrease </w:t>
      </w:r>
      <w:r w:rsidRPr="00BD20C3">
        <w:rPr>
          <w:rFonts w:cs="Arial"/>
        </w:rPr>
        <w:t xml:space="preserve">from </w:t>
      </w:r>
      <w:r>
        <w:rPr>
          <w:rFonts w:cs="Arial"/>
        </w:rPr>
        <w:t>311</w:t>
      </w:r>
      <w:r w:rsidRPr="00BD20C3">
        <w:rPr>
          <w:rFonts w:cs="Arial"/>
        </w:rPr>
        <w:t>/10,000</w:t>
      </w:r>
      <w:r w:rsidRPr="007F3765">
        <w:rPr>
          <w:rFonts w:cs="Arial"/>
        </w:rPr>
        <w:t xml:space="preserve"> donations for the previous 12 </w:t>
      </w:r>
      <w:r w:rsidRPr="00BD20C3">
        <w:rPr>
          <w:rFonts w:cs="Arial"/>
        </w:rPr>
        <w:t>months</w:t>
      </w:r>
      <w:r w:rsidRPr="00C31A01">
        <w:rPr>
          <w:rFonts w:cs="Arial"/>
        </w:rPr>
        <w:t xml:space="preserve"> to </w:t>
      </w:r>
      <w:r>
        <w:rPr>
          <w:rFonts w:cs="Arial"/>
        </w:rPr>
        <w:t>308</w:t>
      </w:r>
      <w:r w:rsidRPr="00BD20C3">
        <w:rPr>
          <w:rFonts w:cs="Arial"/>
        </w:rPr>
        <w:t>/10,000</w:t>
      </w:r>
      <w:r w:rsidRPr="007F3765">
        <w:rPr>
          <w:rFonts w:cs="Arial"/>
        </w:rPr>
        <w:t xml:space="preserve"> donations. </w:t>
      </w:r>
      <w:r w:rsidRPr="00ED6FAF">
        <w:rPr>
          <w:rFonts w:cs="Arial"/>
        </w:rPr>
        <w:t xml:space="preserve">The </w:t>
      </w:r>
      <w:r>
        <w:rPr>
          <w:rFonts w:cs="Arial"/>
        </w:rPr>
        <w:t>event numbers in this in this report are</w:t>
      </w:r>
      <w:r w:rsidRPr="00ED6FAF">
        <w:rPr>
          <w:rFonts w:cs="Arial"/>
        </w:rPr>
        <w:t xml:space="preserve"> accurate as at</w:t>
      </w:r>
      <w:r>
        <w:rPr>
          <w:rFonts w:cs="Arial"/>
        </w:rPr>
        <w:t xml:space="preserve"> 6 October 2017</w:t>
      </w:r>
      <w:r w:rsidRPr="00ED6FAF">
        <w:rPr>
          <w:rFonts w:cs="Arial"/>
        </w:rPr>
        <w:t>.</w:t>
      </w:r>
      <w:r w:rsidR="00970131" w:rsidRPr="00970131">
        <w:rPr>
          <w:noProof/>
          <w:lang w:eastAsia="en-AU"/>
        </w:rPr>
        <w:t xml:space="preserve"> </w:t>
      </w:r>
    </w:p>
    <w:p w14:paraId="48D56741" w14:textId="2D39024A" w:rsidR="00B71B44" w:rsidRPr="002550D4" w:rsidRDefault="00453115" w:rsidP="002550D4">
      <w:pPr>
        <w:spacing w:line="276" w:lineRule="auto"/>
      </w:pPr>
      <w:r w:rsidRPr="00394948">
        <w:rPr>
          <w:noProof/>
          <w:lang w:eastAsia="en-AU"/>
        </w:rPr>
        <mc:AlternateContent>
          <mc:Choice Requires="wps">
            <w:drawing>
              <wp:anchor distT="0" distB="0" distL="114300" distR="114300" simplePos="0" relativeHeight="251685888" behindDoc="0" locked="0" layoutInCell="1" allowOverlap="1" wp14:anchorId="3DA62B97" wp14:editId="5D5F3786">
                <wp:simplePos x="0" y="0"/>
                <wp:positionH relativeFrom="column">
                  <wp:posOffset>-387111</wp:posOffset>
                </wp:positionH>
                <wp:positionV relativeFrom="paragraph">
                  <wp:posOffset>2260660</wp:posOffset>
                </wp:positionV>
                <wp:extent cx="346710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467100" cy="381000"/>
                        </a:xfrm>
                        <a:prstGeom prst="rect">
                          <a:avLst/>
                        </a:prstGeom>
                        <a:noFill/>
                        <a:ln w="6350">
                          <a:noFill/>
                        </a:ln>
                      </wps:spPr>
                      <wps:txbx>
                        <w:txbxContent>
                          <w:p w14:paraId="43577FEC" w14:textId="77777777" w:rsidR="00DF4A63" w:rsidRPr="00895DE3" w:rsidRDefault="00DF4A63" w:rsidP="00895DE3">
                            <w:pPr>
                              <w:rPr>
                                <w:color w:val="FFFFFF" w:themeColor="background1"/>
                                <w:sz w:val="36"/>
                                <w:szCs w:val="36"/>
                              </w:rPr>
                            </w:pPr>
                            <w:r w:rsidRPr="00895DE3">
                              <w:rPr>
                                <w:color w:val="FFFFFF" w:themeColor="background1"/>
                                <w:sz w:val="36"/>
                                <w:szCs w:val="36"/>
                              </w:rPr>
                              <w:t>July 2016 – 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3DA62B97" id="_x0000_t202" coordsize="21600,21600" o:spt="202" path="m,l,21600r21600,l21600,xe">
                <v:stroke joinstyle="miter"/>
                <v:path gradientshapeok="t" o:connecttype="rect"/>
              </v:shapetype>
              <v:shape id="Text Box 3" o:spid="_x0000_s1026" type="#_x0000_t202" style="position:absolute;margin-left:-30.5pt;margin-top:178pt;width:273pt;height:3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" filled="f" stroked="f" strokeweight=".5pt">
                <v:textbox>
                  <w:txbxContent>
                    <w:p w14:paraId="43577FEC" w14:textId="77777777" w:rsidR="00DF4A63" w:rsidRPr="00895DE3" w:rsidRDefault="00DF4A63" w:rsidP="00895DE3">
                      <w:pPr>
                        <w:rPr>
                          <w:color w:val="FFFFFF" w:themeColor="background1"/>
                          <w:sz w:val="36"/>
                          <w:szCs w:val="36"/>
                        </w:rPr>
                      </w:pPr>
                      <w:r w:rsidRPr="00895DE3">
                        <w:rPr>
                          <w:color w:val="FFFFFF" w:themeColor="background1"/>
                          <w:sz w:val="36"/>
                          <w:szCs w:val="36"/>
                        </w:rPr>
                        <w:t>July 2016 – June 2017</w:t>
                      </w:r>
                    </w:p>
                  </w:txbxContent>
                </v:textbox>
              </v:shape>
            </w:pict>
          </mc:Fallback>
        </mc:AlternateContent>
      </w:r>
      <w:r w:rsidR="00FD6A4F" w:rsidRPr="00394948">
        <w:rPr>
          <w:noProof/>
          <w:lang w:eastAsia="en-AU"/>
        </w:rPr>
        <mc:AlternateContent>
          <mc:Choice Requires="wps">
            <w:drawing>
              <wp:anchor distT="0" distB="0" distL="114300" distR="114300" simplePos="0" relativeHeight="251675648" behindDoc="0" locked="0" layoutInCell="1" allowOverlap="1" wp14:anchorId="230E826C" wp14:editId="2CEE0736">
                <wp:simplePos x="0" y="0"/>
                <wp:positionH relativeFrom="column">
                  <wp:posOffset>-521335</wp:posOffset>
                </wp:positionH>
                <wp:positionV relativeFrom="paragraph">
                  <wp:posOffset>-9402445</wp:posOffset>
                </wp:positionV>
                <wp:extent cx="4114800" cy="598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598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7469F" w14:textId="77777777" w:rsidR="00DF4A63" w:rsidRPr="008479C9" w:rsidRDefault="00DF4A63">
                            <w:pPr>
                              <w:rPr>
                                <w:rFonts w:ascii="TitilliumText22L Rg" w:hAnsi="TitilliumText22L Rg"/>
                                <w:sz w:val="56"/>
                                <w:szCs w:val="56"/>
                              </w:rPr>
                            </w:pPr>
                            <w:r w:rsidRPr="008479C9">
                              <w:rPr>
                                <w:rFonts w:ascii="TitilliumText22L Rg" w:hAnsi="TitilliumText22L Rg"/>
                                <w:sz w:val="56"/>
                                <w:szCs w:val="56"/>
                              </w:rPr>
                              <w:t>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30E826C" id="Text Box 4" o:spid="_x0000_s1027" type="#_x0000_t202" style="position:absolute;margin-left:-41.05pt;margin-top:-740.35pt;width:324pt;height:47.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" filled="f" stroked="f" strokeweight=".5pt">
                <v:textbox>
                  <w:txbxContent>
                    <w:p w14:paraId="1937469F" w14:textId="77777777" w:rsidR="00DF4A63" w:rsidRPr="008479C9" w:rsidRDefault="00DF4A63">
                      <w:pPr>
                        <w:rPr>
                          <w:rFonts w:ascii="TitilliumText22L Rg" w:hAnsi="TitilliumText22L Rg"/>
                          <w:sz w:val="56"/>
                          <w:szCs w:val="56"/>
                        </w:rPr>
                      </w:pPr>
                      <w:r w:rsidRPr="008479C9">
                        <w:rPr>
                          <w:rFonts w:ascii="TitilliumText22L Rg" w:hAnsi="TitilliumText22L Rg"/>
                          <w:sz w:val="56"/>
                          <w:szCs w:val="56"/>
                        </w:rPr>
                        <w:t>SECTION 2</w:t>
                      </w:r>
                    </w:p>
                  </w:txbxContent>
                </v:textbox>
              </v:shape>
            </w:pict>
          </mc:Fallback>
        </mc:AlternateContent>
      </w:r>
      <w:r w:rsidR="00123EA2" w:rsidRPr="00394948">
        <w:br w:type="page"/>
      </w:r>
    </w:p>
    <w:p w14:paraId="3DE6FDCF" w14:textId="2968C45C" w:rsidR="007831A9" w:rsidRPr="00394948" w:rsidRDefault="007831A9" w:rsidP="00895DE3">
      <w:pPr>
        <w:pStyle w:val="Heading3"/>
      </w:pPr>
      <w:bookmarkStart w:id="98" w:name="_Toc41909285"/>
      <w:r w:rsidRPr="00394948">
        <w:lastRenderedPageBreak/>
        <w:t>Donation adverse event trends</w:t>
      </w:r>
      <w:bookmarkEnd w:id="98"/>
    </w:p>
    <w:p w14:paraId="61A3B5D4" w14:textId="77777777" w:rsidR="007831A9" w:rsidRPr="00394948" w:rsidRDefault="007831A9" w:rsidP="007831A9">
      <w:pPr>
        <w:rPr>
          <w:rFonts w:cs="Arial"/>
        </w:rPr>
      </w:pPr>
      <w:r w:rsidRPr="00394948">
        <w:rPr>
          <w:rFonts w:cs="Arial"/>
        </w:rPr>
        <w:t>Whilst blood donation is generally a safe process, there are recognised donor complications which can</w:t>
      </w:r>
      <w:r w:rsidR="004B74AC" w:rsidRPr="00394948">
        <w:rPr>
          <w:rFonts w:cs="Arial"/>
        </w:rPr>
        <w:t xml:space="preserve"> </w:t>
      </w:r>
      <w:r w:rsidRPr="00394948">
        <w:rPr>
          <w:rFonts w:cs="Arial"/>
        </w:rPr>
        <w:t>occur. Donor haemovigilance systems permit evaluation of the impact of changes in donation procedures and also of the success of interventions designed to further improve donor safety. The implementation of these systems has permitted real time reporting, and enabled detailed analysis, which has improved understanding of impacts of blood donation, changes in collection procedures and in donor selection criteria on the safety of donors.</w:t>
      </w:r>
    </w:p>
    <w:p w14:paraId="608378BB" w14:textId="6F7361EF" w:rsidR="007831A9" w:rsidRPr="00394948" w:rsidRDefault="007831A9" w:rsidP="007831A9">
      <w:pPr>
        <w:rPr>
          <w:rFonts w:cs="Arial"/>
        </w:rPr>
      </w:pPr>
      <w:r w:rsidRPr="00394948">
        <w:rPr>
          <w:rFonts w:cs="Arial"/>
        </w:rPr>
        <w:t>Since the introduction of electronic reporting in 2010, the accuracy and completeness of the information r</w:t>
      </w:r>
      <w:r w:rsidR="00942707">
        <w:rPr>
          <w:rFonts w:cs="Arial"/>
        </w:rPr>
        <w:t xml:space="preserve">eported has improved steadily. </w:t>
      </w:r>
      <w:r w:rsidRPr="00394948">
        <w:rPr>
          <w:rFonts w:cs="Arial"/>
        </w:rPr>
        <w:t xml:space="preserve">Several changes have been implemented resulting in a progressive increase in the number of donation reactions reported. These changes include the introduction of the “donor wellness check” in 2011 which has resulted in improved reporting of delayed donor reactions and phlebotomy injuries which become apparent after the </w:t>
      </w:r>
      <w:r w:rsidR="006B57AB">
        <w:rPr>
          <w:rFonts w:cs="Arial"/>
        </w:rPr>
        <w:t xml:space="preserve">donor leaves the donor centre. </w:t>
      </w:r>
      <w:r w:rsidRPr="00394948">
        <w:rPr>
          <w:rFonts w:cs="Arial"/>
        </w:rPr>
        <w:t xml:space="preserve">In late 2012 mandatory reporting of all citrate reactions in plasmapheresis and plateletpheresis donors was introduced, resulting </w:t>
      </w:r>
      <w:r w:rsidRPr="00394948">
        <w:rPr>
          <w:rFonts w:cs="Arial"/>
          <w:color w:val="000000" w:themeColor="text1"/>
        </w:rPr>
        <w:t>in a significant increase in the number of reports of plateletpheresis reactions and modest increase in plasmapheresis donor reactions. In November 2013 refinements</w:t>
      </w:r>
      <w:r w:rsidRPr="00394948">
        <w:t xml:space="preserve"> </w:t>
      </w:r>
      <w:r w:rsidRPr="00394948">
        <w:rPr>
          <w:rFonts w:cs="Arial"/>
          <w:color w:val="000000" w:themeColor="text1"/>
        </w:rPr>
        <w:t>to the reporting system</w:t>
      </w:r>
      <w:r w:rsidRPr="00394948">
        <w:t xml:space="preserve"> </w:t>
      </w:r>
      <w:r w:rsidRPr="00394948">
        <w:rPr>
          <w:rFonts w:cs="Arial"/>
          <w:color w:val="000000" w:themeColor="text1"/>
        </w:rPr>
        <w:t>made it possible to report more than one type of donation reaction for each donation; this has resulted in an increase in the number of phlebotomy injuries which occurred in association with a faint or pre-faint.</w:t>
      </w:r>
      <w:r w:rsidRPr="00394948">
        <w:t xml:space="preserve"> </w:t>
      </w:r>
      <w:r w:rsidRPr="00394948">
        <w:rPr>
          <w:rFonts w:cs="Arial"/>
          <w:color w:val="000000" w:themeColor="text1"/>
        </w:rPr>
        <w:t>Since 2015, a program of</w:t>
      </w:r>
      <w:r w:rsidRPr="00394948">
        <w:t xml:space="preserve"> </w:t>
      </w:r>
      <w:r w:rsidRPr="00394948">
        <w:rPr>
          <w:rFonts w:cs="Arial"/>
          <w:color w:val="000000" w:themeColor="text1"/>
        </w:rPr>
        <w:t>staff education and compliance monitoring</w:t>
      </w:r>
      <w:r w:rsidRPr="00394948">
        <w:t xml:space="preserve"> </w:t>
      </w:r>
      <w:r w:rsidRPr="00394948">
        <w:rPr>
          <w:rFonts w:cs="Arial"/>
          <w:color w:val="000000" w:themeColor="text1"/>
        </w:rPr>
        <w:t>has resulted in improved reporting compliance.</w:t>
      </w:r>
    </w:p>
    <w:p w14:paraId="2EBB7B4C" w14:textId="77777777" w:rsidR="007831A9" w:rsidRPr="00394948" w:rsidRDefault="007831A9" w:rsidP="007831A9">
      <w:pPr>
        <w:rPr>
          <w:rFonts w:cs="Arial"/>
        </w:rPr>
      </w:pPr>
      <w:r w:rsidRPr="00394948">
        <w:rPr>
          <w:rFonts w:cs="Arial"/>
        </w:rPr>
        <w:t>These changes have enabled detailed analysis, which has improved understanding of the true impacts of blood donation on donor health, and the effects of changes in collection procedures and in donor selection criteria on the safety of donors. It has enabled identification donor groups at highest risk of donation reactions, which permits targeted intervention programs to reduce the risk and severity of reactions in these high risk groups.</w:t>
      </w:r>
    </w:p>
    <w:p w14:paraId="6975D285" w14:textId="14354AB7" w:rsidR="007831A9" w:rsidRPr="00394948" w:rsidRDefault="007831A9" w:rsidP="007831A9">
      <w:pPr>
        <w:rPr>
          <w:rFonts w:cs="Arial"/>
        </w:rPr>
      </w:pPr>
      <w:r w:rsidRPr="00394948">
        <w:rPr>
          <w:rFonts w:cs="Arial"/>
        </w:rPr>
        <w:t>There have been significant changes in the number and types of collections und</w:t>
      </w:r>
      <w:r w:rsidR="00942707">
        <w:rPr>
          <w:rFonts w:cs="Arial"/>
        </w:rPr>
        <w:t xml:space="preserve">ertaken over the past 5 years. </w:t>
      </w:r>
      <w:r w:rsidRPr="00394948">
        <w:rPr>
          <w:rFonts w:cs="Arial"/>
        </w:rPr>
        <w:t xml:space="preserve">Whilst the total number of collections each year has remained relatively stable, there has been an 18% reduction in the number of whole blood collections and a 37% increase </w:t>
      </w:r>
      <w:r w:rsidR="006B57AB">
        <w:rPr>
          <w:rFonts w:cs="Arial"/>
        </w:rPr>
        <w:t xml:space="preserve">in plasmapheresis collections. </w:t>
      </w:r>
      <w:r w:rsidRPr="00394948">
        <w:rPr>
          <w:rFonts w:cs="Arial"/>
        </w:rPr>
        <w:t>The number of plateletpheresis collections each year has remained relatively stable, although the number of platelet doses collected has increased</w:t>
      </w:r>
      <w:r w:rsidRPr="00394948">
        <w:t xml:space="preserve"> </w:t>
      </w:r>
      <w:r w:rsidRPr="00394948">
        <w:rPr>
          <w:rFonts w:cs="Arial"/>
        </w:rPr>
        <w:t xml:space="preserve">as a result as an increase in the number of double dose platelet collections, and a decline in the number of single dose platelet collections. In 2012-13, 32% of platelet collections were single dose collections; in 2016 </w:t>
      </w:r>
      <w:r w:rsidRPr="00394948">
        <w:rPr>
          <w:rFonts w:cs="Arial"/>
        </w:rPr>
        <w:noBreakHyphen/>
        <w:t xml:space="preserve">17, the proportion of single platelet collections fell to 21% of all platelet collections.   </w:t>
      </w:r>
    </w:p>
    <w:p w14:paraId="5990B464" w14:textId="385192AB" w:rsidR="00942707" w:rsidRPr="00F37ADB" w:rsidRDefault="00942707" w:rsidP="00942707">
      <w:pPr>
        <w:pStyle w:val="Caption"/>
        <w:keepNext/>
        <w:spacing w:after="0"/>
        <w:rPr>
          <w:color w:val="auto"/>
        </w:rPr>
      </w:pPr>
      <w:bookmarkStart w:id="99" w:name="_Toc36208188"/>
      <w:bookmarkStart w:id="100" w:name="_Toc41909330"/>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38</w:t>
      </w:r>
      <w:r w:rsidRPr="00F37ADB">
        <w:rPr>
          <w:color w:val="auto"/>
        </w:rPr>
        <w:fldChar w:fldCharType="end"/>
      </w:r>
      <w:r w:rsidRPr="00F37ADB">
        <w:rPr>
          <w:color w:val="auto"/>
        </w:rPr>
        <w:t>: Total number of collections by donation type, 2012-13 to 2016-17</w:t>
      </w:r>
      <w:bookmarkEnd w:id="99"/>
      <w:bookmarkEnd w:id="100"/>
    </w:p>
    <w:tbl>
      <w:tblPr>
        <w:tblStyle w:val="MediumShading1-Accent2"/>
        <w:tblW w:w="0" w:type="auto"/>
        <w:tblInd w:w="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09"/>
        <w:gridCol w:w="1161"/>
        <w:gridCol w:w="1416"/>
        <w:gridCol w:w="1416"/>
        <w:gridCol w:w="1416"/>
        <w:gridCol w:w="1416"/>
      </w:tblGrid>
      <w:tr w:rsidR="007831A9" w:rsidRPr="00394948" w14:paraId="7421EAB2" w14:textId="77777777" w:rsidTr="009427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9" w:type="dxa"/>
            <w:shd w:val="clear" w:color="auto" w:fill="FF0000"/>
            <w:vAlign w:val="bottom"/>
          </w:tcPr>
          <w:p w14:paraId="509DFBFF" w14:textId="77777777" w:rsidR="007831A9" w:rsidRPr="00394948" w:rsidRDefault="007831A9" w:rsidP="007831A9">
            <w:pPr>
              <w:rPr>
                <w:rFonts w:cstheme="minorHAnsi"/>
                <w:color w:val="FFFFFF"/>
                <w:sz w:val="20"/>
                <w:szCs w:val="20"/>
                <w:lang w:eastAsia="en-AU"/>
              </w:rPr>
            </w:pPr>
            <w:r w:rsidRPr="00394948">
              <w:rPr>
                <w:rFonts w:eastAsia="Times New Roman"/>
                <w:bCs w:val="0"/>
                <w:color w:val="FFFFFF"/>
                <w:sz w:val="20"/>
                <w:szCs w:val="20"/>
                <w:lang w:eastAsia="zh-CN"/>
              </w:rPr>
              <w:t>Collections</w:t>
            </w:r>
          </w:p>
        </w:tc>
        <w:tc>
          <w:tcPr>
            <w:tcW w:w="1161" w:type="dxa"/>
            <w:shd w:val="clear" w:color="auto" w:fill="FF0000"/>
            <w:vAlign w:val="bottom"/>
          </w:tcPr>
          <w:p w14:paraId="57D94BB0" w14:textId="77777777" w:rsidR="007831A9" w:rsidRPr="00394948" w:rsidRDefault="007831A9" w:rsidP="007831A9">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lang w:eastAsia="zh-CN"/>
              </w:rPr>
            </w:pPr>
            <w:r w:rsidRPr="00394948">
              <w:rPr>
                <w:rFonts w:eastAsia="Times New Roman"/>
                <w:bCs w:val="0"/>
                <w:color w:val="FFFFFF"/>
                <w:sz w:val="20"/>
                <w:szCs w:val="20"/>
                <w:lang w:eastAsia="zh-CN"/>
              </w:rPr>
              <w:t>2012-13</w:t>
            </w:r>
          </w:p>
        </w:tc>
        <w:tc>
          <w:tcPr>
            <w:tcW w:w="1416" w:type="dxa"/>
            <w:shd w:val="clear" w:color="auto" w:fill="FF0000"/>
            <w:vAlign w:val="bottom"/>
          </w:tcPr>
          <w:p w14:paraId="463987E9" w14:textId="77777777" w:rsidR="007831A9" w:rsidRPr="00394948" w:rsidRDefault="007831A9" w:rsidP="007831A9">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lang w:eastAsia="zh-CN"/>
              </w:rPr>
            </w:pPr>
            <w:r w:rsidRPr="00394948">
              <w:rPr>
                <w:rFonts w:eastAsia="Times New Roman"/>
                <w:bCs w:val="0"/>
                <w:color w:val="FFFFFF"/>
                <w:sz w:val="20"/>
                <w:szCs w:val="20"/>
                <w:lang w:eastAsia="zh-CN"/>
              </w:rPr>
              <w:t>2013-14</w:t>
            </w:r>
          </w:p>
        </w:tc>
        <w:tc>
          <w:tcPr>
            <w:tcW w:w="1416" w:type="dxa"/>
            <w:shd w:val="clear" w:color="auto" w:fill="FF0000"/>
            <w:vAlign w:val="bottom"/>
          </w:tcPr>
          <w:p w14:paraId="281FE1D8" w14:textId="77777777" w:rsidR="007831A9" w:rsidRPr="00394948" w:rsidRDefault="007831A9" w:rsidP="007831A9">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lang w:eastAsia="zh-CN"/>
              </w:rPr>
            </w:pPr>
            <w:r w:rsidRPr="00394948">
              <w:rPr>
                <w:rFonts w:eastAsia="Times New Roman"/>
                <w:bCs w:val="0"/>
                <w:color w:val="FFFFFF"/>
                <w:sz w:val="20"/>
                <w:szCs w:val="20"/>
                <w:lang w:eastAsia="zh-CN"/>
              </w:rPr>
              <w:t>2014-15</w:t>
            </w:r>
          </w:p>
        </w:tc>
        <w:tc>
          <w:tcPr>
            <w:tcW w:w="1416" w:type="dxa"/>
            <w:shd w:val="clear" w:color="auto" w:fill="FF0000"/>
            <w:vAlign w:val="bottom"/>
          </w:tcPr>
          <w:p w14:paraId="6A27DA08" w14:textId="77777777" w:rsidR="007831A9" w:rsidRPr="00394948" w:rsidRDefault="007831A9" w:rsidP="007831A9">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lang w:eastAsia="zh-CN"/>
              </w:rPr>
            </w:pPr>
            <w:r w:rsidRPr="00394948">
              <w:rPr>
                <w:rFonts w:eastAsia="Times New Roman"/>
                <w:bCs w:val="0"/>
                <w:color w:val="FFFFFF"/>
                <w:sz w:val="20"/>
                <w:szCs w:val="20"/>
                <w:lang w:eastAsia="zh-CN"/>
              </w:rPr>
              <w:t>2015-16</w:t>
            </w:r>
          </w:p>
        </w:tc>
        <w:tc>
          <w:tcPr>
            <w:tcW w:w="1416" w:type="dxa"/>
            <w:shd w:val="clear" w:color="auto" w:fill="FF0000"/>
            <w:vAlign w:val="bottom"/>
          </w:tcPr>
          <w:p w14:paraId="15E45873" w14:textId="77777777" w:rsidR="007831A9" w:rsidRPr="00394948" w:rsidRDefault="007831A9" w:rsidP="007831A9">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FFFFFF"/>
                <w:sz w:val="20"/>
                <w:szCs w:val="20"/>
                <w:lang w:eastAsia="zh-CN"/>
              </w:rPr>
            </w:pPr>
            <w:r w:rsidRPr="00394948">
              <w:rPr>
                <w:rFonts w:eastAsia="Times New Roman"/>
                <w:bCs w:val="0"/>
                <w:color w:val="FFFFFF"/>
                <w:sz w:val="20"/>
                <w:szCs w:val="20"/>
                <w:lang w:eastAsia="zh-CN"/>
              </w:rPr>
              <w:t>2016-17</w:t>
            </w:r>
          </w:p>
        </w:tc>
      </w:tr>
      <w:tr w:rsidR="007831A9" w:rsidRPr="00394948" w14:paraId="5D664746" w14:textId="77777777" w:rsidTr="009427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9" w:type="dxa"/>
            <w:tcBorders>
              <w:bottom w:val="single" w:sz="4" w:space="0" w:color="auto"/>
            </w:tcBorders>
            <w:shd w:val="clear" w:color="auto" w:fill="FFFFFF" w:themeFill="background1"/>
            <w:vAlign w:val="bottom"/>
          </w:tcPr>
          <w:p w14:paraId="5435B456" w14:textId="77777777" w:rsidR="007831A9" w:rsidRPr="00394948" w:rsidRDefault="007831A9" w:rsidP="007831A9">
            <w:pPr>
              <w:rPr>
                <w:rFonts w:cstheme="minorHAnsi"/>
                <w:sz w:val="20"/>
                <w:szCs w:val="20"/>
                <w:lang w:eastAsia="en-AU"/>
              </w:rPr>
            </w:pPr>
            <w:r w:rsidRPr="00394948">
              <w:rPr>
                <w:rFonts w:cstheme="minorHAnsi"/>
                <w:sz w:val="20"/>
                <w:szCs w:val="20"/>
                <w:lang w:eastAsia="en-AU"/>
              </w:rPr>
              <w:t>Whole Blood</w:t>
            </w:r>
          </w:p>
        </w:tc>
        <w:tc>
          <w:tcPr>
            <w:tcW w:w="1161" w:type="dxa"/>
            <w:tcBorders>
              <w:bottom w:val="single" w:sz="4" w:space="0" w:color="auto"/>
            </w:tcBorders>
            <w:shd w:val="clear" w:color="auto" w:fill="FFFFFF" w:themeFill="background1"/>
            <w:vAlign w:val="bottom"/>
          </w:tcPr>
          <w:p w14:paraId="2B5422E2"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sz w:val="20"/>
                <w:szCs w:val="20"/>
              </w:rPr>
            </w:pPr>
            <w:r w:rsidRPr="00394948">
              <w:rPr>
                <w:sz w:val="20"/>
                <w:szCs w:val="20"/>
              </w:rPr>
              <w:t>858,594</w:t>
            </w:r>
          </w:p>
        </w:tc>
        <w:tc>
          <w:tcPr>
            <w:tcW w:w="1416" w:type="dxa"/>
            <w:tcBorders>
              <w:bottom w:val="single" w:sz="4" w:space="0" w:color="auto"/>
            </w:tcBorders>
            <w:shd w:val="clear" w:color="auto" w:fill="FFFFFF" w:themeFill="background1"/>
            <w:vAlign w:val="bottom"/>
          </w:tcPr>
          <w:p w14:paraId="55CAF132"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sz w:val="20"/>
                <w:szCs w:val="20"/>
              </w:rPr>
            </w:pPr>
            <w:r w:rsidRPr="00394948">
              <w:rPr>
                <w:sz w:val="20"/>
                <w:szCs w:val="20"/>
              </w:rPr>
              <w:t>783,346</w:t>
            </w:r>
          </w:p>
        </w:tc>
        <w:tc>
          <w:tcPr>
            <w:tcW w:w="1416" w:type="dxa"/>
            <w:tcBorders>
              <w:bottom w:val="single" w:sz="4" w:space="0" w:color="auto"/>
            </w:tcBorders>
            <w:shd w:val="clear" w:color="auto" w:fill="FFFFFF" w:themeFill="background1"/>
            <w:vAlign w:val="bottom"/>
          </w:tcPr>
          <w:p w14:paraId="6593F4BC"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sz w:val="20"/>
                <w:szCs w:val="20"/>
              </w:rPr>
            </w:pPr>
            <w:r w:rsidRPr="00394948">
              <w:rPr>
                <w:sz w:val="20"/>
                <w:szCs w:val="20"/>
              </w:rPr>
              <w:t>747,684</w:t>
            </w:r>
          </w:p>
        </w:tc>
        <w:tc>
          <w:tcPr>
            <w:tcW w:w="1416" w:type="dxa"/>
            <w:tcBorders>
              <w:bottom w:val="single" w:sz="4" w:space="0" w:color="auto"/>
            </w:tcBorders>
            <w:shd w:val="clear" w:color="auto" w:fill="FFFFFF" w:themeFill="background1"/>
            <w:vAlign w:val="bottom"/>
          </w:tcPr>
          <w:p w14:paraId="7820CDE0"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sz w:val="20"/>
                <w:szCs w:val="20"/>
              </w:rPr>
            </w:pPr>
            <w:r w:rsidRPr="00394948">
              <w:rPr>
                <w:sz w:val="20"/>
                <w:szCs w:val="20"/>
              </w:rPr>
              <w:t>718,341</w:t>
            </w:r>
          </w:p>
        </w:tc>
        <w:tc>
          <w:tcPr>
            <w:tcW w:w="1416" w:type="dxa"/>
            <w:tcBorders>
              <w:bottom w:val="single" w:sz="4" w:space="0" w:color="auto"/>
            </w:tcBorders>
            <w:shd w:val="clear" w:color="auto" w:fill="FFFFFF" w:themeFill="background1"/>
            <w:vAlign w:val="bottom"/>
          </w:tcPr>
          <w:p w14:paraId="1D86F4B3"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sz w:val="20"/>
                <w:szCs w:val="20"/>
              </w:rPr>
            </w:pPr>
            <w:r w:rsidRPr="00394948">
              <w:rPr>
                <w:sz w:val="20"/>
                <w:szCs w:val="20"/>
              </w:rPr>
              <w:t>705,587</w:t>
            </w:r>
          </w:p>
        </w:tc>
      </w:tr>
      <w:tr w:rsidR="007831A9" w:rsidRPr="00394948" w14:paraId="0D2C179D" w14:textId="77777777" w:rsidTr="009427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9" w:type="dxa"/>
            <w:tcBorders>
              <w:top w:val="single" w:sz="4" w:space="0" w:color="auto"/>
              <w:bottom w:val="single" w:sz="4" w:space="0" w:color="auto"/>
            </w:tcBorders>
            <w:shd w:val="clear" w:color="auto" w:fill="FFFFFF" w:themeFill="background1"/>
            <w:vAlign w:val="bottom"/>
          </w:tcPr>
          <w:p w14:paraId="37C936E0" w14:textId="77777777" w:rsidR="007831A9" w:rsidRPr="00394948" w:rsidRDefault="007831A9" w:rsidP="007831A9">
            <w:pPr>
              <w:rPr>
                <w:rFonts w:cstheme="minorHAnsi"/>
                <w:sz w:val="20"/>
                <w:szCs w:val="20"/>
                <w:lang w:eastAsia="en-AU"/>
              </w:rPr>
            </w:pPr>
            <w:r w:rsidRPr="00394948">
              <w:rPr>
                <w:rFonts w:cstheme="minorHAnsi"/>
                <w:sz w:val="20"/>
                <w:szCs w:val="20"/>
                <w:lang w:eastAsia="en-AU"/>
              </w:rPr>
              <w:t>All apheresis procedures</w:t>
            </w:r>
          </w:p>
        </w:tc>
        <w:tc>
          <w:tcPr>
            <w:tcW w:w="1161" w:type="dxa"/>
            <w:tcBorders>
              <w:top w:val="single" w:sz="4" w:space="0" w:color="auto"/>
              <w:bottom w:val="single" w:sz="4" w:space="0" w:color="auto"/>
            </w:tcBorders>
            <w:shd w:val="clear" w:color="auto" w:fill="FFFFFF" w:themeFill="background1"/>
            <w:vAlign w:val="bottom"/>
          </w:tcPr>
          <w:p w14:paraId="3D4AFF2D"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464,289</w:t>
            </w:r>
          </w:p>
        </w:tc>
        <w:tc>
          <w:tcPr>
            <w:tcW w:w="1416" w:type="dxa"/>
            <w:tcBorders>
              <w:top w:val="single" w:sz="4" w:space="0" w:color="auto"/>
              <w:bottom w:val="single" w:sz="4" w:space="0" w:color="auto"/>
            </w:tcBorders>
            <w:shd w:val="clear" w:color="auto" w:fill="FFFFFF" w:themeFill="background1"/>
            <w:vAlign w:val="bottom"/>
          </w:tcPr>
          <w:p w14:paraId="012C25FC"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518,579</w:t>
            </w:r>
          </w:p>
        </w:tc>
        <w:tc>
          <w:tcPr>
            <w:tcW w:w="1416" w:type="dxa"/>
            <w:tcBorders>
              <w:top w:val="single" w:sz="4" w:space="0" w:color="auto"/>
              <w:bottom w:val="single" w:sz="4" w:space="0" w:color="auto"/>
            </w:tcBorders>
            <w:shd w:val="clear" w:color="auto" w:fill="FFFFFF" w:themeFill="background1"/>
            <w:vAlign w:val="bottom"/>
          </w:tcPr>
          <w:p w14:paraId="15B9F6B6"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549,671</w:t>
            </w:r>
          </w:p>
        </w:tc>
        <w:tc>
          <w:tcPr>
            <w:tcW w:w="1416" w:type="dxa"/>
            <w:tcBorders>
              <w:top w:val="single" w:sz="4" w:space="0" w:color="auto"/>
              <w:bottom w:val="single" w:sz="4" w:space="0" w:color="auto"/>
            </w:tcBorders>
            <w:shd w:val="clear" w:color="auto" w:fill="FFFFFF" w:themeFill="background1"/>
            <w:vAlign w:val="bottom"/>
          </w:tcPr>
          <w:p w14:paraId="1A3A6682"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602,713</w:t>
            </w:r>
          </w:p>
        </w:tc>
        <w:tc>
          <w:tcPr>
            <w:tcW w:w="1416" w:type="dxa"/>
            <w:tcBorders>
              <w:top w:val="single" w:sz="4" w:space="0" w:color="auto"/>
              <w:bottom w:val="single" w:sz="4" w:space="0" w:color="auto"/>
            </w:tcBorders>
            <w:shd w:val="clear" w:color="auto" w:fill="FFFFFF" w:themeFill="background1"/>
            <w:vAlign w:val="bottom"/>
          </w:tcPr>
          <w:p w14:paraId="4D7B45A8"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624,870</w:t>
            </w:r>
          </w:p>
        </w:tc>
      </w:tr>
      <w:tr w:rsidR="007831A9" w:rsidRPr="00394948" w14:paraId="32CB8DC3" w14:textId="77777777" w:rsidTr="009427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9" w:type="dxa"/>
            <w:tcBorders>
              <w:top w:val="single" w:sz="4" w:space="0" w:color="auto"/>
              <w:bottom w:val="single" w:sz="4" w:space="0" w:color="auto"/>
            </w:tcBorders>
            <w:shd w:val="clear" w:color="auto" w:fill="FFFFFF" w:themeFill="background1"/>
            <w:vAlign w:val="center"/>
          </w:tcPr>
          <w:p w14:paraId="6F928819" w14:textId="77777777" w:rsidR="007831A9" w:rsidRPr="00394948" w:rsidRDefault="007831A9" w:rsidP="007831A9">
            <w:pPr>
              <w:jc w:val="right"/>
              <w:rPr>
                <w:rFonts w:cstheme="minorHAnsi"/>
                <w:i/>
                <w:sz w:val="20"/>
                <w:szCs w:val="20"/>
                <w:lang w:eastAsia="en-AU"/>
              </w:rPr>
            </w:pPr>
            <w:r w:rsidRPr="00394948">
              <w:rPr>
                <w:rFonts w:cstheme="minorHAnsi"/>
                <w:i/>
                <w:sz w:val="20"/>
                <w:szCs w:val="20"/>
                <w:lang w:eastAsia="en-AU"/>
              </w:rPr>
              <w:t xml:space="preserve">          Plasmapheresis</w:t>
            </w:r>
          </w:p>
        </w:tc>
        <w:tc>
          <w:tcPr>
            <w:tcW w:w="1161" w:type="dxa"/>
            <w:tcBorders>
              <w:top w:val="single" w:sz="4" w:space="0" w:color="auto"/>
              <w:bottom w:val="single" w:sz="4" w:space="0" w:color="auto"/>
            </w:tcBorders>
            <w:shd w:val="clear" w:color="auto" w:fill="FFFFFF" w:themeFill="background1"/>
            <w:vAlign w:val="bottom"/>
          </w:tcPr>
          <w:p w14:paraId="637C0B69"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427,945</w:t>
            </w:r>
          </w:p>
        </w:tc>
        <w:tc>
          <w:tcPr>
            <w:tcW w:w="1416" w:type="dxa"/>
            <w:tcBorders>
              <w:top w:val="single" w:sz="4" w:space="0" w:color="auto"/>
              <w:bottom w:val="single" w:sz="4" w:space="0" w:color="auto"/>
            </w:tcBorders>
            <w:shd w:val="clear" w:color="auto" w:fill="FFFFFF" w:themeFill="background1"/>
            <w:vAlign w:val="bottom"/>
          </w:tcPr>
          <w:p w14:paraId="28CE9D61"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482,857</w:t>
            </w:r>
          </w:p>
        </w:tc>
        <w:tc>
          <w:tcPr>
            <w:tcW w:w="1416" w:type="dxa"/>
            <w:tcBorders>
              <w:top w:val="single" w:sz="4" w:space="0" w:color="auto"/>
              <w:bottom w:val="single" w:sz="4" w:space="0" w:color="auto"/>
            </w:tcBorders>
            <w:shd w:val="clear" w:color="auto" w:fill="FFFFFF" w:themeFill="background1"/>
            <w:vAlign w:val="bottom"/>
          </w:tcPr>
          <w:p w14:paraId="19784ABD"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509,269</w:t>
            </w:r>
          </w:p>
        </w:tc>
        <w:tc>
          <w:tcPr>
            <w:tcW w:w="1416" w:type="dxa"/>
            <w:tcBorders>
              <w:top w:val="single" w:sz="4" w:space="0" w:color="auto"/>
              <w:bottom w:val="single" w:sz="4" w:space="0" w:color="auto"/>
            </w:tcBorders>
            <w:shd w:val="clear" w:color="auto" w:fill="FFFFFF" w:themeFill="background1"/>
            <w:vAlign w:val="bottom"/>
          </w:tcPr>
          <w:p w14:paraId="36D7E67D"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564,640</w:t>
            </w:r>
          </w:p>
        </w:tc>
        <w:tc>
          <w:tcPr>
            <w:tcW w:w="1416" w:type="dxa"/>
            <w:tcBorders>
              <w:top w:val="single" w:sz="4" w:space="0" w:color="auto"/>
              <w:bottom w:val="single" w:sz="4" w:space="0" w:color="auto"/>
            </w:tcBorders>
            <w:shd w:val="clear" w:color="auto" w:fill="FFFFFF" w:themeFill="background1"/>
            <w:vAlign w:val="bottom"/>
          </w:tcPr>
          <w:p w14:paraId="13B21B3C"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587,444</w:t>
            </w:r>
          </w:p>
        </w:tc>
      </w:tr>
      <w:tr w:rsidR="007831A9" w:rsidRPr="00394948" w14:paraId="713CE34E" w14:textId="77777777" w:rsidTr="009427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9" w:type="dxa"/>
            <w:tcBorders>
              <w:top w:val="single" w:sz="4" w:space="0" w:color="auto"/>
              <w:bottom w:val="single" w:sz="4" w:space="0" w:color="auto"/>
            </w:tcBorders>
            <w:shd w:val="clear" w:color="auto" w:fill="FFFFFF" w:themeFill="background1"/>
            <w:vAlign w:val="center"/>
          </w:tcPr>
          <w:p w14:paraId="460A37D3" w14:textId="77777777" w:rsidR="007831A9" w:rsidRPr="00394948" w:rsidRDefault="007831A9" w:rsidP="007831A9">
            <w:pPr>
              <w:jc w:val="right"/>
              <w:rPr>
                <w:rFonts w:cstheme="minorHAnsi"/>
                <w:i/>
                <w:sz w:val="20"/>
                <w:szCs w:val="20"/>
                <w:lang w:eastAsia="en-AU"/>
              </w:rPr>
            </w:pPr>
            <w:r w:rsidRPr="00394948">
              <w:rPr>
                <w:rFonts w:cstheme="minorHAnsi"/>
                <w:i/>
                <w:sz w:val="20"/>
                <w:szCs w:val="20"/>
                <w:lang w:eastAsia="en-AU"/>
              </w:rPr>
              <w:t xml:space="preserve">          Plateletpheresis</w:t>
            </w:r>
          </w:p>
        </w:tc>
        <w:tc>
          <w:tcPr>
            <w:tcW w:w="1161" w:type="dxa"/>
            <w:tcBorders>
              <w:top w:val="single" w:sz="4" w:space="0" w:color="auto"/>
              <w:bottom w:val="single" w:sz="4" w:space="0" w:color="auto"/>
            </w:tcBorders>
            <w:shd w:val="clear" w:color="auto" w:fill="FFFFFF" w:themeFill="background1"/>
            <w:vAlign w:val="bottom"/>
          </w:tcPr>
          <w:p w14:paraId="110C6628"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36,344</w:t>
            </w:r>
          </w:p>
        </w:tc>
        <w:tc>
          <w:tcPr>
            <w:tcW w:w="1416" w:type="dxa"/>
            <w:tcBorders>
              <w:top w:val="single" w:sz="4" w:space="0" w:color="auto"/>
              <w:bottom w:val="single" w:sz="4" w:space="0" w:color="auto"/>
            </w:tcBorders>
            <w:shd w:val="clear" w:color="auto" w:fill="FFFFFF" w:themeFill="background1"/>
            <w:vAlign w:val="bottom"/>
          </w:tcPr>
          <w:p w14:paraId="23B7D178"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35,722</w:t>
            </w:r>
          </w:p>
        </w:tc>
        <w:tc>
          <w:tcPr>
            <w:tcW w:w="1416" w:type="dxa"/>
            <w:tcBorders>
              <w:top w:val="single" w:sz="4" w:space="0" w:color="auto"/>
              <w:bottom w:val="single" w:sz="4" w:space="0" w:color="auto"/>
            </w:tcBorders>
            <w:shd w:val="clear" w:color="auto" w:fill="FFFFFF" w:themeFill="background1"/>
            <w:vAlign w:val="bottom"/>
          </w:tcPr>
          <w:p w14:paraId="5DEBA044"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40,402</w:t>
            </w:r>
          </w:p>
        </w:tc>
        <w:tc>
          <w:tcPr>
            <w:tcW w:w="1416" w:type="dxa"/>
            <w:tcBorders>
              <w:top w:val="single" w:sz="4" w:space="0" w:color="auto"/>
              <w:bottom w:val="single" w:sz="4" w:space="0" w:color="auto"/>
            </w:tcBorders>
            <w:shd w:val="clear" w:color="auto" w:fill="FFFFFF" w:themeFill="background1"/>
            <w:vAlign w:val="bottom"/>
          </w:tcPr>
          <w:p w14:paraId="337028F8"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38,073</w:t>
            </w:r>
          </w:p>
        </w:tc>
        <w:tc>
          <w:tcPr>
            <w:tcW w:w="1416" w:type="dxa"/>
            <w:tcBorders>
              <w:top w:val="single" w:sz="4" w:space="0" w:color="auto"/>
              <w:bottom w:val="single" w:sz="4" w:space="0" w:color="auto"/>
            </w:tcBorders>
            <w:shd w:val="clear" w:color="auto" w:fill="FFFFFF" w:themeFill="background1"/>
            <w:vAlign w:val="bottom"/>
          </w:tcPr>
          <w:p w14:paraId="70E08AE2" w14:textId="77777777" w:rsidR="007831A9" w:rsidRPr="00394948" w:rsidRDefault="007831A9" w:rsidP="007831A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394948">
              <w:rPr>
                <w:rFonts w:eastAsia="Times New Roman" w:cs="Times New Roman"/>
                <w:color w:val="000000"/>
                <w:sz w:val="20"/>
                <w:szCs w:val="20"/>
                <w:lang w:eastAsia="en-AU"/>
              </w:rPr>
              <w:t>37,426</w:t>
            </w:r>
          </w:p>
        </w:tc>
      </w:tr>
      <w:tr w:rsidR="007831A9" w:rsidRPr="00394948" w14:paraId="6BBD1F78" w14:textId="77777777" w:rsidTr="009427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9" w:type="dxa"/>
            <w:tcBorders>
              <w:top w:val="single" w:sz="4" w:space="0" w:color="auto"/>
              <w:bottom w:val="single" w:sz="4" w:space="0" w:color="auto"/>
            </w:tcBorders>
            <w:shd w:val="clear" w:color="auto" w:fill="FFFFFF" w:themeFill="background1"/>
            <w:vAlign w:val="bottom"/>
          </w:tcPr>
          <w:p w14:paraId="47E9140F" w14:textId="77777777" w:rsidR="007831A9" w:rsidRPr="00394948" w:rsidRDefault="007831A9" w:rsidP="007831A9">
            <w:pPr>
              <w:rPr>
                <w:rFonts w:cstheme="minorHAnsi"/>
                <w:sz w:val="20"/>
                <w:szCs w:val="20"/>
                <w:lang w:eastAsia="en-AU"/>
              </w:rPr>
            </w:pPr>
            <w:r w:rsidRPr="00394948">
              <w:rPr>
                <w:rFonts w:cstheme="minorHAnsi"/>
                <w:sz w:val="20"/>
                <w:szCs w:val="20"/>
                <w:lang w:eastAsia="en-AU"/>
              </w:rPr>
              <w:t>Total collections</w:t>
            </w:r>
          </w:p>
        </w:tc>
        <w:tc>
          <w:tcPr>
            <w:tcW w:w="1161" w:type="dxa"/>
            <w:tcBorders>
              <w:top w:val="single" w:sz="4" w:space="0" w:color="auto"/>
              <w:bottom w:val="single" w:sz="4" w:space="0" w:color="auto"/>
            </w:tcBorders>
            <w:shd w:val="clear" w:color="auto" w:fill="FFFFFF" w:themeFill="background1"/>
            <w:vAlign w:val="bottom"/>
          </w:tcPr>
          <w:p w14:paraId="53B34C81"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1,322,883</w:t>
            </w:r>
          </w:p>
        </w:tc>
        <w:tc>
          <w:tcPr>
            <w:tcW w:w="1416" w:type="dxa"/>
            <w:tcBorders>
              <w:top w:val="single" w:sz="4" w:space="0" w:color="auto"/>
              <w:bottom w:val="single" w:sz="4" w:space="0" w:color="auto"/>
            </w:tcBorders>
            <w:shd w:val="clear" w:color="auto" w:fill="FFFFFF" w:themeFill="background1"/>
            <w:vAlign w:val="bottom"/>
          </w:tcPr>
          <w:p w14:paraId="208ACE87"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1,301,925</w:t>
            </w:r>
          </w:p>
        </w:tc>
        <w:tc>
          <w:tcPr>
            <w:tcW w:w="1416" w:type="dxa"/>
            <w:tcBorders>
              <w:top w:val="single" w:sz="4" w:space="0" w:color="auto"/>
              <w:bottom w:val="single" w:sz="4" w:space="0" w:color="auto"/>
            </w:tcBorders>
            <w:shd w:val="clear" w:color="auto" w:fill="FFFFFF" w:themeFill="background1"/>
            <w:vAlign w:val="bottom"/>
          </w:tcPr>
          <w:p w14:paraId="0821C678"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1,297,355</w:t>
            </w:r>
          </w:p>
        </w:tc>
        <w:tc>
          <w:tcPr>
            <w:tcW w:w="1416" w:type="dxa"/>
            <w:tcBorders>
              <w:top w:val="single" w:sz="4" w:space="0" w:color="auto"/>
              <w:bottom w:val="single" w:sz="4" w:space="0" w:color="auto"/>
            </w:tcBorders>
            <w:shd w:val="clear" w:color="auto" w:fill="FFFFFF" w:themeFill="background1"/>
            <w:vAlign w:val="bottom"/>
          </w:tcPr>
          <w:p w14:paraId="12C7B0A1"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1,321,054</w:t>
            </w:r>
          </w:p>
        </w:tc>
        <w:tc>
          <w:tcPr>
            <w:tcW w:w="1416" w:type="dxa"/>
            <w:tcBorders>
              <w:top w:val="single" w:sz="4" w:space="0" w:color="auto"/>
              <w:bottom w:val="single" w:sz="4" w:space="0" w:color="auto"/>
            </w:tcBorders>
            <w:shd w:val="clear" w:color="auto" w:fill="FFFFFF" w:themeFill="background1"/>
            <w:vAlign w:val="bottom"/>
          </w:tcPr>
          <w:p w14:paraId="11CFCB76" w14:textId="77777777" w:rsidR="007831A9" w:rsidRPr="00394948" w:rsidRDefault="007831A9" w:rsidP="007831A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1,330,457</w:t>
            </w:r>
          </w:p>
        </w:tc>
      </w:tr>
    </w:tbl>
    <w:p w14:paraId="516D21DF" w14:textId="77777777" w:rsidR="007831A9" w:rsidRPr="00394948" w:rsidRDefault="007831A9">
      <w:pPr>
        <w:spacing w:line="276" w:lineRule="auto"/>
        <w:rPr>
          <w:rFonts w:cs="Arial"/>
        </w:rPr>
      </w:pPr>
      <w:r w:rsidRPr="00394948">
        <w:rPr>
          <w:rFonts w:cs="Arial"/>
        </w:rPr>
        <w:br w:type="page"/>
      </w:r>
    </w:p>
    <w:p w14:paraId="62B95BC6" w14:textId="75E42CD2" w:rsidR="007831A9" w:rsidRPr="00394948" w:rsidRDefault="007831A9" w:rsidP="007831A9">
      <w:pPr>
        <w:spacing w:before="200"/>
        <w:rPr>
          <w:rFonts w:cs="Arial"/>
        </w:rPr>
      </w:pPr>
      <w:r w:rsidRPr="00394948">
        <w:rPr>
          <w:rFonts w:cs="Arial"/>
        </w:rPr>
        <w:lastRenderedPageBreak/>
        <w:t>There were 40,995 adverse events reported in 2016-17, giving an incidence of 3.08%. The overall reported rate of donation related adverse reactions has been stable for the past 2 years at 1:32. Events that occur in the donor centre are termed immediate events. Events which occur after the donor has left the donor centre are classified as delayed events.</w:t>
      </w:r>
    </w:p>
    <w:p w14:paraId="7C02AD1E" w14:textId="271DBE7D" w:rsidR="007831A9" w:rsidRPr="00394948" w:rsidRDefault="007831A9" w:rsidP="007831A9">
      <w:pPr>
        <w:rPr>
          <w:rFonts w:cs="Arial"/>
        </w:rPr>
      </w:pPr>
      <w:r w:rsidRPr="00394948">
        <w:rPr>
          <w:rFonts w:cs="Arial"/>
        </w:rPr>
        <w:t>Immediate vasovagal reactions are the most commonly reported adverse donation reactions, with an incidence of 1.9%. The majority of donors experience dizziness, weakness, sweating and nausea; only 7% of immediate reactions are associated with loss of consciousness. Vasovagal reactions can occur during or after the donation (sometimes as long as 6-8 hours following the donation).</w:t>
      </w:r>
    </w:p>
    <w:p w14:paraId="0DB85136" w14:textId="79685C2A" w:rsidR="007831A9" w:rsidRPr="00394948" w:rsidRDefault="007831A9" w:rsidP="007831A9">
      <w:pPr>
        <w:rPr>
          <w:rFonts w:cs="Arial"/>
          <w:color w:val="000000" w:themeColor="text1"/>
        </w:rPr>
      </w:pPr>
      <w:r w:rsidRPr="00394948">
        <w:rPr>
          <w:rFonts w:cs="Arial"/>
        </w:rPr>
        <w:t>Delayed vasovagal reactions are less common than immediate reactions occurring in only 0.27% of donors. Twelve percent of delayed reactions are associated with loss of consciousness. This represents a significant risk to the donor who is not under observation at the time of the event. Whilst most donors recover rapidly from a vasovagal reaction, a small number of individuals experience protracted symptoms despite appropriate immediate management and a very small number of donors sustain injuries when they faint. These donors may require hospital treatment. In 2016-17, hospital referral was required in 0.06% (6 in every 10,000) of donations</w:t>
      </w:r>
      <w:r w:rsidRPr="00394948">
        <w:rPr>
          <w:rFonts w:cs="Arial"/>
          <w:color w:val="000000" w:themeColor="text1"/>
        </w:rPr>
        <w:t xml:space="preserve">.  </w:t>
      </w:r>
    </w:p>
    <w:p w14:paraId="73103B16" w14:textId="77777777" w:rsidR="007831A9" w:rsidRPr="00394948" w:rsidRDefault="007831A9" w:rsidP="007831A9">
      <w:r w:rsidRPr="00394948">
        <w:rPr>
          <w:rFonts w:cs="Arial"/>
        </w:rPr>
        <w:t xml:space="preserve">Local phlebotomy site injuries caused by needle insertion are the next most common category of donation complication. The most frequently reported phlebotomy injuries include bruising, local pain and nerve irritation; less frequent but potentially more serious local complications include direct nerve injury, local thrombosis, tendon injury and arterial puncture. </w:t>
      </w:r>
    </w:p>
    <w:p w14:paraId="50B7BD38" w14:textId="713116C7" w:rsidR="007831A9" w:rsidRPr="00394948" w:rsidRDefault="007831A9" w:rsidP="007831A9">
      <w:r w:rsidRPr="00394948">
        <w:t xml:space="preserve">Total donation-associated events and serious donation-related events are shown in </w:t>
      </w:r>
      <w:r w:rsidRPr="00394948">
        <w:fldChar w:fldCharType="begin"/>
      </w:r>
      <w:r w:rsidRPr="00394948">
        <w:instrText xml:space="preserve"> REF _Ref484767829 \h  \* MERGEFORMAT </w:instrText>
      </w:r>
      <w:r w:rsidRPr="00394948">
        <w:fldChar w:fldCharType="separate"/>
      </w:r>
      <w:r w:rsidR="005771CA" w:rsidRPr="005771CA">
        <w:rPr>
          <w:bCs/>
        </w:rPr>
        <w:t>Figure</w:t>
      </w:r>
      <w:r w:rsidRPr="00394948">
        <w:fldChar w:fldCharType="end"/>
      </w:r>
      <w:r w:rsidR="00942707">
        <w:t xml:space="preserve"> 1</w:t>
      </w:r>
      <w:r w:rsidRPr="00394948">
        <w:t xml:space="preserve"> below.</w:t>
      </w:r>
    </w:p>
    <w:p w14:paraId="1717AE9B" w14:textId="77777777" w:rsidR="00942707" w:rsidRDefault="007831A9" w:rsidP="00F37ADB">
      <w:pPr>
        <w:keepNext/>
        <w:spacing w:after="0"/>
      </w:pPr>
      <w:r w:rsidRPr="00394948">
        <w:rPr>
          <w:noProof/>
          <w:lang w:eastAsia="en-AU"/>
        </w:rPr>
        <w:drawing>
          <wp:inline distT="0" distB="0" distL="0" distR="0" wp14:anchorId="295BD1B5" wp14:editId="4288CD7E">
            <wp:extent cx="5731510" cy="2451735"/>
            <wp:effectExtent l="0" t="0" r="21590" b="247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3E2DB7F" w14:textId="2B972B0A" w:rsidR="007831A9" w:rsidRPr="00F37ADB" w:rsidRDefault="00942707" w:rsidP="00942707">
      <w:pPr>
        <w:pStyle w:val="Caption"/>
        <w:rPr>
          <w:rFonts w:cs="Arial"/>
          <w:b w:val="0"/>
          <w:color w:val="auto"/>
        </w:rPr>
      </w:pPr>
      <w:bookmarkStart w:id="101" w:name="_Toc41909338"/>
      <w:r w:rsidRPr="00F37ADB">
        <w:rPr>
          <w:color w:val="auto"/>
        </w:rPr>
        <w:t xml:space="preserve">Figure </w:t>
      </w:r>
      <w:r w:rsidRPr="00F37ADB">
        <w:rPr>
          <w:color w:val="auto"/>
        </w:rPr>
        <w:fldChar w:fldCharType="begin"/>
      </w:r>
      <w:r w:rsidRPr="00F37ADB">
        <w:rPr>
          <w:color w:val="auto"/>
        </w:rPr>
        <w:instrText xml:space="preserve"> SEQ Figure \* ARABIC </w:instrText>
      </w:r>
      <w:r w:rsidRPr="00F37ADB">
        <w:rPr>
          <w:color w:val="auto"/>
        </w:rPr>
        <w:fldChar w:fldCharType="separate"/>
      </w:r>
      <w:r w:rsidRPr="00F37ADB">
        <w:rPr>
          <w:noProof/>
          <w:color w:val="auto"/>
        </w:rPr>
        <w:t>1</w:t>
      </w:r>
      <w:r w:rsidRPr="00F37ADB">
        <w:rPr>
          <w:color w:val="auto"/>
        </w:rPr>
        <w:fldChar w:fldCharType="end"/>
      </w:r>
      <w:r w:rsidRPr="00F37ADB">
        <w:rPr>
          <w:color w:val="auto"/>
        </w:rPr>
        <w:t>: Total donation-associated events, 2012–13 to 2016–17</w:t>
      </w:r>
      <w:bookmarkEnd w:id="101"/>
    </w:p>
    <w:p w14:paraId="5B7497E3" w14:textId="3D74ACA1" w:rsidR="007831A9" w:rsidRPr="00394948" w:rsidRDefault="007831A9" w:rsidP="007831A9">
      <w:pPr>
        <w:rPr>
          <w:rFonts w:cs="Arial"/>
          <w:color w:val="000000" w:themeColor="text1"/>
        </w:rPr>
      </w:pPr>
      <w:r w:rsidRPr="00394948">
        <w:rPr>
          <w:rFonts w:cs="Arial"/>
        </w:rPr>
        <w:t xml:space="preserve">The incidence of the different types of adverse events for all donations is shown in </w:t>
      </w:r>
      <w:r w:rsidRPr="00D00B62">
        <w:rPr>
          <w:rFonts w:cs="Arial"/>
        </w:rPr>
        <w:t xml:space="preserve">Table </w:t>
      </w:r>
      <w:r w:rsidR="00942707" w:rsidRPr="00D00B62">
        <w:rPr>
          <w:rFonts w:cs="Arial"/>
        </w:rPr>
        <w:t>39</w:t>
      </w:r>
      <w:r w:rsidRPr="00D00B62">
        <w:rPr>
          <w:rFonts w:ascii="Arial" w:hAnsi="Arial" w:cs="Arial"/>
          <w:b/>
        </w:rPr>
        <w:t>.</w:t>
      </w:r>
      <w:r w:rsidRPr="00394948">
        <w:rPr>
          <w:rFonts w:cs="Arial"/>
          <w:color w:val="000000" w:themeColor="text1"/>
        </w:rPr>
        <w:t xml:space="preserve"> The rate of adverse reactions is stable overall. There has been a minor decrease in the overall frequency of vasovagal reactions compared to the previous year. This increase has been in non-syncopal reactions occurring on-site. There has been a significant decrease (P&lt;0.0001) in the number of delayed reactions reported in 2016-17. </w:t>
      </w:r>
    </w:p>
    <w:p w14:paraId="2222C743" w14:textId="77777777" w:rsidR="00990419" w:rsidRPr="00394948" w:rsidRDefault="00990419">
      <w:pPr>
        <w:spacing w:line="276" w:lineRule="auto"/>
        <w:rPr>
          <w:rFonts w:cs="Arial"/>
          <w:color w:val="000000" w:themeColor="text1"/>
        </w:rPr>
      </w:pPr>
      <w:r w:rsidRPr="00394948">
        <w:rPr>
          <w:rFonts w:cs="Arial"/>
          <w:color w:val="000000" w:themeColor="text1"/>
        </w:rPr>
        <w:br w:type="page"/>
      </w:r>
    </w:p>
    <w:p w14:paraId="22F3B782" w14:textId="02CA623A" w:rsidR="007831A9" w:rsidRPr="00394948" w:rsidRDefault="007831A9" w:rsidP="007831A9">
      <w:pPr>
        <w:rPr>
          <w:color w:val="000000" w:themeColor="text1"/>
          <w:sz w:val="18"/>
          <w:szCs w:val="18"/>
        </w:rPr>
      </w:pPr>
      <w:r w:rsidRPr="00394948">
        <w:rPr>
          <w:rFonts w:cs="Arial"/>
          <w:color w:val="000000" w:themeColor="text1"/>
        </w:rPr>
        <w:lastRenderedPageBreak/>
        <w:t xml:space="preserve">The incidence of phlebotomy injuries is stable, as is the rate of apheresis specific complications. </w:t>
      </w:r>
      <w:r w:rsidRPr="00394948">
        <w:rPr>
          <w:color w:val="000000" w:themeColor="text1"/>
          <w:sz w:val="18"/>
          <w:szCs w:val="18"/>
        </w:rPr>
        <w:t xml:space="preserve">  </w:t>
      </w:r>
    </w:p>
    <w:p w14:paraId="2797B3BE" w14:textId="76D481AF" w:rsidR="007831A9" w:rsidRPr="00F37ADB" w:rsidRDefault="007831A9" w:rsidP="00F37ADB">
      <w:r w:rsidRPr="00394948">
        <w:rPr>
          <w:color w:val="000000" w:themeColor="text1"/>
        </w:rPr>
        <w:t xml:space="preserve">In early 2017, following the introduction of a new skin disinfection product (chlorhexidine 2% in isopropyl alcohol) because of the withdrawal of the previously used skin disinfection product (1% chlorhexidine) from the Australian market, reports of localised allergic skin reactions have increased significantly. The reactions remain very infrequent, and alternative skin disinfection is available for </w:t>
      </w:r>
      <w:r w:rsidRPr="00F37ADB">
        <w:t>donors who experience a localised a</w:t>
      </w:r>
      <w:r w:rsidR="00F37ADB" w:rsidRPr="00F37ADB">
        <w:t>llergic reaction.</w:t>
      </w:r>
    </w:p>
    <w:p w14:paraId="15F2787D" w14:textId="62665544" w:rsidR="00942707" w:rsidRDefault="00942707" w:rsidP="00942707">
      <w:pPr>
        <w:pStyle w:val="Caption"/>
        <w:keepNext/>
        <w:spacing w:after="0"/>
      </w:pPr>
      <w:bookmarkStart w:id="102" w:name="_Toc36208189"/>
      <w:bookmarkStart w:id="103" w:name="_Toc41909331"/>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39</w:t>
      </w:r>
      <w:r w:rsidRPr="00F37ADB">
        <w:rPr>
          <w:color w:val="auto"/>
        </w:rPr>
        <w:fldChar w:fldCharType="end"/>
      </w:r>
      <w:r w:rsidRPr="00F37ADB">
        <w:rPr>
          <w:color w:val="auto"/>
        </w:rPr>
        <w:t>: Donation-associated events by category and frequency, 2012-13 to 2016-17 (per 10,000 donations)</w:t>
      </w:r>
      <w:bookmarkEnd w:id="102"/>
      <w:bookmarkEnd w:id="103"/>
    </w:p>
    <w:tbl>
      <w:tblPr>
        <w:tblW w:w="8240" w:type="dxa"/>
        <w:tblInd w:w="93" w:type="dxa"/>
        <w:tblLook w:val="04A0" w:firstRow="1" w:lastRow="0" w:firstColumn="1" w:lastColumn="0" w:noHBand="0" w:noVBand="1"/>
      </w:tblPr>
      <w:tblGrid>
        <w:gridCol w:w="3160"/>
        <w:gridCol w:w="1240"/>
        <w:gridCol w:w="960"/>
        <w:gridCol w:w="960"/>
        <w:gridCol w:w="960"/>
        <w:gridCol w:w="960"/>
      </w:tblGrid>
      <w:tr w:rsidR="007831A9" w:rsidRPr="00394948" w14:paraId="56FDF9C2" w14:textId="77777777" w:rsidTr="007831A9">
        <w:trPr>
          <w:trHeight w:val="283"/>
        </w:trPr>
        <w:tc>
          <w:tcPr>
            <w:tcW w:w="3160" w:type="dxa"/>
            <w:tcBorders>
              <w:top w:val="single" w:sz="8" w:space="0" w:color="CF7B79"/>
              <w:left w:val="single" w:sz="8" w:space="0" w:color="CF7B79"/>
              <w:bottom w:val="single" w:sz="8" w:space="0" w:color="CF7B79"/>
              <w:right w:val="nil"/>
            </w:tcBorders>
            <w:shd w:val="clear" w:color="000000" w:fill="FF0000"/>
            <w:vAlign w:val="center"/>
            <w:hideMark/>
          </w:tcPr>
          <w:p w14:paraId="01D74556" w14:textId="77777777" w:rsidR="007831A9" w:rsidRPr="00394948" w:rsidRDefault="007831A9" w:rsidP="007831A9">
            <w:pPr>
              <w:spacing w:after="0"/>
              <w:rPr>
                <w:rFonts w:eastAsia="Times New Roman"/>
                <w:b/>
                <w:bCs/>
                <w:color w:val="FFFFFF"/>
                <w:sz w:val="20"/>
                <w:szCs w:val="20"/>
                <w:lang w:eastAsia="zh-CN"/>
              </w:rPr>
            </w:pPr>
            <w:r w:rsidRPr="00394948">
              <w:rPr>
                <w:rFonts w:eastAsia="Times New Roman"/>
                <w:b/>
                <w:bCs/>
                <w:color w:val="FFFFFF"/>
                <w:sz w:val="20"/>
                <w:szCs w:val="20"/>
                <w:lang w:eastAsia="zh-CN"/>
              </w:rPr>
              <w:t>Donor Event</w:t>
            </w:r>
          </w:p>
        </w:tc>
        <w:tc>
          <w:tcPr>
            <w:tcW w:w="1240" w:type="dxa"/>
            <w:tcBorders>
              <w:top w:val="single" w:sz="8" w:space="0" w:color="CF7B79"/>
              <w:left w:val="nil"/>
              <w:bottom w:val="single" w:sz="8" w:space="0" w:color="CF7B79"/>
              <w:right w:val="nil"/>
            </w:tcBorders>
            <w:shd w:val="clear" w:color="000000" w:fill="FF0000"/>
            <w:vAlign w:val="center"/>
            <w:hideMark/>
          </w:tcPr>
          <w:p w14:paraId="3A8BA865"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2012–13</w:t>
            </w:r>
          </w:p>
        </w:tc>
        <w:tc>
          <w:tcPr>
            <w:tcW w:w="960" w:type="dxa"/>
            <w:tcBorders>
              <w:top w:val="single" w:sz="8" w:space="0" w:color="CF7B79"/>
              <w:left w:val="nil"/>
              <w:bottom w:val="single" w:sz="8" w:space="0" w:color="CF7B79"/>
              <w:right w:val="nil"/>
            </w:tcBorders>
            <w:shd w:val="clear" w:color="000000" w:fill="FF0000"/>
            <w:vAlign w:val="center"/>
            <w:hideMark/>
          </w:tcPr>
          <w:p w14:paraId="1AC7EE5B"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2013–14</w:t>
            </w:r>
          </w:p>
        </w:tc>
        <w:tc>
          <w:tcPr>
            <w:tcW w:w="960" w:type="dxa"/>
            <w:tcBorders>
              <w:top w:val="single" w:sz="8" w:space="0" w:color="CF7B79"/>
              <w:left w:val="nil"/>
              <w:bottom w:val="single" w:sz="8" w:space="0" w:color="CF7B79"/>
              <w:right w:val="nil"/>
            </w:tcBorders>
            <w:shd w:val="clear" w:color="000000" w:fill="FF0000"/>
            <w:vAlign w:val="center"/>
            <w:hideMark/>
          </w:tcPr>
          <w:p w14:paraId="030FE45E"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2014-15</w:t>
            </w:r>
          </w:p>
        </w:tc>
        <w:tc>
          <w:tcPr>
            <w:tcW w:w="960" w:type="dxa"/>
            <w:tcBorders>
              <w:top w:val="single" w:sz="8" w:space="0" w:color="CF7B79"/>
              <w:left w:val="nil"/>
              <w:bottom w:val="single" w:sz="8" w:space="0" w:color="CF7B79"/>
              <w:right w:val="nil"/>
            </w:tcBorders>
            <w:shd w:val="clear" w:color="000000" w:fill="FF0000"/>
            <w:vAlign w:val="center"/>
            <w:hideMark/>
          </w:tcPr>
          <w:p w14:paraId="13B88C52"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2015-16</w:t>
            </w:r>
          </w:p>
        </w:tc>
        <w:tc>
          <w:tcPr>
            <w:tcW w:w="960" w:type="dxa"/>
            <w:tcBorders>
              <w:top w:val="single" w:sz="8" w:space="0" w:color="CF7B79"/>
              <w:left w:val="nil"/>
              <w:bottom w:val="single" w:sz="8" w:space="0" w:color="CF7B79"/>
              <w:right w:val="single" w:sz="8" w:space="0" w:color="CF7B79"/>
            </w:tcBorders>
            <w:shd w:val="clear" w:color="000000" w:fill="FF0000"/>
            <w:vAlign w:val="center"/>
            <w:hideMark/>
          </w:tcPr>
          <w:p w14:paraId="29EBD2AD"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2016-17</w:t>
            </w:r>
          </w:p>
        </w:tc>
      </w:tr>
      <w:tr w:rsidR="007831A9" w:rsidRPr="00394948" w14:paraId="160530FE" w14:textId="77777777" w:rsidTr="007831A9">
        <w:trPr>
          <w:trHeight w:val="315"/>
        </w:trPr>
        <w:tc>
          <w:tcPr>
            <w:tcW w:w="3160" w:type="dxa"/>
            <w:tcBorders>
              <w:top w:val="nil"/>
              <w:left w:val="nil"/>
              <w:bottom w:val="single" w:sz="8" w:space="0" w:color="auto"/>
              <w:right w:val="nil"/>
            </w:tcBorders>
            <w:shd w:val="clear" w:color="000000" w:fill="FFFFFF"/>
            <w:noWrap/>
            <w:vAlign w:val="center"/>
            <w:hideMark/>
          </w:tcPr>
          <w:p w14:paraId="6863692E" w14:textId="77777777" w:rsidR="007831A9" w:rsidRPr="00394948" w:rsidRDefault="007831A9" w:rsidP="007831A9">
            <w:pPr>
              <w:spacing w:after="0"/>
              <w:rPr>
                <w:rFonts w:eastAsia="Times New Roman"/>
                <w:b/>
                <w:bCs/>
                <w:color w:val="000000"/>
                <w:sz w:val="20"/>
                <w:szCs w:val="20"/>
                <w:lang w:eastAsia="zh-CN"/>
              </w:rPr>
            </w:pPr>
            <w:r w:rsidRPr="00394948">
              <w:rPr>
                <w:rFonts w:eastAsiaTheme="minorHAnsi"/>
                <w:b/>
                <w:bCs/>
                <w:color w:val="000000"/>
                <w:sz w:val="20"/>
                <w:szCs w:val="20"/>
                <w:lang w:eastAsia="zh-CN"/>
              </w:rPr>
              <w:t> </w:t>
            </w:r>
          </w:p>
        </w:tc>
        <w:tc>
          <w:tcPr>
            <w:tcW w:w="5080" w:type="dxa"/>
            <w:gridSpan w:val="5"/>
            <w:tcBorders>
              <w:top w:val="single" w:sz="8" w:space="0" w:color="CF7B79"/>
              <w:left w:val="nil"/>
              <w:bottom w:val="single" w:sz="8" w:space="0" w:color="auto"/>
              <w:right w:val="nil"/>
            </w:tcBorders>
            <w:shd w:val="clear" w:color="000000" w:fill="FFFFFF"/>
            <w:noWrap/>
            <w:vAlign w:val="center"/>
            <w:hideMark/>
          </w:tcPr>
          <w:p w14:paraId="48C70485" w14:textId="77777777" w:rsidR="007831A9" w:rsidRPr="00394948" w:rsidRDefault="007831A9" w:rsidP="007831A9">
            <w:pPr>
              <w:spacing w:after="0"/>
              <w:jc w:val="center"/>
              <w:rPr>
                <w:rFonts w:eastAsia="Times New Roman"/>
                <w:b/>
                <w:bCs/>
                <w:color w:val="000000"/>
                <w:sz w:val="20"/>
                <w:szCs w:val="20"/>
                <w:lang w:eastAsia="zh-CN"/>
              </w:rPr>
            </w:pPr>
            <w:r w:rsidRPr="00394948">
              <w:rPr>
                <w:rFonts w:eastAsia="Times New Roman"/>
                <w:b/>
                <w:bCs/>
                <w:color w:val="000000"/>
                <w:sz w:val="20"/>
                <w:szCs w:val="20"/>
                <w:lang w:eastAsia="zh-CN"/>
              </w:rPr>
              <w:t>Systemic events</w:t>
            </w:r>
          </w:p>
        </w:tc>
      </w:tr>
      <w:tr w:rsidR="007831A9" w:rsidRPr="00394948" w14:paraId="151B1F5A"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60354F79"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Immediate vasovagal reaction</w:t>
            </w:r>
          </w:p>
        </w:tc>
        <w:tc>
          <w:tcPr>
            <w:tcW w:w="1240" w:type="dxa"/>
            <w:tcBorders>
              <w:top w:val="nil"/>
              <w:left w:val="nil"/>
              <w:bottom w:val="single" w:sz="8" w:space="0" w:color="auto"/>
              <w:right w:val="nil"/>
            </w:tcBorders>
            <w:shd w:val="clear" w:color="000000" w:fill="FFFFFF"/>
            <w:noWrap/>
            <w:vAlign w:val="center"/>
            <w:hideMark/>
          </w:tcPr>
          <w:p w14:paraId="7836AE91"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195</w:t>
            </w:r>
          </w:p>
        </w:tc>
        <w:tc>
          <w:tcPr>
            <w:tcW w:w="960" w:type="dxa"/>
            <w:tcBorders>
              <w:top w:val="nil"/>
              <w:left w:val="nil"/>
              <w:bottom w:val="single" w:sz="8" w:space="0" w:color="auto"/>
              <w:right w:val="nil"/>
            </w:tcBorders>
            <w:shd w:val="clear" w:color="000000" w:fill="FFFFFF"/>
            <w:noWrap/>
            <w:vAlign w:val="center"/>
            <w:hideMark/>
          </w:tcPr>
          <w:p w14:paraId="64D3FA2B"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183</w:t>
            </w:r>
          </w:p>
        </w:tc>
        <w:tc>
          <w:tcPr>
            <w:tcW w:w="960" w:type="dxa"/>
            <w:tcBorders>
              <w:top w:val="nil"/>
              <w:left w:val="nil"/>
              <w:bottom w:val="single" w:sz="8" w:space="0" w:color="auto"/>
              <w:right w:val="nil"/>
            </w:tcBorders>
            <w:shd w:val="clear" w:color="000000" w:fill="FFFFFF"/>
            <w:noWrap/>
            <w:vAlign w:val="center"/>
            <w:hideMark/>
          </w:tcPr>
          <w:p w14:paraId="33312973"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183</w:t>
            </w:r>
          </w:p>
        </w:tc>
        <w:tc>
          <w:tcPr>
            <w:tcW w:w="960" w:type="dxa"/>
            <w:tcBorders>
              <w:top w:val="nil"/>
              <w:left w:val="nil"/>
              <w:bottom w:val="single" w:sz="8" w:space="0" w:color="auto"/>
              <w:right w:val="nil"/>
            </w:tcBorders>
            <w:shd w:val="clear" w:color="000000" w:fill="FFFFFF"/>
            <w:noWrap/>
            <w:vAlign w:val="center"/>
            <w:hideMark/>
          </w:tcPr>
          <w:p w14:paraId="000FF4D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191</w:t>
            </w:r>
          </w:p>
        </w:tc>
        <w:tc>
          <w:tcPr>
            <w:tcW w:w="960" w:type="dxa"/>
            <w:tcBorders>
              <w:top w:val="nil"/>
              <w:left w:val="nil"/>
              <w:bottom w:val="single" w:sz="8" w:space="0" w:color="auto"/>
              <w:right w:val="nil"/>
            </w:tcBorders>
            <w:shd w:val="clear" w:color="000000" w:fill="FFFFFF"/>
            <w:noWrap/>
            <w:vAlign w:val="center"/>
            <w:hideMark/>
          </w:tcPr>
          <w:p w14:paraId="7F30FB06"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190</w:t>
            </w:r>
          </w:p>
        </w:tc>
      </w:tr>
      <w:tr w:rsidR="007831A9" w:rsidRPr="00394948" w14:paraId="49D11FA3"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4C8E7EDC"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Delayed vasovagal reaction</w:t>
            </w:r>
          </w:p>
        </w:tc>
        <w:tc>
          <w:tcPr>
            <w:tcW w:w="1240" w:type="dxa"/>
            <w:tcBorders>
              <w:top w:val="nil"/>
              <w:left w:val="nil"/>
              <w:bottom w:val="single" w:sz="8" w:space="0" w:color="auto"/>
              <w:right w:val="nil"/>
            </w:tcBorders>
            <w:shd w:val="clear" w:color="000000" w:fill="FFFFFF"/>
            <w:noWrap/>
            <w:vAlign w:val="center"/>
            <w:hideMark/>
          </w:tcPr>
          <w:p w14:paraId="11A59C7C"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29</w:t>
            </w:r>
          </w:p>
        </w:tc>
        <w:tc>
          <w:tcPr>
            <w:tcW w:w="960" w:type="dxa"/>
            <w:tcBorders>
              <w:top w:val="nil"/>
              <w:left w:val="nil"/>
              <w:bottom w:val="single" w:sz="8" w:space="0" w:color="auto"/>
              <w:right w:val="nil"/>
            </w:tcBorders>
            <w:shd w:val="clear" w:color="000000" w:fill="FFFFFF"/>
            <w:noWrap/>
            <w:vAlign w:val="center"/>
            <w:hideMark/>
          </w:tcPr>
          <w:p w14:paraId="1970FD5E"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34</w:t>
            </w:r>
          </w:p>
        </w:tc>
        <w:tc>
          <w:tcPr>
            <w:tcW w:w="960" w:type="dxa"/>
            <w:tcBorders>
              <w:top w:val="nil"/>
              <w:left w:val="nil"/>
              <w:bottom w:val="single" w:sz="8" w:space="0" w:color="auto"/>
              <w:right w:val="nil"/>
            </w:tcBorders>
            <w:shd w:val="clear" w:color="000000" w:fill="FFFFFF"/>
            <w:noWrap/>
            <w:vAlign w:val="center"/>
            <w:hideMark/>
          </w:tcPr>
          <w:p w14:paraId="1EB4BB18"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34</w:t>
            </w:r>
          </w:p>
        </w:tc>
        <w:tc>
          <w:tcPr>
            <w:tcW w:w="960" w:type="dxa"/>
            <w:tcBorders>
              <w:top w:val="nil"/>
              <w:left w:val="nil"/>
              <w:bottom w:val="single" w:sz="8" w:space="0" w:color="auto"/>
              <w:right w:val="nil"/>
            </w:tcBorders>
            <w:shd w:val="clear" w:color="000000" w:fill="FFFFFF"/>
            <w:noWrap/>
            <w:vAlign w:val="center"/>
            <w:hideMark/>
          </w:tcPr>
          <w:p w14:paraId="167A4730"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31</w:t>
            </w:r>
          </w:p>
        </w:tc>
        <w:tc>
          <w:tcPr>
            <w:tcW w:w="960" w:type="dxa"/>
            <w:tcBorders>
              <w:top w:val="nil"/>
              <w:left w:val="nil"/>
              <w:bottom w:val="single" w:sz="8" w:space="0" w:color="auto"/>
              <w:right w:val="nil"/>
            </w:tcBorders>
            <w:shd w:val="clear" w:color="000000" w:fill="FFFFFF"/>
            <w:noWrap/>
            <w:vAlign w:val="center"/>
            <w:hideMark/>
          </w:tcPr>
          <w:p w14:paraId="6C09AA24"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27</w:t>
            </w:r>
          </w:p>
        </w:tc>
      </w:tr>
      <w:tr w:rsidR="007831A9" w:rsidRPr="00394948" w14:paraId="3559C897"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76B79417"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Localised allergic reaction</w:t>
            </w:r>
          </w:p>
        </w:tc>
        <w:tc>
          <w:tcPr>
            <w:tcW w:w="1240" w:type="dxa"/>
            <w:tcBorders>
              <w:top w:val="nil"/>
              <w:left w:val="nil"/>
              <w:bottom w:val="single" w:sz="8" w:space="0" w:color="auto"/>
              <w:right w:val="nil"/>
            </w:tcBorders>
            <w:shd w:val="clear" w:color="000000" w:fill="FFFFFF"/>
            <w:noWrap/>
            <w:vAlign w:val="center"/>
            <w:hideMark/>
          </w:tcPr>
          <w:p w14:paraId="7BB93B6D"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0.4</w:t>
            </w:r>
          </w:p>
        </w:tc>
        <w:tc>
          <w:tcPr>
            <w:tcW w:w="960" w:type="dxa"/>
            <w:tcBorders>
              <w:top w:val="nil"/>
              <w:left w:val="nil"/>
              <w:bottom w:val="single" w:sz="8" w:space="0" w:color="auto"/>
              <w:right w:val="nil"/>
            </w:tcBorders>
            <w:shd w:val="clear" w:color="000000" w:fill="FFFFFF"/>
            <w:noWrap/>
            <w:vAlign w:val="center"/>
            <w:hideMark/>
          </w:tcPr>
          <w:p w14:paraId="0C29B538"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0.5</w:t>
            </w:r>
          </w:p>
        </w:tc>
        <w:tc>
          <w:tcPr>
            <w:tcW w:w="960" w:type="dxa"/>
            <w:tcBorders>
              <w:top w:val="nil"/>
              <w:left w:val="nil"/>
              <w:bottom w:val="single" w:sz="8" w:space="0" w:color="auto"/>
              <w:right w:val="nil"/>
            </w:tcBorders>
            <w:shd w:val="clear" w:color="000000" w:fill="FFFFFF"/>
            <w:noWrap/>
            <w:vAlign w:val="center"/>
            <w:hideMark/>
          </w:tcPr>
          <w:p w14:paraId="3719D91F"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0.5</w:t>
            </w:r>
          </w:p>
        </w:tc>
        <w:tc>
          <w:tcPr>
            <w:tcW w:w="960" w:type="dxa"/>
            <w:tcBorders>
              <w:top w:val="nil"/>
              <w:left w:val="nil"/>
              <w:bottom w:val="single" w:sz="8" w:space="0" w:color="auto"/>
              <w:right w:val="nil"/>
            </w:tcBorders>
            <w:shd w:val="clear" w:color="000000" w:fill="FFFFFF"/>
            <w:noWrap/>
            <w:vAlign w:val="center"/>
            <w:hideMark/>
          </w:tcPr>
          <w:p w14:paraId="75AB4171"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0.4</w:t>
            </w:r>
          </w:p>
        </w:tc>
        <w:tc>
          <w:tcPr>
            <w:tcW w:w="960" w:type="dxa"/>
            <w:tcBorders>
              <w:top w:val="nil"/>
              <w:left w:val="nil"/>
              <w:bottom w:val="single" w:sz="8" w:space="0" w:color="auto"/>
              <w:right w:val="nil"/>
            </w:tcBorders>
            <w:shd w:val="clear" w:color="000000" w:fill="FFFFFF"/>
            <w:noWrap/>
            <w:vAlign w:val="center"/>
            <w:hideMark/>
          </w:tcPr>
          <w:p w14:paraId="45FA7B5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0.9</w:t>
            </w:r>
          </w:p>
        </w:tc>
      </w:tr>
      <w:tr w:rsidR="007831A9" w:rsidRPr="00394948" w14:paraId="2FE009CF"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50710D7D"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Generalised (anaphylactic) reaction</w:t>
            </w:r>
          </w:p>
        </w:tc>
        <w:tc>
          <w:tcPr>
            <w:tcW w:w="1240" w:type="dxa"/>
            <w:tcBorders>
              <w:top w:val="nil"/>
              <w:left w:val="nil"/>
              <w:bottom w:val="single" w:sz="8" w:space="0" w:color="auto"/>
              <w:right w:val="nil"/>
            </w:tcBorders>
            <w:shd w:val="clear" w:color="000000" w:fill="FFFFFF"/>
            <w:noWrap/>
            <w:vAlign w:val="center"/>
            <w:hideMark/>
          </w:tcPr>
          <w:p w14:paraId="1C1F5CF0"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7A3D259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0.1</w:t>
            </w:r>
          </w:p>
        </w:tc>
        <w:tc>
          <w:tcPr>
            <w:tcW w:w="960" w:type="dxa"/>
            <w:tcBorders>
              <w:top w:val="nil"/>
              <w:left w:val="nil"/>
              <w:bottom w:val="single" w:sz="8" w:space="0" w:color="auto"/>
              <w:right w:val="nil"/>
            </w:tcBorders>
            <w:shd w:val="clear" w:color="000000" w:fill="FFFFFF"/>
            <w:noWrap/>
            <w:vAlign w:val="center"/>
            <w:hideMark/>
          </w:tcPr>
          <w:p w14:paraId="16D74FB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0.1</w:t>
            </w:r>
          </w:p>
        </w:tc>
        <w:tc>
          <w:tcPr>
            <w:tcW w:w="960" w:type="dxa"/>
            <w:tcBorders>
              <w:top w:val="nil"/>
              <w:left w:val="nil"/>
              <w:bottom w:val="single" w:sz="8" w:space="0" w:color="auto"/>
              <w:right w:val="nil"/>
            </w:tcBorders>
            <w:shd w:val="clear" w:color="000000" w:fill="FFFFFF"/>
            <w:noWrap/>
            <w:vAlign w:val="center"/>
            <w:hideMark/>
          </w:tcPr>
          <w:p w14:paraId="5D192AA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2986B525"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r>
      <w:tr w:rsidR="007831A9" w:rsidRPr="00394948" w14:paraId="2225446D"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40E51AF9"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Acute cardiac symptoms*</w:t>
            </w:r>
          </w:p>
        </w:tc>
        <w:tc>
          <w:tcPr>
            <w:tcW w:w="1240" w:type="dxa"/>
            <w:tcBorders>
              <w:top w:val="nil"/>
              <w:left w:val="nil"/>
              <w:bottom w:val="single" w:sz="8" w:space="0" w:color="auto"/>
              <w:right w:val="nil"/>
            </w:tcBorders>
            <w:shd w:val="clear" w:color="000000" w:fill="FFFFFF"/>
            <w:noWrap/>
            <w:vAlign w:val="center"/>
            <w:hideMark/>
          </w:tcPr>
          <w:p w14:paraId="304894F4"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0.4</w:t>
            </w:r>
          </w:p>
        </w:tc>
        <w:tc>
          <w:tcPr>
            <w:tcW w:w="960" w:type="dxa"/>
            <w:tcBorders>
              <w:top w:val="nil"/>
              <w:left w:val="nil"/>
              <w:bottom w:val="single" w:sz="8" w:space="0" w:color="auto"/>
              <w:right w:val="nil"/>
            </w:tcBorders>
            <w:shd w:val="clear" w:color="000000" w:fill="FFFFFF"/>
            <w:noWrap/>
            <w:vAlign w:val="center"/>
            <w:hideMark/>
          </w:tcPr>
          <w:p w14:paraId="6B872DF4"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0.7</w:t>
            </w:r>
          </w:p>
        </w:tc>
        <w:tc>
          <w:tcPr>
            <w:tcW w:w="960" w:type="dxa"/>
            <w:tcBorders>
              <w:top w:val="nil"/>
              <w:left w:val="nil"/>
              <w:bottom w:val="single" w:sz="8" w:space="0" w:color="auto"/>
              <w:right w:val="nil"/>
            </w:tcBorders>
            <w:shd w:val="clear" w:color="000000" w:fill="FFFFFF"/>
            <w:noWrap/>
            <w:vAlign w:val="center"/>
            <w:hideMark/>
          </w:tcPr>
          <w:p w14:paraId="3BFAD743"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0.8</w:t>
            </w:r>
          </w:p>
        </w:tc>
        <w:tc>
          <w:tcPr>
            <w:tcW w:w="960" w:type="dxa"/>
            <w:tcBorders>
              <w:top w:val="nil"/>
              <w:left w:val="nil"/>
              <w:bottom w:val="single" w:sz="8" w:space="0" w:color="auto"/>
              <w:right w:val="nil"/>
            </w:tcBorders>
            <w:shd w:val="clear" w:color="000000" w:fill="FFFFFF"/>
            <w:noWrap/>
            <w:vAlign w:val="center"/>
            <w:hideMark/>
          </w:tcPr>
          <w:p w14:paraId="2120F54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0.8</w:t>
            </w:r>
          </w:p>
        </w:tc>
        <w:tc>
          <w:tcPr>
            <w:tcW w:w="960" w:type="dxa"/>
            <w:tcBorders>
              <w:top w:val="nil"/>
              <w:left w:val="nil"/>
              <w:bottom w:val="single" w:sz="8" w:space="0" w:color="auto"/>
              <w:right w:val="nil"/>
            </w:tcBorders>
            <w:shd w:val="clear" w:color="000000" w:fill="FFFFFF"/>
            <w:noWrap/>
            <w:vAlign w:val="center"/>
            <w:hideMark/>
          </w:tcPr>
          <w:p w14:paraId="086EEA75"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0.7</w:t>
            </w:r>
          </w:p>
        </w:tc>
      </w:tr>
      <w:tr w:rsidR="007831A9" w:rsidRPr="00394948" w14:paraId="0CE2CF63"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0ABECCBD"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Cardiac arrest</w:t>
            </w:r>
          </w:p>
        </w:tc>
        <w:tc>
          <w:tcPr>
            <w:tcW w:w="1240" w:type="dxa"/>
            <w:tcBorders>
              <w:top w:val="nil"/>
              <w:left w:val="nil"/>
              <w:bottom w:val="single" w:sz="8" w:space="0" w:color="auto"/>
              <w:right w:val="nil"/>
            </w:tcBorders>
            <w:shd w:val="clear" w:color="000000" w:fill="FFFFFF"/>
            <w:noWrap/>
            <w:vAlign w:val="center"/>
            <w:hideMark/>
          </w:tcPr>
          <w:p w14:paraId="54C1188B"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0ED77AF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7B943F5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014F2455"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5431930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r>
      <w:tr w:rsidR="007831A9" w:rsidRPr="00394948" w14:paraId="6EA66907"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743AC55B"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Transient ischaemic attack (TIA)</w:t>
            </w:r>
          </w:p>
        </w:tc>
        <w:tc>
          <w:tcPr>
            <w:tcW w:w="1240" w:type="dxa"/>
            <w:tcBorders>
              <w:top w:val="nil"/>
              <w:left w:val="nil"/>
              <w:bottom w:val="single" w:sz="8" w:space="0" w:color="auto"/>
              <w:right w:val="nil"/>
            </w:tcBorders>
            <w:shd w:val="clear" w:color="000000" w:fill="FFFFFF"/>
            <w:noWrap/>
            <w:vAlign w:val="center"/>
            <w:hideMark/>
          </w:tcPr>
          <w:p w14:paraId="0DB21D56"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051C27A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242A59CF"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07C424C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0AC2CFB1"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r>
      <w:tr w:rsidR="007831A9" w:rsidRPr="00394948" w14:paraId="53FE08A5"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0118266F"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Cerebrovascular accident</w:t>
            </w:r>
          </w:p>
        </w:tc>
        <w:tc>
          <w:tcPr>
            <w:tcW w:w="1240" w:type="dxa"/>
            <w:tcBorders>
              <w:top w:val="nil"/>
              <w:left w:val="nil"/>
              <w:bottom w:val="single" w:sz="8" w:space="0" w:color="auto"/>
              <w:right w:val="nil"/>
            </w:tcBorders>
            <w:shd w:val="clear" w:color="000000" w:fill="FFFFFF"/>
            <w:noWrap/>
            <w:vAlign w:val="center"/>
            <w:hideMark/>
          </w:tcPr>
          <w:p w14:paraId="16873197"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5B86295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44ED2937"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5952F81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5F04BE1B"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r>
      <w:tr w:rsidR="007831A9" w:rsidRPr="00394948" w14:paraId="586BC450" w14:textId="77777777" w:rsidTr="007831A9">
        <w:trPr>
          <w:trHeight w:val="315"/>
        </w:trPr>
        <w:tc>
          <w:tcPr>
            <w:tcW w:w="3160" w:type="dxa"/>
            <w:tcBorders>
              <w:top w:val="nil"/>
              <w:left w:val="nil"/>
              <w:bottom w:val="single" w:sz="8" w:space="0" w:color="auto"/>
              <w:right w:val="nil"/>
            </w:tcBorders>
            <w:shd w:val="clear" w:color="000000" w:fill="FFFFFF"/>
            <w:noWrap/>
            <w:vAlign w:val="center"/>
            <w:hideMark/>
          </w:tcPr>
          <w:p w14:paraId="539E7EED" w14:textId="77777777" w:rsidR="007831A9" w:rsidRPr="00394948" w:rsidRDefault="007831A9" w:rsidP="007831A9">
            <w:pPr>
              <w:spacing w:after="0"/>
              <w:jc w:val="center"/>
              <w:rPr>
                <w:rFonts w:eastAsia="Times New Roman"/>
                <w:color w:val="000000"/>
                <w:sz w:val="20"/>
                <w:szCs w:val="20"/>
                <w:lang w:eastAsia="zh-CN"/>
              </w:rPr>
            </w:pPr>
            <w:r w:rsidRPr="00394948">
              <w:rPr>
                <w:rFonts w:eastAsia="Times New Roman"/>
                <w:color w:val="000000"/>
                <w:sz w:val="20"/>
                <w:szCs w:val="20"/>
                <w:lang w:eastAsia="zh-CN"/>
              </w:rPr>
              <w:t xml:space="preserve"> </w:t>
            </w:r>
          </w:p>
        </w:tc>
        <w:tc>
          <w:tcPr>
            <w:tcW w:w="5080" w:type="dxa"/>
            <w:gridSpan w:val="5"/>
            <w:tcBorders>
              <w:top w:val="single" w:sz="8" w:space="0" w:color="auto"/>
              <w:left w:val="nil"/>
              <w:bottom w:val="single" w:sz="8" w:space="0" w:color="auto"/>
              <w:right w:val="nil"/>
            </w:tcBorders>
            <w:shd w:val="clear" w:color="000000" w:fill="FFFFFF"/>
            <w:noWrap/>
            <w:vAlign w:val="center"/>
            <w:hideMark/>
          </w:tcPr>
          <w:p w14:paraId="027833E7" w14:textId="77777777" w:rsidR="007831A9" w:rsidRPr="00394948" w:rsidRDefault="007831A9" w:rsidP="007831A9">
            <w:pPr>
              <w:spacing w:after="0"/>
              <w:jc w:val="center"/>
              <w:rPr>
                <w:rFonts w:eastAsia="Times New Roman"/>
                <w:b/>
                <w:bCs/>
                <w:color w:val="000000"/>
                <w:sz w:val="20"/>
                <w:szCs w:val="20"/>
                <w:lang w:eastAsia="zh-CN"/>
              </w:rPr>
            </w:pPr>
            <w:r w:rsidRPr="00394948">
              <w:rPr>
                <w:rFonts w:eastAsia="Times New Roman"/>
                <w:b/>
                <w:bCs/>
                <w:color w:val="000000"/>
                <w:sz w:val="20"/>
                <w:szCs w:val="20"/>
                <w:lang w:eastAsia="zh-CN"/>
              </w:rPr>
              <w:t>Local arm injuries</w:t>
            </w:r>
          </w:p>
        </w:tc>
      </w:tr>
      <w:tr w:rsidR="007831A9" w:rsidRPr="00394948" w14:paraId="5CD6215B"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39570F07"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Haematoma</w:t>
            </w:r>
          </w:p>
        </w:tc>
        <w:tc>
          <w:tcPr>
            <w:tcW w:w="1240" w:type="dxa"/>
            <w:tcBorders>
              <w:top w:val="nil"/>
              <w:left w:val="nil"/>
              <w:bottom w:val="single" w:sz="8" w:space="0" w:color="auto"/>
              <w:right w:val="nil"/>
            </w:tcBorders>
            <w:shd w:val="clear" w:color="000000" w:fill="FFFFFF"/>
            <w:noWrap/>
            <w:vAlign w:val="center"/>
            <w:hideMark/>
          </w:tcPr>
          <w:p w14:paraId="5BE8417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12</w:t>
            </w:r>
          </w:p>
        </w:tc>
        <w:tc>
          <w:tcPr>
            <w:tcW w:w="960" w:type="dxa"/>
            <w:tcBorders>
              <w:top w:val="nil"/>
              <w:left w:val="nil"/>
              <w:bottom w:val="single" w:sz="8" w:space="0" w:color="auto"/>
              <w:right w:val="nil"/>
            </w:tcBorders>
            <w:shd w:val="clear" w:color="000000" w:fill="FFFFFF"/>
            <w:noWrap/>
            <w:vAlign w:val="center"/>
            <w:hideMark/>
          </w:tcPr>
          <w:p w14:paraId="7824DF86"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14</w:t>
            </w:r>
          </w:p>
        </w:tc>
        <w:tc>
          <w:tcPr>
            <w:tcW w:w="960" w:type="dxa"/>
            <w:tcBorders>
              <w:top w:val="nil"/>
              <w:left w:val="nil"/>
              <w:bottom w:val="single" w:sz="8" w:space="0" w:color="auto"/>
              <w:right w:val="nil"/>
            </w:tcBorders>
            <w:shd w:val="clear" w:color="000000" w:fill="FFFFFF"/>
            <w:noWrap/>
            <w:vAlign w:val="center"/>
            <w:hideMark/>
          </w:tcPr>
          <w:p w14:paraId="39A021B3"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15</w:t>
            </w:r>
          </w:p>
        </w:tc>
        <w:tc>
          <w:tcPr>
            <w:tcW w:w="960" w:type="dxa"/>
            <w:tcBorders>
              <w:top w:val="nil"/>
              <w:left w:val="nil"/>
              <w:bottom w:val="single" w:sz="8" w:space="0" w:color="auto"/>
              <w:right w:val="nil"/>
            </w:tcBorders>
            <w:shd w:val="clear" w:color="000000" w:fill="FFFFFF"/>
            <w:noWrap/>
            <w:vAlign w:val="center"/>
            <w:hideMark/>
          </w:tcPr>
          <w:p w14:paraId="4F3999FB"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15</w:t>
            </w:r>
          </w:p>
        </w:tc>
        <w:tc>
          <w:tcPr>
            <w:tcW w:w="960" w:type="dxa"/>
            <w:tcBorders>
              <w:top w:val="nil"/>
              <w:left w:val="nil"/>
              <w:bottom w:val="single" w:sz="8" w:space="0" w:color="auto"/>
              <w:right w:val="nil"/>
            </w:tcBorders>
            <w:shd w:val="clear" w:color="000000" w:fill="FFFFFF"/>
            <w:noWrap/>
            <w:vAlign w:val="center"/>
            <w:hideMark/>
          </w:tcPr>
          <w:p w14:paraId="6FD516BC"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15</w:t>
            </w:r>
          </w:p>
        </w:tc>
      </w:tr>
      <w:tr w:rsidR="007831A9" w:rsidRPr="00394948" w14:paraId="0787DD43"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1DCA9207"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Other arm pain</w:t>
            </w:r>
          </w:p>
        </w:tc>
        <w:tc>
          <w:tcPr>
            <w:tcW w:w="1240" w:type="dxa"/>
            <w:tcBorders>
              <w:top w:val="nil"/>
              <w:left w:val="nil"/>
              <w:bottom w:val="single" w:sz="8" w:space="0" w:color="auto"/>
              <w:right w:val="nil"/>
            </w:tcBorders>
            <w:shd w:val="clear" w:color="000000" w:fill="FFFFFF"/>
            <w:noWrap/>
            <w:vAlign w:val="center"/>
            <w:hideMark/>
          </w:tcPr>
          <w:p w14:paraId="7F50D494"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5</w:t>
            </w:r>
          </w:p>
        </w:tc>
        <w:tc>
          <w:tcPr>
            <w:tcW w:w="960" w:type="dxa"/>
            <w:tcBorders>
              <w:top w:val="nil"/>
              <w:left w:val="nil"/>
              <w:bottom w:val="single" w:sz="8" w:space="0" w:color="auto"/>
              <w:right w:val="nil"/>
            </w:tcBorders>
            <w:shd w:val="clear" w:color="000000" w:fill="FFFFFF"/>
            <w:noWrap/>
            <w:vAlign w:val="center"/>
            <w:hideMark/>
          </w:tcPr>
          <w:p w14:paraId="5AF84141"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12</w:t>
            </w:r>
          </w:p>
        </w:tc>
        <w:tc>
          <w:tcPr>
            <w:tcW w:w="960" w:type="dxa"/>
            <w:tcBorders>
              <w:top w:val="nil"/>
              <w:left w:val="nil"/>
              <w:bottom w:val="single" w:sz="8" w:space="0" w:color="auto"/>
              <w:right w:val="nil"/>
            </w:tcBorders>
            <w:shd w:val="clear" w:color="000000" w:fill="FFFFFF"/>
            <w:noWrap/>
            <w:vAlign w:val="center"/>
            <w:hideMark/>
          </w:tcPr>
          <w:p w14:paraId="00EC2E76"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17</w:t>
            </w:r>
          </w:p>
        </w:tc>
        <w:tc>
          <w:tcPr>
            <w:tcW w:w="960" w:type="dxa"/>
            <w:tcBorders>
              <w:top w:val="nil"/>
              <w:left w:val="nil"/>
              <w:bottom w:val="single" w:sz="8" w:space="0" w:color="auto"/>
              <w:right w:val="nil"/>
            </w:tcBorders>
            <w:shd w:val="clear" w:color="000000" w:fill="FFFFFF"/>
            <w:noWrap/>
            <w:vAlign w:val="center"/>
            <w:hideMark/>
          </w:tcPr>
          <w:p w14:paraId="7FBF2228"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17</w:t>
            </w:r>
          </w:p>
        </w:tc>
        <w:tc>
          <w:tcPr>
            <w:tcW w:w="960" w:type="dxa"/>
            <w:tcBorders>
              <w:top w:val="nil"/>
              <w:left w:val="nil"/>
              <w:bottom w:val="single" w:sz="8" w:space="0" w:color="auto"/>
              <w:right w:val="nil"/>
            </w:tcBorders>
            <w:shd w:val="clear" w:color="000000" w:fill="FFFFFF"/>
            <w:noWrap/>
            <w:vAlign w:val="center"/>
            <w:hideMark/>
          </w:tcPr>
          <w:p w14:paraId="628E48B3"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18</w:t>
            </w:r>
          </w:p>
        </w:tc>
      </w:tr>
      <w:tr w:rsidR="007831A9" w:rsidRPr="00394948" w14:paraId="2E714B75"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02400BD7"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Nerve injury</w:t>
            </w:r>
          </w:p>
        </w:tc>
        <w:tc>
          <w:tcPr>
            <w:tcW w:w="1240" w:type="dxa"/>
            <w:tcBorders>
              <w:top w:val="nil"/>
              <w:left w:val="nil"/>
              <w:bottom w:val="single" w:sz="8" w:space="0" w:color="auto"/>
              <w:right w:val="nil"/>
            </w:tcBorders>
            <w:shd w:val="clear" w:color="000000" w:fill="FFFFFF"/>
            <w:noWrap/>
            <w:vAlign w:val="center"/>
            <w:hideMark/>
          </w:tcPr>
          <w:p w14:paraId="6E12E8EE"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w:t>
            </w:r>
          </w:p>
        </w:tc>
        <w:tc>
          <w:tcPr>
            <w:tcW w:w="960" w:type="dxa"/>
            <w:tcBorders>
              <w:top w:val="nil"/>
              <w:left w:val="nil"/>
              <w:bottom w:val="single" w:sz="8" w:space="0" w:color="auto"/>
              <w:right w:val="nil"/>
            </w:tcBorders>
            <w:shd w:val="clear" w:color="000000" w:fill="FFFFFF"/>
            <w:noWrap/>
            <w:vAlign w:val="center"/>
            <w:hideMark/>
          </w:tcPr>
          <w:p w14:paraId="667EEAA5"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4</w:t>
            </w:r>
          </w:p>
        </w:tc>
        <w:tc>
          <w:tcPr>
            <w:tcW w:w="960" w:type="dxa"/>
            <w:tcBorders>
              <w:top w:val="nil"/>
              <w:left w:val="nil"/>
              <w:bottom w:val="single" w:sz="8" w:space="0" w:color="auto"/>
              <w:right w:val="nil"/>
            </w:tcBorders>
            <w:shd w:val="clear" w:color="000000" w:fill="FFFFFF"/>
            <w:noWrap/>
            <w:vAlign w:val="center"/>
            <w:hideMark/>
          </w:tcPr>
          <w:p w14:paraId="2DFCBA5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5</w:t>
            </w:r>
          </w:p>
        </w:tc>
        <w:tc>
          <w:tcPr>
            <w:tcW w:w="960" w:type="dxa"/>
            <w:tcBorders>
              <w:top w:val="nil"/>
              <w:left w:val="nil"/>
              <w:bottom w:val="single" w:sz="8" w:space="0" w:color="auto"/>
              <w:right w:val="nil"/>
            </w:tcBorders>
            <w:shd w:val="clear" w:color="000000" w:fill="FFFFFF"/>
            <w:noWrap/>
            <w:vAlign w:val="center"/>
            <w:hideMark/>
          </w:tcPr>
          <w:p w14:paraId="5385AC37"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6</w:t>
            </w:r>
          </w:p>
        </w:tc>
        <w:tc>
          <w:tcPr>
            <w:tcW w:w="960" w:type="dxa"/>
            <w:tcBorders>
              <w:top w:val="nil"/>
              <w:left w:val="nil"/>
              <w:bottom w:val="single" w:sz="8" w:space="0" w:color="auto"/>
              <w:right w:val="nil"/>
            </w:tcBorders>
            <w:shd w:val="clear" w:color="000000" w:fill="FFFFFF"/>
            <w:noWrap/>
            <w:vAlign w:val="center"/>
            <w:hideMark/>
          </w:tcPr>
          <w:p w14:paraId="4A2CA98C"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6</w:t>
            </w:r>
          </w:p>
        </w:tc>
      </w:tr>
      <w:tr w:rsidR="007831A9" w:rsidRPr="00394948" w14:paraId="1C0B3CDE"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4B689B0C"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Delayed bleeding</w:t>
            </w:r>
          </w:p>
        </w:tc>
        <w:tc>
          <w:tcPr>
            <w:tcW w:w="1240" w:type="dxa"/>
            <w:tcBorders>
              <w:top w:val="nil"/>
              <w:left w:val="nil"/>
              <w:bottom w:val="single" w:sz="8" w:space="0" w:color="auto"/>
              <w:right w:val="nil"/>
            </w:tcBorders>
            <w:shd w:val="clear" w:color="000000" w:fill="FFFFFF"/>
            <w:noWrap/>
            <w:vAlign w:val="center"/>
            <w:hideMark/>
          </w:tcPr>
          <w:p w14:paraId="0711098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0.3</w:t>
            </w:r>
          </w:p>
        </w:tc>
        <w:tc>
          <w:tcPr>
            <w:tcW w:w="960" w:type="dxa"/>
            <w:tcBorders>
              <w:top w:val="nil"/>
              <w:left w:val="nil"/>
              <w:bottom w:val="single" w:sz="8" w:space="0" w:color="auto"/>
              <w:right w:val="nil"/>
            </w:tcBorders>
            <w:shd w:val="clear" w:color="000000" w:fill="FFFFFF"/>
            <w:noWrap/>
            <w:vAlign w:val="center"/>
            <w:hideMark/>
          </w:tcPr>
          <w:p w14:paraId="33A67427"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0.6</w:t>
            </w:r>
          </w:p>
        </w:tc>
        <w:tc>
          <w:tcPr>
            <w:tcW w:w="960" w:type="dxa"/>
            <w:tcBorders>
              <w:top w:val="nil"/>
              <w:left w:val="nil"/>
              <w:bottom w:val="single" w:sz="8" w:space="0" w:color="auto"/>
              <w:right w:val="nil"/>
            </w:tcBorders>
            <w:shd w:val="clear" w:color="000000" w:fill="FFFFFF"/>
            <w:noWrap/>
            <w:vAlign w:val="center"/>
            <w:hideMark/>
          </w:tcPr>
          <w:p w14:paraId="13C2D14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w:t>
            </w:r>
          </w:p>
        </w:tc>
        <w:tc>
          <w:tcPr>
            <w:tcW w:w="960" w:type="dxa"/>
            <w:tcBorders>
              <w:top w:val="nil"/>
              <w:left w:val="nil"/>
              <w:bottom w:val="single" w:sz="8" w:space="0" w:color="auto"/>
              <w:right w:val="nil"/>
            </w:tcBorders>
            <w:shd w:val="clear" w:color="000000" w:fill="FFFFFF"/>
            <w:noWrap/>
            <w:vAlign w:val="center"/>
            <w:hideMark/>
          </w:tcPr>
          <w:p w14:paraId="33E3C48C"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w:t>
            </w:r>
          </w:p>
        </w:tc>
        <w:tc>
          <w:tcPr>
            <w:tcW w:w="960" w:type="dxa"/>
            <w:tcBorders>
              <w:top w:val="nil"/>
              <w:left w:val="nil"/>
              <w:bottom w:val="single" w:sz="8" w:space="0" w:color="auto"/>
              <w:right w:val="nil"/>
            </w:tcBorders>
            <w:shd w:val="clear" w:color="000000" w:fill="FFFFFF"/>
            <w:noWrap/>
            <w:vAlign w:val="center"/>
            <w:hideMark/>
          </w:tcPr>
          <w:p w14:paraId="43F7FF55"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w:t>
            </w:r>
          </w:p>
        </w:tc>
      </w:tr>
      <w:tr w:rsidR="007831A9" w:rsidRPr="00394948" w14:paraId="48E1C782"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762AD415"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Superficial Thrombophlebitis</w:t>
            </w:r>
          </w:p>
        </w:tc>
        <w:tc>
          <w:tcPr>
            <w:tcW w:w="1240" w:type="dxa"/>
            <w:tcBorders>
              <w:top w:val="nil"/>
              <w:left w:val="nil"/>
              <w:bottom w:val="single" w:sz="8" w:space="0" w:color="auto"/>
              <w:right w:val="nil"/>
            </w:tcBorders>
            <w:shd w:val="clear" w:color="000000" w:fill="FFFFFF"/>
            <w:noWrap/>
            <w:vAlign w:val="center"/>
            <w:hideMark/>
          </w:tcPr>
          <w:p w14:paraId="641715C0"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0.3</w:t>
            </w:r>
          </w:p>
        </w:tc>
        <w:tc>
          <w:tcPr>
            <w:tcW w:w="960" w:type="dxa"/>
            <w:tcBorders>
              <w:top w:val="nil"/>
              <w:left w:val="nil"/>
              <w:bottom w:val="single" w:sz="8" w:space="0" w:color="auto"/>
              <w:right w:val="nil"/>
            </w:tcBorders>
            <w:shd w:val="clear" w:color="000000" w:fill="FFFFFF"/>
            <w:noWrap/>
            <w:vAlign w:val="center"/>
            <w:hideMark/>
          </w:tcPr>
          <w:p w14:paraId="64AA44C8"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0.3</w:t>
            </w:r>
          </w:p>
        </w:tc>
        <w:tc>
          <w:tcPr>
            <w:tcW w:w="960" w:type="dxa"/>
            <w:tcBorders>
              <w:top w:val="nil"/>
              <w:left w:val="nil"/>
              <w:bottom w:val="single" w:sz="8" w:space="0" w:color="auto"/>
              <w:right w:val="nil"/>
            </w:tcBorders>
            <w:shd w:val="clear" w:color="000000" w:fill="FFFFFF"/>
            <w:noWrap/>
            <w:vAlign w:val="center"/>
            <w:hideMark/>
          </w:tcPr>
          <w:p w14:paraId="731DAB48"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0.3</w:t>
            </w:r>
          </w:p>
        </w:tc>
        <w:tc>
          <w:tcPr>
            <w:tcW w:w="960" w:type="dxa"/>
            <w:tcBorders>
              <w:top w:val="nil"/>
              <w:left w:val="nil"/>
              <w:bottom w:val="single" w:sz="8" w:space="0" w:color="auto"/>
              <w:right w:val="nil"/>
            </w:tcBorders>
            <w:shd w:val="clear" w:color="000000" w:fill="FFFFFF"/>
            <w:noWrap/>
            <w:vAlign w:val="center"/>
            <w:hideMark/>
          </w:tcPr>
          <w:p w14:paraId="5440E84F"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0.4</w:t>
            </w:r>
          </w:p>
        </w:tc>
        <w:tc>
          <w:tcPr>
            <w:tcW w:w="960" w:type="dxa"/>
            <w:tcBorders>
              <w:top w:val="nil"/>
              <w:left w:val="nil"/>
              <w:bottom w:val="single" w:sz="8" w:space="0" w:color="auto"/>
              <w:right w:val="nil"/>
            </w:tcBorders>
            <w:shd w:val="clear" w:color="000000" w:fill="FFFFFF"/>
            <w:noWrap/>
            <w:vAlign w:val="center"/>
            <w:hideMark/>
          </w:tcPr>
          <w:p w14:paraId="591D01FA"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0.4</w:t>
            </w:r>
          </w:p>
        </w:tc>
      </w:tr>
      <w:tr w:rsidR="007831A9" w:rsidRPr="00394948" w14:paraId="06AA9DBE"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18AFB174"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DVT</w:t>
            </w:r>
          </w:p>
        </w:tc>
        <w:tc>
          <w:tcPr>
            <w:tcW w:w="1240" w:type="dxa"/>
            <w:tcBorders>
              <w:top w:val="nil"/>
              <w:left w:val="nil"/>
              <w:bottom w:val="single" w:sz="8" w:space="0" w:color="auto"/>
              <w:right w:val="nil"/>
            </w:tcBorders>
            <w:shd w:val="clear" w:color="000000" w:fill="FFFFFF"/>
            <w:noWrap/>
            <w:vAlign w:val="center"/>
            <w:hideMark/>
          </w:tcPr>
          <w:p w14:paraId="27375FD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0.1</w:t>
            </w:r>
          </w:p>
        </w:tc>
        <w:tc>
          <w:tcPr>
            <w:tcW w:w="960" w:type="dxa"/>
            <w:tcBorders>
              <w:top w:val="nil"/>
              <w:left w:val="nil"/>
              <w:bottom w:val="single" w:sz="8" w:space="0" w:color="auto"/>
              <w:right w:val="nil"/>
            </w:tcBorders>
            <w:shd w:val="clear" w:color="000000" w:fill="FFFFFF"/>
            <w:noWrap/>
            <w:vAlign w:val="center"/>
            <w:hideMark/>
          </w:tcPr>
          <w:p w14:paraId="1264BDDC"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3DD452F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0.1</w:t>
            </w:r>
          </w:p>
        </w:tc>
        <w:tc>
          <w:tcPr>
            <w:tcW w:w="960" w:type="dxa"/>
            <w:tcBorders>
              <w:top w:val="nil"/>
              <w:left w:val="nil"/>
              <w:bottom w:val="single" w:sz="8" w:space="0" w:color="auto"/>
              <w:right w:val="nil"/>
            </w:tcBorders>
            <w:shd w:val="clear" w:color="000000" w:fill="FFFFFF"/>
            <w:noWrap/>
            <w:vAlign w:val="center"/>
            <w:hideMark/>
          </w:tcPr>
          <w:p w14:paraId="15800130"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6ABA430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r>
      <w:tr w:rsidR="007831A9" w:rsidRPr="00394948" w14:paraId="692FBFF6"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5A7243F6"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Compartment syndrome</w:t>
            </w:r>
          </w:p>
        </w:tc>
        <w:tc>
          <w:tcPr>
            <w:tcW w:w="1240" w:type="dxa"/>
            <w:tcBorders>
              <w:top w:val="nil"/>
              <w:left w:val="nil"/>
              <w:bottom w:val="single" w:sz="8" w:space="0" w:color="auto"/>
              <w:right w:val="nil"/>
            </w:tcBorders>
            <w:shd w:val="clear" w:color="000000" w:fill="FFFFFF"/>
            <w:noWrap/>
            <w:vAlign w:val="center"/>
            <w:hideMark/>
          </w:tcPr>
          <w:p w14:paraId="6CA60836"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3895E346"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693CBE6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5A609A27"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c>
          <w:tcPr>
            <w:tcW w:w="960" w:type="dxa"/>
            <w:tcBorders>
              <w:top w:val="nil"/>
              <w:left w:val="nil"/>
              <w:bottom w:val="single" w:sz="8" w:space="0" w:color="auto"/>
              <w:right w:val="nil"/>
            </w:tcBorders>
            <w:shd w:val="clear" w:color="000000" w:fill="FFFFFF"/>
            <w:noWrap/>
            <w:vAlign w:val="center"/>
            <w:hideMark/>
          </w:tcPr>
          <w:p w14:paraId="4706C13B"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0</w:t>
            </w:r>
          </w:p>
        </w:tc>
      </w:tr>
      <w:tr w:rsidR="007831A9" w:rsidRPr="00394948" w14:paraId="13051C3E"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67E41DCD"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 </w:t>
            </w:r>
          </w:p>
        </w:tc>
        <w:tc>
          <w:tcPr>
            <w:tcW w:w="5080" w:type="dxa"/>
            <w:gridSpan w:val="5"/>
            <w:tcBorders>
              <w:top w:val="single" w:sz="8" w:space="0" w:color="auto"/>
              <w:left w:val="nil"/>
              <w:bottom w:val="single" w:sz="8" w:space="0" w:color="auto"/>
              <w:right w:val="nil"/>
            </w:tcBorders>
            <w:shd w:val="clear" w:color="000000" w:fill="FFFFFF"/>
            <w:noWrap/>
            <w:vAlign w:val="center"/>
            <w:hideMark/>
          </w:tcPr>
          <w:p w14:paraId="35582EB8" w14:textId="77777777" w:rsidR="007831A9" w:rsidRPr="00394948" w:rsidRDefault="007831A9" w:rsidP="007831A9">
            <w:pPr>
              <w:spacing w:after="0"/>
              <w:jc w:val="center"/>
              <w:rPr>
                <w:rFonts w:eastAsia="Times New Roman"/>
                <w:b/>
                <w:bCs/>
                <w:color w:val="000000"/>
                <w:sz w:val="20"/>
                <w:szCs w:val="20"/>
                <w:lang w:eastAsia="zh-CN"/>
              </w:rPr>
            </w:pPr>
            <w:r w:rsidRPr="00394948">
              <w:rPr>
                <w:rFonts w:eastAsia="Times New Roman"/>
                <w:b/>
                <w:bCs/>
                <w:color w:val="000000"/>
                <w:sz w:val="20"/>
                <w:szCs w:val="20"/>
                <w:lang w:eastAsia="zh-CN"/>
              </w:rPr>
              <w:t>Apheresis specific events</w:t>
            </w:r>
          </w:p>
        </w:tc>
      </w:tr>
      <w:tr w:rsidR="007831A9" w:rsidRPr="00394948" w14:paraId="264BEF74"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4619305E"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Citrate reaction</w:t>
            </w:r>
          </w:p>
        </w:tc>
        <w:tc>
          <w:tcPr>
            <w:tcW w:w="1240" w:type="dxa"/>
            <w:tcBorders>
              <w:top w:val="nil"/>
              <w:left w:val="nil"/>
              <w:bottom w:val="single" w:sz="8" w:space="0" w:color="auto"/>
              <w:right w:val="nil"/>
            </w:tcBorders>
            <w:shd w:val="clear" w:color="000000" w:fill="FFFFFF"/>
            <w:noWrap/>
            <w:vAlign w:val="bottom"/>
            <w:hideMark/>
          </w:tcPr>
          <w:p w14:paraId="4F6168AE"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10</w:t>
            </w:r>
          </w:p>
        </w:tc>
        <w:tc>
          <w:tcPr>
            <w:tcW w:w="960" w:type="dxa"/>
            <w:tcBorders>
              <w:top w:val="nil"/>
              <w:left w:val="nil"/>
              <w:bottom w:val="single" w:sz="8" w:space="0" w:color="auto"/>
              <w:right w:val="nil"/>
            </w:tcBorders>
            <w:shd w:val="clear" w:color="000000" w:fill="FFFFFF"/>
            <w:noWrap/>
            <w:vAlign w:val="bottom"/>
            <w:hideMark/>
          </w:tcPr>
          <w:p w14:paraId="66F9AF94"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32</w:t>
            </w:r>
          </w:p>
        </w:tc>
        <w:tc>
          <w:tcPr>
            <w:tcW w:w="960" w:type="dxa"/>
            <w:tcBorders>
              <w:top w:val="nil"/>
              <w:left w:val="nil"/>
              <w:bottom w:val="single" w:sz="8" w:space="0" w:color="auto"/>
              <w:right w:val="nil"/>
            </w:tcBorders>
            <w:shd w:val="clear" w:color="000000" w:fill="FFFFFF"/>
            <w:noWrap/>
            <w:vAlign w:val="bottom"/>
            <w:hideMark/>
          </w:tcPr>
          <w:p w14:paraId="13D1AED7"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34</w:t>
            </w:r>
          </w:p>
        </w:tc>
        <w:tc>
          <w:tcPr>
            <w:tcW w:w="960" w:type="dxa"/>
            <w:tcBorders>
              <w:top w:val="nil"/>
              <w:left w:val="nil"/>
              <w:bottom w:val="single" w:sz="8" w:space="0" w:color="auto"/>
              <w:right w:val="nil"/>
            </w:tcBorders>
            <w:shd w:val="clear" w:color="000000" w:fill="FFFFFF"/>
            <w:noWrap/>
            <w:vAlign w:val="bottom"/>
            <w:hideMark/>
          </w:tcPr>
          <w:p w14:paraId="6E2D1B0F"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46</w:t>
            </w:r>
          </w:p>
        </w:tc>
        <w:tc>
          <w:tcPr>
            <w:tcW w:w="960" w:type="dxa"/>
            <w:tcBorders>
              <w:top w:val="nil"/>
              <w:left w:val="nil"/>
              <w:bottom w:val="single" w:sz="8" w:space="0" w:color="auto"/>
              <w:right w:val="nil"/>
            </w:tcBorders>
            <w:shd w:val="clear" w:color="000000" w:fill="FFFFFF"/>
            <w:noWrap/>
            <w:vAlign w:val="bottom"/>
            <w:hideMark/>
          </w:tcPr>
          <w:p w14:paraId="53740E0D"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45</w:t>
            </w:r>
          </w:p>
        </w:tc>
      </w:tr>
      <w:tr w:rsidR="007831A9" w:rsidRPr="00394948" w14:paraId="2FA221BC" w14:textId="77777777" w:rsidTr="007831A9">
        <w:trPr>
          <w:trHeight w:val="325"/>
        </w:trPr>
        <w:tc>
          <w:tcPr>
            <w:tcW w:w="3160" w:type="dxa"/>
            <w:tcBorders>
              <w:top w:val="nil"/>
              <w:left w:val="nil"/>
              <w:bottom w:val="single" w:sz="8" w:space="0" w:color="auto"/>
              <w:right w:val="nil"/>
            </w:tcBorders>
            <w:shd w:val="clear" w:color="000000" w:fill="FFFFFF"/>
            <w:noWrap/>
            <w:vAlign w:val="bottom"/>
            <w:hideMark/>
          </w:tcPr>
          <w:p w14:paraId="4A2DE9BD"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Infiltration</w:t>
            </w:r>
          </w:p>
        </w:tc>
        <w:tc>
          <w:tcPr>
            <w:tcW w:w="1240" w:type="dxa"/>
            <w:tcBorders>
              <w:top w:val="nil"/>
              <w:left w:val="nil"/>
              <w:bottom w:val="single" w:sz="8" w:space="0" w:color="auto"/>
              <w:right w:val="nil"/>
            </w:tcBorders>
            <w:shd w:val="clear" w:color="000000" w:fill="FFFFFF"/>
            <w:noWrap/>
            <w:vAlign w:val="bottom"/>
            <w:hideMark/>
          </w:tcPr>
          <w:p w14:paraId="5E6CE521"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0.1</w:t>
            </w:r>
          </w:p>
        </w:tc>
        <w:tc>
          <w:tcPr>
            <w:tcW w:w="960" w:type="dxa"/>
            <w:tcBorders>
              <w:top w:val="nil"/>
              <w:left w:val="nil"/>
              <w:bottom w:val="single" w:sz="8" w:space="0" w:color="auto"/>
              <w:right w:val="nil"/>
            </w:tcBorders>
            <w:shd w:val="clear" w:color="000000" w:fill="FFFFFF"/>
            <w:noWrap/>
            <w:vAlign w:val="bottom"/>
            <w:hideMark/>
          </w:tcPr>
          <w:p w14:paraId="129F0B4B"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0.7</w:t>
            </w:r>
          </w:p>
        </w:tc>
        <w:tc>
          <w:tcPr>
            <w:tcW w:w="960" w:type="dxa"/>
            <w:tcBorders>
              <w:top w:val="nil"/>
              <w:left w:val="nil"/>
              <w:bottom w:val="single" w:sz="8" w:space="0" w:color="auto"/>
              <w:right w:val="nil"/>
            </w:tcBorders>
            <w:shd w:val="clear" w:color="000000" w:fill="FFFFFF"/>
            <w:noWrap/>
            <w:vAlign w:val="bottom"/>
            <w:hideMark/>
          </w:tcPr>
          <w:p w14:paraId="7A80E9B9"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0.7</w:t>
            </w:r>
          </w:p>
        </w:tc>
        <w:tc>
          <w:tcPr>
            <w:tcW w:w="960" w:type="dxa"/>
            <w:tcBorders>
              <w:top w:val="nil"/>
              <w:left w:val="nil"/>
              <w:bottom w:val="single" w:sz="8" w:space="0" w:color="auto"/>
              <w:right w:val="nil"/>
            </w:tcBorders>
            <w:shd w:val="clear" w:color="000000" w:fill="FFFFFF"/>
            <w:noWrap/>
            <w:vAlign w:val="bottom"/>
            <w:hideMark/>
          </w:tcPr>
          <w:p w14:paraId="3E93683A"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1.2</w:t>
            </w:r>
          </w:p>
        </w:tc>
        <w:tc>
          <w:tcPr>
            <w:tcW w:w="960" w:type="dxa"/>
            <w:tcBorders>
              <w:top w:val="nil"/>
              <w:left w:val="nil"/>
              <w:bottom w:val="single" w:sz="8" w:space="0" w:color="auto"/>
              <w:right w:val="nil"/>
            </w:tcBorders>
            <w:shd w:val="clear" w:color="000000" w:fill="FFFFFF"/>
            <w:noWrap/>
            <w:vAlign w:val="bottom"/>
            <w:hideMark/>
          </w:tcPr>
          <w:p w14:paraId="38124306"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1.2</w:t>
            </w:r>
          </w:p>
        </w:tc>
      </w:tr>
      <w:tr w:rsidR="007831A9" w:rsidRPr="00394948" w14:paraId="61250799"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79F4F9FE"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Haemolysis</w:t>
            </w:r>
          </w:p>
        </w:tc>
        <w:tc>
          <w:tcPr>
            <w:tcW w:w="1240" w:type="dxa"/>
            <w:tcBorders>
              <w:top w:val="nil"/>
              <w:left w:val="nil"/>
              <w:bottom w:val="single" w:sz="8" w:space="0" w:color="auto"/>
              <w:right w:val="nil"/>
            </w:tcBorders>
            <w:shd w:val="clear" w:color="000000" w:fill="FFFFFF"/>
            <w:noWrap/>
            <w:vAlign w:val="bottom"/>
            <w:hideMark/>
          </w:tcPr>
          <w:p w14:paraId="4627772A"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c>
          <w:tcPr>
            <w:tcW w:w="960" w:type="dxa"/>
            <w:tcBorders>
              <w:top w:val="nil"/>
              <w:left w:val="nil"/>
              <w:bottom w:val="single" w:sz="8" w:space="0" w:color="auto"/>
              <w:right w:val="nil"/>
            </w:tcBorders>
            <w:shd w:val="clear" w:color="000000" w:fill="FFFFFF"/>
            <w:noWrap/>
            <w:vAlign w:val="bottom"/>
            <w:hideMark/>
          </w:tcPr>
          <w:p w14:paraId="731363B1"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0.1</w:t>
            </w:r>
          </w:p>
        </w:tc>
        <w:tc>
          <w:tcPr>
            <w:tcW w:w="960" w:type="dxa"/>
            <w:tcBorders>
              <w:top w:val="nil"/>
              <w:left w:val="nil"/>
              <w:bottom w:val="single" w:sz="8" w:space="0" w:color="auto"/>
              <w:right w:val="nil"/>
            </w:tcBorders>
            <w:shd w:val="clear" w:color="000000" w:fill="FFFFFF"/>
            <w:noWrap/>
            <w:vAlign w:val="bottom"/>
            <w:hideMark/>
          </w:tcPr>
          <w:p w14:paraId="49E46A8C"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0.1</w:t>
            </w:r>
          </w:p>
        </w:tc>
        <w:tc>
          <w:tcPr>
            <w:tcW w:w="960" w:type="dxa"/>
            <w:tcBorders>
              <w:top w:val="nil"/>
              <w:left w:val="nil"/>
              <w:bottom w:val="single" w:sz="8" w:space="0" w:color="auto"/>
              <w:right w:val="nil"/>
            </w:tcBorders>
            <w:shd w:val="clear" w:color="000000" w:fill="FFFFFF"/>
            <w:noWrap/>
            <w:vAlign w:val="bottom"/>
            <w:hideMark/>
          </w:tcPr>
          <w:p w14:paraId="5AD85067"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c>
          <w:tcPr>
            <w:tcW w:w="960" w:type="dxa"/>
            <w:tcBorders>
              <w:top w:val="nil"/>
              <w:left w:val="nil"/>
              <w:bottom w:val="single" w:sz="8" w:space="0" w:color="auto"/>
              <w:right w:val="nil"/>
            </w:tcBorders>
            <w:shd w:val="clear" w:color="000000" w:fill="FFFFFF"/>
            <w:noWrap/>
            <w:vAlign w:val="bottom"/>
            <w:hideMark/>
          </w:tcPr>
          <w:p w14:paraId="37916D90"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r>
      <w:tr w:rsidR="007831A9" w:rsidRPr="00394948" w14:paraId="42534409"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64A17410"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Air embolism</w:t>
            </w:r>
          </w:p>
        </w:tc>
        <w:tc>
          <w:tcPr>
            <w:tcW w:w="1240" w:type="dxa"/>
            <w:tcBorders>
              <w:top w:val="nil"/>
              <w:left w:val="nil"/>
              <w:bottom w:val="single" w:sz="8" w:space="0" w:color="auto"/>
              <w:right w:val="nil"/>
            </w:tcBorders>
            <w:shd w:val="clear" w:color="000000" w:fill="FFFFFF"/>
            <w:noWrap/>
            <w:vAlign w:val="bottom"/>
            <w:hideMark/>
          </w:tcPr>
          <w:p w14:paraId="20EE70D7"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c>
          <w:tcPr>
            <w:tcW w:w="960" w:type="dxa"/>
            <w:tcBorders>
              <w:top w:val="nil"/>
              <w:left w:val="nil"/>
              <w:bottom w:val="single" w:sz="8" w:space="0" w:color="auto"/>
              <w:right w:val="nil"/>
            </w:tcBorders>
            <w:shd w:val="clear" w:color="000000" w:fill="FFFFFF"/>
            <w:noWrap/>
            <w:vAlign w:val="bottom"/>
            <w:hideMark/>
          </w:tcPr>
          <w:p w14:paraId="766BB893"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c>
          <w:tcPr>
            <w:tcW w:w="960" w:type="dxa"/>
            <w:tcBorders>
              <w:top w:val="nil"/>
              <w:left w:val="nil"/>
              <w:bottom w:val="single" w:sz="8" w:space="0" w:color="auto"/>
              <w:right w:val="nil"/>
            </w:tcBorders>
            <w:shd w:val="clear" w:color="000000" w:fill="FFFFFF"/>
            <w:noWrap/>
            <w:vAlign w:val="bottom"/>
            <w:hideMark/>
          </w:tcPr>
          <w:p w14:paraId="1D94E2C1"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c>
          <w:tcPr>
            <w:tcW w:w="960" w:type="dxa"/>
            <w:tcBorders>
              <w:top w:val="nil"/>
              <w:left w:val="nil"/>
              <w:bottom w:val="single" w:sz="8" w:space="0" w:color="auto"/>
              <w:right w:val="nil"/>
            </w:tcBorders>
            <w:shd w:val="clear" w:color="000000" w:fill="FFFFFF"/>
            <w:noWrap/>
            <w:vAlign w:val="bottom"/>
            <w:hideMark/>
          </w:tcPr>
          <w:p w14:paraId="73CBC99F"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c>
          <w:tcPr>
            <w:tcW w:w="960" w:type="dxa"/>
            <w:tcBorders>
              <w:top w:val="nil"/>
              <w:left w:val="nil"/>
              <w:bottom w:val="single" w:sz="8" w:space="0" w:color="auto"/>
              <w:right w:val="nil"/>
            </w:tcBorders>
            <w:shd w:val="clear" w:color="000000" w:fill="FFFFFF"/>
            <w:noWrap/>
            <w:vAlign w:val="bottom"/>
            <w:hideMark/>
          </w:tcPr>
          <w:p w14:paraId="6C02CBD9" w14:textId="77777777" w:rsidR="007831A9" w:rsidRPr="00394948" w:rsidRDefault="007831A9" w:rsidP="007831A9">
            <w:pPr>
              <w:spacing w:after="0"/>
              <w:jc w:val="right"/>
              <w:rPr>
                <w:rFonts w:eastAsia="Times New Roman" w:cs="Times New Roman"/>
                <w:color w:val="000000"/>
                <w:lang w:eastAsia="en-AU"/>
              </w:rPr>
            </w:pPr>
            <w:r w:rsidRPr="00394948">
              <w:rPr>
                <w:rFonts w:eastAsia="Times New Roman" w:cs="Times New Roman"/>
                <w:color w:val="000000"/>
                <w:lang w:eastAsia="en-AU"/>
              </w:rPr>
              <w:t>0</w:t>
            </w:r>
          </w:p>
        </w:tc>
      </w:tr>
      <w:tr w:rsidR="007831A9" w:rsidRPr="00394948" w14:paraId="1CA601AB"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0F65DF05"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 </w:t>
            </w:r>
          </w:p>
        </w:tc>
        <w:tc>
          <w:tcPr>
            <w:tcW w:w="5080" w:type="dxa"/>
            <w:gridSpan w:val="5"/>
            <w:tcBorders>
              <w:top w:val="single" w:sz="8" w:space="0" w:color="auto"/>
              <w:left w:val="nil"/>
              <w:bottom w:val="single" w:sz="8" w:space="0" w:color="auto"/>
              <w:right w:val="nil"/>
            </w:tcBorders>
            <w:shd w:val="clear" w:color="000000" w:fill="FFFFFF"/>
            <w:noWrap/>
            <w:vAlign w:val="center"/>
            <w:hideMark/>
          </w:tcPr>
          <w:p w14:paraId="52297CCF" w14:textId="77777777" w:rsidR="007831A9" w:rsidRPr="00394948" w:rsidRDefault="007831A9" w:rsidP="007831A9">
            <w:pPr>
              <w:spacing w:after="0"/>
              <w:jc w:val="center"/>
              <w:rPr>
                <w:rFonts w:eastAsia="Times New Roman"/>
                <w:b/>
                <w:bCs/>
                <w:color w:val="000000"/>
                <w:sz w:val="20"/>
                <w:szCs w:val="20"/>
                <w:lang w:eastAsia="zh-CN"/>
              </w:rPr>
            </w:pPr>
            <w:r w:rsidRPr="00394948">
              <w:rPr>
                <w:rFonts w:eastAsia="Times New Roman"/>
                <w:b/>
                <w:bCs/>
                <w:color w:val="000000"/>
                <w:sz w:val="20"/>
                <w:szCs w:val="20"/>
                <w:lang w:eastAsia="zh-CN"/>
              </w:rPr>
              <w:t>Other events</w:t>
            </w:r>
          </w:p>
        </w:tc>
      </w:tr>
      <w:tr w:rsidR="007831A9" w:rsidRPr="00394948" w14:paraId="1930EA3A"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279AC940"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Other events**</w:t>
            </w:r>
          </w:p>
        </w:tc>
        <w:tc>
          <w:tcPr>
            <w:tcW w:w="1240" w:type="dxa"/>
            <w:tcBorders>
              <w:top w:val="nil"/>
              <w:left w:val="nil"/>
              <w:bottom w:val="single" w:sz="8" w:space="0" w:color="auto"/>
              <w:right w:val="nil"/>
            </w:tcBorders>
            <w:shd w:val="clear" w:color="000000" w:fill="FFFFFF"/>
            <w:noWrap/>
            <w:vAlign w:val="center"/>
            <w:hideMark/>
          </w:tcPr>
          <w:p w14:paraId="782764B4"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w:t>
            </w:r>
          </w:p>
        </w:tc>
        <w:tc>
          <w:tcPr>
            <w:tcW w:w="960" w:type="dxa"/>
            <w:tcBorders>
              <w:top w:val="nil"/>
              <w:left w:val="nil"/>
              <w:bottom w:val="single" w:sz="8" w:space="0" w:color="auto"/>
              <w:right w:val="nil"/>
            </w:tcBorders>
            <w:shd w:val="clear" w:color="000000" w:fill="FFFFFF"/>
            <w:noWrap/>
            <w:vAlign w:val="center"/>
            <w:hideMark/>
          </w:tcPr>
          <w:p w14:paraId="1A4F4009"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3</w:t>
            </w:r>
          </w:p>
        </w:tc>
        <w:tc>
          <w:tcPr>
            <w:tcW w:w="960" w:type="dxa"/>
            <w:tcBorders>
              <w:top w:val="nil"/>
              <w:left w:val="nil"/>
              <w:bottom w:val="single" w:sz="8" w:space="0" w:color="auto"/>
              <w:right w:val="nil"/>
            </w:tcBorders>
            <w:shd w:val="clear" w:color="000000" w:fill="FFFFFF"/>
            <w:noWrap/>
            <w:vAlign w:val="center"/>
            <w:hideMark/>
          </w:tcPr>
          <w:p w14:paraId="6D584972"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3</w:t>
            </w:r>
          </w:p>
        </w:tc>
        <w:tc>
          <w:tcPr>
            <w:tcW w:w="960" w:type="dxa"/>
            <w:tcBorders>
              <w:top w:val="nil"/>
              <w:left w:val="nil"/>
              <w:bottom w:val="single" w:sz="8" w:space="0" w:color="auto"/>
              <w:right w:val="nil"/>
            </w:tcBorders>
            <w:shd w:val="clear" w:color="000000" w:fill="FFFFFF"/>
            <w:noWrap/>
            <w:vAlign w:val="center"/>
            <w:hideMark/>
          </w:tcPr>
          <w:p w14:paraId="6F0692BF"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w:t>
            </w:r>
          </w:p>
        </w:tc>
        <w:tc>
          <w:tcPr>
            <w:tcW w:w="960" w:type="dxa"/>
            <w:tcBorders>
              <w:top w:val="nil"/>
              <w:left w:val="nil"/>
              <w:bottom w:val="single" w:sz="8" w:space="0" w:color="auto"/>
              <w:right w:val="nil"/>
            </w:tcBorders>
            <w:shd w:val="clear" w:color="000000" w:fill="FFFFFF"/>
            <w:noWrap/>
            <w:vAlign w:val="center"/>
            <w:hideMark/>
          </w:tcPr>
          <w:p w14:paraId="6A389ECC"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w:t>
            </w:r>
          </w:p>
        </w:tc>
      </w:tr>
      <w:tr w:rsidR="007831A9" w:rsidRPr="00394948" w14:paraId="60123E6C" w14:textId="77777777" w:rsidTr="007831A9">
        <w:trPr>
          <w:trHeight w:val="315"/>
        </w:trPr>
        <w:tc>
          <w:tcPr>
            <w:tcW w:w="3160" w:type="dxa"/>
            <w:tcBorders>
              <w:top w:val="nil"/>
              <w:left w:val="nil"/>
              <w:bottom w:val="single" w:sz="8" w:space="0" w:color="auto"/>
              <w:right w:val="nil"/>
            </w:tcBorders>
            <w:shd w:val="clear" w:color="000000" w:fill="FFFFFF"/>
            <w:noWrap/>
            <w:vAlign w:val="bottom"/>
            <w:hideMark/>
          </w:tcPr>
          <w:p w14:paraId="04967F0D" w14:textId="77777777" w:rsidR="007831A9" w:rsidRPr="00394948" w:rsidRDefault="007831A9" w:rsidP="007831A9">
            <w:pPr>
              <w:spacing w:after="0"/>
              <w:rPr>
                <w:rFonts w:eastAsia="Times New Roman"/>
                <w:b/>
                <w:bCs/>
                <w:color w:val="000000"/>
                <w:sz w:val="20"/>
                <w:szCs w:val="20"/>
                <w:lang w:eastAsia="zh-CN"/>
              </w:rPr>
            </w:pPr>
            <w:r w:rsidRPr="00394948">
              <w:rPr>
                <w:rFonts w:eastAsiaTheme="minorHAnsi"/>
                <w:b/>
                <w:bCs/>
                <w:color w:val="000000"/>
                <w:sz w:val="20"/>
                <w:szCs w:val="20"/>
                <w:lang w:eastAsia="zh-CN"/>
              </w:rPr>
              <w:t>Total events</w:t>
            </w:r>
          </w:p>
        </w:tc>
        <w:tc>
          <w:tcPr>
            <w:tcW w:w="1240" w:type="dxa"/>
            <w:tcBorders>
              <w:top w:val="nil"/>
              <w:left w:val="nil"/>
              <w:bottom w:val="single" w:sz="8" w:space="0" w:color="auto"/>
              <w:right w:val="nil"/>
            </w:tcBorders>
            <w:shd w:val="clear" w:color="000000" w:fill="FFFFFF"/>
            <w:noWrap/>
            <w:vAlign w:val="bottom"/>
            <w:hideMark/>
          </w:tcPr>
          <w:p w14:paraId="1C94D03F" w14:textId="77777777" w:rsidR="007831A9" w:rsidRPr="00394948" w:rsidRDefault="007831A9" w:rsidP="007831A9">
            <w:pPr>
              <w:spacing w:after="0"/>
              <w:jc w:val="right"/>
              <w:rPr>
                <w:rFonts w:eastAsia="Times New Roman" w:cs="Times New Roman"/>
                <w:b/>
                <w:color w:val="000000"/>
                <w:sz w:val="20"/>
                <w:szCs w:val="20"/>
                <w:lang w:eastAsia="en-AU"/>
              </w:rPr>
            </w:pPr>
            <w:r w:rsidRPr="00394948">
              <w:rPr>
                <w:rFonts w:eastAsia="Times New Roman" w:cs="Times New Roman"/>
                <w:b/>
                <w:color w:val="000000"/>
                <w:sz w:val="20"/>
                <w:szCs w:val="20"/>
                <w:lang w:eastAsia="en-AU"/>
              </w:rPr>
              <w:t>257</w:t>
            </w:r>
          </w:p>
        </w:tc>
        <w:tc>
          <w:tcPr>
            <w:tcW w:w="960" w:type="dxa"/>
            <w:tcBorders>
              <w:top w:val="nil"/>
              <w:left w:val="nil"/>
              <w:bottom w:val="single" w:sz="8" w:space="0" w:color="auto"/>
              <w:right w:val="nil"/>
            </w:tcBorders>
            <w:shd w:val="clear" w:color="000000" w:fill="FFFFFF"/>
            <w:noWrap/>
            <w:vAlign w:val="bottom"/>
            <w:hideMark/>
          </w:tcPr>
          <w:p w14:paraId="1405AF0C" w14:textId="77777777" w:rsidR="007831A9" w:rsidRPr="00394948" w:rsidRDefault="007831A9" w:rsidP="007831A9">
            <w:pPr>
              <w:spacing w:after="0"/>
              <w:jc w:val="right"/>
              <w:rPr>
                <w:rFonts w:eastAsia="Times New Roman" w:cs="Times New Roman"/>
                <w:b/>
                <w:color w:val="000000"/>
                <w:sz w:val="20"/>
                <w:szCs w:val="20"/>
                <w:lang w:eastAsia="en-AU"/>
              </w:rPr>
            </w:pPr>
            <w:r w:rsidRPr="00394948">
              <w:rPr>
                <w:rFonts w:eastAsia="Times New Roman" w:cs="Times New Roman"/>
                <w:b/>
                <w:color w:val="000000"/>
                <w:sz w:val="20"/>
                <w:szCs w:val="20"/>
                <w:lang w:eastAsia="en-AU"/>
              </w:rPr>
              <w:t>286</w:t>
            </w:r>
          </w:p>
        </w:tc>
        <w:tc>
          <w:tcPr>
            <w:tcW w:w="960" w:type="dxa"/>
            <w:tcBorders>
              <w:top w:val="nil"/>
              <w:left w:val="nil"/>
              <w:bottom w:val="single" w:sz="8" w:space="0" w:color="auto"/>
              <w:right w:val="nil"/>
            </w:tcBorders>
            <w:shd w:val="clear" w:color="000000" w:fill="FFFFFF"/>
            <w:noWrap/>
            <w:vAlign w:val="bottom"/>
            <w:hideMark/>
          </w:tcPr>
          <w:p w14:paraId="39190EA4" w14:textId="77777777" w:rsidR="007831A9" w:rsidRPr="00394948" w:rsidRDefault="007831A9" w:rsidP="007831A9">
            <w:pPr>
              <w:spacing w:after="0"/>
              <w:jc w:val="right"/>
              <w:rPr>
                <w:rFonts w:eastAsia="Times New Roman" w:cs="Times New Roman"/>
                <w:b/>
                <w:color w:val="000000"/>
                <w:sz w:val="20"/>
                <w:szCs w:val="20"/>
                <w:lang w:eastAsia="en-AU"/>
              </w:rPr>
            </w:pPr>
            <w:r w:rsidRPr="00394948">
              <w:rPr>
                <w:rFonts w:eastAsia="Times New Roman" w:cs="Times New Roman"/>
                <w:b/>
                <w:color w:val="000000"/>
                <w:sz w:val="20"/>
                <w:szCs w:val="20"/>
                <w:lang w:eastAsia="en-AU"/>
              </w:rPr>
              <w:t>295</w:t>
            </w:r>
          </w:p>
        </w:tc>
        <w:tc>
          <w:tcPr>
            <w:tcW w:w="960" w:type="dxa"/>
            <w:tcBorders>
              <w:top w:val="nil"/>
              <w:left w:val="nil"/>
              <w:bottom w:val="single" w:sz="8" w:space="0" w:color="auto"/>
              <w:right w:val="nil"/>
            </w:tcBorders>
            <w:shd w:val="clear" w:color="000000" w:fill="FFFFFF"/>
            <w:noWrap/>
            <w:vAlign w:val="bottom"/>
            <w:hideMark/>
          </w:tcPr>
          <w:p w14:paraId="115374A9" w14:textId="77777777" w:rsidR="007831A9" w:rsidRPr="00394948" w:rsidRDefault="007831A9" w:rsidP="007831A9">
            <w:pPr>
              <w:spacing w:after="0"/>
              <w:jc w:val="right"/>
              <w:rPr>
                <w:rFonts w:eastAsia="Times New Roman" w:cs="Times New Roman"/>
                <w:b/>
                <w:color w:val="000000"/>
                <w:sz w:val="20"/>
                <w:szCs w:val="20"/>
                <w:lang w:eastAsia="en-AU"/>
              </w:rPr>
            </w:pPr>
            <w:r w:rsidRPr="00394948">
              <w:rPr>
                <w:rFonts w:eastAsia="Times New Roman" w:cs="Times New Roman"/>
                <w:b/>
                <w:color w:val="000000"/>
                <w:sz w:val="20"/>
                <w:szCs w:val="20"/>
                <w:lang w:eastAsia="en-AU"/>
              </w:rPr>
              <w:t>311</w:t>
            </w:r>
          </w:p>
        </w:tc>
        <w:tc>
          <w:tcPr>
            <w:tcW w:w="960" w:type="dxa"/>
            <w:tcBorders>
              <w:top w:val="nil"/>
              <w:left w:val="nil"/>
              <w:bottom w:val="single" w:sz="8" w:space="0" w:color="auto"/>
              <w:right w:val="nil"/>
            </w:tcBorders>
            <w:shd w:val="clear" w:color="000000" w:fill="FFFFFF"/>
            <w:noWrap/>
            <w:vAlign w:val="bottom"/>
            <w:hideMark/>
          </w:tcPr>
          <w:p w14:paraId="49AF2B05" w14:textId="77777777" w:rsidR="007831A9" w:rsidRPr="00394948" w:rsidRDefault="007831A9" w:rsidP="007831A9">
            <w:pPr>
              <w:spacing w:after="0"/>
              <w:jc w:val="right"/>
              <w:rPr>
                <w:rFonts w:eastAsia="Times New Roman" w:cs="Times New Roman"/>
                <w:b/>
                <w:color w:val="000000"/>
                <w:sz w:val="20"/>
                <w:szCs w:val="20"/>
                <w:lang w:eastAsia="en-AU"/>
              </w:rPr>
            </w:pPr>
            <w:r w:rsidRPr="00394948">
              <w:rPr>
                <w:rFonts w:eastAsia="Times New Roman" w:cs="Times New Roman"/>
                <w:b/>
                <w:color w:val="000000"/>
                <w:sz w:val="20"/>
                <w:szCs w:val="20"/>
                <w:lang w:eastAsia="en-AU"/>
              </w:rPr>
              <w:t>308</w:t>
            </w:r>
          </w:p>
        </w:tc>
      </w:tr>
    </w:tbl>
    <w:p w14:paraId="36F1ACBF" w14:textId="77777777" w:rsidR="007831A9" w:rsidRPr="00394948" w:rsidRDefault="007831A9" w:rsidP="007831A9">
      <w:pPr>
        <w:spacing w:before="40" w:after="40" w:line="180" w:lineRule="atLeast"/>
        <w:rPr>
          <w:rFonts w:eastAsiaTheme="minorEastAsia" w:cstheme="minorHAnsi"/>
          <w:sz w:val="18"/>
          <w:szCs w:val="18"/>
          <w:lang w:eastAsia="en-AU"/>
        </w:rPr>
      </w:pPr>
      <w:r w:rsidRPr="00394948">
        <w:rPr>
          <w:rFonts w:eastAsiaTheme="minorEastAsia" w:cstheme="minorHAnsi"/>
          <w:sz w:val="18"/>
          <w:szCs w:val="18"/>
          <w:lang w:eastAsia="en-AU"/>
        </w:rPr>
        <w:t>Notes</w:t>
      </w:r>
    </w:p>
    <w:p w14:paraId="707CEA5C" w14:textId="3E49A7CF" w:rsidR="007831A9" w:rsidRPr="00394948" w:rsidRDefault="0018509A" w:rsidP="007831A9">
      <w:pPr>
        <w:numPr>
          <w:ilvl w:val="0"/>
          <w:numId w:val="17"/>
        </w:numPr>
        <w:spacing w:before="40" w:after="40" w:line="180" w:lineRule="atLeast"/>
        <w:contextualSpacing/>
        <w:rPr>
          <w:rFonts w:eastAsiaTheme="minorEastAsia" w:cstheme="minorHAnsi"/>
          <w:sz w:val="18"/>
          <w:szCs w:val="18"/>
          <w:lang w:eastAsia="en-AU"/>
        </w:rPr>
      </w:pPr>
      <w:r w:rsidRPr="00394948">
        <w:rPr>
          <w:rFonts w:eastAsiaTheme="minorEastAsia" w:cstheme="minorHAnsi"/>
          <w:sz w:val="18"/>
          <w:szCs w:val="18"/>
          <w:lang w:eastAsia="en-AU"/>
        </w:rPr>
        <w:t>*</w:t>
      </w:r>
      <w:r w:rsidR="00AB39B8" w:rsidRPr="00394948">
        <w:rPr>
          <w:rFonts w:eastAsiaTheme="minorEastAsia" w:cstheme="minorHAnsi"/>
          <w:sz w:val="18"/>
          <w:szCs w:val="18"/>
          <w:lang w:eastAsia="en-AU"/>
        </w:rPr>
        <w:t xml:space="preserve"> </w:t>
      </w:r>
      <w:r w:rsidR="007831A9" w:rsidRPr="00394948">
        <w:rPr>
          <w:rFonts w:eastAsiaTheme="minorEastAsia" w:cstheme="minorHAnsi"/>
          <w:sz w:val="18"/>
          <w:szCs w:val="18"/>
          <w:lang w:eastAsia="en-AU"/>
        </w:rPr>
        <w:t>donors who experience palpitations /angina/acute myocardial infarction within 24 hours of donation. Each case is evaluated to determine underlying risk factors</w:t>
      </w:r>
    </w:p>
    <w:p w14:paraId="0337B680" w14:textId="77777777" w:rsidR="007831A9" w:rsidRPr="00394948" w:rsidRDefault="007831A9" w:rsidP="007831A9">
      <w:pPr>
        <w:numPr>
          <w:ilvl w:val="0"/>
          <w:numId w:val="17"/>
        </w:numPr>
        <w:spacing w:before="40" w:after="40" w:line="180" w:lineRule="atLeast"/>
        <w:contextualSpacing/>
        <w:rPr>
          <w:rFonts w:eastAsiaTheme="minorEastAsia" w:cstheme="minorHAnsi"/>
          <w:sz w:val="18"/>
          <w:szCs w:val="18"/>
          <w:lang w:eastAsia="en-AU"/>
        </w:rPr>
      </w:pPr>
      <w:r w:rsidRPr="00394948">
        <w:rPr>
          <w:rFonts w:eastAsiaTheme="minorEastAsia" w:cstheme="minorHAnsi"/>
          <w:sz w:val="18"/>
          <w:szCs w:val="18"/>
          <w:lang w:eastAsia="en-AU"/>
        </w:rPr>
        <w:t>** includes non-cardiac chest pain, injuries sustained in falls during fainting, headaches occurring during or</w:t>
      </w:r>
    </w:p>
    <w:p w14:paraId="0B60EF58" w14:textId="77777777" w:rsidR="007831A9" w:rsidRPr="00394948" w:rsidRDefault="007831A9" w:rsidP="007831A9">
      <w:pPr>
        <w:spacing w:before="40" w:after="40" w:line="180" w:lineRule="atLeast"/>
        <w:ind w:left="360"/>
        <w:contextualSpacing/>
        <w:rPr>
          <w:rFonts w:eastAsiaTheme="minorEastAsia" w:cstheme="minorHAnsi"/>
          <w:sz w:val="18"/>
          <w:szCs w:val="18"/>
          <w:lang w:eastAsia="en-AU"/>
        </w:rPr>
      </w:pPr>
      <w:r w:rsidRPr="00394948">
        <w:rPr>
          <w:rFonts w:eastAsiaTheme="minorEastAsia" w:cstheme="minorHAnsi"/>
          <w:sz w:val="18"/>
          <w:szCs w:val="18"/>
          <w:lang w:eastAsia="en-AU"/>
        </w:rPr>
        <w:t>after donation, cramps, nausea or abdominal pain occurring during or immediately following a procedure,</w:t>
      </w:r>
    </w:p>
    <w:p w14:paraId="20CAC835" w14:textId="77777777" w:rsidR="007831A9" w:rsidRPr="00394948" w:rsidRDefault="007831A9" w:rsidP="007831A9">
      <w:pPr>
        <w:spacing w:before="40" w:after="40" w:line="180" w:lineRule="atLeast"/>
        <w:ind w:left="360"/>
        <w:contextualSpacing/>
        <w:rPr>
          <w:rFonts w:eastAsiaTheme="minorEastAsia" w:cstheme="minorHAnsi"/>
          <w:sz w:val="18"/>
          <w:szCs w:val="18"/>
          <w:lang w:eastAsia="en-AU"/>
        </w:rPr>
      </w:pPr>
      <w:r w:rsidRPr="00394948">
        <w:rPr>
          <w:rFonts w:eastAsiaTheme="minorEastAsia" w:cstheme="minorHAnsi"/>
          <w:sz w:val="18"/>
          <w:szCs w:val="18"/>
          <w:lang w:eastAsia="en-AU"/>
        </w:rPr>
        <w:t>onset of wheeze or asthma during or after a donation, marked or prolonged fatigue following a donation.</w:t>
      </w:r>
    </w:p>
    <w:p w14:paraId="087B99EA" w14:textId="77777777" w:rsidR="00990419" w:rsidRPr="00394948" w:rsidRDefault="00990419">
      <w:pPr>
        <w:spacing w:line="276" w:lineRule="auto"/>
        <w:rPr>
          <w:rFonts w:ascii="Arial" w:hAnsi="Arial" w:cs="Arial"/>
          <w:color w:val="C60C30"/>
          <w:sz w:val="28"/>
          <w:szCs w:val="28"/>
        </w:rPr>
      </w:pPr>
      <w:r w:rsidRPr="00394948">
        <w:br w:type="page"/>
      </w:r>
    </w:p>
    <w:p w14:paraId="1E6F5D6F" w14:textId="2CEF024D" w:rsidR="007831A9" w:rsidRPr="00394948" w:rsidRDefault="007831A9" w:rsidP="006B4DAF">
      <w:pPr>
        <w:pStyle w:val="Heading3"/>
      </w:pPr>
      <w:bookmarkStart w:id="104" w:name="_Toc41909286"/>
      <w:r w:rsidRPr="00394948">
        <w:lastRenderedPageBreak/>
        <w:t>Adverse events by donation type</w:t>
      </w:r>
      <w:bookmarkEnd w:id="104"/>
    </w:p>
    <w:p w14:paraId="31601ACB" w14:textId="20D9D9C4" w:rsidR="007831A9" w:rsidRPr="00394948" w:rsidRDefault="007831A9" w:rsidP="007831A9">
      <w:pPr>
        <w:pStyle w:val="ListParagraph"/>
        <w:numPr>
          <w:ilvl w:val="0"/>
          <w:numId w:val="18"/>
        </w:numPr>
        <w:spacing w:line="276" w:lineRule="auto"/>
        <w:rPr>
          <w:rFonts w:cs="Arial"/>
          <w:i/>
          <w:color w:val="000000" w:themeColor="text1"/>
        </w:rPr>
      </w:pPr>
      <w:r w:rsidRPr="00394948">
        <w:rPr>
          <w:rFonts w:cs="Arial"/>
          <w:i/>
          <w:color w:val="000000" w:themeColor="text1"/>
        </w:rPr>
        <w:t xml:space="preserve">Whole Blood – </w:t>
      </w:r>
      <w:r w:rsidRPr="00394948">
        <w:rPr>
          <w:rFonts w:cs="Arial"/>
          <w:color w:val="000000" w:themeColor="text1"/>
        </w:rPr>
        <w:t>Whole blood donation is associated with the highest frequency of pre-syncopal and syncopal reactions (“vasovagal reactions”). All but a very small number of first-time donors make a whole blood donation; the risk of vasovagal reactions in both male and female first time donors of all ages is almost twice that of donors of the same age and gender who have ma</w:t>
      </w:r>
      <w:r w:rsidR="00942707">
        <w:rPr>
          <w:rFonts w:cs="Arial"/>
          <w:color w:val="000000" w:themeColor="text1"/>
        </w:rPr>
        <w:t xml:space="preserve">de only one previous donation. </w:t>
      </w:r>
      <w:r w:rsidRPr="00394948">
        <w:rPr>
          <w:rFonts w:cs="Arial"/>
          <w:color w:val="000000" w:themeColor="text1"/>
        </w:rPr>
        <w:t xml:space="preserve">Between 60 and 70% of donors return to donate after their first donation, however, in the subset of donors who experience an adverse reaction, only 30% subsequently return to donate; thus, the lower rate of adverse reactions in returning donors is due, at least in part to selection bias.   </w:t>
      </w:r>
    </w:p>
    <w:p w14:paraId="4EF0A710" w14:textId="0F09499D" w:rsidR="007831A9" w:rsidRPr="00394948" w:rsidRDefault="007831A9" w:rsidP="007831A9">
      <w:pPr>
        <w:pStyle w:val="ListParagraph"/>
        <w:numPr>
          <w:ilvl w:val="0"/>
          <w:numId w:val="18"/>
        </w:numPr>
        <w:spacing w:line="276" w:lineRule="auto"/>
        <w:rPr>
          <w:rFonts w:cs="Arial"/>
        </w:rPr>
      </w:pPr>
      <w:r w:rsidRPr="00394948">
        <w:rPr>
          <w:rFonts w:cs="Arial"/>
          <w:i/>
          <w:color w:val="000000" w:themeColor="text1"/>
        </w:rPr>
        <w:t xml:space="preserve">Plasmapheresis </w:t>
      </w:r>
      <w:r w:rsidRPr="00394948">
        <w:rPr>
          <w:rFonts w:cs="Arial"/>
          <w:color w:val="000000" w:themeColor="text1"/>
        </w:rPr>
        <w:t>– Plasma donation is associated with the lowest rate of donation complications of all donation types. All plasma donors receive 500mL normal saline as part of the donation protocol, which significantly reduces the impact of volume taken during the donation. Despite the continued growth of the plasma donor panel, the rate of pre-faints, faints and phlebotomy injuries is stable, and the incidence of citrate reactions has fallen as a result of the introduction of routinely offering all plasma and platelet donors oral calcium supplements before each donation.</w:t>
      </w:r>
    </w:p>
    <w:p w14:paraId="0145F3AF" w14:textId="225F740A" w:rsidR="007831A9" w:rsidRPr="00394948" w:rsidRDefault="007831A9" w:rsidP="007831A9">
      <w:pPr>
        <w:pStyle w:val="ListParagraph"/>
        <w:numPr>
          <w:ilvl w:val="0"/>
          <w:numId w:val="18"/>
        </w:numPr>
        <w:spacing w:line="276" w:lineRule="auto"/>
        <w:rPr>
          <w:rFonts w:cs="Arial"/>
          <w:color w:val="000000" w:themeColor="text1"/>
        </w:rPr>
      </w:pPr>
      <w:r w:rsidRPr="00394948">
        <w:rPr>
          <w:rFonts w:cs="Arial"/>
          <w:i/>
          <w:color w:val="000000" w:themeColor="text1"/>
        </w:rPr>
        <w:t>Plateletpheresis</w:t>
      </w:r>
      <w:r w:rsidRPr="00394948">
        <w:rPr>
          <w:rFonts w:cs="Arial"/>
          <w:color w:val="000000" w:themeColor="text1"/>
        </w:rPr>
        <w:t xml:space="preserve"> – Platelet collections take significantly longer than plasma collections, platelet donors do not receive saline compensation and they are exposed to significantly higher doses of citrate anticoagulant than plasma donors. As a consequence, platelet donors experience significantly higher rates of both citrate reactions and pre-syncopal vasovagal</w:t>
      </w:r>
      <w:r w:rsidR="00942707">
        <w:rPr>
          <w:rFonts w:cs="Arial"/>
          <w:color w:val="000000" w:themeColor="text1"/>
        </w:rPr>
        <w:t xml:space="preserve"> reactions than plasma donors. </w:t>
      </w:r>
      <w:r w:rsidRPr="00394948">
        <w:rPr>
          <w:rFonts w:cs="Arial"/>
          <w:color w:val="000000" w:themeColor="text1"/>
        </w:rPr>
        <w:t xml:space="preserve">In addition, platelet donors are more likely to develop significant bruising and other phlebotomy injuries as a result of the longer duration of platelet donation. </w:t>
      </w:r>
    </w:p>
    <w:p w14:paraId="31B37CE3" w14:textId="2AB793A1" w:rsidR="007831A9" w:rsidRPr="00F37ADB" w:rsidRDefault="007831A9" w:rsidP="00F37ADB">
      <w:pPr>
        <w:rPr>
          <w:rFonts w:cs="Arial"/>
        </w:rPr>
      </w:pPr>
      <w:r w:rsidRPr="00D00B62">
        <w:rPr>
          <w:rFonts w:cs="Arial"/>
        </w:rPr>
        <w:fldChar w:fldCharType="begin"/>
      </w:r>
      <w:r w:rsidRPr="00D00B62">
        <w:rPr>
          <w:rFonts w:cs="Arial"/>
        </w:rPr>
        <w:instrText xml:space="preserve"> REF _Ref523126504 \h </w:instrText>
      </w:r>
      <w:r w:rsidR="00394948" w:rsidRPr="00D00B62">
        <w:rPr>
          <w:rFonts w:cs="Arial"/>
        </w:rPr>
        <w:instrText xml:space="preserve"> \* MERGEFORMAT </w:instrText>
      </w:r>
      <w:r w:rsidRPr="00D00B62">
        <w:rPr>
          <w:rFonts w:cs="Arial"/>
        </w:rPr>
      </w:r>
      <w:r w:rsidRPr="00D00B62">
        <w:rPr>
          <w:rFonts w:cs="Arial"/>
        </w:rPr>
        <w:fldChar w:fldCharType="separate"/>
      </w:r>
      <w:r w:rsidR="005771CA" w:rsidRPr="00D00B62">
        <w:t>Table</w:t>
      </w:r>
      <w:r w:rsidRPr="00D00B62">
        <w:rPr>
          <w:rFonts w:cs="Arial"/>
        </w:rPr>
        <w:fldChar w:fldCharType="end"/>
      </w:r>
      <w:r w:rsidRPr="00D00B62">
        <w:rPr>
          <w:rFonts w:cs="Arial"/>
        </w:rPr>
        <w:t xml:space="preserve"> </w:t>
      </w:r>
      <w:r w:rsidR="00942707" w:rsidRPr="00D00B62">
        <w:rPr>
          <w:rFonts w:cs="Arial"/>
        </w:rPr>
        <w:t>40</w:t>
      </w:r>
      <w:r w:rsidRPr="00D00B62">
        <w:rPr>
          <w:rFonts w:cs="Arial"/>
        </w:rPr>
        <w:t xml:space="preserve"> s</w:t>
      </w:r>
      <w:r w:rsidRPr="00394948">
        <w:rPr>
          <w:rFonts w:cs="Arial"/>
        </w:rPr>
        <w:t>hows annual rates of all adverse events by donation</w:t>
      </w:r>
      <w:r w:rsidR="00F37ADB">
        <w:rPr>
          <w:rFonts w:cs="Arial"/>
        </w:rPr>
        <w:t xml:space="preserve"> type from 2012-13 to 2016-17. </w:t>
      </w:r>
    </w:p>
    <w:tbl>
      <w:tblPr>
        <w:tblW w:w="11547" w:type="dxa"/>
        <w:tblLook w:val="04A0" w:firstRow="1" w:lastRow="0" w:firstColumn="1" w:lastColumn="0" w:noHBand="0" w:noVBand="1"/>
      </w:tblPr>
      <w:tblGrid>
        <w:gridCol w:w="10643"/>
        <w:gridCol w:w="904"/>
      </w:tblGrid>
      <w:tr w:rsidR="007831A9" w:rsidRPr="00394948" w14:paraId="61201A2F" w14:textId="77777777" w:rsidTr="007831A9">
        <w:trPr>
          <w:trHeight w:val="300"/>
        </w:trPr>
        <w:tc>
          <w:tcPr>
            <w:tcW w:w="10643" w:type="dxa"/>
            <w:tcBorders>
              <w:top w:val="nil"/>
              <w:left w:val="nil"/>
              <w:bottom w:val="nil"/>
              <w:right w:val="nil"/>
            </w:tcBorders>
            <w:shd w:val="clear" w:color="auto" w:fill="auto"/>
            <w:noWrap/>
            <w:vAlign w:val="center"/>
            <w:hideMark/>
          </w:tcPr>
          <w:p w14:paraId="3E0AEECB" w14:textId="32C0C4D6" w:rsidR="00942707" w:rsidRPr="00F37ADB" w:rsidRDefault="00942707" w:rsidP="00942707">
            <w:pPr>
              <w:pStyle w:val="Caption"/>
              <w:keepNext/>
              <w:spacing w:after="0"/>
              <w:rPr>
                <w:color w:val="auto"/>
              </w:rPr>
            </w:pPr>
            <w:bookmarkStart w:id="105" w:name="_Toc36208190"/>
            <w:bookmarkStart w:id="106" w:name="_Toc41909332"/>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40</w:t>
            </w:r>
            <w:r w:rsidRPr="00F37ADB">
              <w:rPr>
                <w:color w:val="auto"/>
              </w:rPr>
              <w:fldChar w:fldCharType="end"/>
            </w:r>
            <w:r w:rsidRPr="00F37ADB">
              <w:rPr>
                <w:color w:val="auto"/>
              </w:rPr>
              <w:t>: Adverse event reaction rate by procedure, 2012-13 to 2016-17 (per 10,000 donations)</w:t>
            </w:r>
            <w:bookmarkEnd w:id="105"/>
            <w:bookmarkEnd w:id="106"/>
          </w:p>
          <w:tbl>
            <w:tblPr>
              <w:tblW w:w="9464" w:type="dxa"/>
              <w:tblLook w:val="04A0" w:firstRow="1" w:lastRow="0" w:firstColumn="1" w:lastColumn="0" w:noHBand="0" w:noVBand="1"/>
            </w:tblPr>
            <w:tblGrid>
              <w:gridCol w:w="2268"/>
              <w:gridCol w:w="972"/>
              <w:gridCol w:w="1244"/>
              <w:gridCol w:w="1245"/>
              <w:gridCol w:w="1245"/>
              <w:gridCol w:w="1245"/>
              <w:gridCol w:w="1245"/>
            </w:tblGrid>
            <w:tr w:rsidR="007831A9" w:rsidRPr="00394948" w14:paraId="2FA604D4" w14:textId="77777777" w:rsidTr="007831A9">
              <w:trPr>
                <w:trHeight w:val="315"/>
              </w:trPr>
              <w:tc>
                <w:tcPr>
                  <w:tcW w:w="3240" w:type="dxa"/>
                  <w:gridSpan w:val="2"/>
                  <w:tcBorders>
                    <w:top w:val="nil"/>
                    <w:left w:val="nil"/>
                    <w:bottom w:val="nil"/>
                    <w:right w:val="nil"/>
                  </w:tcBorders>
                  <w:shd w:val="clear" w:color="000000" w:fill="FF0000"/>
                  <w:noWrap/>
                  <w:vAlign w:val="center"/>
                  <w:hideMark/>
                </w:tcPr>
                <w:p w14:paraId="4DCADFF7" w14:textId="77777777" w:rsidR="007831A9" w:rsidRPr="00394948" w:rsidRDefault="007831A9" w:rsidP="007831A9">
                  <w:pPr>
                    <w:spacing w:after="0"/>
                    <w:rPr>
                      <w:rFonts w:eastAsia="Times New Roman"/>
                      <w:b/>
                      <w:bCs/>
                      <w:color w:val="FFFFFF"/>
                      <w:sz w:val="20"/>
                      <w:szCs w:val="20"/>
                      <w:lang w:eastAsia="zh-CN"/>
                    </w:rPr>
                  </w:pPr>
                  <w:r w:rsidRPr="00394948">
                    <w:rPr>
                      <w:rFonts w:eastAsia="Times New Roman"/>
                      <w:b/>
                      <w:bCs/>
                      <w:color w:val="FFFFFF"/>
                      <w:sz w:val="20"/>
                      <w:szCs w:val="20"/>
                      <w:lang w:eastAsia="zh-CN"/>
                    </w:rPr>
                    <w:t>Procedure</w:t>
                  </w:r>
                </w:p>
              </w:tc>
              <w:tc>
                <w:tcPr>
                  <w:tcW w:w="1244" w:type="dxa"/>
                  <w:tcBorders>
                    <w:top w:val="nil"/>
                    <w:left w:val="nil"/>
                    <w:bottom w:val="nil"/>
                    <w:right w:val="nil"/>
                  </w:tcBorders>
                  <w:shd w:val="clear" w:color="000000" w:fill="FF0000"/>
                  <w:noWrap/>
                  <w:vAlign w:val="center"/>
                  <w:hideMark/>
                </w:tcPr>
                <w:p w14:paraId="7AFED5DA"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2012–13</w:t>
                  </w:r>
                </w:p>
              </w:tc>
              <w:tc>
                <w:tcPr>
                  <w:tcW w:w="1245" w:type="dxa"/>
                  <w:tcBorders>
                    <w:top w:val="nil"/>
                    <w:left w:val="nil"/>
                    <w:bottom w:val="nil"/>
                    <w:right w:val="nil"/>
                  </w:tcBorders>
                  <w:shd w:val="clear" w:color="000000" w:fill="FF0000"/>
                  <w:noWrap/>
                  <w:vAlign w:val="center"/>
                  <w:hideMark/>
                </w:tcPr>
                <w:p w14:paraId="1D5F0535"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2013–14</w:t>
                  </w:r>
                </w:p>
              </w:tc>
              <w:tc>
                <w:tcPr>
                  <w:tcW w:w="1245" w:type="dxa"/>
                  <w:tcBorders>
                    <w:top w:val="nil"/>
                    <w:left w:val="nil"/>
                    <w:bottom w:val="nil"/>
                    <w:right w:val="nil"/>
                  </w:tcBorders>
                  <w:shd w:val="clear" w:color="000000" w:fill="FF0000"/>
                  <w:noWrap/>
                  <w:vAlign w:val="center"/>
                  <w:hideMark/>
                </w:tcPr>
                <w:p w14:paraId="61578337"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2014-15</w:t>
                  </w:r>
                </w:p>
              </w:tc>
              <w:tc>
                <w:tcPr>
                  <w:tcW w:w="1245" w:type="dxa"/>
                  <w:tcBorders>
                    <w:top w:val="nil"/>
                    <w:left w:val="nil"/>
                    <w:bottom w:val="nil"/>
                    <w:right w:val="nil"/>
                  </w:tcBorders>
                  <w:shd w:val="clear" w:color="000000" w:fill="FF0000"/>
                  <w:noWrap/>
                  <w:vAlign w:val="center"/>
                  <w:hideMark/>
                </w:tcPr>
                <w:p w14:paraId="7551C153"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2015-16</w:t>
                  </w:r>
                </w:p>
              </w:tc>
              <w:tc>
                <w:tcPr>
                  <w:tcW w:w="1245" w:type="dxa"/>
                  <w:tcBorders>
                    <w:top w:val="nil"/>
                    <w:left w:val="nil"/>
                    <w:bottom w:val="nil"/>
                    <w:right w:val="nil"/>
                  </w:tcBorders>
                  <w:shd w:val="clear" w:color="000000" w:fill="FF0000"/>
                  <w:noWrap/>
                  <w:vAlign w:val="center"/>
                  <w:hideMark/>
                </w:tcPr>
                <w:p w14:paraId="5C728004" w14:textId="77777777" w:rsidR="007831A9" w:rsidRPr="00394948" w:rsidRDefault="007831A9" w:rsidP="007831A9">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2016-17</w:t>
                  </w:r>
                </w:p>
              </w:tc>
            </w:tr>
            <w:tr w:rsidR="007831A9" w:rsidRPr="00394948" w14:paraId="2BBEA167" w14:textId="77777777" w:rsidTr="007831A9">
              <w:trPr>
                <w:trHeight w:val="315"/>
              </w:trPr>
              <w:tc>
                <w:tcPr>
                  <w:tcW w:w="2268" w:type="dxa"/>
                  <w:tcBorders>
                    <w:top w:val="nil"/>
                    <w:left w:val="nil"/>
                    <w:bottom w:val="single" w:sz="8" w:space="0" w:color="auto"/>
                    <w:right w:val="nil"/>
                  </w:tcBorders>
                  <w:shd w:val="clear" w:color="auto" w:fill="auto"/>
                  <w:noWrap/>
                  <w:vAlign w:val="center"/>
                  <w:hideMark/>
                </w:tcPr>
                <w:p w14:paraId="0F13F7A9" w14:textId="77777777" w:rsidR="007831A9" w:rsidRPr="00394948" w:rsidRDefault="007831A9" w:rsidP="007831A9">
                  <w:pPr>
                    <w:spacing w:after="0"/>
                    <w:rPr>
                      <w:rFonts w:eastAsiaTheme="minorHAnsi" w:cstheme="minorHAnsi"/>
                      <w:sz w:val="20"/>
                      <w:szCs w:val="20"/>
                      <w:lang w:eastAsia="en-AU"/>
                    </w:rPr>
                  </w:pPr>
                  <w:r w:rsidRPr="00394948">
                    <w:rPr>
                      <w:rFonts w:eastAsiaTheme="minorHAnsi" w:cstheme="minorHAnsi"/>
                      <w:b/>
                      <w:bCs/>
                      <w:sz w:val="20"/>
                      <w:szCs w:val="20"/>
                      <w:lang w:eastAsia="en-AU"/>
                    </w:rPr>
                    <w:t>Whole Blood</w:t>
                  </w:r>
                </w:p>
              </w:tc>
              <w:tc>
                <w:tcPr>
                  <w:tcW w:w="2216" w:type="dxa"/>
                  <w:gridSpan w:val="2"/>
                  <w:tcBorders>
                    <w:top w:val="nil"/>
                    <w:left w:val="nil"/>
                    <w:bottom w:val="single" w:sz="8" w:space="0" w:color="auto"/>
                    <w:right w:val="nil"/>
                  </w:tcBorders>
                  <w:shd w:val="clear" w:color="auto" w:fill="auto"/>
                  <w:noWrap/>
                  <w:vAlign w:val="bottom"/>
                  <w:hideMark/>
                </w:tcPr>
                <w:p w14:paraId="0C10BC2E"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319</w:t>
                  </w:r>
                </w:p>
              </w:tc>
              <w:tc>
                <w:tcPr>
                  <w:tcW w:w="1245" w:type="dxa"/>
                  <w:tcBorders>
                    <w:top w:val="nil"/>
                    <w:left w:val="nil"/>
                    <w:bottom w:val="single" w:sz="8" w:space="0" w:color="auto"/>
                    <w:right w:val="nil"/>
                  </w:tcBorders>
                  <w:shd w:val="clear" w:color="auto" w:fill="auto"/>
                  <w:noWrap/>
                  <w:vAlign w:val="bottom"/>
                  <w:hideMark/>
                </w:tcPr>
                <w:p w14:paraId="790FE38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333</w:t>
                  </w:r>
                </w:p>
              </w:tc>
              <w:tc>
                <w:tcPr>
                  <w:tcW w:w="1245" w:type="dxa"/>
                  <w:tcBorders>
                    <w:top w:val="nil"/>
                    <w:left w:val="nil"/>
                    <w:bottom w:val="single" w:sz="8" w:space="0" w:color="auto"/>
                    <w:right w:val="nil"/>
                  </w:tcBorders>
                  <w:shd w:val="clear" w:color="auto" w:fill="auto"/>
                  <w:noWrap/>
                  <w:vAlign w:val="bottom"/>
                  <w:hideMark/>
                </w:tcPr>
                <w:p w14:paraId="7197F845"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352</w:t>
                  </w:r>
                </w:p>
              </w:tc>
              <w:tc>
                <w:tcPr>
                  <w:tcW w:w="1245" w:type="dxa"/>
                  <w:tcBorders>
                    <w:top w:val="nil"/>
                    <w:left w:val="nil"/>
                    <w:bottom w:val="single" w:sz="8" w:space="0" w:color="auto"/>
                    <w:right w:val="nil"/>
                  </w:tcBorders>
                  <w:shd w:val="clear" w:color="auto" w:fill="auto"/>
                  <w:noWrap/>
                  <w:vAlign w:val="bottom"/>
                  <w:hideMark/>
                </w:tcPr>
                <w:p w14:paraId="6E1C6D9E"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361</w:t>
                  </w:r>
                </w:p>
              </w:tc>
              <w:tc>
                <w:tcPr>
                  <w:tcW w:w="1245" w:type="dxa"/>
                  <w:tcBorders>
                    <w:top w:val="nil"/>
                    <w:left w:val="nil"/>
                    <w:bottom w:val="single" w:sz="8" w:space="0" w:color="auto"/>
                    <w:right w:val="nil"/>
                  </w:tcBorders>
                  <w:shd w:val="clear" w:color="auto" w:fill="auto"/>
                  <w:noWrap/>
                  <w:vAlign w:val="bottom"/>
                  <w:hideMark/>
                </w:tcPr>
                <w:p w14:paraId="53A63EA8"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368</w:t>
                  </w:r>
                </w:p>
              </w:tc>
            </w:tr>
            <w:tr w:rsidR="007831A9" w:rsidRPr="00394948" w14:paraId="3B51A1A1" w14:textId="77777777" w:rsidTr="007831A9">
              <w:trPr>
                <w:trHeight w:val="315"/>
              </w:trPr>
              <w:tc>
                <w:tcPr>
                  <w:tcW w:w="2268" w:type="dxa"/>
                  <w:tcBorders>
                    <w:top w:val="nil"/>
                    <w:left w:val="nil"/>
                    <w:bottom w:val="single" w:sz="8" w:space="0" w:color="auto"/>
                    <w:right w:val="nil"/>
                  </w:tcBorders>
                  <w:shd w:val="clear" w:color="000000" w:fill="FFFFFF"/>
                  <w:noWrap/>
                  <w:vAlign w:val="center"/>
                  <w:hideMark/>
                </w:tcPr>
                <w:p w14:paraId="4B42B53F" w14:textId="77777777" w:rsidR="007831A9" w:rsidRPr="00394948" w:rsidRDefault="007831A9" w:rsidP="007831A9">
                  <w:pPr>
                    <w:spacing w:after="0"/>
                    <w:rPr>
                      <w:rFonts w:eastAsiaTheme="minorHAnsi" w:cstheme="minorHAnsi"/>
                      <w:sz w:val="20"/>
                      <w:szCs w:val="20"/>
                      <w:lang w:eastAsia="en-AU"/>
                    </w:rPr>
                  </w:pPr>
                  <w:r w:rsidRPr="00394948">
                    <w:rPr>
                      <w:rFonts w:eastAsiaTheme="minorHAnsi" w:cstheme="minorHAnsi"/>
                      <w:b/>
                      <w:bCs/>
                      <w:sz w:val="20"/>
                      <w:szCs w:val="20"/>
                      <w:lang w:eastAsia="en-AU"/>
                    </w:rPr>
                    <w:t>All apheresis procedures</w:t>
                  </w:r>
                </w:p>
              </w:tc>
              <w:tc>
                <w:tcPr>
                  <w:tcW w:w="2216" w:type="dxa"/>
                  <w:gridSpan w:val="2"/>
                  <w:tcBorders>
                    <w:top w:val="nil"/>
                    <w:left w:val="nil"/>
                    <w:bottom w:val="single" w:sz="8" w:space="0" w:color="auto"/>
                    <w:right w:val="nil"/>
                  </w:tcBorders>
                  <w:shd w:val="clear" w:color="auto" w:fill="auto"/>
                  <w:noWrap/>
                  <w:vAlign w:val="bottom"/>
                  <w:hideMark/>
                </w:tcPr>
                <w:p w14:paraId="59302101"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152</w:t>
                  </w:r>
                </w:p>
              </w:tc>
              <w:tc>
                <w:tcPr>
                  <w:tcW w:w="1245" w:type="dxa"/>
                  <w:tcBorders>
                    <w:top w:val="nil"/>
                    <w:left w:val="nil"/>
                    <w:bottom w:val="single" w:sz="8" w:space="0" w:color="auto"/>
                    <w:right w:val="nil"/>
                  </w:tcBorders>
                  <w:shd w:val="clear" w:color="auto" w:fill="auto"/>
                  <w:noWrap/>
                  <w:vAlign w:val="bottom"/>
                  <w:hideMark/>
                </w:tcPr>
                <w:p w14:paraId="266F0B84"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217</w:t>
                  </w:r>
                </w:p>
              </w:tc>
              <w:tc>
                <w:tcPr>
                  <w:tcW w:w="1245" w:type="dxa"/>
                  <w:tcBorders>
                    <w:top w:val="nil"/>
                    <w:left w:val="nil"/>
                    <w:bottom w:val="single" w:sz="8" w:space="0" w:color="auto"/>
                    <w:right w:val="nil"/>
                  </w:tcBorders>
                  <w:shd w:val="clear" w:color="auto" w:fill="auto"/>
                  <w:noWrap/>
                  <w:vAlign w:val="bottom"/>
                  <w:hideMark/>
                </w:tcPr>
                <w:p w14:paraId="0D198CDD"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217</w:t>
                  </w:r>
                </w:p>
              </w:tc>
              <w:tc>
                <w:tcPr>
                  <w:tcW w:w="1245" w:type="dxa"/>
                  <w:tcBorders>
                    <w:top w:val="nil"/>
                    <w:left w:val="nil"/>
                    <w:bottom w:val="single" w:sz="8" w:space="0" w:color="auto"/>
                    <w:right w:val="nil"/>
                  </w:tcBorders>
                  <w:shd w:val="clear" w:color="auto" w:fill="auto"/>
                  <w:noWrap/>
                  <w:vAlign w:val="bottom"/>
                  <w:hideMark/>
                </w:tcPr>
                <w:p w14:paraId="283DBFD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252</w:t>
                  </w:r>
                </w:p>
              </w:tc>
              <w:tc>
                <w:tcPr>
                  <w:tcW w:w="1245" w:type="dxa"/>
                  <w:tcBorders>
                    <w:top w:val="nil"/>
                    <w:left w:val="nil"/>
                    <w:bottom w:val="single" w:sz="8" w:space="0" w:color="auto"/>
                    <w:right w:val="nil"/>
                  </w:tcBorders>
                  <w:shd w:val="clear" w:color="auto" w:fill="auto"/>
                  <w:noWrap/>
                  <w:vAlign w:val="bottom"/>
                  <w:hideMark/>
                </w:tcPr>
                <w:p w14:paraId="63F4A458"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241</w:t>
                  </w:r>
                </w:p>
              </w:tc>
            </w:tr>
            <w:tr w:rsidR="007831A9" w:rsidRPr="00394948" w14:paraId="6D40C3BD" w14:textId="77777777" w:rsidTr="007831A9">
              <w:trPr>
                <w:trHeight w:val="231"/>
              </w:trPr>
              <w:tc>
                <w:tcPr>
                  <w:tcW w:w="2268" w:type="dxa"/>
                  <w:tcBorders>
                    <w:top w:val="nil"/>
                    <w:left w:val="nil"/>
                    <w:bottom w:val="single" w:sz="8" w:space="0" w:color="auto"/>
                    <w:right w:val="nil"/>
                  </w:tcBorders>
                  <w:shd w:val="clear" w:color="000000" w:fill="FFFFFF"/>
                  <w:noWrap/>
                  <w:vAlign w:val="center"/>
                  <w:hideMark/>
                </w:tcPr>
                <w:p w14:paraId="45B27947" w14:textId="77777777" w:rsidR="007831A9" w:rsidRPr="00394948" w:rsidRDefault="007831A9" w:rsidP="007831A9">
                  <w:pPr>
                    <w:spacing w:after="0"/>
                    <w:jc w:val="right"/>
                    <w:rPr>
                      <w:rFonts w:eastAsiaTheme="minorHAnsi" w:cstheme="minorHAnsi"/>
                      <w:i/>
                      <w:sz w:val="20"/>
                      <w:szCs w:val="20"/>
                      <w:lang w:eastAsia="en-AU"/>
                    </w:rPr>
                  </w:pPr>
                  <w:r w:rsidRPr="00394948">
                    <w:rPr>
                      <w:rFonts w:eastAsiaTheme="minorHAnsi" w:cstheme="minorHAnsi"/>
                      <w:b/>
                      <w:bCs/>
                      <w:i/>
                      <w:sz w:val="20"/>
                      <w:szCs w:val="20"/>
                      <w:lang w:eastAsia="en-AU"/>
                    </w:rPr>
                    <w:t xml:space="preserve">                                 Plasmapheresis</w:t>
                  </w:r>
                </w:p>
              </w:tc>
              <w:tc>
                <w:tcPr>
                  <w:tcW w:w="2216" w:type="dxa"/>
                  <w:gridSpan w:val="2"/>
                  <w:tcBorders>
                    <w:top w:val="nil"/>
                    <w:left w:val="nil"/>
                    <w:bottom w:val="single" w:sz="8" w:space="0" w:color="auto"/>
                    <w:right w:val="nil"/>
                  </w:tcBorders>
                  <w:shd w:val="clear" w:color="auto" w:fill="auto"/>
                  <w:noWrap/>
                  <w:vAlign w:val="bottom"/>
                  <w:hideMark/>
                </w:tcPr>
                <w:p w14:paraId="6AE35FD3"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124</w:t>
                  </w:r>
                </w:p>
              </w:tc>
              <w:tc>
                <w:tcPr>
                  <w:tcW w:w="1245" w:type="dxa"/>
                  <w:tcBorders>
                    <w:top w:val="nil"/>
                    <w:left w:val="nil"/>
                    <w:bottom w:val="single" w:sz="8" w:space="0" w:color="auto"/>
                    <w:right w:val="nil"/>
                  </w:tcBorders>
                  <w:shd w:val="clear" w:color="auto" w:fill="auto"/>
                  <w:noWrap/>
                  <w:vAlign w:val="bottom"/>
                  <w:hideMark/>
                </w:tcPr>
                <w:p w14:paraId="2FE002FC"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163</w:t>
                  </w:r>
                </w:p>
              </w:tc>
              <w:tc>
                <w:tcPr>
                  <w:tcW w:w="1245" w:type="dxa"/>
                  <w:tcBorders>
                    <w:top w:val="nil"/>
                    <w:left w:val="nil"/>
                    <w:bottom w:val="single" w:sz="8" w:space="0" w:color="auto"/>
                    <w:right w:val="nil"/>
                  </w:tcBorders>
                  <w:shd w:val="clear" w:color="auto" w:fill="auto"/>
                  <w:noWrap/>
                  <w:vAlign w:val="bottom"/>
                  <w:hideMark/>
                </w:tcPr>
                <w:p w14:paraId="3FDF5597"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182</w:t>
                  </w:r>
                </w:p>
              </w:tc>
              <w:tc>
                <w:tcPr>
                  <w:tcW w:w="1245" w:type="dxa"/>
                  <w:tcBorders>
                    <w:top w:val="nil"/>
                    <w:left w:val="nil"/>
                    <w:bottom w:val="single" w:sz="8" w:space="0" w:color="auto"/>
                    <w:right w:val="nil"/>
                  </w:tcBorders>
                  <w:shd w:val="clear" w:color="auto" w:fill="auto"/>
                  <w:noWrap/>
                  <w:vAlign w:val="bottom"/>
                  <w:hideMark/>
                </w:tcPr>
                <w:p w14:paraId="75E345BD"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216</w:t>
                  </w:r>
                </w:p>
              </w:tc>
              <w:tc>
                <w:tcPr>
                  <w:tcW w:w="1245" w:type="dxa"/>
                  <w:tcBorders>
                    <w:top w:val="nil"/>
                    <w:left w:val="nil"/>
                    <w:bottom w:val="single" w:sz="8" w:space="0" w:color="auto"/>
                    <w:right w:val="nil"/>
                  </w:tcBorders>
                  <w:shd w:val="clear" w:color="auto" w:fill="auto"/>
                  <w:noWrap/>
                  <w:vAlign w:val="bottom"/>
                  <w:hideMark/>
                </w:tcPr>
                <w:p w14:paraId="2AF7533B"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209</w:t>
                  </w:r>
                </w:p>
              </w:tc>
            </w:tr>
            <w:tr w:rsidR="007831A9" w:rsidRPr="00394948" w14:paraId="55387037" w14:textId="77777777" w:rsidTr="007831A9">
              <w:trPr>
                <w:trHeight w:val="423"/>
              </w:trPr>
              <w:tc>
                <w:tcPr>
                  <w:tcW w:w="2268" w:type="dxa"/>
                  <w:tcBorders>
                    <w:top w:val="nil"/>
                    <w:left w:val="nil"/>
                    <w:bottom w:val="single" w:sz="8" w:space="0" w:color="auto"/>
                    <w:right w:val="nil"/>
                  </w:tcBorders>
                  <w:shd w:val="clear" w:color="auto" w:fill="auto"/>
                  <w:noWrap/>
                  <w:vAlign w:val="center"/>
                  <w:hideMark/>
                </w:tcPr>
                <w:p w14:paraId="68A22A89" w14:textId="77777777" w:rsidR="007831A9" w:rsidRPr="00394948" w:rsidRDefault="007831A9" w:rsidP="007831A9">
                  <w:pPr>
                    <w:spacing w:after="0"/>
                    <w:jc w:val="right"/>
                    <w:rPr>
                      <w:rFonts w:eastAsiaTheme="minorHAnsi" w:cstheme="minorHAnsi"/>
                      <w:i/>
                      <w:sz w:val="20"/>
                      <w:szCs w:val="20"/>
                      <w:lang w:eastAsia="en-AU"/>
                    </w:rPr>
                  </w:pPr>
                  <w:r w:rsidRPr="00394948">
                    <w:rPr>
                      <w:rFonts w:eastAsiaTheme="minorHAnsi" w:cstheme="minorHAnsi"/>
                      <w:b/>
                      <w:bCs/>
                      <w:i/>
                      <w:sz w:val="20"/>
                      <w:szCs w:val="20"/>
                      <w:lang w:eastAsia="en-AU"/>
                    </w:rPr>
                    <w:t xml:space="preserve">                      Plateletpheresis</w:t>
                  </w:r>
                </w:p>
              </w:tc>
              <w:tc>
                <w:tcPr>
                  <w:tcW w:w="2216" w:type="dxa"/>
                  <w:gridSpan w:val="2"/>
                  <w:tcBorders>
                    <w:top w:val="nil"/>
                    <w:left w:val="nil"/>
                    <w:bottom w:val="single" w:sz="8" w:space="0" w:color="auto"/>
                    <w:right w:val="nil"/>
                  </w:tcBorders>
                  <w:shd w:val="clear" w:color="auto" w:fill="auto"/>
                  <w:noWrap/>
                  <w:vAlign w:val="bottom"/>
                  <w:hideMark/>
                </w:tcPr>
                <w:p w14:paraId="3046B3CB"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480</w:t>
                  </w:r>
                </w:p>
              </w:tc>
              <w:tc>
                <w:tcPr>
                  <w:tcW w:w="1245" w:type="dxa"/>
                  <w:tcBorders>
                    <w:top w:val="nil"/>
                    <w:left w:val="nil"/>
                    <w:bottom w:val="single" w:sz="8" w:space="0" w:color="auto"/>
                    <w:right w:val="nil"/>
                  </w:tcBorders>
                  <w:shd w:val="clear" w:color="auto" w:fill="auto"/>
                  <w:noWrap/>
                  <w:vAlign w:val="bottom"/>
                  <w:hideMark/>
                </w:tcPr>
                <w:p w14:paraId="236C4D69"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947</w:t>
                  </w:r>
                </w:p>
              </w:tc>
              <w:tc>
                <w:tcPr>
                  <w:tcW w:w="1245" w:type="dxa"/>
                  <w:tcBorders>
                    <w:top w:val="nil"/>
                    <w:left w:val="nil"/>
                    <w:bottom w:val="single" w:sz="8" w:space="0" w:color="auto"/>
                    <w:right w:val="nil"/>
                  </w:tcBorders>
                  <w:shd w:val="clear" w:color="auto" w:fill="auto"/>
                  <w:noWrap/>
                  <w:vAlign w:val="bottom"/>
                  <w:hideMark/>
                </w:tcPr>
                <w:p w14:paraId="0CE286BF"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655</w:t>
                  </w:r>
                </w:p>
              </w:tc>
              <w:tc>
                <w:tcPr>
                  <w:tcW w:w="1245" w:type="dxa"/>
                  <w:tcBorders>
                    <w:top w:val="nil"/>
                    <w:left w:val="nil"/>
                    <w:bottom w:val="single" w:sz="8" w:space="0" w:color="auto"/>
                    <w:right w:val="nil"/>
                  </w:tcBorders>
                  <w:shd w:val="clear" w:color="auto" w:fill="auto"/>
                  <w:noWrap/>
                  <w:vAlign w:val="bottom"/>
                  <w:hideMark/>
                </w:tcPr>
                <w:p w14:paraId="6957F971"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778</w:t>
                  </w:r>
                </w:p>
              </w:tc>
              <w:tc>
                <w:tcPr>
                  <w:tcW w:w="1245" w:type="dxa"/>
                  <w:tcBorders>
                    <w:top w:val="nil"/>
                    <w:left w:val="nil"/>
                    <w:bottom w:val="single" w:sz="8" w:space="0" w:color="auto"/>
                    <w:right w:val="nil"/>
                  </w:tcBorders>
                  <w:shd w:val="clear" w:color="auto" w:fill="auto"/>
                  <w:noWrap/>
                  <w:vAlign w:val="bottom"/>
                  <w:hideMark/>
                </w:tcPr>
                <w:p w14:paraId="6F095CC2" w14:textId="77777777" w:rsidR="007831A9" w:rsidRPr="00394948" w:rsidRDefault="007831A9" w:rsidP="007831A9">
                  <w:pPr>
                    <w:spacing w:after="0"/>
                    <w:jc w:val="right"/>
                    <w:rPr>
                      <w:rFonts w:eastAsia="Times New Roman" w:cs="Times New Roman"/>
                      <w:color w:val="000000"/>
                      <w:sz w:val="20"/>
                      <w:szCs w:val="20"/>
                      <w:lang w:eastAsia="en-AU"/>
                    </w:rPr>
                  </w:pPr>
                  <w:r w:rsidRPr="00394948">
                    <w:rPr>
                      <w:rFonts w:eastAsia="Times New Roman" w:cs="Times New Roman"/>
                      <w:color w:val="000000"/>
                      <w:sz w:val="20"/>
                      <w:szCs w:val="20"/>
                      <w:lang w:eastAsia="en-AU"/>
                    </w:rPr>
                    <w:t>737</w:t>
                  </w:r>
                </w:p>
              </w:tc>
            </w:tr>
            <w:tr w:rsidR="007831A9" w:rsidRPr="00394948" w14:paraId="6846F470" w14:textId="77777777" w:rsidTr="007831A9">
              <w:trPr>
                <w:trHeight w:val="315"/>
              </w:trPr>
              <w:tc>
                <w:tcPr>
                  <w:tcW w:w="2268" w:type="dxa"/>
                  <w:tcBorders>
                    <w:top w:val="nil"/>
                    <w:left w:val="nil"/>
                    <w:bottom w:val="single" w:sz="8" w:space="0" w:color="auto"/>
                    <w:right w:val="nil"/>
                  </w:tcBorders>
                  <w:shd w:val="clear" w:color="auto" w:fill="auto"/>
                  <w:noWrap/>
                  <w:vAlign w:val="center"/>
                  <w:hideMark/>
                </w:tcPr>
                <w:p w14:paraId="7135E3FD" w14:textId="77777777" w:rsidR="007831A9" w:rsidRPr="00394948" w:rsidRDefault="007831A9" w:rsidP="007831A9">
                  <w:pPr>
                    <w:spacing w:after="0"/>
                    <w:rPr>
                      <w:rFonts w:eastAsiaTheme="minorHAnsi" w:cstheme="minorHAnsi"/>
                      <w:sz w:val="20"/>
                      <w:szCs w:val="20"/>
                      <w:lang w:eastAsia="en-AU"/>
                    </w:rPr>
                  </w:pPr>
                  <w:r w:rsidRPr="00394948">
                    <w:rPr>
                      <w:rFonts w:eastAsiaTheme="minorHAnsi" w:cstheme="minorHAnsi"/>
                      <w:b/>
                      <w:bCs/>
                      <w:sz w:val="20"/>
                      <w:szCs w:val="20"/>
                      <w:lang w:eastAsia="en-AU"/>
                    </w:rPr>
                    <w:t>Total procedures</w:t>
                  </w:r>
                </w:p>
              </w:tc>
              <w:tc>
                <w:tcPr>
                  <w:tcW w:w="2216" w:type="dxa"/>
                  <w:gridSpan w:val="2"/>
                  <w:tcBorders>
                    <w:top w:val="nil"/>
                    <w:left w:val="nil"/>
                    <w:bottom w:val="single" w:sz="8" w:space="0" w:color="auto"/>
                    <w:right w:val="nil"/>
                  </w:tcBorders>
                  <w:shd w:val="clear" w:color="auto" w:fill="auto"/>
                  <w:noWrap/>
                  <w:vAlign w:val="bottom"/>
                  <w:hideMark/>
                </w:tcPr>
                <w:p w14:paraId="3B786456" w14:textId="77777777" w:rsidR="007831A9" w:rsidRPr="00394948" w:rsidRDefault="007831A9" w:rsidP="007831A9">
                  <w:pPr>
                    <w:spacing w:after="0"/>
                    <w:jc w:val="right"/>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257</w:t>
                  </w:r>
                </w:p>
              </w:tc>
              <w:tc>
                <w:tcPr>
                  <w:tcW w:w="1245" w:type="dxa"/>
                  <w:tcBorders>
                    <w:top w:val="nil"/>
                    <w:left w:val="nil"/>
                    <w:bottom w:val="single" w:sz="8" w:space="0" w:color="auto"/>
                    <w:right w:val="nil"/>
                  </w:tcBorders>
                  <w:shd w:val="clear" w:color="auto" w:fill="auto"/>
                  <w:noWrap/>
                  <w:vAlign w:val="bottom"/>
                  <w:hideMark/>
                </w:tcPr>
                <w:p w14:paraId="14AE01CC" w14:textId="77777777" w:rsidR="007831A9" w:rsidRPr="00394948" w:rsidRDefault="007831A9" w:rsidP="007831A9">
                  <w:pPr>
                    <w:spacing w:after="0"/>
                    <w:jc w:val="right"/>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286</w:t>
                  </w:r>
                </w:p>
              </w:tc>
              <w:tc>
                <w:tcPr>
                  <w:tcW w:w="1245" w:type="dxa"/>
                  <w:tcBorders>
                    <w:top w:val="nil"/>
                    <w:left w:val="nil"/>
                    <w:bottom w:val="single" w:sz="8" w:space="0" w:color="auto"/>
                    <w:right w:val="nil"/>
                  </w:tcBorders>
                  <w:shd w:val="clear" w:color="auto" w:fill="auto"/>
                  <w:noWrap/>
                  <w:vAlign w:val="bottom"/>
                  <w:hideMark/>
                </w:tcPr>
                <w:p w14:paraId="7287BEAE" w14:textId="77777777" w:rsidR="007831A9" w:rsidRPr="00394948" w:rsidRDefault="007831A9" w:rsidP="007831A9">
                  <w:pPr>
                    <w:spacing w:after="0"/>
                    <w:jc w:val="right"/>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295</w:t>
                  </w:r>
                </w:p>
              </w:tc>
              <w:tc>
                <w:tcPr>
                  <w:tcW w:w="1245" w:type="dxa"/>
                  <w:tcBorders>
                    <w:top w:val="nil"/>
                    <w:left w:val="nil"/>
                    <w:bottom w:val="single" w:sz="8" w:space="0" w:color="auto"/>
                    <w:right w:val="nil"/>
                  </w:tcBorders>
                  <w:shd w:val="clear" w:color="auto" w:fill="auto"/>
                  <w:noWrap/>
                  <w:vAlign w:val="bottom"/>
                  <w:hideMark/>
                </w:tcPr>
                <w:p w14:paraId="5CAB15AA" w14:textId="77777777" w:rsidR="007831A9" w:rsidRPr="00394948" w:rsidRDefault="007831A9" w:rsidP="007831A9">
                  <w:pPr>
                    <w:spacing w:after="0"/>
                    <w:jc w:val="right"/>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311</w:t>
                  </w:r>
                </w:p>
              </w:tc>
              <w:tc>
                <w:tcPr>
                  <w:tcW w:w="1245" w:type="dxa"/>
                  <w:tcBorders>
                    <w:top w:val="nil"/>
                    <w:left w:val="nil"/>
                    <w:bottom w:val="single" w:sz="8" w:space="0" w:color="auto"/>
                    <w:right w:val="nil"/>
                  </w:tcBorders>
                  <w:shd w:val="clear" w:color="auto" w:fill="auto"/>
                  <w:noWrap/>
                  <w:vAlign w:val="bottom"/>
                  <w:hideMark/>
                </w:tcPr>
                <w:p w14:paraId="2A6B0FB9" w14:textId="77777777" w:rsidR="007831A9" w:rsidRPr="00394948" w:rsidRDefault="007831A9" w:rsidP="007831A9">
                  <w:pPr>
                    <w:spacing w:after="0"/>
                    <w:jc w:val="right"/>
                    <w:rPr>
                      <w:rFonts w:eastAsia="Times New Roman" w:cs="Times New Roman"/>
                      <w:b/>
                      <w:bCs/>
                      <w:color w:val="000000"/>
                      <w:sz w:val="20"/>
                      <w:szCs w:val="20"/>
                      <w:lang w:eastAsia="en-AU"/>
                    </w:rPr>
                  </w:pPr>
                  <w:r w:rsidRPr="00394948">
                    <w:rPr>
                      <w:rFonts w:eastAsia="Times New Roman" w:cs="Times New Roman"/>
                      <w:b/>
                      <w:bCs/>
                      <w:color w:val="000000"/>
                      <w:sz w:val="20"/>
                      <w:szCs w:val="20"/>
                      <w:lang w:eastAsia="en-AU"/>
                    </w:rPr>
                    <w:t>308</w:t>
                  </w:r>
                </w:p>
              </w:tc>
            </w:tr>
          </w:tbl>
          <w:p w14:paraId="051C4A6D" w14:textId="77777777" w:rsidR="007831A9" w:rsidRPr="00394948" w:rsidRDefault="007831A9" w:rsidP="007831A9">
            <w:pPr>
              <w:spacing w:after="0"/>
              <w:rPr>
                <w:rFonts w:eastAsia="Times New Roman" w:cs="Times New Roman"/>
                <w:b/>
                <w:sz w:val="20"/>
                <w:szCs w:val="20"/>
                <w:lang w:eastAsia="en-AU"/>
              </w:rPr>
            </w:pPr>
          </w:p>
        </w:tc>
        <w:tc>
          <w:tcPr>
            <w:tcW w:w="904" w:type="dxa"/>
            <w:tcBorders>
              <w:top w:val="nil"/>
              <w:left w:val="nil"/>
              <w:bottom w:val="nil"/>
              <w:right w:val="nil"/>
            </w:tcBorders>
            <w:shd w:val="clear" w:color="auto" w:fill="auto"/>
            <w:noWrap/>
            <w:vAlign w:val="bottom"/>
            <w:hideMark/>
          </w:tcPr>
          <w:p w14:paraId="295FF3FE" w14:textId="77777777" w:rsidR="007831A9" w:rsidRPr="00394948" w:rsidRDefault="007831A9" w:rsidP="007831A9">
            <w:pPr>
              <w:spacing w:after="0"/>
              <w:rPr>
                <w:rFonts w:eastAsia="Times New Roman" w:cs="Times New Roman"/>
                <w:i/>
                <w:iCs/>
                <w:color w:val="9C0006"/>
                <w:lang w:eastAsia="en-AU"/>
              </w:rPr>
            </w:pPr>
          </w:p>
        </w:tc>
      </w:tr>
    </w:tbl>
    <w:p w14:paraId="27995EC8" w14:textId="77777777" w:rsidR="00B45F05" w:rsidRPr="00394948" w:rsidRDefault="00B45F05" w:rsidP="007831A9">
      <w:pPr>
        <w:pStyle w:val="Caption"/>
        <w:keepNext/>
        <w:spacing w:before="200"/>
        <w:rPr>
          <w:color w:val="auto"/>
          <w:sz w:val="20"/>
          <w:szCs w:val="20"/>
        </w:rPr>
      </w:pPr>
    </w:p>
    <w:p w14:paraId="41D5F31A" w14:textId="77777777" w:rsidR="00B45F05" w:rsidRPr="00394948" w:rsidRDefault="00B45F05">
      <w:pPr>
        <w:spacing w:line="276" w:lineRule="auto"/>
        <w:rPr>
          <w:rFonts w:asciiTheme="minorHAnsi" w:eastAsia="SimSun" w:hAnsiTheme="minorHAnsi" w:cstheme="minorBidi"/>
          <w:b/>
          <w:bCs/>
          <w:sz w:val="20"/>
          <w:szCs w:val="20"/>
        </w:rPr>
      </w:pPr>
      <w:r w:rsidRPr="00394948">
        <w:rPr>
          <w:sz w:val="20"/>
          <w:szCs w:val="20"/>
        </w:rPr>
        <w:br w:type="page"/>
      </w:r>
    </w:p>
    <w:p w14:paraId="47DBFB1F" w14:textId="4C943597" w:rsidR="007831A9" w:rsidRPr="00394948" w:rsidRDefault="007831A9" w:rsidP="007831A9">
      <w:pPr>
        <w:pStyle w:val="Caption"/>
        <w:keepNext/>
        <w:spacing w:before="200"/>
        <w:rPr>
          <w:color w:val="auto"/>
          <w:sz w:val="20"/>
          <w:szCs w:val="20"/>
        </w:rPr>
      </w:pPr>
    </w:p>
    <w:p w14:paraId="58E7715E" w14:textId="01C2BFE4" w:rsidR="00942707" w:rsidRPr="00F37ADB" w:rsidRDefault="00942707" w:rsidP="00942707">
      <w:pPr>
        <w:pStyle w:val="Caption"/>
        <w:keepNext/>
        <w:spacing w:after="0"/>
        <w:rPr>
          <w:color w:val="auto"/>
        </w:rPr>
      </w:pPr>
      <w:bookmarkStart w:id="107" w:name="_Toc36208191"/>
      <w:bookmarkStart w:id="108" w:name="_Toc41909333"/>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41</w:t>
      </w:r>
      <w:r w:rsidRPr="00F37ADB">
        <w:rPr>
          <w:color w:val="auto"/>
        </w:rPr>
        <w:fldChar w:fldCharType="end"/>
      </w:r>
      <w:r w:rsidRPr="00F37ADB">
        <w:rPr>
          <w:color w:val="auto"/>
        </w:rPr>
        <w:t>: Donation associated events by reaction type and injury, 2016-17</w:t>
      </w:r>
      <w:bookmarkEnd w:id="107"/>
      <w:bookmarkEnd w:id="108"/>
    </w:p>
    <w:tbl>
      <w:tblPr>
        <w:tblW w:w="9409" w:type="dxa"/>
        <w:tblInd w:w="93" w:type="dxa"/>
        <w:tblLook w:val="04A0" w:firstRow="1" w:lastRow="0" w:firstColumn="1" w:lastColumn="0" w:noHBand="0" w:noVBand="1"/>
      </w:tblPr>
      <w:tblGrid>
        <w:gridCol w:w="1695"/>
        <w:gridCol w:w="1185"/>
        <w:gridCol w:w="262"/>
        <w:gridCol w:w="894"/>
        <w:gridCol w:w="757"/>
        <w:gridCol w:w="1311"/>
        <w:gridCol w:w="1703"/>
        <w:gridCol w:w="1602"/>
      </w:tblGrid>
      <w:tr w:rsidR="007831A9" w:rsidRPr="00394948" w14:paraId="4A4D92DA" w14:textId="77777777" w:rsidTr="00942707">
        <w:trPr>
          <w:trHeight w:val="300"/>
        </w:trPr>
        <w:tc>
          <w:tcPr>
            <w:tcW w:w="1695" w:type="dxa"/>
            <w:tcBorders>
              <w:top w:val="nil"/>
              <w:left w:val="nil"/>
              <w:bottom w:val="nil"/>
              <w:right w:val="nil"/>
            </w:tcBorders>
            <w:shd w:val="clear" w:color="000000" w:fill="FF0000"/>
            <w:noWrap/>
            <w:vAlign w:val="center"/>
            <w:hideMark/>
          </w:tcPr>
          <w:p w14:paraId="5D3DA376" w14:textId="77777777" w:rsidR="007831A9" w:rsidRPr="00394948" w:rsidRDefault="007831A9" w:rsidP="007831A9">
            <w:pPr>
              <w:spacing w:after="0"/>
              <w:rPr>
                <w:rFonts w:eastAsia="Times New Roman"/>
                <w:b/>
                <w:bCs/>
                <w:color w:val="FFFFFF"/>
                <w:sz w:val="20"/>
                <w:szCs w:val="20"/>
                <w:lang w:eastAsia="zh-CN"/>
              </w:rPr>
            </w:pPr>
            <w:r w:rsidRPr="00394948">
              <w:rPr>
                <w:rFonts w:eastAsia="Times New Roman"/>
                <w:b/>
                <w:bCs/>
                <w:color w:val="FFFFFF"/>
                <w:sz w:val="20"/>
                <w:szCs w:val="20"/>
                <w:lang w:eastAsia="zh-CN"/>
              </w:rPr>
              <w:t> </w:t>
            </w:r>
          </w:p>
        </w:tc>
        <w:tc>
          <w:tcPr>
            <w:tcW w:w="1185" w:type="dxa"/>
            <w:tcBorders>
              <w:top w:val="nil"/>
              <w:left w:val="nil"/>
              <w:bottom w:val="nil"/>
              <w:right w:val="nil"/>
            </w:tcBorders>
            <w:shd w:val="clear" w:color="000000" w:fill="FF0000"/>
            <w:noWrap/>
            <w:vAlign w:val="center"/>
            <w:hideMark/>
          </w:tcPr>
          <w:p w14:paraId="20B4BF7C" w14:textId="77777777" w:rsidR="007831A9" w:rsidRPr="00394948" w:rsidRDefault="007831A9" w:rsidP="007831A9">
            <w:pPr>
              <w:spacing w:after="0"/>
              <w:rPr>
                <w:rFonts w:eastAsia="Times New Roman"/>
                <w:b/>
                <w:bCs/>
                <w:color w:val="FFFFFF"/>
                <w:sz w:val="20"/>
                <w:szCs w:val="20"/>
                <w:lang w:eastAsia="zh-CN"/>
              </w:rPr>
            </w:pPr>
            <w:r w:rsidRPr="00394948">
              <w:rPr>
                <w:rFonts w:eastAsia="Times New Roman"/>
                <w:b/>
                <w:bCs/>
                <w:color w:val="FFFFFF"/>
                <w:sz w:val="20"/>
                <w:szCs w:val="20"/>
                <w:lang w:eastAsia="zh-CN"/>
              </w:rPr>
              <w:t> </w:t>
            </w:r>
          </w:p>
        </w:tc>
        <w:tc>
          <w:tcPr>
            <w:tcW w:w="262" w:type="dxa"/>
            <w:tcBorders>
              <w:top w:val="nil"/>
              <w:left w:val="nil"/>
              <w:bottom w:val="nil"/>
              <w:right w:val="nil"/>
            </w:tcBorders>
            <w:shd w:val="clear" w:color="000000" w:fill="FF0000"/>
            <w:noWrap/>
            <w:vAlign w:val="center"/>
            <w:hideMark/>
          </w:tcPr>
          <w:p w14:paraId="5122B4D0" w14:textId="77777777" w:rsidR="007831A9" w:rsidRPr="00394948" w:rsidRDefault="007831A9" w:rsidP="007831A9">
            <w:pPr>
              <w:spacing w:after="0"/>
              <w:rPr>
                <w:rFonts w:eastAsia="Times New Roman"/>
                <w:b/>
                <w:bCs/>
                <w:color w:val="FFFFFF"/>
                <w:sz w:val="20"/>
                <w:szCs w:val="20"/>
                <w:lang w:eastAsia="zh-CN"/>
              </w:rPr>
            </w:pPr>
            <w:r w:rsidRPr="00394948">
              <w:rPr>
                <w:rFonts w:eastAsia="Times New Roman"/>
                <w:b/>
                <w:bCs/>
                <w:color w:val="FFFFFF"/>
                <w:sz w:val="20"/>
                <w:szCs w:val="20"/>
                <w:lang w:eastAsia="zh-CN"/>
              </w:rPr>
              <w:t> </w:t>
            </w:r>
          </w:p>
        </w:tc>
        <w:tc>
          <w:tcPr>
            <w:tcW w:w="894" w:type="dxa"/>
            <w:tcBorders>
              <w:top w:val="nil"/>
              <w:left w:val="nil"/>
              <w:bottom w:val="nil"/>
              <w:right w:val="nil"/>
            </w:tcBorders>
            <w:shd w:val="clear" w:color="000000" w:fill="FF0000"/>
            <w:noWrap/>
            <w:vAlign w:val="center"/>
            <w:hideMark/>
          </w:tcPr>
          <w:p w14:paraId="3B7F7551" w14:textId="77777777" w:rsidR="007831A9" w:rsidRPr="00394948" w:rsidRDefault="007831A9" w:rsidP="007831A9">
            <w:pPr>
              <w:spacing w:after="0"/>
              <w:rPr>
                <w:rFonts w:eastAsia="Times New Roman"/>
                <w:b/>
                <w:bCs/>
                <w:color w:val="FFFFFF"/>
                <w:sz w:val="20"/>
                <w:szCs w:val="20"/>
                <w:lang w:eastAsia="zh-CN"/>
              </w:rPr>
            </w:pPr>
            <w:r w:rsidRPr="00394948">
              <w:rPr>
                <w:rFonts w:eastAsia="Times New Roman"/>
                <w:b/>
                <w:bCs/>
                <w:color w:val="FFFFFF"/>
                <w:sz w:val="20"/>
                <w:szCs w:val="20"/>
                <w:lang w:eastAsia="zh-CN"/>
              </w:rPr>
              <w:t> </w:t>
            </w:r>
          </w:p>
        </w:tc>
        <w:tc>
          <w:tcPr>
            <w:tcW w:w="757" w:type="dxa"/>
            <w:tcBorders>
              <w:top w:val="nil"/>
              <w:left w:val="nil"/>
              <w:bottom w:val="nil"/>
              <w:right w:val="nil"/>
            </w:tcBorders>
            <w:shd w:val="clear" w:color="000000" w:fill="FF0000"/>
            <w:noWrap/>
            <w:vAlign w:val="center"/>
            <w:hideMark/>
          </w:tcPr>
          <w:p w14:paraId="23C47187" w14:textId="07C2AFDC" w:rsidR="007831A9" w:rsidRPr="00394948" w:rsidRDefault="007831A9" w:rsidP="007831A9">
            <w:pPr>
              <w:spacing w:after="0"/>
              <w:rPr>
                <w:rFonts w:eastAsia="Times New Roman"/>
                <w:b/>
                <w:bCs/>
                <w:color w:val="FFFFFF"/>
                <w:sz w:val="20"/>
                <w:szCs w:val="20"/>
                <w:lang w:eastAsia="zh-CN"/>
              </w:rPr>
            </w:pPr>
            <w:r w:rsidRPr="00394948">
              <w:rPr>
                <w:rFonts w:eastAsia="Times New Roman"/>
                <w:b/>
                <w:bCs/>
                <w:color w:val="FFFFFF"/>
                <w:sz w:val="20"/>
                <w:szCs w:val="20"/>
                <w:lang w:eastAsia="zh-CN"/>
              </w:rPr>
              <w:t> </w:t>
            </w:r>
          </w:p>
        </w:tc>
        <w:tc>
          <w:tcPr>
            <w:tcW w:w="4616" w:type="dxa"/>
            <w:gridSpan w:val="3"/>
            <w:tcBorders>
              <w:top w:val="nil"/>
              <w:left w:val="nil"/>
              <w:bottom w:val="nil"/>
              <w:right w:val="nil"/>
            </w:tcBorders>
            <w:shd w:val="clear" w:color="000000" w:fill="FF0000"/>
            <w:noWrap/>
            <w:vAlign w:val="center"/>
            <w:hideMark/>
          </w:tcPr>
          <w:p w14:paraId="42441E5C" w14:textId="77777777" w:rsidR="007831A9" w:rsidRPr="00394948" w:rsidRDefault="007831A9" w:rsidP="007831A9">
            <w:pPr>
              <w:spacing w:after="0"/>
              <w:jc w:val="center"/>
              <w:rPr>
                <w:rFonts w:eastAsia="Times New Roman"/>
                <w:b/>
                <w:bCs/>
                <w:color w:val="FFFFFF"/>
                <w:sz w:val="20"/>
                <w:szCs w:val="20"/>
                <w:lang w:eastAsia="zh-CN"/>
              </w:rPr>
            </w:pPr>
            <w:r w:rsidRPr="00394948">
              <w:rPr>
                <w:rFonts w:eastAsia="Times New Roman"/>
                <w:b/>
                <w:bCs/>
                <w:color w:val="FFFFFF"/>
                <w:sz w:val="20"/>
                <w:szCs w:val="20"/>
                <w:lang w:eastAsia="zh-CN"/>
              </w:rPr>
              <w:t>Rate/10,000 donations</w:t>
            </w:r>
          </w:p>
        </w:tc>
      </w:tr>
      <w:tr w:rsidR="007831A9" w:rsidRPr="00394948" w14:paraId="43FE930F" w14:textId="77777777" w:rsidTr="00942707">
        <w:trPr>
          <w:trHeight w:val="300"/>
        </w:trPr>
        <w:tc>
          <w:tcPr>
            <w:tcW w:w="1695" w:type="dxa"/>
            <w:tcBorders>
              <w:top w:val="nil"/>
              <w:left w:val="nil"/>
              <w:bottom w:val="nil"/>
              <w:right w:val="nil"/>
            </w:tcBorders>
            <w:shd w:val="clear" w:color="000000" w:fill="F2F2F2"/>
            <w:noWrap/>
            <w:vAlign w:val="center"/>
            <w:hideMark/>
          </w:tcPr>
          <w:p w14:paraId="1D079076" w14:textId="77777777" w:rsidR="007831A9" w:rsidRPr="00394948" w:rsidRDefault="007831A9" w:rsidP="007831A9">
            <w:pPr>
              <w:spacing w:after="0"/>
              <w:rPr>
                <w:rFonts w:eastAsia="Times New Roman"/>
                <w:b/>
                <w:bCs/>
                <w:color w:val="000000"/>
                <w:lang w:eastAsia="zh-CN"/>
              </w:rPr>
            </w:pPr>
            <w:r w:rsidRPr="00394948">
              <w:rPr>
                <w:rFonts w:eastAsia="Times New Roman"/>
                <w:b/>
                <w:bCs/>
                <w:color w:val="000000"/>
                <w:lang w:eastAsia="zh-CN"/>
              </w:rPr>
              <w:t> </w:t>
            </w:r>
          </w:p>
        </w:tc>
        <w:tc>
          <w:tcPr>
            <w:tcW w:w="1185" w:type="dxa"/>
            <w:tcBorders>
              <w:top w:val="nil"/>
              <w:left w:val="nil"/>
              <w:bottom w:val="nil"/>
              <w:right w:val="nil"/>
            </w:tcBorders>
            <w:shd w:val="clear" w:color="000000" w:fill="F2F2F2"/>
            <w:noWrap/>
            <w:vAlign w:val="bottom"/>
            <w:hideMark/>
          </w:tcPr>
          <w:p w14:paraId="463DBB7C" w14:textId="77777777" w:rsidR="007831A9" w:rsidRPr="00394948" w:rsidRDefault="007831A9" w:rsidP="007831A9">
            <w:pPr>
              <w:spacing w:after="0"/>
              <w:rPr>
                <w:rFonts w:eastAsia="Times New Roman"/>
                <w:color w:val="000000"/>
                <w:lang w:eastAsia="zh-CN"/>
              </w:rPr>
            </w:pPr>
            <w:r w:rsidRPr="00394948">
              <w:rPr>
                <w:rFonts w:eastAsia="Times New Roman"/>
                <w:color w:val="000000"/>
                <w:lang w:eastAsia="zh-CN"/>
              </w:rPr>
              <w:t> </w:t>
            </w:r>
          </w:p>
        </w:tc>
        <w:tc>
          <w:tcPr>
            <w:tcW w:w="1913" w:type="dxa"/>
            <w:gridSpan w:val="3"/>
            <w:tcBorders>
              <w:top w:val="nil"/>
              <w:left w:val="nil"/>
              <w:bottom w:val="nil"/>
              <w:right w:val="nil"/>
            </w:tcBorders>
            <w:shd w:val="clear" w:color="000000" w:fill="F2F2F2"/>
            <w:noWrap/>
            <w:vAlign w:val="bottom"/>
            <w:hideMark/>
          </w:tcPr>
          <w:p w14:paraId="494E5BDD" w14:textId="4C62F8D7" w:rsidR="007831A9" w:rsidRPr="00394948" w:rsidRDefault="007831A9" w:rsidP="007831A9">
            <w:pPr>
              <w:spacing w:after="0"/>
              <w:rPr>
                <w:rFonts w:eastAsia="Times New Roman"/>
                <w:color w:val="000000"/>
                <w:lang w:eastAsia="zh-CN"/>
              </w:rPr>
            </w:pPr>
            <w:r w:rsidRPr="00394948">
              <w:rPr>
                <w:rFonts w:eastAsia="Times New Roman"/>
                <w:color w:val="000000"/>
                <w:lang w:eastAsia="zh-CN"/>
              </w:rPr>
              <w:t> </w:t>
            </w:r>
          </w:p>
        </w:tc>
        <w:tc>
          <w:tcPr>
            <w:tcW w:w="1311" w:type="dxa"/>
            <w:tcBorders>
              <w:top w:val="nil"/>
              <w:left w:val="nil"/>
              <w:bottom w:val="nil"/>
              <w:right w:val="nil"/>
            </w:tcBorders>
            <w:shd w:val="clear" w:color="000000" w:fill="F2F2F2"/>
            <w:noWrap/>
            <w:vAlign w:val="center"/>
            <w:hideMark/>
          </w:tcPr>
          <w:p w14:paraId="5E2702A1" w14:textId="06073863" w:rsidR="007831A9" w:rsidRPr="00394948" w:rsidRDefault="007831A9" w:rsidP="007831A9">
            <w:pPr>
              <w:spacing w:after="0"/>
              <w:jc w:val="center"/>
              <w:rPr>
                <w:rFonts w:eastAsia="Times New Roman"/>
                <w:b/>
                <w:bCs/>
                <w:color w:val="FF0000"/>
                <w:sz w:val="20"/>
                <w:szCs w:val="20"/>
                <w:lang w:eastAsia="zh-CN"/>
              </w:rPr>
            </w:pPr>
            <w:r w:rsidRPr="00394948">
              <w:rPr>
                <w:rFonts w:eastAsia="Times New Roman"/>
                <w:b/>
                <w:bCs/>
                <w:color w:val="FF0000"/>
                <w:sz w:val="20"/>
                <w:szCs w:val="20"/>
                <w:lang w:eastAsia="zh-CN"/>
              </w:rPr>
              <w:t>Whole Blood</w:t>
            </w:r>
          </w:p>
        </w:tc>
        <w:tc>
          <w:tcPr>
            <w:tcW w:w="1703" w:type="dxa"/>
            <w:tcBorders>
              <w:top w:val="nil"/>
              <w:left w:val="nil"/>
              <w:bottom w:val="nil"/>
              <w:right w:val="nil"/>
            </w:tcBorders>
            <w:shd w:val="clear" w:color="000000" w:fill="F2F2F2"/>
            <w:noWrap/>
            <w:vAlign w:val="center"/>
            <w:hideMark/>
          </w:tcPr>
          <w:p w14:paraId="199CB00F" w14:textId="77777777" w:rsidR="007831A9" w:rsidRPr="00394948" w:rsidRDefault="007831A9" w:rsidP="007831A9">
            <w:pPr>
              <w:spacing w:after="0"/>
              <w:jc w:val="center"/>
              <w:rPr>
                <w:rFonts w:eastAsia="Times New Roman"/>
                <w:b/>
                <w:bCs/>
                <w:color w:val="FF0000"/>
                <w:sz w:val="20"/>
                <w:szCs w:val="20"/>
                <w:lang w:eastAsia="zh-CN"/>
              </w:rPr>
            </w:pPr>
            <w:r w:rsidRPr="00394948">
              <w:rPr>
                <w:rFonts w:eastAsia="Times New Roman"/>
                <w:b/>
                <w:bCs/>
                <w:color w:val="FF0000"/>
                <w:sz w:val="20"/>
                <w:szCs w:val="20"/>
                <w:lang w:eastAsia="zh-CN"/>
              </w:rPr>
              <w:t>Plasmapheresis</w:t>
            </w:r>
          </w:p>
        </w:tc>
        <w:tc>
          <w:tcPr>
            <w:tcW w:w="1602" w:type="dxa"/>
            <w:tcBorders>
              <w:top w:val="nil"/>
              <w:left w:val="nil"/>
              <w:bottom w:val="nil"/>
              <w:right w:val="nil"/>
            </w:tcBorders>
            <w:shd w:val="clear" w:color="000000" w:fill="F2F2F2"/>
            <w:noWrap/>
            <w:vAlign w:val="center"/>
            <w:hideMark/>
          </w:tcPr>
          <w:p w14:paraId="2B1AF390" w14:textId="77777777" w:rsidR="007831A9" w:rsidRPr="00394948" w:rsidRDefault="007831A9" w:rsidP="007831A9">
            <w:pPr>
              <w:spacing w:after="0"/>
              <w:jc w:val="center"/>
              <w:rPr>
                <w:rFonts w:eastAsia="Times New Roman"/>
                <w:b/>
                <w:bCs/>
                <w:color w:val="FF0000"/>
                <w:sz w:val="20"/>
                <w:szCs w:val="20"/>
                <w:lang w:eastAsia="zh-CN"/>
              </w:rPr>
            </w:pPr>
            <w:r w:rsidRPr="00394948">
              <w:rPr>
                <w:rFonts w:eastAsia="Times New Roman"/>
                <w:b/>
                <w:bCs/>
                <w:color w:val="FF0000"/>
                <w:sz w:val="20"/>
                <w:szCs w:val="20"/>
                <w:lang w:eastAsia="zh-CN"/>
              </w:rPr>
              <w:t>Plateletpheresis</w:t>
            </w:r>
          </w:p>
        </w:tc>
      </w:tr>
      <w:tr w:rsidR="007831A9" w:rsidRPr="00394948" w14:paraId="715FBA97" w14:textId="77777777" w:rsidTr="00942707">
        <w:trPr>
          <w:trHeight w:val="300"/>
        </w:trPr>
        <w:tc>
          <w:tcPr>
            <w:tcW w:w="1695" w:type="dxa"/>
            <w:tcBorders>
              <w:top w:val="nil"/>
              <w:left w:val="nil"/>
              <w:bottom w:val="nil"/>
              <w:right w:val="nil"/>
            </w:tcBorders>
            <w:shd w:val="clear" w:color="000000" w:fill="F2F2F2"/>
            <w:noWrap/>
            <w:vAlign w:val="center"/>
            <w:hideMark/>
          </w:tcPr>
          <w:p w14:paraId="185C85B0" w14:textId="77777777" w:rsidR="007831A9" w:rsidRPr="00394948" w:rsidRDefault="007831A9" w:rsidP="007831A9">
            <w:pPr>
              <w:spacing w:after="0"/>
              <w:rPr>
                <w:rFonts w:eastAsia="Times New Roman"/>
                <w:b/>
                <w:bCs/>
                <w:color w:val="000000"/>
                <w:lang w:eastAsia="zh-CN"/>
              </w:rPr>
            </w:pPr>
            <w:r w:rsidRPr="00394948">
              <w:rPr>
                <w:rFonts w:eastAsia="Times New Roman"/>
                <w:b/>
                <w:bCs/>
                <w:color w:val="000000"/>
                <w:lang w:eastAsia="zh-CN"/>
              </w:rPr>
              <w:t> </w:t>
            </w:r>
          </w:p>
        </w:tc>
        <w:tc>
          <w:tcPr>
            <w:tcW w:w="1185" w:type="dxa"/>
            <w:tcBorders>
              <w:top w:val="nil"/>
              <w:left w:val="nil"/>
              <w:bottom w:val="nil"/>
              <w:right w:val="nil"/>
            </w:tcBorders>
            <w:shd w:val="clear" w:color="000000" w:fill="F2F2F2"/>
            <w:noWrap/>
            <w:vAlign w:val="center"/>
            <w:hideMark/>
          </w:tcPr>
          <w:p w14:paraId="30815F3F" w14:textId="77777777" w:rsidR="007831A9" w:rsidRPr="00394948" w:rsidRDefault="007831A9" w:rsidP="007831A9">
            <w:pPr>
              <w:spacing w:after="0"/>
              <w:jc w:val="center"/>
              <w:rPr>
                <w:rFonts w:eastAsia="Times New Roman"/>
                <w:b/>
                <w:bCs/>
                <w:color w:val="000000"/>
                <w:lang w:eastAsia="zh-CN"/>
              </w:rPr>
            </w:pPr>
            <w:r w:rsidRPr="00394948">
              <w:rPr>
                <w:rFonts w:eastAsia="Times New Roman"/>
                <w:b/>
                <w:bCs/>
                <w:color w:val="000000"/>
                <w:lang w:eastAsia="zh-CN"/>
              </w:rPr>
              <w:t> </w:t>
            </w:r>
          </w:p>
        </w:tc>
        <w:tc>
          <w:tcPr>
            <w:tcW w:w="1913" w:type="dxa"/>
            <w:gridSpan w:val="3"/>
            <w:tcBorders>
              <w:top w:val="nil"/>
              <w:left w:val="nil"/>
              <w:bottom w:val="nil"/>
              <w:right w:val="nil"/>
            </w:tcBorders>
            <w:shd w:val="clear" w:color="000000" w:fill="F2F2F2"/>
            <w:noWrap/>
            <w:vAlign w:val="center"/>
            <w:hideMark/>
          </w:tcPr>
          <w:p w14:paraId="6E2FB11A" w14:textId="77777777" w:rsidR="007831A9" w:rsidRPr="00394948" w:rsidRDefault="007831A9" w:rsidP="007831A9">
            <w:pPr>
              <w:spacing w:after="0"/>
              <w:jc w:val="center"/>
              <w:rPr>
                <w:rFonts w:eastAsia="Times New Roman"/>
                <w:b/>
                <w:bCs/>
                <w:color w:val="000000"/>
                <w:lang w:eastAsia="zh-CN"/>
              </w:rPr>
            </w:pPr>
            <w:r w:rsidRPr="00394948">
              <w:rPr>
                <w:rFonts w:eastAsia="Times New Roman"/>
                <w:b/>
                <w:bCs/>
                <w:color w:val="000000"/>
                <w:lang w:eastAsia="zh-CN"/>
              </w:rPr>
              <w:t> </w:t>
            </w:r>
          </w:p>
        </w:tc>
        <w:tc>
          <w:tcPr>
            <w:tcW w:w="1311" w:type="dxa"/>
            <w:tcBorders>
              <w:top w:val="nil"/>
              <w:left w:val="nil"/>
              <w:bottom w:val="nil"/>
              <w:right w:val="nil"/>
            </w:tcBorders>
            <w:shd w:val="clear" w:color="000000" w:fill="F2F2F2"/>
            <w:noWrap/>
            <w:vAlign w:val="center"/>
            <w:hideMark/>
          </w:tcPr>
          <w:p w14:paraId="36AA1BA5" w14:textId="23186D24" w:rsidR="007831A9" w:rsidRPr="00394948" w:rsidRDefault="007831A9" w:rsidP="007831A9">
            <w:pPr>
              <w:spacing w:after="0"/>
              <w:jc w:val="right"/>
              <w:rPr>
                <w:rFonts w:eastAsia="Times New Roman"/>
                <w:b/>
                <w:bCs/>
                <w:color w:val="000000"/>
                <w:sz w:val="20"/>
                <w:szCs w:val="20"/>
                <w:lang w:eastAsia="zh-CN"/>
              </w:rPr>
            </w:pPr>
            <w:r w:rsidRPr="00394948">
              <w:rPr>
                <w:rFonts w:eastAsia="Times New Roman"/>
                <w:b/>
                <w:bCs/>
                <w:color w:val="000000"/>
                <w:sz w:val="20"/>
                <w:szCs w:val="20"/>
                <w:lang w:eastAsia="zh-CN"/>
              </w:rPr>
              <w:t>(n=705,587)</w:t>
            </w:r>
          </w:p>
        </w:tc>
        <w:tc>
          <w:tcPr>
            <w:tcW w:w="1703" w:type="dxa"/>
            <w:tcBorders>
              <w:top w:val="nil"/>
              <w:left w:val="nil"/>
              <w:bottom w:val="nil"/>
              <w:right w:val="nil"/>
            </w:tcBorders>
            <w:shd w:val="clear" w:color="000000" w:fill="F2F2F2"/>
            <w:noWrap/>
            <w:vAlign w:val="center"/>
            <w:hideMark/>
          </w:tcPr>
          <w:p w14:paraId="36F363AE" w14:textId="77777777" w:rsidR="007831A9" w:rsidRPr="00394948" w:rsidRDefault="007831A9" w:rsidP="007831A9">
            <w:pPr>
              <w:spacing w:after="0"/>
              <w:jc w:val="right"/>
              <w:rPr>
                <w:rFonts w:eastAsia="Times New Roman"/>
                <w:b/>
                <w:bCs/>
                <w:color w:val="000000"/>
                <w:sz w:val="20"/>
                <w:szCs w:val="20"/>
                <w:lang w:eastAsia="zh-CN"/>
              </w:rPr>
            </w:pPr>
            <w:r w:rsidRPr="00394948">
              <w:rPr>
                <w:rFonts w:eastAsia="Times New Roman"/>
                <w:b/>
                <w:bCs/>
                <w:color w:val="000000"/>
                <w:sz w:val="20"/>
                <w:szCs w:val="20"/>
                <w:lang w:eastAsia="zh-CN"/>
              </w:rPr>
              <w:t>(n=587,444)</w:t>
            </w:r>
          </w:p>
        </w:tc>
        <w:tc>
          <w:tcPr>
            <w:tcW w:w="1602" w:type="dxa"/>
            <w:tcBorders>
              <w:top w:val="nil"/>
              <w:left w:val="nil"/>
              <w:bottom w:val="nil"/>
              <w:right w:val="nil"/>
            </w:tcBorders>
            <w:shd w:val="clear" w:color="000000" w:fill="F2F2F2"/>
            <w:noWrap/>
            <w:vAlign w:val="center"/>
            <w:hideMark/>
          </w:tcPr>
          <w:p w14:paraId="3243E2C7" w14:textId="77777777" w:rsidR="007831A9" w:rsidRPr="00394948" w:rsidRDefault="007831A9" w:rsidP="007831A9">
            <w:pPr>
              <w:spacing w:after="0"/>
              <w:jc w:val="right"/>
              <w:rPr>
                <w:rFonts w:eastAsia="Times New Roman"/>
                <w:b/>
                <w:bCs/>
                <w:color w:val="000000"/>
                <w:sz w:val="20"/>
                <w:szCs w:val="20"/>
                <w:lang w:eastAsia="zh-CN"/>
              </w:rPr>
            </w:pPr>
            <w:r w:rsidRPr="00394948">
              <w:rPr>
                <w:rFonts w:eastAsia="Times New Roman"/>
                <w:b/>
                <w:bCs/>
                <w:color w:val="000000"/>
                <w:sz w:val="20"/>
                <w:szCs w:val="20"/>
                <w:lang w:eastAsia="zh-CN"/>
              </w:rPr>
              <w:t>(n=37,426)</w:t>
            </w:r>
          </w:p>
        </w:tc>
      </w:tr>
      <w:tr w:rsidR="007831A9" w:rsidRPr="00394948" w14:paraId="091DD510" w14:textId="77777777" w:rsidTr="00942707">
        <w:trPr>
          <w:trHeight w:val="315"/>
        </w:trPr>
        <w:tc>
          <w:tcPr>
            <w:tcW w:w="1695" w:type="dxa"/>
            <w:vMerge w:val="restart"/>
            <w:tcBorders>
              <w:top w:val="single" w:sz="4" w:space="0" w:color="auto"/>
              <w:left w:val="nil"/>
              <w:bottom w:val="single" w:sz="4" w:space="0" w:color="000000"/>
              <w:right w:val="nil"/>
            </w:tcBorders>
            <w:shd w:val="clear" w:color="auto" w:fill="auto"/>
            <w:vAlign w:val="center"/>
            <w:hideMark/>
          </w:tcPr>
          <w:p w14:paraId="00862BF2" w14:textId="77777777" w:rsidR="007831A9" w:rsidRPr="00394948" w:rsidRDefault="007831A9" w:rsidP="007831A9">
            <w:pPr>
              <w:spacing w:after="0"/>
              <w:rPr>
                <w:rFonts w:eastAsia="Times New Roman"/>
                <w:color w:val="FF0000"/>
                <w:sz w:val="20"/>
                <w:szCs w:val="20"/>
                <w:lang w:eastAsia="zh-CN"/>
              </w:rPr>
            </w:pPr>
            <w:r w:rsidRPr="00394948">
              <w:rPr>
                <w:rFonts w:eastAsia="Times New Roman"/>
                <w:color w:val="FF0000"/>
                <w:sz w:val="20"/>
                <w:szCs w:val="20"/>
                <w:lang w:eastAsia="zh-CN"/>
              </w:rPr>
              <w:t>Immediate vasovagal reaction</w:t>
            </w:r>
          </w:p>
        </w:tc>
        <w:tc>
          <w:tcPr>
            <w:tcW w:w="1185" w:type="dxa"/>
            <w:vMerge w:val="restart"/>
            <w:tcBorders>
              <w:top w:val="single" w:sz="4" w:space="0" w:color="auto"/>
              <w:left w:val="nil"/>
              <w:bottom w:val="single" w:sz="4" w:space="0" w:color="000000"/>
              <w:right w:val="nil"/>
            </w:tcBorders>
            <w:shd w:val="clear" w:color="auto" w:fill="auto"/>
            <w:noWrap/>
            <w:vAlign w:val="center"/>
            <w:hideMark/>
          </w:tcPr>
          <w:p w14:paraId="36508468"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Without LOC</w:t>
            </w:r>
          </w:p>
        </w:tc>
        <w:tc>
          <w:tcPr>
            <w:tcW w:w="1913" w:type="dxa"/>
            <w:gridSpan w:val="3"/>
            <w:tcBorders>
              <w:top w:val="single" w:sz="4" w:space="0" w:color="auto"/>
              <w:left w:val="nil"/>
              <w:bottom w:val="single" w:sz="4" w:space="0" w:color="auto"/>
              <w:right w:val="nil"/>
            </w:tcBorders>
            <w:shd w:val="clear" w:color="auto" w:fill="auto"/>
            <w:noWrap/>
            <w:vAlign w:val="center"/>
            <w:hideMark/>
          </w:tcPr>
          <w:p w14:paraId="49F46B0A"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Without injury</w:t>
            </w:r>
          </w:p>
        </w:tc>
        <w:tc>
          <w:tcPr>
            <w:tcW w:w="1311" w:type="dxa"/>
            <w:tcBorders>
              <w:top w:val="single" w:sz="4" w:space="0" w:color="auto"/>
              <w:left w:val="nil"/>
              <w:bottom w:val="single" w:sz="4" w:space="0" w:color="auto"/>
              <w:right w:val="nil"/>
            </w:tcBorders>
            <w:shd w:val="clear" w:color="auto" w:fill="auto"/>
            <w:noWrap/>
            <w:vAlign w:val="bottom"/>
            <w:hideMark/>
          </w:tcPr>
          <w:p w14:paraId="40BB3B1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257.93</w:t>
            </w:r>
          </w:p>
        </w:tc>
        <w:tc>
          <w:tcPr>
            <w:tcW w:w="1703" w:type="dxa"/>
            <w:tcBorders>
              <w:top w:val="single" w:sz="4" w:space="0" w:color="auto"/>
              <w:left w:val="nil"/>
              <w:bottom w:val="single" w:sz="4" w:space="0" w:color="auto"/>
              <w:right w:val="nil"/>
            </w:tcBorders>
            <w:shd w:val="clear" w:color="auto" w:fill="auto"/>
            <w:noWrap/>
            <w:vAlign w:val="bottom"/>
            <w:hideMark/>
          </w:tcPr>
          <w:p w14:paraId="69D6E71A"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80.71</w:t>
            </w:r>
          </w:p>
        </w:tc>
        <w:tc>
          <w:tcPr>
            <w:tcW w:w="1602" w:type="dxa"/>
            <w:tcBorders>
              <w:top w:val="single" w:sz="4" w:space="0" w:color="auto"/>
              <w:left w:val="nil"/>
              <w:bottom w:val="single" w:sz="4" w:space="0" w:color="auto"/>
              <w:right w:val="nil"/>
            </w:tcBorders>
            <w:shd w:val="clear" w:color="auto" w:fill="auto"/>
            <w:noWrap/>
            <w:vAlign w:val="bottom"/>
            <w:hideMark/>
          </w:tcPr>
          <w:p w14:paraId="746CB30C"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130.93</w:t>
            </w:r>
          </w:p>
        </w:tc>
      </w:tr>
      <w:tr w:rsidR="007831A9" w:rsidRPr="00394948" w14:paraId="7DFA3AD5" w14:textId="77777777" w:rsidTr="00942707">
        <w:trPr>
          <w:trHeight w:val="315"/>
        </w:trPr>
        <w:tc>
          <w:tcPr>
            <w:tcW w:w="1695" w:type="dxa"/>
            <w:vMerge/>
            <w:tcBorders>
              <w:top w:val="single" w:sz="4" w:space="0" w:color="auto"/>
              <w:left w:val="nil"/>
              <w:bottom w:val="single" w:sz="4" w:space="0" w:color="000000"/>
              <w:right w:val="nil"/>
            </w:tcBorders>
            <w:vAlign w:val="center"/>
            <w:hideMark/>
          </w:tcPr>
          <w:p w14:paraId="58838A79" w14:textId="77777777" w:rsidR="007831A9" w:rsidRPr="00394948" w:rsidRDefault="007831A9" w:rsidP="007831A9">
            <w:pPr>
              <w:spacing w:after="0"/>
              <w:rPr>
                <w:rFonts w:eastAsia="Times New Roman"/>
                <w:color w:val="FF0000"/>
                <w:sz w:val="20"/>
                <w:szCs w:val="20"/>
                <w:lang w:eastAsia="zh-CN"/>
              </w:rPr>
            </w:pPr>
          </w:p>
        </w:tc>
        <w:tc>
          <w:tcPr>
            <w:tcW w:w="1185" w:type="dxa"/>
            <w:vMerge/>
            <w:tcBorders>
              <w:top w:val="single" w:sz="4" w:space="0" w:color="auto"/>
              <w:left w:val="nil"/>
              <w:bottom w:val="single" w:sz="4" w:space="0" w:color="000000"/>
              <w:right w:val="nil"/>
            </w:tcBorders>
            <w:vAlign w:val="center"/>
            <w:hideMark/>
          </w:tcPr>
          <w:p w14:paraId="49641E9F" w14:textId="77777777" w:rsidR="007831A9" w:rsidRPr="00394948" w:rsidRDefault="007831A9" w:rsidP="007831A9">
            <w:pPr>
              <w:spacing w:after="0"/>
              <w:rPr>
                <w:rFonts w:eastAsia="Times New Roman"/>
                <w:color w:val="000000"/>
                <w:sz w:val="20"/>
                <w:szCs w:val="20"/>
                <w:lang w:eastAsia="zh-CN"/>
              </w:rPr>
            </w:pPr>
          </w:p>
        </w:tc>
        <w:tc>
          <w:tcPr>
            <w:tcW w:w="1913" w:type="dxa"/>
            <w:gridSpan w:val="3"/>
            <w:tcBorders>
              <w:top w:val="nil"/>
              <w:left w:val="nil"/>
              <w:bottom w:val="single" w:sz="4" w:space="0" w:color="auto"/>
              <w:right w:val="nil"/>
            </w:tcBorders>
            <w:shd w:val="clear" w:color="auto" w:fill="auto"/>
            <w:noWrap/>
            <w:vAlign w:val="center"/>
            <w:hideMark/>
          </w:tcPr>
          <w:p w14:paraId="20F78B5C"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 injury</w:t>
            </w:r>
          </w:p>
        </w:tc>
        <w:tc>
          <w:tcPr>
            <w:tcW w:w="1311" w:type="dxa"/>
            <w:tcBorders>
              <w:top w:val="nil"/>
              <w:left w:val="nil"/>
              <w:bottom w:val="single" w:sz="4" w:space="0" w:color="auto"/>
              <w:right w:val="nil"/>
            </w:tcBorders>
            <w:shd w:val="clear" w:color="auto" w:fill="auto"/>
            <w:noWrap/>
            <w:vAlign w:val="bottom"/>
            <w:hideMark/>
          </w:tcPr>
          <w:p w14:paraId="53AA1AD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0.51</w:t>
            </w:r>
          </w:p>
        </w:tc>
        <w:tc>
          <w:tcPr>
            <w:tcW w:w="1703" w:type="dxa"/>
            <w:tcBorders>
              <w:top w:val="nil"/>
              <w:left w:val="nil"/>
              <w:bottom w:val="single" w:sz="4" w:space="0" w:color="auto"/>
              <w:right w:val="nil"/>
            </w:tcBorders>
            <w:shd w:val="clear" w:color="auto" w:fill="auto"/>
            <w:noWrap/>
            <w:vAlign w:val="bottom"/>
            <w:hideMark/>
          </w:tcPr>
          <w:p w14:paraId="3FD4A2D1"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0.1</w:t>
            </w:r>
          </w:p>
        </w:tc>
        <w:tc>
          <w:tcPr>
            <w:tcW w:w="1602" w:type="dxa"/>
            <w:tcBorders>
              <w:top w:val="nil"/>
              <w:left w:val="nil"/>
              <w:bottom w:val="single" w:sz="4" w:space="0" w:color="auto"/>
              <w:right w:val="nil"/>
            </w:tcBorders>
            <w:shd w:val="clear" w:color="auto" w:fill="auto"/>
            <w:noWrap/>
            <w:vAlign w:val="bottom"/>
            <w:hideMark/>
          </w:tcPr>
          <w:p w14:paraId="5B76F74D"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3FDD85B6" w14:textId="77777777" w:rsidTr="00942707">
        <w:trPr>
          <w:trHeight w:val="300"/>
        </w:trPr>
        <w:tc>
          <w:tcPr>
            <w:tcW w:w="1695" w:type="dxa"/>
            <w:vMerge/>
            <w:tcBorders>
              <w:top w:val="single" w:sz="4" w:space="0" w:color="auto"/>
              <w:left w:val="nil"/>
              <w:bottom w:val="single" w:sz="4" w:space="0" w:color="000000"/>
              <w:right w:val="nil"/>
            </w:tcBorders>
            <w:vAlign w:val="center"/>
            <w:hideMark/>
          </w:tcPr>
          <w:p w14:paraId="03AFF2DF" w14:textId="77777777" w:rsidR="007831A9" w:rsidRPr="00394948" w:rsidRDefault="007831A9" w:rsidP="007831A9">
            <w:pPr>
              <w:spacing w:after="0"/>
              <w:rPr>
                <w:rFonts w:eastAsia="Times New Roman"/>
                <w:color w:val="FF0000"/>
                <w:sz w:val="20"/>
                <w:szCs w:val="20"/>
                <w:lang w:eastAsia="zh-CN"/>
              </w:rPr>
            </w:pPr>
          </w:p>
        </w:tc>
        <w:tc>
          <w:tcPr>
            <w:tcW w:w="1185" w:type="dxa"/>
            <w:vMerge w:val="restart"/>
            <w:tcBorders>
              <w:top w:val="nil"/>
              <w:left w:val="nil"/>
              <w:bottom w:val="single" w:sz="4" w:space="0" w:color="000000"/>
              <w:right w:val="nil"/>
            </w:tcBorders>
            <w:shd w:val="clear" w:color="000000" w:fill="F2F2F2"/>
            <w:noWrap/>
            <w:vAlign w:val="center"/>
            <w:hideMark/>
          </w:tcPr>
          <w:p w14:paraId="1005014C"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 LOC</w:t>
            </w:r>
          </w:p>
        </w:tc>
        <w:tc>
          <w:tcPr>
            <w:tcW w:w="1913" w:type="dxa"/>
            <w:gridSpan w:val="3"/>
            <w:tcBorders>
              <w:top w:val="nil"/>
              <w:left w:val="nil"/>
              <w:bottom w:val="nil"/>
              <w:right w:val="nil"/>
            </w:tcBorders>
            <w:shd w:val="clear" w:color="000000" w:fill="F2F2F2"/>
            <w:noWrap/>
            <w:vAlign w:val="center"/>
            <w:hideMark/>
          </w:tcPr>
          <w:p w14:paraId="2B0F8180"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Without injury</w:t>
            </w:r>
          </w:p>
        </w:tc>
        <w:tc>
          <w:tcPr>
            <w:tcW w:w="1311" w:type="dxa"/>
            <w:tcBorders>
              <w:top w:val="nil"/>
              <w:left w:val="nil"/>
              <w:bottom w:val="nil"/>
              <w:right w:val="nil"/>
            </w:tcBorders>
            <w:shd w:val="clear" w:color="000000" w:fill="F2F2F2"/>
            <w:noWrap/>
            <w:vAlign w:val="bottom"/>
            <w:hideMark/>
          </w:tcPr>
          <w:p w14:paraId="0CE7CA8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18.93</w:t>
            </w:r>
          </w:p>
        </w:tc>
        <w:tc>
          <w:tcPr>
            <w:tcW w:w="1703" w:type="dxa"/>
            <w:tcBorders>
              <w:top w:val="nil"/>
              <w:left w:val="nil"/>
              <w:bottom w:val="nil"/>
              <w:right w:val="nil"/>
            </w:tcBorders>
            <w:shd w:val="clear" w:color="000000" w:fill="F2F2F2"/>
            <w:noWrap/>
            <w:vAlign w:val="bottom"/>
            <w:hideMark/>
          </w:tcPr>
          <w:p w14:paraId="3350FA94"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5.57</w:t>
            </w:r>
          </w:p>
        </w:tc>
        <w:tc>
          <w:tcPr>
            <w:tcW w:w="1602" w:type="dxa"/>
            <w:tcBorders>
              <w:top w:val="nil"/>
              <w:left w:val="nil"/>
              <w:bottom w:val="nil"/>
              <w:right w:val="nil"/>
            </w:tcBorders>
            <w:shd w:val="clear" w:color="000000" w:fill="F2F2F2"/>
            <w:noWrap/>
            <w:vAlign w:val="bottom"/>
            <w:hideMark/>
          </w:tcPr>
          <w:p w14:paraId="44A9C453"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3.21</w:t>
            </w:r>
          </w:p>
        </w:tc>
      </w:tr>
      <w:tr w:rsidR="007831A9" w:rsidRPr="00394948" w14:paraId="514B7852" w14:textId="77777777" w:rsidTr="00942707">
        <w:trPr>
          <w:trHeight w:val="300"/>
        </w:trPr>
        <w:tc>
          <w:tcPr>
            <w:tcW w:w="1695" w:type="dxa"/>
            <w:vMerge/>
            <w:tcBorders>
              <w:top w:val="single" w:sz="4" w:space="0" w:color="auto"/>
              <w:left w:val="nil"/>
              <w:bottom w:val="single" w:sz="4" w:space="0" w:color="000000"/>
              <w:right w:val="nil"/>
            </w:tcBorders>
            <w:vAlign w:val="center"/>
            <w:hideMark/>
          </w:tcPr>
          <w:p w14:paraId="305F5DA0" w14:textId="77777777" w:rsidR="007831A9" w:rsidRPr="00394948" w:rsidRDefault="007831A9" w:rsidP="007831A9">
            <w:pPr>
              <w:spacing w:after="0"/>
              <w:rPr>
                <w:rFonts w:eastAsia="Times New Roman"/>
                <w:color w:val="FF0000"/>
                <w:sz w:val="20"/>
                <w:szCs w:val="20"/>
                <w:lang w:eastAsia="zh-CN"/>
              </w:rPr>
            </w:pPr>
          </w:p>
        </w:tc>
        <w:tc>
          <w:tcPr>
            <w:tcW w:w="1185" w:type="dxa"/>
            <w:vMerge/>
            <w:tcBorders>
              <w:top w:val="nil"/>
              <w:left w:val="nil"/>
              <w:bottom w:val="single" w:sz="4" w:space="0" w:color="000000"/>
              <w:right w:val="nil"/>
            </w:tcBorders>
            <w:vAlign w:val="center"/>
            <w:hideMark/>
          </w:tcPr>
          <w:p w14:paraId="55979A0A" w14:textId="77777777" w:rsidR="007831A9" w:rsidRPr="00394948" w:rsidRDefault="007831A9" w:rsidP="007831A9">
            <w:pPr>
              <w:spacing w:after="0"/>
              <w:rPr>
                <w:rFonts w:eastAsia="Times New Roman"/>
                <w:color w:val="000000"/>
                <w:sz w:val="20"/>
                <w:szCs w:val="20"/>
                <w:lang w:eastAsia="zh-CN"/>
              </w:rPr>
            </w:pPr>
          </w:p>
        </w:tc>
        <w:tc>
          <w:tcPr>
            <w:tcW w:w="1913" w:type="dxa"/>
            <w:gridSpan w:val="3"/>
            <w:tcBorders>
              <w:top w:val="nil"/>
              <w:left w:val="nil"/>
              <w:bottom w:val="single" w:sz="4" w:space="0" w:color="auto"/>
              <w:right w:val="nil"/>
            </w:tcBorders>
            <w:shd w:val="clear" w:color="000000" w:fill="F2F2F2"/>
            <w:noWrap/>
            <w:vAlign w:val="center"/>
            <w:hideMark/>
          </w:tcPr>
          <w:p w14:paraId="33FD6672"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 injury</w:t>
            </w:r>
          </w:p>
        </w:tc>
        <w:tc>
          <w:tcPr>
            <w:tcW w:w="1311" w:type="dxa"/>
            <w:tcBorders>
              <w:top w:val="nil"/>
              <w:left w:val="nil"/>
              <w:bottom w:val="single" w:sz="4" w:space="0" w:color="auto"/>
              <w:right w:val="nil"/>
            </w:tcBorders>
            <w:shd w:val="clear" w:color="000000" w:fill="F2F2F2"/>
            <w:noWrap/>
            <w:vAlign w:val="bottom"/>
            <w:hideMark/>
          </w:tcPr>
          <w:p w14:paraId="1B500413"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1.39</w:t>
            </w:r>
          </w:p>
        </w:tc>
        <w:tc>
          <w:tcPr>
            <w:tcW w:w="1703" w:type="dxa"/>
            <w:tcBorders>
              <w:top w:val="nil"/>
              <w:left w:val="nil"/>
              <w:bottom w:val="single" w:sz="4" w:space="0" w:color="auto"/>
              <w:right w:val="nil"/>
            </w:tcBorders>
            <w:shd w:val="clear" w:color="000000" w:fill="F2F2F2"/>
            <w:noWrap/>
            <w:vAlign w:val="bottom"/>
            <w:hideMark/>
          </w:tcPr>
          <w:p w14:paraId="67B90C84"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0.22</w:t>
            </w:r>
          </w:p>
        </w:tc>
        <w:tc>
          <w:tcPr>
            <w:tcW w:w="1602" w:type="dxa"/>
            <w:tcBorders>
              <w:top w:val="nil"/>
              <w:left w:val="nil"/>
              <w:bottom w:val="single" w:sz="4" w:space="0" w:color="auto"/>
              <w:right w:val="nil"/>
            </w:tcBorders>
            <w:shd w:val="clear" w:color="000000" w:fill="F2F2F2"/>
            <w:noWrap/>
            <w:vAlign w:val="bottom"/>
            <w:hideMark/>
          </w:tcPr>
          <w:p w14:paraId="412205F6"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0.27</w:t>
            </w:r>
          </w:p>
        </w:tc>
      </w:tr>
      <w:tr w:rsidR="007831A9" w:rsidRPr="00394948" w14:paraId="30F8CAD1" w14:textId="77777777" w:rsidTr="00942707">
        <w:trPr>
          <w:trHeight w:val="315"/>
        </w:trPr>
        <w:tc>
          <w:tcPr>
            <w:tcW w:w="1695" w:type="dxa"/>
            <w:vMerge w:val="restart"/>
            <w:tcBorders>
              <w:top w:val="nil"/>
              <w:left w:val="nil"/>
              <w:bottom w:val="single" w:sz="4" w:space="0" w:color="000000"/>
              <w:right w:val="nil"/>
            </w:tcBorders>
            <w:shd w:val="clear" w:color="auto" w:fill="auto"/>
            <w:vAlign w:val="center"/>
            <w:hideMark/>
          </w:tcPr>
          <w:p w14:paraId="5753C657" w14:textId="77777777" w:rsidR="007831A9" w:rsidRPr="00394948" w:rsidRDefault="007831A9" w:rsidP="007831A9">
            <w:pPr>
              <w:spacing w:after="0"/>
              <w:rPr>
                <w:rFonts w:eastAsia="Times New Roman"/>
                <w:color w:val="FF0000"/>
                <w:sz w:val="20"/>
                <w:szCs w:val="20"/>
                <w:lang w:eastAsia="zh-CN"/>
              </w:rPr>
            </w:pPr>
            <w:r w:rsidRPr="00394948">
              <w:rPr>
                <w:rFonts w:eastAsia="Times New Roman"/>
                <w:color w:val="FF0000"/>
                <w:sz w:val="20"/>
                <w:szCs w:val="20"/>
                <w:lang w:eastAsia="zh-CN"/>
              </w:rPr>
              <w:t>Delayed vasovagal reactions</w:t>
            </w:r>
          </w:p>
        </w:tc>
        <w:tc>
          <w:tcPr>
            <w:tcW w:w="1185" w:type="dxa"/>
            <w:vMerge w:val="restart"/>
            <w:tcBorders>
              <w:top w:val="nil"/>
              <w:left w:val="nil"/>
              <w:bottom w:val="single" w:sz="4" w:space="0" w:color="000000"/>
              <w:right w:val="nil"/>
            </w:tcBorders>
            <w:shd w:val="clear" w:color="auto" w:fill="auto"/>
            <w:noWrap/>
            <w:vAlign w:val="center"/>
            <w:hideMark/>
          </w:tcPr>
          <w:p w14:paraId="43ECEEAB"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Without LOC</w:t>
            </w:r>
          </w:p>
        </w:tc>
        <w:tc>
          <w:tcPr>
            <w:tcW w:w="1913" w:type="dxa"/>
            <w:gridSpan w:val="3"/>
            <w:tcBorders>
              <w:top w:val="single" w:sz="4" w:space="0" w:color="auto"/>
              <w:left w:val="nil"/>
              <w:bottom w:val="single" w:sz="4" w:space="0" w:color="auto"/>
              <w:right w:val="nil"/>
            </w:tcBorders>
            <w:shd w:val="clear" w:color="auto" w:fill="auto"/>
            <w:noWrap/>
            <w:vAlign w:val="center"/>
            <w:hideMark/>
          </w:tcPr>
          <w:p w14:paraId="738CE1A5"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Without injury</w:t>
            </w:r>
          </w:p>
        </w:tc>
        <w:tc>
          <w:tcPr>
            <w:tcW w:w="1311" w:type="dxa"/>
            <w:tcBorders>
              <w:top w:val="nil"/>
              <w:left w:val="nil"/>
              <w:bottom w:val="single" w:sz="4" w:space="0" w:color="auto"/>
              <w:right w:val="nil"/>
            </w:tcBorders>
            <w:shd w:val="clear" w:color="auto" w:fill="auto"/>
            <w:noWrap/>
            <w:vAlign w:val="bottom"/>
            <w:hideMark/>
          </w:tcPr>
          <w:p w14:paraId="7EB97ABD"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32.03</w:t>
            </w:r>
          </w:p>
        </w:tc>
        <w:tc>
          <w:tcPr>
            <w:tcW w:w="1703" w:type="dxa"/>
            <w:tcBorders>
              <w:top w:val="nil"/>
              <w:left w:val="nil"/>
              <w:bottom w:val="single" w:sz="4" w:space="0" w:color="auto"/>
              <w:right w:val="nil"/>
            </w:tcBorders>
            <w:shd w:val="clear" w:color="auto" w:fill="auto"/>
            <w:noWrap/>
            <w:vAlign w:val="bottom"/>
            <w:hideMark/>
          </w:tcPr>
          <w:p w14:paraId="2CA691FB"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13.28</w:t>
            </w:r>
          </w:p>
        </w:tc>
        <w:tc>
          <w:tcPr>
            <w:tcW w:w="1602" w:type="dxa"/>
            <w:tcBorders>
              <w:top w:val="nil"/>
              <w:left w:val="nil"/>
              <w:bottom w:val="single" w:sz="4" w:space="0" w:color="auto"/>
              <w:right w:val="nil"/>
            </w:tcBorders>
            <w:shd w:val="clear" w:color="auto" w:fill="auto"/>
            <w:noWrap/>
            <w:vAlign w:val="bottom"/>
            <w:hideMark/>
          </w:tcPr>
          <w:p w14:paraId="0D3B24A0"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7.75</w:t>
            </w:r>
          </w:p>
        </w:tc>
      </w:tr>
      <w:tr w:rsidR="007831A9" w:rsidRPr="00394948" w14:paraId="2D1122E1" w14:textId="77777777" w:rsidTr="00942707">
        <w:trPr>
          <w:trHeight w:val="315"/>
        </w:trPr>
        <w:tc>
          <w:tcPr>
            <w:tcW w:w="1695" w:type="dxa"/>
            <w:vMerge/>
            <w:tcBorders>
              <w:top w:val="nil"/>
              <w:left w:val="nil"/>
              <w:bottom w:val="single" w:sz="4" w:space="0" w:color="000000"/>
              <w:right w:val="nil"/>
            </w:tcBorders>
            <w:vAlign w:val="center"/>
            <w:hideMark/>
          </w:tcPr>
          <w:p w14:paraId="538992B6" w14:textId="77777777" w:rsidR="007831A9" w:rsidRPr="00394948" w:rsidRDefault="007831A9" w:rsidP="007831A9">
            <w:pPr>
              <w:spacing w:after="0"/>
              <w:rPr>
                <w:rFonts w:eastAsia="Times New Roman"/>
                <w:color w:val="FF0000"/>
                <w:sz w:val="20"/>
                <w:szCs w:val="20"/>
                <w:lang w:eastAsia="zh-CN"/>
              </w:rPr>
            </w:pPr>
          </w:p>
        </w:tc>
        <w:tc>
          <w:tcPr>
            <w:tcW w:w="1185" w:type="dxa"/>
            <w:vMerge/>
            <w:tcBorders>
              <w:top w:val="nil"/>
              <w:left w:val="nil"/>
              <w:bottom w:val="single" w:sz="4" w:space="0" w:color="000000"/>
              <w:right w:val="nil"/>
            </w:tcBorders>
            <w:vAlign w:val="center"/>
            <w:hideMark/>
          </w:tcPr>
          <w:p w14:paraId="5FCE2156" w14:textId="77777777" w:rsidR="007831A9" w:rsidRPr="00394948" w:rsidRDefault="007831A9" w:rsidP="007831A9">
            <w:pPr>
              <w:spacing w:after="0"/>
              <w:rPr>
                <w:rFonts w:eastAsia="Times New Roman"/>
                <w:color w:val="000000"/>
                <w:sz w:val="20"/>
                <w:szCs w:val="20"/>
                <w:lang w:eastAsia="zh-CN"/>
              </w:rPr>
            </w:pPr>
          </w:p>
        </w:tc>
        <w:tc>
          <w:tcPr>
            <w:tcW w:w="1913" w:type="dxa"/>
            <w:gridSpan w:val="3"/>
            <w:tcBorders>
              <w:top w:val="nil"/>
              <w:left w:val="nil"/>
              <w:bottom w:val="single" w:sz="4" w:space="0" w:color="auto"/>
              <w:right w:val="nil"/>
            </w:tcBorders>
            <w:shd w:val="clear" w:color="auto" w:fill="auto"/>
            <w:noWrap/>
            <w:vAlign w:val="center"/>
            <w:hideMark/>
          </w:tcPr>
          <w:p w14:paraId="01E1DC8D"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 injury</w:t>
            </w:r>
          </w:p>
        </w:tc>
        <w:tc>
          <w:tcPr>
            <w:tcW w:w="1311" w:type="dxa"/>
            <w:tcBorders>
              <w:top w:val="nil"/>
              <w:left w:val="nil"/>
              <w:bottom w:val="single" w:sz="4" w:space="0" w:color="auto"/>
              <w:right w:val="nil"/>
            </w:tcBorders>
            <w:shd w:val="clear" w:color="auto" w:fill="auto"/>
            <w:noWrap/>
            <w:vAlign w:val="bottom"/>
            <w:hideMark/>
          </w:tcPr>
          <w:p w14:paraId="50D6CDCF"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1.2</w:t>
            </w:r>
          </w:p>
        </w:tc>
        <w:tc>
          <w:tcPr>
            <w:tcW w:w="1703" w:type="dxa"/>
            <w:tcBorders>
              <w:top w:val="nil"/>
              <w:left w:val="nil"/>
              <w:bottom w:val="single" w:sz="4" w:space="0" w:color="auto"/>
              <w:right w:val="nil"/>
            </w:tcBorders>
            <w:shd w:val="clear" w:color="auto" w:fill="auto"/>
            <w:noWrap/>
            <w:vAlign w:val="bottom"/>
            <w:hideMark/>
          </w:tcPr>
          <w:p w14:paraId="5BA26E11"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0.27</w:t>
            </w:r>
          </w:p>
        </w:tc>
        <w:tc>
          <w:tcPr>
            <w:tcW w:w="1602" w:type="dxa"/>
            <w:tcBorders>
              <w:top w:val="nil"/>
              <w:left w:val="nil"/>
              <w:bottom w:val="single" w:sz="4" w:space="0" w:color="auto"/>
              <w:right w:val="nil"/>
            </w:tcBorders>
            <w:shd w:val="clear" w:color="auto" w:fill="auto"/>
            <w:noWrap/>
            <w:vAlign w:val="bottom"/>
            <w:hideMark/>
          </w:tcPr>
          <w:p w14:paraId="01657A4A"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6B62EF80" w14:textId="77777777" w:rsidTr="00942707">
        <w:trPr>
          <w:trHeight w:val="300"/>
        </w:trPr>
        <w:tc>
          <w:tcPr>
            <w:tcW w:w="1695" w:type="dxa"/>
            <w:vMerge/>
            <w:tcBorders>
              <w:top w:val="nil"/>
              <w:left w:val="nil"/>
              <w:bottom w:val="single" w:sz="4" w:space="0" w:color="000000"/>
              <w:right w:val="nil"/>
            </w:tcBorders>
            <w:vAlign w:val="center"/>
            <w:hideMark/>
          </w:tcPr>
          <w:p w14:paraId="0573DBD9" w14:textId="77777777" w:rsidR="007831A9" w:rsidRPr="00394948" w:rsidRDefault="007831A9" w:rsidP="007831A9">
            <w:pPr>
              <w:spacing w:after="0"/>
              <w:rPr>
                <w:rFonts w:eastAsia="Times New Roman"/>
                <w:color w:val="FF0000"/>
                <w:sz w:val="20"/>
                <w:szCs w:val="20"/>
                <w:lang w:eastAsia="zh-CN"/>
              </w:rPr>
            </w:pPr>
          </w:p>
        </w:tc>
        <w:tc>
          <w:tcPr>
            <w:tcW w:w="1185" w:type="dxa"/>
            <w:vMerge w:val="restart"/>
            <w:tcBorders>
              <w:top w:val="nil"/>
              <w:left w:val="nil"/>
              <w:bottom w:val="single" w:sz="4" w:space="0" w:color="000000"/>
              <w:right w:val="nil"/>
            </w:tcBorders>
            <w:shd w:val="clear" w:color="000000" w:fill="F2F2F2"/>
            <w:noWrap/>
            <w:vAlign w:val="center"/>
            <w:hideMark/>
          </w:tcPr>
          <w:p w14:paraId="48C5C519"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 LOC</w:t>
            </w:r>
          </w:p>
        </w:tc>
        <w:tc>
          <w:tcPr>
            <w:tcW w:w="1913" w:type="dxa"/>
            <w:gridSpan w:val="3"/>
            <w:tcBorders>
              <w:top w:val="single" w:sz="4" w:space="0" w:color="auto"/>
              <w:left w:val="nil"/>
              <w:bottom w:val="single" w:sz="4" w:space="0" w:color="auto"/>
              <w:right w:val="nil"/>
            </w:tcBorders>
            <w:shd w:val="clear" w:color="000000" w:fill="F2F2F2"/>
            <w:noWrap/>
            <w:vAlign w:val="center"/>
            <w:hideMark/>
          </w:tcPr>
          <w:p w14:paraId="6627272F"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Without injury</w:t>
            </w:r>
          </w:p>
        </w:tc>
        <w:tc>
          <w:tcPr>
            <w:tcW w:w="1311" w:type="dxa"/>
            <w:tcBorders>
              <w:top w:val="nil"/>
              <w:left w:val="nil"/>
              <w:bottom w:val="single" w:sz="4" w:space="0" w:color="auto"/>
              <w:right w:val="nil"/>
            </w:tcBorders>
            <w:shd w:val="clear" w:color="000000" w:fill="F2F2F2"/>
            <w:noWrap/>
            <w:vAlign w:val="bottom"/>
            <w:hideMark/>
          </w:tcPr>
          <w:p w14:paraId="0717292B"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4.21</w:t>
            </w:r>
          </w:p>
        </w:tc>
        <w:tc>
          <w:tcPr>
            <w:tcW w:w="1703" w:type="dxa"/>
            <w:tcBorders>
              <w:top w:val="nil"/>
              <w:left w:val="nil"/>
              <w:bottom w:val="single" w:sz="4" w:space="0" w:color="auto"/>
              <w:right w:val="nil"/>
            </w:tcBorders>
            <w:shd w:val="clear" w:color="000000" w:fill="F2F2F2"/>
            <w:noWrap/>
            <w:vAlign w:val="bottom"/>
            <w:hideMark/>
          </w:tcPr>
          <w:p w14:paraId="1E930A19"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1.04</w:t>
            </w:r>
          </w:p>
        </w:tc>
        <w:tc>
          <w:tcPr>
            <w:tcW w:w="1602" w:type="dxa"/>
            <w:tcBorders>
              <w:top w:val="nil"/>
              <w:left w:val="nil"/>
              <w:bottom w:val="single" w:sz="4" w:space="0" w:color="auto"/>
              <w:right w:val="nil"/>
            </w:tcBorders>
            <w:shd w:val="clear" w:color="000000" w:fill="F2F2F2"/>
            <w:noWrap/>
            <w:vAlign w:val="bottom"/>
            <w:hideMark/>
          </w:tcPr>
          <w:p w14:paraId="09F732C2"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7CBC1AE1" w14:textId="77777777" w:rsidTr="00942707">
        <w:trPr>
          <w:trHeight w:val="300"/>
        </w:trPr>
        <w:tc>
          <w:tcPr>
            <w:tcW w:w="1695" w:type="dxa"/>
            <w:vMerge/>
            <w:tcBorders>
              <w:top w:val="nil"/>
              <w:left w:val="nil"/>
              <w:bottom w:val="single" w:sz="4" w:space="0" w:color="000000"/>
              <w:right w:val="nil"/>
            </w:tcBorders>
            <w:vAlign w:val="center"/>
            <w:hideMark/>
          </w:tcPr>
          <w:p w14:paraId="4D8AF617" w14:textId="77777777" w:rsidR="007831A9" w:rsidRPr="00394948" w:rsidRDefault="007831A9" w:rsidP="007831A9">
            <w:pPr>
              <w:spacing w:after="0"/>
              <w:rPr>
                <w:rFonts w:eastAsia="Times New Roman"/>
                <w:color w:val="FF0000"/>
                <w:sz w:val="20"/>
                <w:szCs w:val="20"/>
                <w:lang w:eastAsia="zh-CN"/>
              </w:rPr>
            </w:pPr>
          </w:p>
        </w:tc>
        <w:tc>
          <w:tcPr>
            <w:tcW w:w="1185" w:type="dxa"/>
            <w:vMerge/>
            <w:tcBorders>
              <w:top w:val="nil"/>
              <w:left w:val="nil"/>
              <w:bottom w:val="single" w:sz="4" w:space="0" w:color="000000"/>
              <w:right w:val="nil"/>
            </w:tcBorders>
            <w:vAlign w:val="center"/>
            <w:hideMark/>
          </w:tcPr>
          <w:p w14:paraId="670F9C1B" w14:textId="77777777" w:rsidR="007831A9" w:rsidRPr="00394948" w:rsidRDefault="007831A9" w:rsidP="007831A9">
            <w:pPr>
              <w:spacing w:after="0"/>
              <w:rPr>
                <w:rFonts w:eastAsia="Times New Roman"/>
                <w:color w:val="000000"/>
                <w:sz w:val="20"/>
                <w:szCs w:val="20"/>
                <w:lang w:eastAsia="zh-CN"/>
              </w:rPr>
            </w:pPr>
          </w:p>
        </w:tc>
        <w:tc>
          <w:tcPr>
            <w:tcW w:w="1913" w:type="dxa"/>
            <w:gridSpan w:val="3"/>
            <w:tcBorders>
              <w:top w:val="nil"/>
              <w:left w:val="nil"/>
              <w:bottom w:val="single" w:sz="4" w:space="0" w:color="auto"/>
              <w:right w:val="nil"/>
            </w:tcBorders>
            <w:shd w:val="clear" w:color="000000" w:fill="F2F2F2"/>
            <w:noWrap/>
            <w:vAlign w:val="center"/>
            <w:hideMark/>
          </w:tcPr>
          <w:p w14:paraId="5CE4AA26"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With injury</w:t>
            </w:r>
          </w:p>
        </w:tc>
        <w:tc>
          <w:tcPr>
            <w:tcW w:w="1311" w:type="dxa"/>
            <w:tcBorders>
              <w:top w:val="nil"/>
              <w:left w:val="nil"/>
              <w:bottom w:val="nil"/>
              <w:right w:val="nil"/>
            </w:tcBorders>
            <w:shd w:val="clear" w:color="000000" w:fill="F2F2F2"/>
            <w:noWrap/>
            <w:vAlign w:val="bottom"/>
            <w:hideMark/>
          </w:tcPr>
          <w:p w14:paraId="4B6054B0"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0.69</w:t>
            </w:r>
          </w:p>
        </w:tc>
        <w:tc>
          <w:tcPr>
            <w:tcW w:w="1703" w:type="dxa"/>
            <w:tcBorders>
              <w:top w:val="nil"/>
              <w:left w:val="nil"/>
              <w:bottom w:val="single" w:sz="4" w:space="0" w:color="auto"/>
              <w:right w:val="nil"/>
            </w:tcBorders>
            <w:shd w:val="clear" w:color="000000" w:fill="F2F2F2"/>
            <w:noWrap/>
            <w:vAlign w:val="bottom"/>
            <w:hideMark/>
          </w:tcPr>
          <w:p w14:paraId="499DB87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0.19</w:t>
            </w:r>
          </w:p>
        </w:tc>
        <w:tc>
          <w:tcPr>
            <w:tcW w:w="1602" w:type="dxa"/>
            <w:tcBorders>
              <w:top w:val="nil"/>
              <w:left w:val="nil"/>
              <w:bottom w:val="single" w:sz="4" w:space="0" w:color="auto"/>
              <w:right w:val="nil"/>
            </w:tcBorders>
            <w:shd w:val="clear" w:color="000000" w:fill="F2F2F2"/>
            <w:noWrap/>
            <w:vAlign w:val="bottom"/>
            <w:hideMark/>
          </w:tcPr>
          <w:p w14:paraId="42BA3626"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2A6B2274" w14:textId="77777777" w:rsidTr="00942707">
        <w:trPr>
          <w:trHeight w:val="315"/>
        </w:trPr>
        <w:tc>
          <w:tcPr>
            <w:tcW w:w="1695" w:type="dxa"/>
            <w:vMerge w:val="restart"/>
            <w:tcBorders>
              <w:top w:val="nil"/>
              <w:left w:val="nil"/>
              <w:bottom w:val="single" w:sz="4" w:space="0" w:color="000000"/>
              <w:right w:val="nil"/>
            </w:tcBorders>
            <w:shd w:val="clear" w:color="auto" w:fill="auto"/>
            <w:vAlign w:val="center"/>
            <w:hideMark/>
          </w:tcPr>
          <w:p w14:paraId="57602A17" w14:textId="77777777" w:rsidR="007831A9" w:rsidRPr="00394948" w:rsidRDefault="007831A9" w:rsidP="007831A9">
            <w:pPr>
              <w:spacing w:after="0"/>
              <w:rPr>
                <w:rFonts w:eastAsia="Times New Roman"/>
                <w:color w:val="FF0000"/>
                <w:sz w:val="20"/>
                <w:szCs w:val="20"/>
                <w:lang w:eastAsia="zh-CN"/>
              </w:rPr>
            </w:pPr>
            <w:r w:rsidRPr="00394948">
              <w:rPr>
                <w:rFonts w:eastAsia="Times New Roman"/>
                <w:color w:val="FF0000"/>
                <w:sz w:val="20"/>
                <w:szCs w:val="20"/>
                <w:lang w:eastAsia="zh-CN"/>
              </w:rPr>
              <w:t>Blood outside vessel</w:t>
            </w:r>
          </w:p>
        </w:tc>
        <w:tc>
          <w:tcPr>
            <w:tcW w:w="3098" w:type="dxa"/>
            <w:gridSpan w:val="4"/>
            <w:tcBorders>
              <w:top w:val="single" w:sz="4" w:space="0" w:color="auto"/>
              <w:left w:val="nil"/>
              <w:bottom w:val="single" w:sz="4" w:space="0" w:color="auto"/>
              <w:right w:val="nil"/>
            </w:tcBorders>
            <w:shd w:val="clear" w:color="auto" w:fill="auto"/>
            <w:noWrap/>
            <w:vAlign w:val="center"/>
            <w:hideMark/>
          </w:tcPr>
          <w:p w14:paraId="1F3B940B"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Haematoma</w:t>
            </w:r>
          </w:p>
        </w:tc>
        <w:tc>
          <w:tcPr>
            <w:tcW w:w="1311" w:type="dxa"/>
            <w:tcBorders>
              <w:top w:val="single" w:sz="4" w:space="0" w:color="auto"/>
              <w:left w:val="nil"/>
              <w:bottom w:val="single" w:sz="4" w:space="0" w:color="auto"/>
              <w:right w:val="nil"/>
            </w:tcBorders>
            <w:shd w:val="clear" w:color="auto" w:fill="auto"/>
            <w:noWrap/>
            <w:vAlign w:val="bottom"/>
            <w:hideMark/>
          </w:tcPr>
          <w:p w14:paraId="4BAB1BC0"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15.67</w:t>
            </w:r>
          </w:p>
        </w:tc>
        <w:tc>
          <w:tcPr>
            <w:tcW w:w="1703" w:type="dxa"/>
            <w:tcBorders>
              <w:top w:val="nil"/>
              <w:left w:val="nil"/>
              <w:bottom w:val="single" w:sz="4" w:space="0" w:color="auto"/>
              <w:right w:val="nil"/>
            </w:tcBorders>
            <w:shd w:val="clear" w:color="auto" w:fill="auto"/>
            <w:noWrap/>
            <w:vAlign w:val="bottom"/>
            <w:hideMark/>
          </w:tcPr>
          <w:p w14:paraId="7E545F9A"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12.48</w:t>
            </w:r>
          </w:p>
        </w:tc>
        <w:tc>
          <w:tcPr>
            <w:tcW w:w="1602" w:type="dxa"/>
            <w:tcBorders>
              <w:top w:val="nil"/>
              <w:left w:val="nil"/>
              <w:bottom w:val="single" w:sz="4" w:space="0" w:color="auto"/>
              <w:right w:val="nil"/>
            </w:tcBorders>
            <w:shd w:val="clear" w:color="auto" w:fill="auto"/>
            <w:noWrap/>
            <w:vAlign w:val="bottom"/>
            <w:hideMark/>
          </w:tcPr>
          <w:p w14:paraId="05E4826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51.84</w:t>
            </w:r>
          </w:p>
        </w:tc>
      </w:tr>
      <w:tr w:rsidR="007831A9" w:rsidRPr="00394948" w14:paraId="4AD50256" w14:textId="77777777" w:rsidTr="00942707">
        <w:trPr>
          <w:trHeight w:val="315"/>
        </w:trPr>
        <w:tc>
          <w:tcPr>
            <w:tcW w:w="1695" w:type="dxa"/>
            <w:vMerge/>
            <w:tcBorders>
              <w:top w:val="nil"/>
              <w:left w:val="nil"/>
              <w:bottom w:val="single" w:sz="4" w:space="0" w:color="000000"/>
              <w:right w:val="nil"/>
            </w:tcBorders>
            <w:vAlign w:val="center"/>
            <w:hideMark/>
          </w:tcPr>
          <w:p w14:paraId="6B1573BC"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000000" w:fill="F2F2F2"/>
            <w:noWrap/>
            <w:vAlign w:val="center"/>
            <w:hideMark/>
          </w:tcPr>
          <w:p w14:paraId="3105EAF5"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Arterial puncture</w:t>
            </w:r>
          </w:p>
        </w:tc>
        <w:tc>
          <w:tcPr>
            <w:tcW w:w="1311" w:type="dxa"/>
            <w:tcBorders>
              <w:top w:val="nil"/>
              <w:left w:val="nil"/>
              <w:bottom w:val="nil"/>
              <w:right w:val="nil"/>
            </w:tcBorders>
            <w:shd w:val="clear" w:color="000000" w:fill="F2F2F2"/>
            <w:noWrap/>
            <w:vAlign w:val="bottom"/>
            <w:hideMark/>
          </w:tcPr>
          <w:p w14:paraId="4B1395FD"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0.57</w:t>
            </w:r>
          </w:p>
        </w:tc>
        <w:tc>
          <w:tcPr>
            <w:tcW w:w="1703" w:type="dxa"/>
            <w:tcBorders>
              <w:top w:val="nil"/>
              <w:left w:val="nil"/>
              <w:bottom w:val="single" w:sz="4" w:space="0" w:color="auto"/>
              <w:right w:val="nil"/>
            </w:tcBorders>
            <w:shd w:val="clear" w:color="000000" w:fill="F2F2F2"/>
            <w:noWrap/>
            <w:vAlign w:val="bottom"/>
            <w:hideMark/>
          </w:tcPr>
          <w:p w14:paraId="496DF4B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602" w:type="dxa"/>
            <w:tcBorders>
              <w:top w:val="nil"/>
              <w:left w:val="nil"/>
              <w:bottom w:val="single" w:sz="4" w:space="0" w:color="auto"/>
              <w:right w:val="nil"/>
            </w:tcBorders>
            <w:shd w:val="clear" w:color="000000" w:fill="F2F2F2"/>
            <w:noWrap/>
            <w:vAlign w:val="bottom"/>
            <w:hideMark/>
          </w:tcPr>
          <w:p w14:paraId="1A51AFE1"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6134D41C" w14:textId="77777777" w:rsidTr="00942707">
        <w:trPr>
          <w:trHeight w:val="300"/>
        </w:trPr>
        <w:tc>
          <w:tcPr>
            <w:tcW w:w="1695" w:type="dxa"/>
            <w:vMerge/>
            <w:tcBorders>
              <w:top w:val="nil"/>
              <w:left w:val="nil"/>
              <w:bottom w:val="single" w:sz="4" w:space="0" w:color="000000"/>
              <w:right w:val="nil"/>
            </w:tcBorders>
            <w:vAlign w:val="center"/>
            <w:hideMark/>
          </w:tcPr>
          <w:p w14:paraId="68C76E8A"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auto" w:fill="auto"/>
            <w:noWrap/>
            <w:vAlign w:val="center"/>
            <w:hideMark/>
          </w:tcPr>
          <w:p w14:paraId="45E8810B"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Delayed bleeding</w:t>
            </w:r>
          </w:p>
        </w:tc>
        <w:tc>
          <w:tcPr>
            <w:tcW w:w="1311" w:type="dxa"/>
            <w:tcBorders>
              <w:top w:val="single" w:sz="4" w:space="0" w:color="auto"/>
              <w:left w:val="nil"/>
              <w:bottom w:val="single" w:sz="4" w:space="0" w:color="auto"/>
              <w:right w:val="nil"/>
            </w:tcBorders>
            <w:shd w:val="clear" w:color="auto" w:fill="auto"/>
            <w:noWrap/>
            <w:vAlign w:val="bottom"/>
            <w:hideMark/>
          </w:tcPr>
          <w:p w14:paraId="03AB65D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1.39</w:t>
            </w:r>
          </w:p>
        </w:tc>
        <w:tc>
          <w:tcPr>
            <w:tcW w:w="1703" w:type="dxa"/>
            <w:tcBorders>
              <w:top w:val="nil"/>
              <w:left w:val="nil"/>
              <w:bottom w:val="single" w:sz="4" w:space="0" w:color="auto"/>
              <w:right w:val="nil"/>
            </w:tcBorders>
            <w:shd w:val="clear" w:color="auto" w:fill="auto"/>
            <w:noWrap/>
            <w:vAlign w:val="bottom"/>
            <w:hideMark/>
          </w:tcPr>
          <w:p w14:paraId="616E3FE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1.21</w:t>
            </w:r>
          </w:p>
        </w:tc>
        <w:tc>
          <w:tcPr>
            <w:tcW w:w="1602" w:type="dxa"/>
            <w:tcBorders>
              <w:top w:val="nil"/>
              <w:left w:val="nil"/>
              <w:bottom w:val="single" w:sz="4" w:space="0" w:color="auto"/>
              <w:right w:val="nil"/>
            </w:tcBorders>
            <w:shd w:val="clear" w:color="auto" w:fill="auto"/>
            <w:noWrap/>
            <w:vAlign w:val="bottom"/>
            <w:hideMark/>
          </w:tcPr>
          <w:p w14:paraId="5D9611C6"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0.8</w:t>
            </w:r>
          </w:p>
        </w:tc>
      </w:tr>
      <w:tr w:rsidR="007831A9" w:rsidRPr="00394948" w14:paraId="38E9FC1C" w14:textId="77777777" w:rsidTr="00942707">
        <w:trPr>
          <w:trHeight w:val="300"/>
        </w:trPr>
        <w:tc>
          <w:tcPr>
            <w:tcW w:w="1695" w:type="dxa"/>
            <w:vMerge w:val="restart"/>
            <w:tcBorders>
              <w:top w:val="nil"/>
              <w:left w:val="nil"/>
              <w:bottom w:val="nil"/>
              <w:right w:val="nil"/>
            </w:tcBorders>
            <w:shd w:val="clear" w:color="auto" w:fill="auto"/>
            <w:noWrap/>
            <w:vAlign w:val="center"/>
            <w:hideMark/>
          </w:tcPr>
          <w:p w14:paraId="42BA27B0" w14:textId="77777777" w:rsidR="007831A9" w:rsidRPr="00394948" w:rsidRDefault="007831A9" w:rsidP="007831A9">
            <w:pPr>
              <w:spacing w:after="0"/>
              <w:rPr>
                <w:rFonts w:eastAsia="Times New Roman"/>
                <w:color w:val="FF0000"/>
                <w:sz w:val="20"/>
                <w:szCs w:val="20"/>
                <w:lang w:eastAsia="zh-CN"/>
              </w:rPr>
            </w:pPr>
            <w:r w:rsidRPr="00394948">
              <w:rPr>
                <w:rFonts w:eastAsia="Times New Roman"/>
                <w:color w:val="FF0000"/>
                <w:sz w:val="20"/>
                <w:szCs w:val="20"/>
                <w:lang w:eastAsia="zh-CN"/>
              </w:rPr>
              <w:t>Arm pain</w:t>
            </w:r>
          </w:p>
        </w:tc>
        <w:tc>
          <w:tcPr>
            <w:tcW w:w="3098" w:type="dxa"/>
            <w:gridSpan w:val="4"/>
            <w:tcBorders>
              <w:top w:val="single" w:sz="4" w:space="0" w:color="auto"/>
              <w:left w:val="nil"/>
              <w:bottom w:val="single" w:sz="4" w:space="0" w:color="auto"/>
              <w:right w:val="nil"/>
            </w:tcBorders>
            <w:shd w:val="clear" w:color="auto" w:fill="auto"/>
            <w:noWrap/>
            <w:vAlign w:val="center"/>
            <w:hideMark/>
          </w:tcPr>
          <w:p w14:paraId="7A916BE4"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Nerve injury/irritation</w:t>
            </w:r>
          </w:p>
        </w:tc>
        <w:tc>
          <w:tcPr>
            <w:tcW w:w="1311" w:type="dxa"/>
            <w:tcBorders>
              <w:top w:val="nil"/>
              <w:left w:val="nil"/>
              <w:bottom w:val="nil"/>
              <w:right w:val="nil"/>
            </w:tcBorders>
            <w:shd w:val="clear" w:color="auto" w:fill="auto"/>
            <w:noWrap/>
            <w:vAlign w:val="bottom"/>
            <w:hideMark/>
          </w:tcPr>
          <w:p w14:paraId="37E50BAE"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8.28</w:t>
            </w:r>
          </w:p>
        </w:tc>
        <w:tc>
          <w:tcPr>
            <w:tcW w:w="1703" w:type="dxa"/>
            <w:tcBorders>
              <w:top w:val="nil"/>
              <w:left w:val="nil"/>
              <w:bottom w:val="single" w:sz="4" w:space="0" w:color="auto"/>
              <w:right w:val="nil"/>
            </w:tcBorders>
            <w:shd w:val="clear" w:color="auto" w:fill="auto"/>
            <w:noWrap/>
            <w:vAlign w:val="bottom"/>
            <w:hideMark/>
          </w:tcPr>
          <w:p w14:paraId="68FDE3CE"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3.78</w:t>
            </w:r>
          </w:p>
        </w:tc>
        <w:tc>
          <w:tcPr>
            <w:tcW w:w="1602" w:type="dxa"/>
            <w:tcBorders>
              <w:top w:val="nil"/>
              <w:left w:val="nil"/>
              <w:bottom w:val="single" w:sz="4" w:space="0" w:color="auto"/>
              <w:right w:val="nil"/>
            </w:tcBorders>
            <w:shd w:val="clear" w:color="auto" w:fill="auto"/>
            <w:noWrap/>
            <w:vAlign w:val="bottom"/>
            <w:hideMark/>
          </w:tcPr>
          <w:p w14:paraId="6F194E9E"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5.34</w:t>
            </w:r>
          </w:p>
        </w:tc>
      </w:tr>
      <w:tr w:rsidR="007831A9" w:rsidRPr="00394948" w14:paraId="28E7B5BF" w14:textId="77777777" w:rsidTr="00942707">
        <w:trPr>
          <w:trHeight w:val="315"/>
        </w:trPr>
        <w:tc>
          <w:tcPr>
            <w:tcW w:w="1695" w:type="dxa"/>
            <w:vMerge/>
            <w:tcBorders>
              <w:top w:val="nil"/>
              <w:left w:val="nil"/>
              <w:bottom w:val="nil"/>
              <w:right w:val="nil"/>
            </w:tcBorders>
            <w:vAlign w:val="center"/>
            <w:hideMark/>
          </w:tcPr>
          <w:p w14:paraId="037989A1"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000000" w:fill="F2F2F2"/>
            <w:noWrap/>
            <w:vAlign w:val="center"/>
            <w:hideMark/>
          </w:tcPr>
          <w:p w14:paraId="68A19597" w14:textId="77777777" w:rsidR="007831A9" w:rsidRPr="00394948" w:rsidRDefault="007831A9" w:rsidP="007831A9">
            <w:pPr>
              <w:spacing w:after="0"/>
              <w:rPr>
                <w:rFonts w:eastAsia="Times New Roman"/>
                <w:i/>
                <w:color w:val="000000"/>
                <w:sz w:val="20"/>
                <w:szCs w:val="20"/>
                <w:lang w:eastAsia="zh-CN"/>
              </w:rPr>
            </w:pPr>
            <w:r w:rsidRPr="00394948">
              <w:rPr>
                <w:rFonts w:eastAsia="Times New Roman"/>
                <w:i/>
                <w:color w:val="000000"/>
                <w:sz w:val="20"/>
                <w:szCs w:val="20"/>
                <w:lang w:eastAsia="zh-CN"/>
              </w:rPr>
              <w:t>Other arm pain</w:t>
            </w:r>
          </w:p>
        </w:tc>
        <w:tc>
          <w:tcPr>
            <w:tcW w:w="1311" w:type="dxa"/>
            <w:tcBorders>
              <w:top w:val="single" w:sz="4" w:space="0" w:color="auto"/>
              <w:left w:val="nil"/>
              <w:bottom w:val="single" w:sz="4" w:space="0" w:color="auto"/>
              <w:right w:val="nil"/>
            </w:tcBorders>
            <w:shd w:val="clear" w:color="000000" w:fill="F2F2F2"/>
            <w:noWrap/>
            <w:vAlign w:val="bottom"/>
            <w:hideMark/>
          </w:tcPr>
          <w:p w14:paraId="19F4B33A"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21.7</w:t>
            </w:r>
          </w:p>
        </w:tc>
        <w:tc>
          <w:tcPr>
            <w:tcW w:w="1703" w:type="dxa"/>
            <w:tcBorders>
              <w:top w:val="nil"/>
              <w:left w:val="nil"/>
              <w:bottom w:val="single" w:sz="4" w:space="0" w:color="auto"/>
              <w:right w:val="nil"/>
            </w:tcBorders>
            <w:shd w:val="clear" w:color="000000" w:fill="F2F2F2"/>
            <w:noWrap/>
            <w:vAlign w:val="bottom"/>
            <w:hideMark/>
          </w:tcPr>
          <w:p w14:paraId="5B8C64BA"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14.35</w:t>
            </w:r>
          </w:p>
        </w:tc>
        <w:tc>
          <w:tcPr>
            <w:tcW w:w="1602" w:type="dxa"/>
            <w:tcBorders>
              <w:top w:val="nil"/>
              <w:left w:val="nil"/>
              <w:bottom w:val="single" w:sz="4" w:space="0" w:color="auto"/>
              <w:right w:val="nil"/>
            </w:tcBorders>
            <w:shd w:val="clear" w:color="000000" w:fill="F2F2F2"/>
            <w:noWrap/>
            <w:vAlign w:val="bottom"/>
            <w:hideMark/>
          </w:tcPr>
          <w:p w14:paraId="3401174D"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20.57</w:t>
            </w:r>
          </w:p>
        </w:tc>
      </w:tr>
      <w:tr w:rsidR="007831A9" w:rsidRPr="00394948" w14:paraId="2ABED7DF" w14:textId="77777777" w:rsidTr="00942707">
        <w:trPr>
          <w:trHeight w:val="315"/>
        </w:trPr>
        <w:tc>
          <w:tcPr>
            <w:tcW w:w="1695" w:type="dxa"/>
            <w:vMerge w:val="restart"/>
            <w:tcBorders>
              <w:top w:val="single" w:sz="4" w:space="0" w:color="auto"/>
              <w:left w:val="nil"/>
              <w:bottom w:val="single" w:sz="4" w:space="0" w:color="000000"/>
              <w:right w:val="nil"/>
            </w:tcBorders>
            <w:shd w:val="clear" w:color="auto" w:fill="auto"/>
            <w:noWrap/>
            <w:vAlign w:val="center"/>
            <w:hideMark/>
          </w:tcPr>
          <w:p w14:paraId="5C3432E2" w14:textId="77777777" w:rsidR="007831A9" w:rsidRPr="00394948" w:rsidRDefault="007831A9" w:rsidP="007831A9">
            <w:pPr>
              <w:spacing w:after="0"/>
              <w:rPr>
                <w:rFonts w:eastAsia="Times New Roman"/>
                <w:color w:val="FF0000"/>
                <w:sz w:val="20"/>
                <w:szCs w:val="20"/>
                <w:lang w:eastAsia="zh-CN"/>
              </w:rPr>
            </w:pPr>
            <w:r w:rsidRPr="00394948">
              <w:rPr>
                <w:rFonts w:eastAsia="Times New Roman"/>
                <w:color w:val="FF0000"/>
                <w:sz w:val="20"/>
                <w:szCs w:val="20"/>
                <w:lang w:eastAsia="zh-CN"/>
              </w:rPr>
              <w:t>Related to apheresis</w:t>
            </w:r>
          </w:p>
        </w:tc>
        <w:tc>
          <w:tcPr>
            <w:tcW w:w="3098" w:type="dxa"/>
            <w:gridSpan w:val="4"/>
            <w:tcBorders>
              <w:top w:val="single" w:sz="4" w:space="0" w:color="auto"/>
              <w:left w:val="nil"/>
              <w:bottom w:val="single" w:sz="4" w:space="0" w:color="auto"/>
              <w:right w:val="nil"/>
            </w:tcBorders>
            <w:shd w:val="clear" w:color="auto" w:fill="auto"/>
            <w:noWrap/>
            <w:vAlign w:val="center"/>
            <w:hideMark/>
          </w:tcPr>
          <w:p w14:paraId="5990E16A"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Citrate reaction</w:t>
            </w:r>
          </w:p>
        </w:tc>
        <w:tc>
          <w:tcPr>
            <w:tcW w:w="1311" w:type="dxa"/>
            <w:tcBorders>
              <w:top w:val="nil"/>
              <w:left w:val="nil"/>
              <w:bottom w:val="nil"/>
              <w:right w:val="nil"/>
            </w:tcBorders>
            <w:shd w:val="clear" w:color="auto" w:fill="A6A6A6" w:themeFill="background1" w:themeFillShade="A6"/>
            <w:noWrap/>
            <w:vAlign w:val="bottom"/>
            <w:hideMark/>
          </w:tcPr>
          <w:p w14:paraId="26248D21"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 </w:t>
            </w:r>
          </w:p>
        </w:tc>
        <w:tc>
          <w:tcPr>
            <w:tcW w:w="1703" w:type="dxa"/>
            <w:tcBorders>
              <w:top w:val="nil"/>
              <w:left w:val="nil"/>
              <w:bottom w:val="single" w:sz="4" w:space="0" w:color="auto"/>
              <w:right w:val="nil"/>
            </w:tcBorders>
            <w:shd w:val="clear" w:color="auto" w:fill="auto"/>
            <w:noWrap/>
            <w:vAlign w:val="bottom"/>
            <w:hideMark/>
          </w:tcPr>
          <w:p w14:paraId="6346FADC"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69.13</w:t>
            </w:r>
          </w:p>
        </w:tc>
        <w:tc>
          <w:tcPr>
            <w:tcW w:w="1602" w:type="dxa"/>
            <w:tcBorders>
              <w:top w:val="nil"/>
              <w:left w:val="nil"/>
              <w:bottom w:val="single" w:sz="4" w:space="0" w:color="auto"/>
              <w:right w:val="nil"/>
            </w:tcBorders>
            <w:shd w:val="clear" w:color="auto" w:fill="auto"/>
            <w:noWrap/>
            <w:vAlign w:val="bottom"/>
            <w:hideMark/>
          </w:tcPr>
          <w:p w14:paraId="3512BBE4"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507.13</w:t>
            </w:r>
          </w:p>
        </w:tc>
      </w:tr>
      <w:tr w:rsidR="007831A9" w:rsidRPr="00394948" w14:paraId="01D6AACB" w14:textId="77777777" w:rsidTr="00942707">
        <w:trPr>
          <w:trHeight w:val="300"/>
        </w:trPr>
        <w:tc>
          <w:tcPr>
            <w:tcW w:w="1695" w:type="dxa"/>
            <w:vMerge/>
            <w:tcBorders>
              <w:top w:val="single" w:sz="4" w:space="0" w:color="auto"/>
              <w:left w:val="nil"/>
              <w:bottom w:val="single" w:sz="4" w:space="0" w:color="000000"/>
              <w:right w:val="nil"/>
            </w:tcBorders>
            <w:vAlign w:val="center"/>
            <w:hideMark/>
          </w:tcPr>
          <w:p w14:paraId="766C48C5"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000000" w:fill="F2F2F2"/>
            <w:noWrap/>
            <w:vAlign w:val="center"/>
            <w:hideMark/>
          </w:tcPr>
          <w:p w14:paraId="3330A7B3"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Haemolysis</w:t>
            </w:r>
          </w:p>
        </w:tc>
        <w:tc>
          <w:tcPr>
            <w:tcW w:w="1311" w:type="dxa"/>
            <w:tcBorders>
              <w:top w:val="single" w:sz="4" w:space="0" w:color="auto"/>
              <w:left w:val="nil"/>
              <w:bottom w:val="single" w:sz="4" w:space="0" w:color="auto"/>
              <w:right w:val="nil"/>
            </w:tcBorders>
            <w:shd w:val="clear" w:color="auto" w:fill="A6A6A6" w:themeFill="background1" w:themeFillShade="A6"/>
            <w:noWrap/>
            <w:vAlign w:val="bottom"/>
            <w:hideMark/>
          </w:tcPr>
          <w:p w14:paraId="6C9E5ADC"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 </w:t>
            </w:r>
          </w:p>
        </w:tc>
        <w:tc>
          <w:tcPr>
            <w:tcW w:w="1703" w:type="dxa"/>
            <w:tcBorders>
              <w:top w:val="nil"/>
              <w:left w:val="nil"/>
              <w:bottom w:val="single" w:sz="4" w:space="0" w:color="auto"/>
              <w:right w:val="nil"/>
            </w:tcBorders>
            <w:shd w:val="clear" w:color="000000" w:fill="F2F2F2"/>
            <w:noWrap/>
            <w:vAlign w:val="bottom"/>
            <w:hideMark/>
          </w:tcPr>
          <w:p w14:paraId="1210AC26"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602" w:type="dxa"/>
            <w:tcBorders>
              <w:top w:val="nil"/>
              <w:left w:val="nil"/>
              <w:bottom w:val="single" w:sz="4" w:space="0" w:color="auto"/>
              <w:right w:val="nil"/>
            </w:tcBorders>
            <w:shd w:val="clear" w:color="000000" w:fill="F2F2F2"/>
            <w:noWrap/>
            <w:vAlign w:val="bottom"/>
            <w:hideMark/>
          </w:tcPr>
          <w:p w14:paraId="24A8FBF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7BA0872F" w14:textId="77777777" w:rsidTr="00942707">
        <w:trPr>
          <w:trHeight w:val="300"/>
        </w:trPr>
        <w:tc>
          <w:tcPr>
            <w:tcW w:w="1695" w:type="dxa"/>
            <w:vMerge/>
            <w:tcBorders>
              <w:top w:val="single" w:sz="4" w:space="0" w:color="auto"/>
              <w:left w:val="nil"/>
              <w:bottom w:val="single" w:sz="4" w:space="0" w:color="000000"/>
              <w:right w:val="nil"/>
            </w:tcBorders>
            <w:vAlign w:val="center"/>
            <w:hideMark/>
          </w:tcPr>
          <w:p w14:paraId="2362D77C"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auto" w:fill="auto"/>
            <w:noWrap/>
            <w:vAlign w:val="center"/>
            <w:hideMark/>
          </w:tcPr>
          <w:p w14:paraId="21F16A32"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Air Embolism</w:t>
            </w:r>
          </w:p>
        </w:tc>
        <w:tc>
          <w:tcPr>
            <w:tcW w:w="1311" w:type="dxa"/>
            <w:tcBorders>
              <w:top w:val="nil"/>
              <w:left w:val="nil"/>
              <w:bottom w:val="nil"/>
              <w:right w:val="nil"/>
            </w:tcBorders>
            <w:shd w:val="clear" w:color="auto" w:fill="A6A6A6" w:themeFill="background1" w:themeFillShade="A6"/>
            <w:noWrap/>
            <w:vAlign w:val="bottom"/>
            <w:hideMark/>
          </w:tcPr>
          <w:p w14:paraId="4583C8D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 </w:t>
            </w:r>
          </w:p>
        </w:tc>
        <w:tc>
          <w:tcPr>
            <w:tcW w:w="1703" w:type="dxa"/>
            <w:tcBorders>
              <w:top w:val="nil"/>
              <w:left w:val="nil"/>
              <w:bottom w:val="single" w:sz="4" w:space="0" w:color="auto"/>
              <w:right w:val="nil"/>
            </w:tcBorders>
            <w:shd w:val="clear" w:color="auto" w:fill="auto"/>
            <w:noWrap/>
            <w:vAlign w:val="bottom"/>
            <w:hideMark/>
          </w:tcPr>
          <w:p w14:paraId="6BBCE7A6"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602" w:type="dxa"/>
            <w:tcBorders>
              <w:top w:val="nil"/>
              <w:left w:val="nil"/>
              <w:bottom w:val="single" w:sz="4" w:space="0" w:color="auto"/>
              <w:right w:val="nil"/>
            </w:tcBorders>
            <w:shd w:val="clear" w:color="auto" w:fill="auto"/>
            <w:noWrap/>
            <w:vAlign w:val="bottom"/>
            <w:hideMark/>
          </w:tcPr>
          <w:p w14:paraId="490FBBB2"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7A5F2508" w14:textId="77777777" w:rsidTr="00942707">
        <w:trPr>
          <w:trHeight w:val="300"/>
        </w:trPr>
        <w:tc>
          <w:tcPr>
            <w:tcW w:w="1695" w:type="dxa"/>
            <w:vMerge/>
            <w:tcBorders>
              <w:top w:val="single" w:sz="4" w:space="0" w:color="auto"/>
              <w:left w:val="nil"/>
              <w:bottom w:val="single" w:sz="4" w:space="0" w:color="000000"/>
              <w:right w:val="nil"/>
            </w:tcBorders>
            <w:vAlign w:val="center"/>
            <w:hideMark/>
          </w:tcPr>
          <w:p w14:paraId="586F0903"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000000" w:fill="F2F2F2"/>
            <w:noWrap/>
            <w:vAlign w:val="center"/>
            <w:hideMark/>
          </w:tcPr>
          <w:p w14:paraId="36B9AA82"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Infiltration</w:t>
            </w:r>
          </w:p>
        </w:tc>
        <w:tc>
          <w:tcPr>
            <w:tcW w:w="1311" w:type="dxa"/>
            <w:tcBorders>
              <w:top w:val="single" w:sz="4" w:space="0" w:color="auto"/>
              <w:left w:val="nil"/>
              <w:bottom w:val="single" w:sz="4" w:space="0" w:color="auto"/>
              <w:right w:val="nil"/>
            </w:tcBorders>
            <w:shd w:val="clear" w:color="auto" w:fill="A6A6A6" w:themeFill="background1" w:themeFillShade="A6"/>
            <w:noWrap/>
            <w:vAlign w:val="bottom"/>
            <w:hideMark/>
          </w:tcPr>
          <w:p w14:paraId="0BCEFEB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 </w:t>
            </w:r>
          </w:p>
        </w:tc>
        <w:tc>
          <w:tcPr>
            <w:tcW w:w="1703" w:type="dxa"/>
            <w:tcBorders>
              <w:top w:val="nil"/>
              <w:left w:val="nil"/>
              <w:bottom w:val="single" w:sz="4" w:space="0" w:color="auto"/>
              <w:right w:val="nil"/>
            </w:tcBorders>
            <w:shd w:val="clear" w:color="000000" w:fill="F2F2F2"/>
            <w:noWrap/>
            <w:vAlign w:val="bottom"/>
            <w:hideMark/>
          </w:tcPr>
          <w:p w14:paraId="1F0E82E2"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2.42</w:t>
            </w:r>
          </w:p>
        </w:tc>
        <w:tc>
          <w:tcPr>
            <w:tcW w:w="1602" w:type="dxa"/>
            <w:tcBorders>
              <w:top w:val="nil"/>
              <w:left w:val="nil"/>
              <w:bottom w:val="single" w:sz="4" w:space="0" w:color="auto"/>
              <w:right w:val="nil"/>
            </w:tcBorders>
            <w:shd w:val="clear" w:color="000000" w:fill="F2F2F2"/>
            <w:noWrap/>
            <w:vAlign w:val="bottom"/>
            <w:hideMark/>
          </w:tcPr>
          <w:p w14:paraId="0ABFC7C2"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5.34</w:t>
            </w:r>
          </w:p>
        </w:tc>
      </w:tr>
      <w:tr w:rsidR="007831A9" w:rsidRPr="00394948" w14:paraId="5F2D9BFC" w14:textId="77777777" w:rsidTr="00942707">
        <w:trPr>
          <w:trHeight w:val="245"/>
        </w:trPr>
        <w:tc>
          <w:tcPr>
            <w:tcW w:w="1695" w:type="dxa"/>
            <w:vMerge w:val="restart"/>
            <w:tcBorders>
              <w:top w:val="nil"/>
              <w:left w:val="nil"/>
              <w:bottom w:val="single" w:sz="4" w:space="0" w:color="000000"/>
              <w:right w:val="nil"/>
            </w:tcBorders>
            <w:shd w:val="clear" w:color="auto" w:fill="auto"/>
            <w:vAlign w:val="center"/>
            <w:hideMark/>
          </w:tcPr>
          <w:p w14:paraId="2F1C8FA8" w14:textId="77777777" w:rsidR="007831A9" w:rsidRPr="00394948" w:rsidRDefault="007831A9" w:rsidP="007831A9">
            <w:pPr>
              <w:spacing w:after="0"/>
              <w:rPr>
                <w:rFonts w:eastAsia="Times New Roman"/>
                <w:color w:val="FF0000"/>
                <w:sz w:val="20"/>
                <w:szCs w:val="20"/>
                <w:lang w:eastAsia="zh-CN"/>
              </w:rPr>
            </w:pPr>
            <w:r w:rsidRPr="00394948">
              <w:rPr>
                <w:rFonts w:eastAsia="Times New Roman"/>
                <w:color w:val="FF0000"/>
                <w:sz w:val="20"/>
                <w:szCs w:val="20"/>
                <w:lang w:eastAsia="zh-CN"/>
              </w:rPr>
              <w:t>Infection/  inflammation/ allergic reaction</w:t>
            </w:r>
          </w:p>
        </w:tc>
        <w:tc>
          <w:tcPr>
            <w:tcW w:w="3098" w:type="dxa"/>
            <w:gridSpan w:val="4"/>
            <w:tcBorders>
              <w:top w:val="single" w:sz="4" w:space="0" w:color="auto"/>
              <w:left w:val="nil"/>
              <w:bottom w:val="single" w:sz="4" w:space="0" w:color="auto"/>
              <w:right w:val="nil"/>
            </w:tcBorders>
            <w:shd w:val="clear" w:color="auto" w:fill="auto"/>
            <w:noWrap/>
            <w:vAlign w:val="center"/>
            <w:hideMark/>
          </w:tcPr>
          <w:p w14:paraId="75BFDB4C"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Local allergic reaction</w:t>
            </w:r>
          </w:p>
        </w:tc>
        <w:tc>
          <w:tcPr>
            <w:tcW w:w="1311" w:type="dxa"/>
            <w:tcBorders>
              <w:top w:val="nil"/>
              <w:left w:val="nil"/>
              <w:bottom w:val="nil"/>
              <w:right w:val="nil"/>
            </w:tcBorders>
            <w:shd w:val="clear" w:color="auto" w:fill="auto"/>
            <w:noWrap/>
            <w:vAlign w:val="bottom"/>
            <w:hideMark/>
          </w:tcPr>
          <w:p w14:paraId="5C4CE672"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0.82</w:t>
            </w:r>
          </w:p>
        </w:tc>
        <w:tc>
          <w:tcPr>
            <w:tcW w:w="1703" w:type="dxa"/>
            <w:tcBorders>
              <w:top w:val="nil"/>
              <w:left w:val="nil"/>
              <w:bottom w:val="single" w:sz="4" w:space="0" w:color="auto"/>
              <w:right w:val="nil"/>
            </w:tcBorders>
            <w:shd w:val="clear" w:color="auto" w:fill="auto"/>
            <w:noWrap/>
            <w:vAlign w:val="bottom"/>
            <w:hideMark/>
          </w:tcPr>
          <w:p w14:paraId="0D319CBA"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1.04</w:t>
            </w:r>
          </w:p>
        </w:tc>
        <w:tc>
          <w:tcPr>
            <w:tcW w:w="1602" w:type="dxa"/>
            <w:tcBorders>
              <w:top w:val="nil"/>
              <w:left w:val="nil"/>
              <w:bottom w:val="single" w:sz="4" w:space="0" w:color="auto"/>
              <w:right w:val="nil"/>
            </w:tcBorders>
            <w:shd w:val="clear" w:color="auto" w:fill="auto"/>
            <w:noWrap/>
            <w:vAlign w:val="bottom"/>
            <w:hideMark/>
          </w:tcPr>
          <w:p w14:paraId="435641F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0.27</w:t>
            </w:r>
          </w:p>
        </w:tc>
      </w:tr>
      <w:tr w:rsidR="007831A9" w:rsidRPr="00394948" w14:paraId="6227B5AB" w14:textId="77777777" w:rsidTr="00942707">
        <w:trPr>
          <w:trHeight w:val="300"/>
        </w:trPr>
        <w:tc>
          <w:tcPr>
            <w:tcW w:w="1695" w:type="dxa"/>
            <w:vMerge/>
            <w:tcBorders>
              <w:top w:val="nil"/>
              <w:left w:val="nil"/>
              <w:bottom w:val="single" w:sz="4" w:space="0" w:color="000000"/>
              <w:right w:val="nil"/>
            </w:tcBorders>
            <w:vAlign w:val="center"/>
            <w:hideMark/>
          </w:tcPr>
          <w:p w14:paraId="73C60B07"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000000" w:fill="F2F2F2"/>
            <w:noWrap/>
            <w:vAlign w:val="center"/>
            <w:hideMark/>
          </w:tcPr>
          <w:p w14:paraId="0FA20EBF"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Generalised (anaphylactic) reaction</w:t>
            </w:r>
          </w:p>
        </w:tc>
        <w:tc>
          <w:tcPr>
            <w:tcW w:w="1311" w:type="dxa"/>
            <w:tcBorders>
              <w:top w:val="single" w:sz="4" w:space="0" w:color="auto"/>
              <w:left w:val="nil"/>
              <w:bottom w:val="single" w:sz="4" w:space="0" w:color="auto"/>
              <w:right w:val="nil"/>
            </w:tcBorders>
            <w:shd w:val="clear" w:color="000000" w:fill="F2F2F2"/>
            <w:noWrap/>
            <w:vAlign w:val="bottom"/>
            <w:hideMark/>
          </w:tcPr>
          <w:p w14:paraId="571C6AF6"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0.03</w:t>
            </w:r>
          </w:p>
        </w:tc>
        <w:tc>
          <w:tcPr>
            <w:tcW w:w="1703" w:type="dxa"/>
            <w:tcBorders>
              <w:top w:val="nil"/>
              <w:left w:val="nil"/>
              <w:bottom w:val="single" w:sz="4" w:space="0" w:color="auto"/>
              <w:right w:val="nil"/>
            </w:tcBorders>
            <w:shd w:val="clear" w:color="000000" w:fill="F2F2F2"/>
            <w:noWrap/>
            <w:vAlign w:val="bottom"/>
            <w:hideMark/>
          </w:tcPr>
          <w:p w14:paraId="7840345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0.07</w:t>
            </w:r>
          </w:p>
        </w:tc>
        <w:tc>
          <w:tcPr>
            <w:tcW w:w="1602" w:type="dxa"/>
            <w:tcBorders>
              <w:top w:val="nil"/>
              <w:left w:val="nil"/>
              <w:bottom w:val="single" w:sz="4" w:space="0" w:color="auto"/>
              <w:right w:val="nil"/>
            </w:tcBorders>
            <w:shd w:val="clear" w:color="000000" w:fill="F2F2F2"/>
            <w:noWrap/>
            <w:vAlign w:val="bottom"/>
            <w:hideMark/>
          </w:tcPr>
          <w:p w14:paraId="5224A05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589EDE0D" w14:textId="77777777" w:rsidTr="00942707">
        <w:trPr>
          <w:trHeight w:val="300"/>
        </w:trPr>
        <w:tc>
          <w:tcPr>
            <w:tcW w:w="1695" w:type="dxa"/>
            <w:vMerge/>
            <w:tcBorders>
              <w:top w:val="nil"/>
              <w:left w:val="nil"/>
              <w:bottom w:val="single" w:sz="4" w:space="0" w:color="000000"/>
              <w:right w:val="nil"/>
            </w:tcBorders>
            <w:vAlign w:val="center"/>
            <w:hideMark/>
          </w:tcPr>
          <w:p w14:paraId="28714454"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auto" w:fill="auto"/>
            <w:noWrap/>
            <w:vAlign w:val="center"/>
            <w:hideMark/>
          </w:tcPr>
          <w:p w14:paraId="1C5710E0"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Thrombophlebitis</w:t>
            </w:r>
          </w:p>
        </w:tc>
        <w:tc>
          <w:tcPr>
            <w:tcW w:w="1311" w:type="dxa"/>
            <w:tcBorders>
              <w:top w:val="nil"/>
              <w:left w:val="nil"/>
              <w:bottom w:val="nil"/>
              <w:right w:val="nil"/>
            </w:tcBorders>
            <w:shd w:val="clear" w:color="auto" w:fill="auto"/>
            <w:noWrap/>
            <w:vAlign w:val="bottom"/>
            <w:hideMark/>
          </w:tcPr>
          <w:p w14:paraId="532F2A5B"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0.3</w:t>
            </w:r>
          </w:p>
        </w:tc>
        <w:tc>
          <w:tcPr>
            <w:tcW w:w="1703" w:type="dxa"/>
            <w:tcBorders>
              <w:top w:val="nil"/>
              <w:left w:val="nil"/>
              <w:bottom w:val="single" w:sz="4" w:space="0" w:color="auto"/>
              <w:right w:val="nil"/>
            </w:tcBorders>
            <w:shd w:val="clear" w:color="auto" w:fill="auto"/>
            <w:noWrap/>
            <w:vAlign w:val="bottom"/>
            <w:hideMark/>
          </w:tcPr>
          <w:p w14:paraId="5378BBC0"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0.43</w:t>
            </w:r>
          </w:p>
        </w:tc>
        <w:tc>
          <w:tcPr>
            <w:tcW w:w="1602" w:type="dxa"/>
            <w:tcBorders>
              <w:top w:val="nil"/>
              <w:left w:val="nil"/>
              <w:bottom w:val="single" w:sz="4" w:space="0" w:color="auto"/>
              <w:right w:val="nil"/>
            </w:tcBorders>
            <w:shd w:val="clear" w:color="auto" w:fill="auto"/>
            <w:noWrap/>
            <w:vAlign w:val="bottom"/>
            <w:hideMark/>
          </w:tcPr>
          <w:p w14:paraId="59C794A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0.8</w:t>
            </w:r>
          </w:p>
        </w:tc>
      </w:tr>
      <w:tr w:rsidR="007831A9" w:rsidRPr="00394948" w14:paraId="55BE8F16" w14:textId="77777777" w:rsidTr="00942707">
        <w:trPr>
          <w:trHeight w:val="315"/>
        </w:trPr>
        <w:tc>
          <w:tcPr>
            <w:tcW w:w="1695" w:type="dxa"/>
            <w:vMerge w:val="restart"/>
            <w:tcBorders>
              <w:top w:val="nil"/>
              <w:left w:val="nil"/>
              <w:bottom w:val="single" w:sz="4" w:space="0" w:color="000000"/>
              <w:right w:val="nil"/>
            </w:tcBorders>
            <w:shd w:val="clear" w:color="auto" w:fill="auto"/>
            <w:noWrap/>
            <w:vAlign w:val="center"/>
            <w:hideMark/>
          </w:tcPr>
          <w:p w14:paraId="61B97D93" w14:textId="77777777" w:rsidR="007831A9" w:rsidRPr="00394948" w:rsidRDefault="007831A9" w:rsidP="007831A9">
            <w:pPr>
              <w:spacing w:after="0"/>
              <w:rPr>
                <w:rFonts w:eastAsia="Times New Roman"/>
                <w:color w:val="FF0000"/>
                <w:sz w:val="20"/>
                <w:szCs w:val="20"/>
                <w:lang w:eastAsia="zh-CN"/>
              </w:rPr>
            </w:pPr>
            <w:r w:rsidRPr="00394948">
              <w:rPr>
                <w:rFonts w:eastAsia="Times New Roman"/>
                <w:color w:val="FF0000"/>
                <w:sz w:val="20"/>
                <w:szCs w:val="20"/>
                <w:lang w:eastAsia="zh-CN"/>
              </w:rPr>
              <w:t>Other</w:t>
            </w:r>
          </w:p>
        </w:tc>
        <w:tc>
          <w:tcPr>
            <w:tcW w:w="1447" w:type="dxa"/>
            <w:gridSpan w:val="2"/>
            <w:vMerge w:val="restart"/>
            <w:tcBorders>
              <w:top w:val="single" w:sz="4" w:space="0" w:color="auto"/>
              <w:left w:val="nil"/>
              <w:bottom w:val="single" w:sz="4" w:space="0" w:color="000000"/>
              <w:right w:val="nil"/>
            </w:tcBorders>
            <w:shd w:val="clear" w:color="auto" w:fill="auto"/>
            <w:noWrap/>
            <w:vAlign w:val="center"/>
            <w:hideMark/>
          </w:tcPr>
          <w:p w14:paraId="24135CFA"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Cardiac</w:t>
            </w:r>
          </w:p>
        </w:tc>
        <w:tc>
          <w:tcPr>
            <w:tcW w:w="1651" w:type="dxa"/>
            <w:gridSpan w:val="2"/>
            <w:tcBorders>
              <w:top w:val="nil"/>
              <w:left w:val="nil"/>
              <w:bottom w:val="single" w:sz="4" w:space="0" w:color="auto"/>
              <w:right w:val="nil"/>
            </w:tcBorders>
            <w:shd w:val="clear" w:color="auto" w:fill="auto"/>
            <w:noWrap/>
            <w:vAlign w:val="center"/>
            <w:hideMark/>
          </w:tcPr>
          <w:p w14:paraId="15E29DDE"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Cardiac arrest</w:t>
            </w:r>
          </w:p>
        </w:tc>
        <w:tc>
          <w:tcPr>
            <w:tcW w:w="1311" w:type="dxa"/>
            <w:tcBorders>
              <w:top w:val="single" w:sz="4" w:space="0" w:color="auto"/>
              <w:left w:val="nil"/>
              <w:bottom w:val="single" w:sz="4" w:space="0" w:color="auto"/>
              <w:right w:val="nil"/>
            </w:tcBorders>
            <w:shd w:val="clear" w:color="auto" w:fill="auto"/>
            <w:noWrap/>
            <w:vAlign w:val="bottom"/>
            <w:hideMark/>
          </w:tcPr>
          <w:p w14:paraId="31CF063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703" w:type="dxa"/>
            <w:tcBorders>
              <w:top w:val="nil"/>
              <w:left w:val="nil"/>
              <w:bottom w:val="single" w:sz="4" w:space="0" w:color="auto"/>
              <w:right w:val="nil"/>
            </w:tcBorders>
            <w:shd w:val="clear" w:color="auto" w:fill="auto"/>
            <w:noWrap/>
            <w:vAlign w:val="bottom"/>
            <w:hideMark/>
          </w:tcPr>
          <w:p w14:paraId="6E2E7180"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602" w:type="dxa"/>
            <w:tcBorders>
              <w:top w:val="nil"/>
              <w:left w:val="nil"/>
              <w:bottom w:val="single" w:sz="4" w:space="0" w:color="auto"/>
              <w:right w:val="nil"/>
            </w:tcBorders>
            <w:shd w:val="clear" w:color="auto" w:fill="auto"/>
            <w:noWrap/>
            <w:vAlign w:val="bottom"/>
            <w:hideMark/>
          </w:tcPr>
          <w:p w14:paraId="06C52F91"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084F7262" w14:textId="77777777" w:rsidTr="00942707">
        <w:trPr>
          <w:trHeight w:val="300"/>
        </w:trPr>
        <w:tc>
          <w:tcPr>
            <w:tcW w:w="1695" w:type="dxa"/>
            <w:vMerge/>
            <w:tcBorders>
              <w:top w:val="nil"/>
              <w:left w:val="nil"/>
              <w:bottom w:val="single" w:sz="4" w:space="0" w:color="000000"/>
              <w:right w:val="nil"/>
            </w:tcBorders>
            <w:vAlign w:val="center"/>
            <w:hideMark/>
          </w:tcPr>
          <w:p w14:paraId="0A842ECA" w14:textId="77777777" w:rsidR="007831A9" w:rsidRPr="00394948" w:rsidRDefault="007831A9" w:rsidP="007831A9">
            <w:pPr>
              <w:spacing w:after="0"/>
              <w:rPr>
                <w:rFonts w:eastAsia="Times New Roman"/>
                <w:color w:val="FF0000"/>
                <w:sz w:val="20"/>
                <w:szCs w:val="20"/>
                <w:lang w:eastAsia="zh-CN"/>
              </w:rPr>
            </w:pPr>
          </w:p>
        </w:tc>
        <w:tc>
          <w:tcPr>
            <w:tcW w:w="1447" w:type="dxa"/>
            <w:gridSpan w:val="2"/>
            <w:vMerge/>
            <w:tcBorders>
              <w:top w:val="single" w:sz="4" w:space="0" w:color="auto"/>
              <w:left w:val="nil"/>
              <w:bottom w:val="single" w:sz="4" w:space="0" w:color="000000"/>
              <w:right w:val="nil"/>
            </w:tcBorders>
            <w:vAlign w:val="center"/>
            <w:hideMark/>
          </w:tcPr>
          <w:p w14:paraId="0C03AF29" w14:textId="77777777" w:rsidR="007831A9" w:rsidRPr="00394948" w:rsidRDefault="007831A9" w:rsidP="007831A9">
            <w:pPr>
              <w:spacing w:after="0"/>
              <w:rPr>
                <w:rFonts w:eastAsia="Times New Roman"/>
                <w:color w:val="000000"/>
                <w:sz w:val="20"/>
                <w:szCs w:val="20"/>
                <w:lang w:eastAsia="zh-CN"/>
              </w:rPr>
            </w:pPr>
          </w:p>
        </w:tc>
        <w:tc>
          <w:tcPr>
            <w:tcW w:w="1651" w:type="dxa"/>
            <w:gridSpan w:val="2"/>
            <w:tcBorders>
              <w:top w:val="single" w:sz="4" w:space="0" w:color="auto"/>
              <w:left w:val="nil"/>
              <w:bottom w:val="single" w:sz="4" w:space="0" w:color="auto"/>
              <w:right w:val="nil"/>
            </w:tcBorders>
            <w:shd w:val="clear" w:color="auto" w:fill="auto"/>
            <w:noWrap/>
            <w:vAlign w:val="center"/>
            <w:hideMark/>
          </w:tcPr>
          <w:p w14:paraId="04637F15"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Acute myocardial infarction</w:t>
            </w:r>
          </w:p>
        </w:tc>
        <w:tc>
          <w:tcPr>
            <w:tcW w:w="1311" w:type="dxa"/>
            <w:tcBorders>
              <w:top w:val="nil"/>
              <w:left w:val="nil"/>
              <w:bottom w:val="nil"/>
              <w:right w:val="nil"/>
            </w:tcBorders>
            <w:shd w:val="clear" w:color="auto" w:fill="auto"/>
            <w:noWrap/>
            <w:vAlign w:val="bottom"/>
            <w:hideMark/>
          </w:tcPr>
          <w:p w14:paraId="780EEB2B"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0.04</w:t>
            </w:r>
          </w:p>
        </w:tc>
        <w:tc>
          <w:tcPr>
            <w:tcW w:w="1703" w:type="dxa"/>
            <w:tcBorders>
              <w:top w:val="nil"/>
              <w:left w:val="nil"/>
              <w:bottom w:val="single" w:sz="4" w:space="0" w:color="auto"/>
              <w:right w:val="nil"/>
            </w:tcBorders>
            <w:shd w:val="clear" w:color="auto" w:fill="auto"/>
            <w:noWrap/>
            <w:vAlign w:val="bottom"/>
            <w:hideMark/>
          </w:tcPr>
          <w:p w14:paraId="6F60C6B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602" w:type="dxa"/>
            <w:tcBorders>
              <w:top w:val="nil"/>
              <w:left w:val="nil"/>
              <w:bottom w:val="single" w:sz="4" w:space="0" w:color="auto"/>
              <w:right w:val="nil"/>
            </w:tcBorders>
            <w:shd w:val="clear" w:color="auto" w:fill="auto"/>
            <w:noWrap/>
            <w:vAlign w:val="bottom"/>
            <w:hideMark/>
          </w:tcPr>
          <w:p w14:paraId="6EB3F1C8"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0932BB36" w14:textId="77777777" w:rsidTr="00942707">
        <w:trPr>
          <w:trHeight w:val="315"/>
        </w:trPr>
        <w:tc>
          <w:tcPr>
            <w:tcW w:w="1695" w:type="dxa"/>
            <w:vMerge/>
            <w:tcBorders>
              <w:top w:val="nil"/>
              <w:left w:val="nil"/>
              <w:bottom w:val="single" w:sz="4" w:space="0" w:color="000000"/>
              <w:right w:val="nil"/>
            </w:tcBorders>
            <w:vAlign w:val="center"/>
            <w:hideMark/>
          </w:tcPr>
          <w:p w14:paraId="6AE3BC4B" w14:textId="77777777" w:rsidR="007831A9" w:rsidRPr="00394948" w:rsidRDefault="007831A9" w:rsidP="007831A9">
            <w:pPr>
              <w:spacing w:after="0"/>
              <w:rPr>
                <w:rFonts w:eastAsia="Times New Roman"/>
                <w:color w:val="FF0000"/>
                <w:sz w:val="20"/>
                <w:szCs w:val="20"/>
                <w:lang w:eastAsia="zh-CN"/>
              </w:rPr>
            </w:pPr>
          </w:p>
        </w:tc>
        <w:tc>
          <w:tcPr>
            <w:tcW w:w="1447" w:type="dxa"/>
            <w:gridSpan w:val="2"/>
            <w:vMerge/>
            <w:tcBorders>
              <w:top w:val="single" w:sz="4" w:space="0" w:color="auto"/>
              <w:left w:val="nil"/>
              <w:bottom w:val="single" w:sz="4" w:space="0" w:color="000000"/>
              <w:right w:val="nil"/>
            </w:tcBorders>
            <w:vAlign w:val="center"/>
            <w:hideMark/>
          </w:tcPr>
          <w:p w14:paraId="3DBB66E8" w14:textId="77777777" w:rsidR="007831A9" w:rsidRPr="00394948" w:rsidRDefault="007831A9" w:rsidP="007831A9">
            <w:pPr>
              <w:spacing w:after="0"/>
              <w:rPr>
                <w:rFonts w:eastAsia="Times New Roman"/>
                <w:color w:val="000000"/>
                <w:sz w:val="20"/>
                <w:szCs w:val="20"/>
                <w:lang w:eastAsia="zh-CN"/>
              </w:rPr>
            </w:pPr>
          </w:p>
        </w:tc>
        <w:tc>
          <w:tcPr>
            <w:tcW w:w="1651" w:type="dxa"/>
            <w:gridSpan w:val="2"/>
            <w:tcBorders>
              <w:top w:val="single" w:sz="4" w:space="0" w:color="auto"/>
              <w:left w:val="nil"/>
              <w:bottom w:val="single" w:sz="4" w:space="0" w:color="auto"/>
              <w:right w:val="nil"/>
            </w:tcBorders>
            <w:shd w:val="clear" w:color="auto" w:fill="auto"/>
            <w:noWrap/>
            <w:vAlign w:val="center"/>
            <w:hideMark/>
          </w:tcPr>
          <w:p w14:paraId="5967AE38"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Acute cardiac symptoms</w:t>
            </w:r>
          </w:p>
        </w:tc>
        <w:tc>
          <w:tcPr>
            <w:tcW w:w="1311" w:type="dxa"/>
            <w:tcBorders>
              <w:top w:val="single" w:sz="4" w:space="0" w:color="auto"/>
              <w:left w:val="nil"/>
              <w:bottom w:val="single" w:sz="4" w:space="0" w:color="auto"/>
              <w:right w:val="nil"/>
            </w:tcBorders>
            <w:shd w:val="clear" w:color="auto" w:fill="auto"/>
            <w:noWrap/>
            <w:vAlign w:val="bottom"/>
            <w:hideMark/>
          </w:tcPr>
          <w:p w14:paraId="79936F4F"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0.72</w:t>
            </w:r>
          </w:p>
        </w:tc>
        <w:tc>
          <w:tcPr>
            <w:tcW w:w="1703" w:type="dxa"/>
            <w:tcBorders>
              <w:top w:val="nil"/>
              <w:left w:val="nil"/>
              <w:bottom w:val="single" w:sz="4" w:space="0" w:color="auto"/>
              <w:right w:val="nil"/>
            </w:tcBorders>
            <w:shd w:val="clear" w:color="auto" w:fill="auto"/>
            <w:noWrap/>
            <w:vAlign w:val="bottom"/>
            <w:hideMark/>
          </w:tcPr>
          <w:p w14:paraId="28222927"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0.71</w:t>
            </w:r>
          </w:p>
        </w:tc>
        <w:tc>
          <w:tcPr>
            <w:tcW w:w="1602" w:type="dxa"/>
            <w:tcBorders>
              <w:top w:val="nil"/>
              <w:left w:val="nil"/>
              <w:bottom w:val="single" w:sz="4" w:space="0" w:color="auto"/>
              <w:right w:val="nil"/>
            </w:tcBorders>
            <w:shd w:val="clear" w:color="auto" w:fill="auto"/>
            <w:noWrap/>
            <w:vAlign w:val="bottom"/>
            <w:hideMark/>
          </w:tcPr>
          <w:p w14:paraId="419195F5"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0.53</w:t>
            </w:r>
          </w:p>
        </w:tc>
      </w:tr>
      <w:tr w:rsidR="007831A9" w:rsidRPr="00394948" w14:paraId="673E19CB" w14:textId="77777777" w:rsidTr="00942707">
        <w:trPr>
          <w:trHeight w:val="345"/>
        </w:trPr>
        <w:tc>
          <w:tcPr>
            <w:tcW w:w="1695" w:type="dxa"/>
            <w:vMerge/>
            <w:tcBorders>
              <w:top w:val="nil"/>
              <w:left w:val="nil"/>
              <w:bottom w:val="single" w:sz="4" w:space="0" w:color="000000"/>
              <w:right w:val="nil"/>
            </w:tcBorders>
            <w:vAlign w:val="center"/>
            <w:hideMark/>
          </w:tcPr>
          <w:p w14:paraId="7A44CCF9"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nil"/>
              <w:left w:val="nil"/>
              <w:bottom w:val="single" w:sz="4" w:space="0" w:color="auto"/>
              <w:right w:val="nil"/>
            </w:tcBorders>
            <w:shd w:val="clear" w:color="000000" w:fill="F2F2F2"/>
            <w:noWrap/>
            <w:vAlign w:val="center"/>
            <w:hideMark/>
          </w:tcPr>
          <w:p w14:paraId="3C785BCD"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Cerebrovascular accident</w:t>
            </w:r>
          </w:p>
        </w:tc>
        <w:tc>
          <w:tcPr>
            <w:tcW w:w="1311" w:type="dxa"/>
            <w:tcBorders>
              <w:top w:val="nil"/>
              <w:left w:val="nil"/>
              <w:bottom w:val="nil"/>
              <w:right w:val="nil"/>
            </w:tcBorders>
            <w:shd w:val="clear" w:color="000000" w:fill="F2F2F2"/>
            <w:noWrap/>
            <w:vAlign w:val="bottom"/>
            <w:hideMark/>
          </w:tcPr>
          <w:p w14:paraId="70669E50"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0.01</w:t>
            </w:r>
          </w:p>
        </w:tc>
        <w:tc>
          <w:tcPr>
            <w:tcW w:w="1703" w:type="dxa"/>
            <w:tcBorders>
              <w:top w:val="nil"/>
              <w:left w:val="nil"/>
              <w:bottom w:val="single" w:sz="4" w:space="0" w:color="auto"/>
              <w:right w:val="nil"/>
            </w:tcBorders>
            <w:shd w:val="clear" w:color="000000" w:fill="F2F2F2"/>
            <w:noWrap/>
            <w:vAlign w:val="bottom"/>
            <w:hideMark/>
          </w:tcPr>
          <w:p w14:paraId="2BD450E9"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602" w:type="dxa"/>
            <w:tcBorders>
              <w:top w:val="nil"/>
              <w:left w:val="nil"/>
              <w:bottom w:val="single" w:sz="4" w:space="0" w:color="auto"/>
              <w:right w:val="nil"/>
            </w:tcBorders>
            <w:shd w:val="clear" w:color="000000" w:fill="F2F2F2"/>
            <w:noWrap/>
            <w:vAlign w:val="bottom"/>
            <w:hideMark/>
          </w:tcPr>
          <w:p w14:paraId="0B30B937"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24806976" w14:textId="77777777" w:rsidTr="00942707">
        <w:trPr>
          <w:trHeight w:val="300"/>
        </w:trPr>
        <w:tc>
          <w:tcPr>
            <w:tcW w:w="1695" w:type="dxa"/>
            <w:vMerge/>
            <w:tcBorders>
              <w:top w:val="nil"/>
              <w:left w:val="nil"/>
              <w:bottom w:val="single" w:sz="4" w:space="0" w:color="000000"/>
              <w:right w:val="nil"/>
            </w:tcBorders>
            <w:vAlign w:val="center"/>
            <w:hideMark/>
          </w:tcPr>
          <w:p w14:paraId="54705E08"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nil"/>
              <w:left w:val="nil"/>
              <w:bottom w:val="single" w:sz="4" w:space="0" w:color="auto"/>
              <w:right w:val="nil"/>
            </w:tcBorders>
            <w:shd w:val="clear" w:color="auto" w:fill="auto"/>
            <w:noWrap/>
            <w:vAlign w:val="center"/>
            <w:hideMark/>
          </w:tcPr>
          <w:p w14:paraId="75D43836"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Transient ischaemic attack</w:t>
            </w:r>
          </w:p>
        </w:tc>
        <w:tc>
          <w:tcPr>
            <w:tcW w:w="1311" w:type="dxa"/>
            <w:tcBorders>
              <w:top w:val="single" w:sz="4" w:space="0" w:color="auto"/>
              <w:left w:val="nil"/>
              <w:bottom w:val="single" w:sz="4" w:space="0" w:color="auto"/>
              <w:right w:val="nil"/>
            </w:tcBorders>
            <w:shd w:val="clear" w:color="auto" w:fill="auto"/>
            <w:noWrap/>
            <w:vAlign w:val="bottom"/>
            <w:hideMark/>
          </w:tcPr>
          <w:p w14:paraId="697D719E"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703" w:type="dxa"/>
            <w:tcBorders>
              <w:top w:val="nil"/>
              <w:left w:val="nil"/>
              <w:bottom w:val="single" w:sz="4" w:space="0" w:color="auto"/>
              <w:right w:val="nil"/>
            </w:tcBorders>
            <w:shd w:val="clear" w:color="auto" w:fill="auto"/>
            <w:noWrap/>
            <w:vAlign w:val="bottom"/>
            <w:hideMark/>
          </w:tcPr>
          <w:p w14:paraId="0C7C99EF"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602" w:type="dxa"/>
            <w:tcBorders>
              <w:top w:val="nil"/>
              <w:left w:val="nil"/>
              <w:bottom w:val="single" w:sz="4" w:space="0" w:color="auto"/>
              <w:right w:val="nil"/>
            </w:tcBorders>
            <w:shd w:val="clear" w:color="auto" w:fill="auto"/>
            <w:noWrap/>
            <w:vAlign w:val="bottom"/>
            <w:hideMark/>
          </w:tcPr>
          <w:p w14:paraId="232A3001"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108CFFA1" w14:textId="77777777" w:rsidTr="00942707">
        <w:trPr>
          <w:trHeight w:val="300"/>
        </w:trPr>
        <w:tc>
          <w:tcPr>
            <w:tcW w:w="1695" w:type="dxa"/>
            <w:vMerge/>
            <w:tcBorders>
              <w:top w:val="nil"/>
              <w:left w:val="nil"/>
              <w:bottom w:val="single" w:sz="4" w:space="0" w:color="000000"/>
              <w:right w:val="nil"/>
            </w:tcBorders>
            <w:vAlign w:val="center"/>
            <w:hideMark/>
          </w:tcPr>
          <w:p w14:paraId="6D5A9833"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single" w:sz="4" w:space="0" w:color="auto"/>
              <w:left w:val="nil"/>
              <w:bottom w:val="single" w:sz="4" w:space="0" w:color="auto"/>
              <w:right w:val="nil"/>
            </w:tcBorders>
            <w:shd w:val="clear" w:color="000000" w:fill="F2F2F2"/>
            <w:noWrap/>
            <w:vAlign w:val="center"/>
            <w:hideMark/>
          </w:tcPr>
          <w:p w14:paraId="478DCF8B"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DVT</w:t>
            </w:r>
          </w:p>
        </w:tc>
        <w:tc>
          <w:tcPr>
            <w:tcW w:w="1311" w:type="dxa"/>
            <w:tcBorders>
              <w:top w:val="nil"/>
              <w:left w:val="nil"/>
              <w:bottom w:val="nil"/>
              <w:right w:val="nil"/>
            </w:tcBorders>
            <w:shd w:val="clear" w:color="000000" w:fill="F2F2F2"/>
            <w:noWrap/>
            <w:vAlign w:val="bottom"/>
            <w:hideMark/>
          </w:tcPr>
          <w:p w14:paraId="265FDA72"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c>
          <w:tcPr>
            <w:tcW w:w="1703" w:type="dxa"/>
            <w:tcBorders>
              <w:top w:val="nil"/>
              <w:left w:val="nil"/>
              <w:bottom w:val="single" w:sz="4" w:space="0" w:color="auto"/>
              <w:right w:val="nil"/>
            </w:tcBorders>
            <w:shd w:val="clear" w:color="000000" w:fill="F2F2F2"/>
            <w:noWrap/>
            <w:vAlign w:val="bottom"/>
            <w:hideMark/>
          </w:tcPr>
          <w:p w14:paraId="464BFDD0"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0.02</w:t>
            </w:r>
          </w:p>
        </w:tc>
        <w:tc>
          <w:tcPr>
            <w:tcW w:w="1602" w:type="dxa"/>
            <w:tcBorders>
              <w:top w:val="nil"/>
              <w:left w:val="nil"/>
              <w:bottom w:val="single" w:sz="4" w:space="0" w:color="auto"/>
              <w:right w:val="nil"/>
            </w:tcBorders>
            <w:shd w:val="clear" w:color="000000" w:fill="F2F2F2"/>
            <w:noWrap/>
            <w:vAlign w:val="bottom"/>
            <w:hideMark/>
          </w:tcPr>
          <w:p w14:paraId="6C54E974"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0</w:t>
            </w:r>
          </w:p>
        </w:tc>
      </w:tr>
      <w:tr w:rsidR="007831A9" w:rsidRPr="00394948" w14:paraId="4AEEEFEE" w14:textId="77777777" w:rsidTr="00942707">
        <w:trPr>
          <w:trHeight w:val="300"/>
        </w:trPr>
        <w:tc>
          <w:tcPr>
            <w:tcW w:w="1695" w:type="dxa"/>
            <w:vMerge/>
            <w:tcBorders>
              <w:top w:val="nil"/>
              <w:left w:val="nil"/>
              <w:bottom w:val="single" w:sz="4" w:space="0" w:color="000000"/>
              <w:right w:val="nil"/>
            </w:tcBorders>
            <w:vAlign w:val="center"/>
            <w:hideMark/>
          </w:tcPr>
          <w:p w14:paraId="0C3779F7" w14:textId="77777777" w:rsidR="007831A9" w:rsidRPr="00394948" w:rsidRDefault="007831A9" w:rsidP="007831A9">
            <w:pPr>
              <w:spacing w:after="0"/>
              <w:rPr>
                <w:rFonts w:eastAsia="Times New Roman"/>
                <w:color w:val="FF0000"/>
                <w:sz w:val="20"/>
                <w:szCs w:val="20"/>
                <w:lang w:eastAsia="zh-CN"/>
              </w:rPr>
            </w:pPr>
          </w:p>
        </w:tc>
        <w:tc>
          <w:tcPr>
            <w:tcW w:w="3098" w:type="dxa"/>
            <w:gridSpan w:val="4"/>
            <w:tcBorders>
              <w:top w:val="nil"/>
              <w:left w:val="nil"/>
              <w:bottom w:val="single" w:sz="4" w:space="0" w:color="auto"/>
              <w:right w:val="nil"/>
            </w:tcBorders>
            <w:shd w:val="clear" w:color="auto" w:fill="auto"/>
            <w:noWrap/>
            <w:vAlign w:val="center"/>
            <w:hideMark/>
          </w:tcPr>
          <w:p w14:paraId="474EAE3B" w14:textId="77777777" w:rsidR="007831A9" w:rsidRPr="00394948" w:rsidRDefault="007831A9" w:rsidP="007831A9">
            <w:pPr>
              <w:spacing w:after="0"/>
              <w:rPr>
                <w:rFonts w:eastAsia="Times New Roman"/>
                <w:color w:val="000000"/>
                <w:sz w:val="20"/>
                <w:szCs w:val="20"/>
                <w:lang w:eastAsia="zh-CN"/>
              </w:rPr>
            </w:pPr>
            <w:r w:rsidRPr="00394948">
              <w:rPr>
                <w:rFonts w:eastAsia="Times New Roman"/>
                <w:color w:val="000000"/>
                <w:sz w:val="20"/>
                <w:szCs w:val="20"/>
                <w:lang w:eastAsia="zh-CN"/>
              </w:rPr>
              <w:t xml:space="preserve">Other  </w:t>
            </w:r>
          </w:p>
        </w:tc>
        <w:tc>
          <w:tcPr>
            <w:tcW w:w="1311" w:type="dxa"/>
            <w:tcBorders>
              <w:top w:val="single" w:sz="4" w:space="0" w:color="auto"/>
              <w:left w:val="nil"/>
              <w:bottom w:val="single" w:sz="4" w:space="0" w:color="auto"/>
              <w:right w:val="nil"/>
            </w:tcBorders>
            <w:shd w:val="clear" w:color="auto" w:fill="auto"/>
            <w:noWrap/>
            <w:vAlign w:val="bottom"/>
            <w:hideMark/>
          </w:tcPr>
          <w:p w14:paraId="307EDB6F"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1.36</w:t>
            </w:r>
          </w:p>
        </w:tc>
        <w:tc>
          <w:tcPr>
            <w:tcW w:w="1703" w:type="dxa"/>
            <w:tcBorders>
              <w:top w:val="nil"/>
              <w:left w:val="nil"/>
              <w:bottom w:val="single" w:sz="4" w:space="0" w:color="auto"/>
              <w:right w:val="nil"/>
            </w:tcBorders>
            <w:shd w:val="clear" w:color="auto" w:fill="auto"/>
            <w:noWrap/>
            <w:vAlign w:val="bottom"/>
            <w:hideMark/>
          </w:tcPr>
          <w:p w14:paraId="0DB50E8A"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2.09</w:t>
            </w:r>
          </w:p>
        </w:tc>
        <w:tc>
          <w:tcPr>
            <w:tcW w:w="1602" w:type="dxa"/>
            <w:tcBorders>
              <w:top w:val="nil"/>
              <w:left w:val="nil"/>
              <w:bottom w:val="single" w:sz="4" w:space="0" w:color="auto"/>
              <w:right w:val="nil"/>
            </w:tcBorders>
            <w:shd w:val="clear" w:color="auto" w:fill="auto"/>
            <w:noWrap/>
            <w:vAlign w:val="bottom"/>
            <w:hideMark/>
          </w:tcPr>
          <w:p w14:paraId="75FB761B" w14:textId="77777777" w:rsidR="007831A9" w:rsidRPr="00394948" w:rsidRDefault="007831A9" w:rsidP="007831A9">
            <w:pPr>
              <w:spacing w:after="0"/>
              <w:jc w:val="right"/>
              <w:rPr>
                <w:rFonts w:eastAsia="Times New Roman"/>
                <w:color w:val="000000"/>
                <w:sz w:val="20"/>
                <w:szCs w:val="20"/>
                <w:lang w:eastAsia="zh-CN"/>
              </w:rPr>
            </w:pPr>
            <w:r w:rsidRPr="00394948">
              <w:rPr>
                <w:rFonts w:eastAsia="Times New Roman"/>
                <w:color w:val="000000"/>
                <w:sz w:val="20"/>
                <w:szCs w:val="20"/>
                <w:lang w:eastAsia="zh-CN"/>
              </w:rPr>
              <w:t>2.67</w:t>
            </w:r>
          </w:p>
        </w:tc>
      </w:tr>
      <w:tr w:rsidR="007831A9" w:rsidRPr="00394948" w14:paraId="663F2220" w14:textId="77777777" w:rsidTr="00942707">
        <w:trPr>
          <w:trHeight w:val="300"/>
        </w:trPr>
        <w:tc>
          <w:tcPr>
            <w:tcW w:w="4793" w:type="dxa"/>
            <w:gridSpan w:val="5"/>
            <w:tcBorders>
              <w:top w:val="single" w:sz="4" w:space="0" w:color="auto"/>
              <w:left w:val="nil"/>
              <w:bottom w:val="single" w:sz="4" w:space="0" w:color="auto"/>
              <w:right w:val="nil"/>
            </w:tcBorders>
            <w:shd w:val="clear" w:color="auto" w:fill="auto"/>
            <w:noWrap/>
            <w:vAlign w:val="center"/>
            <w:hideMark/>
          </w:tcPr>
          <w:p w14:paraId="4B775CB2" w14:textId="77777777" w:rsidR="007831A9" w:rsidRPr="00394948" w:rsidRDefault="007831A9" w:rsidP="007831A9">
            <w:pPr>
              <w:spacing w:after="0"/>
              <w:rPr>
                <w:rFonts w:eastAsia="Times New Roman"/>
                <w:b/>
                <w:bCs/>
                <w:color w:val="FF0000"/>
                <w:sz w:val="20"/>
                <w:szCs w:val="20"/>
                <w:lang w:eastAsia="zh-CN"/>
              </w:rPr>
            </w:pPr>
            <w:r w:rsidRPr="00394948">
              <w:rPr>
                <w:rFonts w:eastAsia="Times New Roman"/>
                <w:b/>
                <w:bCs/>
                <w:color w:val="FF0000"/>
                <w:sz w:val="20"/>
                <w:szCs w:val="20"/>
                <w:lang w:eastAsia="zh-CN"/>
              </w:rPr>
              <w:t>Total</w:t>
            </w:r>
          </w:p>
        </w:tc>
        <w:tc>
          <w:tcPr>
            <w:tcW w:w="1311" w:type="dxa"/>
            <w:tcBorders>
              <w:top w:val="nil"/>
              <w:left w:val="nil"/>
              <w:bottom w:val="single" w:sz="4" w:space="0" w:color="auto"/>
              <w:right w:val="nil"/>
            </w:tcBorders>
            <w:shd w:val="clear" w:color="auto" w:fill="auto"/>
            <w:noWrap/>
            <w:vAlign w:val="bottom"/>
            <w:hideMark/>
          </w:tcPr>
          <w:p w14:paraId="3D2BED55" w14:textId="77777777" w:rsidR="007831A9" w:rsidRPr="00394948" w:rsidRDefault="007831A9" w:rsidP="007831A9">
            <w:pPr>
              <w:spacing w:after="0"/>
              <w:jc w:val="right"/>
              <w:rPr>
                <w:rFonts w:eastAsia="Times New Roman"/>
                <w:b/>
                <w:color w:val="000000"/>
                <w:sz w:val="20"/>
                <w:szCs w:val="20"/>
                <w:lang w:eastAsia="zh-CN"/>
              </w:rPr>
            </w:pPr>
            <w:r w:rsidRPr="00394948">
              <w:rPr>
                <w:rFonts w:eastAsia="Times New Roman"/>
                <w:b/>
                <w:color w:val="000000"/>
                <w:sz w:val="20"/>
                <w:szCs w:val="20"/>
                <w:lang w:eastAsia="zh-CN"/>
              </w:rPr>
              <w:t>368</w:t>
            </w:r>
          </w:p>
        </w:tc>
        <w:tc>
          <w:tcPr>
            <w:tcW w:w="1703" w:type="dxa"/>
            <w:tcBorders>
              <w:top w:val="nil"/>
              <w:left w:val="nil"/>
              <w:bottom w:val="single" w:sz="4" w:space="0" w:color="auto"/>
              <w:right w:val="nil"/>
            </w:tcBorders>
            <w:shd w:val="clear" w:color="auto" w:fill="auto"/>
            <w:noWrap/>
            <w:vAlign w:val="bottom"/>
            <w:hideMark/>
          </w:tcPr>
          <w:p w14:paraId="593CB975" w14:textId="77777777" w:rsidR="007831A9" w:rsidRPr="00394948" w:rsidRDefault="007831A9" w:rsidP="007831A9">
            <w:pPr>
              <w:spacing w:after="0"/>
              <w:jc w:val="right"/>
              <w:rPr>
                <w:rFonts w:eastAsia="Times New Roman"/>
                <w:b/>
                <w:bCs/>
                <w:color w:val="000000"/>
                <w:sz w:val="20"/>
                <w:szCs w:val="20"/>
                <w:lang w:eastAsia="zh-CN"/>
              </w:rPr>
            </w:pPr>
            <w:r w:rsidRPr="00394948">
              <w:rPr>
                <w:rFonts w:eastAsia="Times New Roman"/>
                <w:b/>
                <w:bCs/>
                <w:color w:val="000000"/>
                <w:sz w:val="20"/>
                <w:szCs w:val="20"/>
                <w:lang w:eastAsia="zh-CN"/>
              </w:rPr>
              <w:t>209</w:t>
            </w:r>
          </w:p>
        </w:tc>
        <w:tc>
          <w:tcPr>
            <w:tcW w:w="1602" w:type="dxa"/>
            <w:tcBorders>
              <w:top w:val="nil"/>
              <w:left w:val="nil"/>
              <w:bottom w:val="single" w:sz="4" w:space="0" w:color="auto"/>
              <w:right w:val="nil"/>
            </w:tcBorders>
            <w:shd w:val="clear" w:color="auto" w:fill="auto"/>
            <w:noWrap/>
            <w:vAlign w:val="bottom"/>
            <w:hideMark/>
          </w:tcPr>
          <w:p w14:paraId="09A3A6B5" w14:textId="77777777" w:rsidR="007831A9" w:rsidRPr="00394948" w:rsidRDefault="007831A9" w:rsidP="007831A9">
            <w:pPr>
              <w:spacing w:after="0"/>
              <w:jc w:val="right"/>
              <w:rPr>
                <w:rFonts w:eastAsia="Times New Roman"/>
                <w:b/>
                <w:bCs/>
                <w:color w:val="000000"/>
                <w:sz w:val="20"/>
                <w:szCs w:val="20"/>
                <w:lang w:eastAsia="zh-CN"/>
              </w:rPr>
            </w:pPr>
            <w:r w:rsidRPr="00394948">
              <w:rPr>
                <w:rFonts w:eastAsia="Times New Roman"/>
                <w:b/>
                <w:bCs/>
                <w:color w:val="000000"/>
                <w:sz w:val="20"/>
                <w:szCs w:val="20"/>
                <w:lang w:eastAsia="zh-CN"/>
              </w:rPr>
              <w:t>737</w:t>
            </w:r>
          </w:p>
        </w:tc>
      </w:tr>
    </w:tbl>
    <w:p w14:paraId="1F0D248E" w14:textId="77777777" w:rsidR="00B45F05" w:rsidRPr="00394948" w:rsidRDefault="00B45F05" w:rsidP="007831A9">
      <w:pPr>
        <w:spacing w:before="120" w:after="120"/>
        <w:outlineLvl w:val="2"/>
        <w:rPr>
          <w:rFonts w:ascii="Arial" w:hAnsi="Arial"/>
          <w:iCs/>
          <w:color w:val="C60C30"/>
          <w:sz w:val="28"/>
          <w:szCs w:val="28"/>
        </w:rPr>
      </w:pPr>
    </w:p>
    <w:p w14:paraId="564029E3" w14:textId="77777777" w:rsidR="00B45F05" w:rsidRPr="00394948" w:rsidRDefault="00B45F05">
      <w:pPr>
        <w:spacing w:line="276" w:lineRule="auto"/>
        <w:rPr>
          <w:rFonts w:ascii="Arial" w:hAnsi="Arial"/>
          <w:iCs/>
          <w:color w:val="C60C30"/>
          <w:sz w:val="28"/>
          <w:szCs w:val="28"/>
        </w:rPr>
      </w:pPr>
      <w:r w:rsidRPr="00394948">
        <w:rPr>
          <w:rFonts w:ascii="Arial" w:hAnsi="Arial"/>
          <w:iCs/>
          <w:color w:val="C60C30"/>
          <w:sz w:val="28"/>
          <w:szCs w:val="28"/>
        </w:rPr>
        <w:br w:type="page"/>
      </w:r>
    </w:p>
    <w:p w14:paraId="7693BC2F" w14:textId="40BB3624" w:rsidR="007831A9" w:rsidRPr="00394948" w:rsidRDefault="007831A9" w:rsidP="006B4DAF">
      <w:pPr>
        <w:pStyle w:val="Heading3"/>
      </w:pPr>
      <w:bookmarkStart w:id="109" w:name="_Toc41909287"/>
      <w:r w:rsidRPr="00394948">
        <w:lastRenderedPageBreak/>
        <w:t>Serious complications of blood donation</w:t>
      </w:r>
      <w:bookmarkEnd w:id="109"/>
    </w:p>
    <w:p w14:paraId="1CA7454C" w14:textId="77777777" w:rsidR="007831A9" w:rsidRPr="00394948" w:rsidRDefault="007831A9" w:rsidP="007831A9">
      <w:pPr>
        <w:tabs>
          <w:tab w:val="left" w:pos="3080"/>
        </w:tabs>
        <w:rPr>
          <w:rStyle w:val="SubtleEmphasis"/>
          <w:rFonts w:cs="Arial"/>
          <w:i w:val="0"/>
          <w:color w:val="000000" w:themeColor="text1"/>
        </w:rPr>
      </w:pPr>
      <w:r w:rsidRPr="00394948">
        <w:rPr>
          <w:rStyle w:val="SubtleEmphasis"/>
          <w:rFonts w:cs="Arial"/>
          <w:i w:val="0"/>
          <w:color w:val="000000" w:themeColor="text1"/>
        </w:rPr>
        <w:t>Serious complications related to blood donation are defined as events resulting in any of the following:</w:t>
      </w:r>
    </w:p>
    <w:p w14:paraId="581A2F94" w14:textId="77777777" w:rsidR="007831A9" w:rsidRPr="00394948" w:rsidRDefault="007831A9" w:rsidP="007831A9">
      <w:pPr>
        <w:pStyle w:val="ListParagraph"/>
        <w:numPr>
          <w:ilvl w:val="0"/>
          <w:numId w:val="19"/>
        </w:numPr>
        <w:tabs>
          <w:tab w:val="left" w:pos="3080"/>
        </w:tabs>
        <w:rPr>
          <w:rStyle w:val="SubtleEmphasis"/>
          <w:rFonts w:cs="Arial"/>
          <w:i w:val="0"/>
          <w:color w:val="000000" w:themeColor="text1"/>
        </w:rPr>
      </w:pPr>
      <w:r w:rsidRPr="00394948">
        <w:rPr>
          <w:rStyle w:val="SubtleEmphasis"/>
          <w:rFonts w:cs="Arial"/>
          <w:i w:val="0"/>
          <w:color w:val="000000" w:themeColor="text1"/>
        </w:rPr>
        <w:t>hospitalisation if it is attributable to the reaction, based on the evaluation of hospital medical staff</w:t>
      </w:r>
    </w:p>
    <w:p w14:paraId="7FA018BA" w14:textId="77777777" w:rsidR="007831A9" w:rsidRPr="00394948" w:rsidRDefault="007831A9" w:rsidP="007831A9">
      <w:pPr>
        <w:pStyle w:val="ListParagraph"/>
        <w:numPr>
          <w:ilvl w:val="0"/>
          <w:numId w:val="19"/>
        </w:numPr>
        <w:tabs>
          <w:tab w:val="left" w:pos="3080"/>
        </w:tabs>
        <w:rPr>
          <w:rStyle w:val="SubtleEmphasis"/>
          <w:rFonts w:cs="Arial"/>
          <w:i w:val="0"/>
          <w:color w:val="000000" w:themeColor="text1"/>
        </w:rPr>
      </w:pPr>
      <w:r w:rsidRPr="00394948">
        <w:rPr>
          <w:rStyle w:val="SubtleEmphasis"/>
          <w:rFonts w:cs="Arial"/>
          <w:i w:val="0"/>
          <w:color w:val="000000" w:themeColor="text1"/>
        </w:rPr>
        <w:t>attendance at a healthcare facility to manage a complication and to prevent ongoing impairment</w:t>
      </w:r>
    </w:p>
    <w:p w14:paraId="3BE1A137" w14:textId="0BDDB4C3" w:rsidR="007831A9" w:rsidRPr="00394948" w:rsidRDefault="007831A9" w:rsidP="007831A9">
      <w:pPr>
        <w:pStyle w:val="ListParagraph"/>
        <w:numPr>
          <w:ilvl w:val="0"/>
          <w:numId w:val="19"/>
        </w:numPr>
        <w:tabs>
          <w:tab w:val="left" w:pos="3080"/>
        </w:tabs>
        <w:rPr>
          <w:rStyle w:val="SubtleEmphasis"/>
          <w:rFonts w:cs="Arial"/>
          <w:i w:val="0"/>
          <w:color w:val="000000" w:themeColor="text1"/>
        </w:rPr>
      </w:pPr>
      <w:r w:rsidRPr="00394948">
        <w:rPr>
          <w:rStyle w:val="SubtleEmphasis"/>
          <w:rFonts w:cs="Arial"/>
          <w:i w:val="0"/>
          <w:color w:val="000000" w:themeColor="text1"/>
        </w:rPr>
        <w:t>involvement in an accident (with or without significant injury) if the accident was probably or definitely related to the donation</w:t>
      </w:r>
    </w:p>
    <w:p w14:paraId="59F28861" w14:textId="77777777" w:rsidR="007831A9" w:rsidRPr="00394948" w:rsidRDefault="007831A9" w:rsidP="007831A9">
      <w:pPr>
        <w:pStyle w:val="ListParagraph"/>
        <w:numPr>
          <w:ilvl w:val="0"/>
          <w:numId w:val="19"/>
        </w:numPr>
        <w:tabs>
          <w:tab w:val="left" w:pos="3080"/>
        </w:tabs>
        <w:rPr>
          <w:rStyle w:val="SubtleEmphasis"/>
          <w:rFonts w:cs="Arial"/>
          <w:i w:val="0"/>
          <w:color w:val="000000" w:themeColor="text1"/>
        </w:rPr>
      </w:pPr>
      <w:r w:rsidRPr="00394948">
        <w:rPr>
          <w:rStyle w:val="SubtleEmphasis"/>
          <w:rFonts w:cs="Arial"/>
          <w:i w:val="0"/>
          <w:color w:val="000000" w:themeColor="text1"/>
        </w:rPr>
        <w:t>death following a donation complication if the death was probably, possibly or definitely related to the donation.</w:t>
      </w:r>
    </w:p>
    <w:p w14:paraId="4866E36E" w14:textId="75AF19E7" w:rsidR="007831A9" w:rsidRPr="00394948" w:rsidRDefault="007831A9" w:rsidP="007831A9">
      <w:pPr>
        <w:tabs>
          <w:tab w:val="left" w:pos="3080"/>
        </w:tabs>
        <w:rPr>
          <w:rStyle w:val="SubtleEmphasis"/>
          <w:rFonts w:cs="Arial"/>
          <w:i w:val="0"/>
          <w:color w:val="FF0000"/>
        </w:rPr>
      </w:pPr>
      <w:r w:rsidRPr="00394948">
        <w:rPr>
          <w:rStyle w:val="SubtleEmphasis"/>
          <w:rFonts w:cs="Arial"/>
          <w:i w:val="0"/>
          <w:color w:val="000000" w:themeColor="text1"/>
        </w:rPr>
        <w:t xml:space="preserve">During 2016-2017, 826 donors attended hospital and 1,001 attended their general practitioner (GP) for donation related complications (Table </w:t>
      </w:r>
      <w:r w:rsidR="00DF4A63">
        <w:rPr>
          <w:rStyle w:val="SubtleEmphasis"/>
          <w:rFonts w:cs="Arial"/>
          <w:i w:val="0"/>
          <w:color w:val="000000" w:themeColor="text1"/>
        </w:rPr>
        <w:t>42</w:t>
      </w:r>
      <w:r w:rsidRPr="00394948">
        <w:rPr>
          <w:rStyle w:val="SubtleEmphasis"/>
          <w:rFonts w:cs="Arial"/>
          <w:i w:val="0"/>
          <w:color w:val="000000" w:themeColor="text1"/>
        </w:rPr>
        <w:t xml:space="preserve">). There were no donation associated deaths. The majority of hospital attendances are by donors directly referred from the donor centre, either because of an injury sustained in a fall during a vasovagal reaction or because a donor is very slow to recover from a vasovagal reaction. Donors experiencing chest pain are generally referred for assessment in the Emergency Department. 30 donors with chest pain were referred to hospital between July 2016 and June 2017 of whom 9 were admitted for cardiac investigations; all had been previously well but had risk factors for coronary disease. One donor suffered a myocardial infarct approximately 7 hours following a whole blood donation and required a single stent inserted and 2 whole blood donors were found to have coronary artery disease following hospital referral for chest pain. During follow up, feedback from the donors’ treating cardiologists indicated that blood donation was unlikely to be the cause of the cardiac events in these donors. Of the remaining donors referred for chest pain the diagnosis was anxiety (in 17 donors) or no definitive diagnosis was made (for 22 donors). Most hospital attendances are brief presentations to the Emergency Department, and admission to hospital is rare. A number of donors self-refer to hospital following a delayed vasovagal reaction. </w:t>
      </w:r>
    </w:p>
    <w:p w14:paraId="79C8320A" w14:textId="792D6898" w:rsidR="00F2353C" w:rsidRPr="00F37ADB" w:rsidRDefault="007831A9" w:rsidP="00F37ADB">
      <w:pPr>
        <w:tabs>
          <w:tab w:val="left" w:pos="3080"/>
        </w:tabs>
        <w:rPr>
          <w:rFonts w:cs="Arial"/>
          <w:iCs/>
          <w:color w:val="000000" w:themeColor="text1"/>
        </w:rPr>
      </w:pPr>
      <w:r w:rsidRPr="00394948">
        <w:rPr>
          <w:rStyle w:val="SubtleEmphasis"/>
          <w:rFonts w:cs="Arial"/>
          <w:i w:val="0"/>
          <w:color w:val="000000" w:themeColor="text1"/>
        </w:rPr>
        <w:t>Attendance at GPs may be initiated by donors who have experienced a delayed faint, or more frequently, because of arm pain due to a large haematoma or nerve irritation. Rare causes of arm pain requiring medical treatment are venous thrombosis (11 donors) and superficial thrombophlebitis (38 donors).</w:t>
      </w:r>
    </w:p>
    <w:p w14:paraId="6B26870B" w14:textId="7862D08A" w:rsidR="00942707" w:rsidRDefault="00942707" w:rsidP="00942707">
      <w:pPr>
        <w:pStyle w:val="Caption"/>
        <w:keepNext/>
        <w:spacing w:after="0"/>
      </w:pPr>
      <w:bookmarkStart w:id="110" w:name="_Toc36208192"/>
      <w:bookmarkStart w:id="111" w:name="_Toc41909334"/>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42</w:t>
      </w:r>
      <w:r w:rsidRPr="00F37ADB">
        <w:rPr>
          <w:color w:val="auto"/>
        </w:rPr>
        <w:fldChar w:fldCharType="end"/>
      </w:r>
      <w:r w:rsidRPr="00F37ADB">
        <w:rPr>
          <w:color w:val="auto"/>
        </w:rPr>
        <w:t>: Summary of external medical referrals, 2016-17</w:t>
      </w:r>
      <w:bookmarkEnd w:id="110"/>
      <w:bookmarkEnd w:id="111"/>
    </w:p>
    <w:tbl>
      <w:tblPr>
        <w:tblStyle w:val="MediumShading1-Accent2"/>
        <w:tblW w:w="9441" w:type="dxa"/>
        <w:tblInd w:w="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61"/>
        <w:gridCol w:w="1970"/>
        <w:gridCol w:w="1970"/>
        <w:gridCol w:w="1970"/>
        <w:gridCol w:w="1970"/>
      </w:tblGrid>
      <w:tr w:rsidR="00F2353C" w:rsidRPr="00394948" w14:paraId="2C8DEFAB" w14:textId="77777777" w:rsidTr="00942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shd w:val="clear" w:color="auto" w:fill="FF0000"/>
            <w:vAlign w:val="center"/>
          </w:tcPr>
          <w:p w14:paraId="1034A4E5" w14:textId="77777777" w:rsidR="00F2353C" w:rsidRPr="00394948" w:rsidRDefault="00F2353C" w:rsidP="00382D10">
            <w:pPr>
              <w:jc w:val="center"/>
              <w:rPr>
                <w:rFonts w:ascii="Hospital referral rates have fa" w:hAnsi="Hospital referral rates have fa" w:cstheme="minorHAnsi" w:hint="eastAsia"/>
                <w:sz w:val="20"/>
                <w:szCs w:val="20"/>
                <w:lang w:eastAsia="en-AU"/>
              </w:rPr>
            </w:pPr>
          </w:p>
        </w:tc>
        <w:tc>
          <w:tcPr>
            <w:tcW w:w="1970" w:type="dxa"/>
            <w:shd w:val="clear" w:color="auto" w:fill="FF0000"/>
            <w:vAlign w:val="center"/>
          </w:tcPr>
          <w:p w14:paraId="4EA69106" w14:textId="77777777" w:rsidR="00F2353C" w:rsidRPr="00942707" w:rsidRDefault="00F2353C" w:rsidP="00382D10">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942707">
              <w:rPr>
                <w:rFonts w:asciiTheme="minorHAnsi" w:eastAsia="Times New Roman" w:hAnsiTheme="minorHAnsi" w:cstheme="minorHAnsi"/>
                <w:sz w:val="20"/>
                <w:szCs w:val="20"/>
                <w:lang w:eastAsia="en-AU"/>
              </w:rPr>
              <w:t>Number of hospital referrals</w:t>
            </w:r>
          </w:p>
        </w:tc>
        <w:tc>
          <w:tcPr>
            <w:tcW w:w="1970" w:type="dxa"/>
            <w:shd w:val="clear" w:color="auto" w:fill="FF0000"/>
            <w:vAlign w:val="center"/>
          </w:tcPr>
          <w:p w14:paraId="671676FB" w14:textId="77777777" w:rsidR="00F2353C" w:rsidRPr="00942707" w:rsidRDefault="00F2353C" w:rsidP="00382D10">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942707">
              <w:rPr>
                <w:rFonts w:asciiTheme="minorHAnsi" w:eastAsia="Times New Roman" w:hAnsiTheme="minorHAnsi" w:cstheme="minorHAnsi"/>
                <w:sz w:val="20"/>
                <w:szCs w:val="20"/>
                <w:lang w:eastAsia="en-AU"/>
              </w:rPr>
              <w:t>Hospital referral rate/ 10,000 donations</w:t>
            </w:r>
          </w:p>
        </w:tc>
        <w:tc>
          <w:tcPr>
            <w:tcW w:w="1970" w:type="dxa"/>
            <w:shd w:val="clear" w:color="auto" w:fill="FF0000"/>
            <w:vAlign w:val="center"/>
          </w:tcPr>
          <w:p w14:paraId="63DF7949" w14:textId="77777777" w:rsidR="00F2353C" w:rsidRPr="00942707" w:rsidRDefault="00F2353C" w:rsidP="00382D10">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942707">
              <w:rPr>
                <w:rFonts w:asciiTheme="minorHAnsi" w:eastAsia="Times New Roman" w:hAnsiTheme="minorHAnsi" w:cstheme="minorHAnsi"/>
                <w:sz w:val="20"/>
                <w:szCs w:val="20"/>
                <w:lang w:eastAsia="en-AU"/>
              </w:rPr>
              <w:t>Number of GP referrals</w:t>
            </w:r>
          </w:p>
        </w:tc>
        <w:tc>
          <w:tcPr>
            <w:tcW w:w="1970" w:type="dxa"/>
            <w:shd w:val="clear" w:color="auto" w:fill="FF0000"/>
            <w:vAlign w:val="center"/>
          </w:tcPr>
          <w:p w14:paraId="0F3CDA43" w14:textId="77777777" w:rsidR="00F2353C" w:rsidRPr="00942707" w:rsidRDefault="00F2353C" w:rsidP="00382D10">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AU"/>
              </w:rPr>
            </w:pPr>
            <w:r w:rsidRPr="00942707">
              <w:rPr>
                <w:rFonts w:asciiTheme="minorHAnsi" w:eastAsia="Times New Roman" w:hAnsiTheme="minorHAnsi" w:cstheme="minorHAnsi"/>
                <w:sz w:val="20"/>
                <w:szCs w:val="20"/>
                <w:lang w:eastAsia="en-AU"/>
              </w:rPr>
              <w:t>GP referral rate/ 10,000 donations</w:t>
            </w:r>
          </w:p>
        </w:tc>
      </w:tr>
      <w:tr w:rsidR="00F2353C" w:rsidRPr="00394948" w14:paraId="05F4C35A" w14:textId="77777777" w:rsidTr="00942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bottom w:val="single" w:sz="4" w:space="0" w:color="auto"/>
            </w:tcBorders>
            <w:shd w:val="clear" w:color="auto" w:fill="FFFFFF" w:themeFill="background1"/>
            <w:vAlign w:val="center"/>
          </w:tcPr>
          <w:p w14:paraId="5C3036DB" w14:textId="77777777" w:rsidR="00F2353C" w:rsidRPr="00394948" w:rsidRDefault="00F2353C" w:rsidP="00382D10">
            <w:pPr>
              <w:rPr>
                <w:rFonts w:cstheme="minorHAnsi"/>
                <w:color w:val="000000"/>
                <w:sz w:val="20"/>
                <w:szCs w:val="20"/>
                <w:lang w:eastAsia="en-AU"/>
              </w:rPr>
            </w:pPr>
            <w:r w:rsidRPr="00394948">
              <w:rPr>
                <w:rFonts w:cstheme="minorHAnsi"/>
                <w:color w:val="000000"/>
                <w:sz w:val="20"/>
                <w:szCs w:val="20"/>
                <w:lang w:eastAsia="en-AU"/>
              </w:rPr>
              <w:t>Whole Blood</w:t>
            </w:r>
          </w:p>
        </w:tc>
        <w:tc>
          <w:tcPr>
            <w:tcW w:w="1970" w:type="dxa"/>
            <w:tcBorders>
              <w:bottom w:val="single" w:sz="4" w:space="0" w:color="auto"/>
            </w:tcBorders>
            <w:shd w:val="clear" w:color="auto" w:fill="FFFFFF" w:themeFill="background1"/>
          </w:tcPr>
          <w:p w14:paraId="40B55131"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579</w:t>
            </w:r>
          </w:p>
        </w:tc>
        <w:tc>
          <w:tcPr>
            <w:tcW w:w="1970" w:type="dxa"/>
            <w:tcBorders>
              <w:bottom w:val="single" w:sz="4" w:space="0" w:color="auto"/>
            </w:tcBorders>
            <w:shd w:val="clear" w:color="auto" w:fill="FFFFFF" w:themeFill="background1"/>
          </w:tcPr>
          <w:p w14:paraId="06F89248"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8</w:t>
            </w:r>
          </w:p>
        </w:tc>
        <w:tc>
          <w:tcPr>
            <w:tcW w:w="1970" w:type="dxa"/>
            <w:tcBorders>
              <w:bottom w:val="single" w:sz="4" w:space="0" w:color="auto"/>
            </w:tcBorders>
            <w:shd w:val="clear" w:color="auto" w:fill="FFFFFF" w:themeFill="background1"/>
          </w:tcPr>
          <w:p w14:paraId="09108098"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652</w:t>
            </w:r>
          </w:p>
        </w:tc>
        <w:tc>
          <w:tcPr>
            <w:tcW w:w="1970" w:type="dxa"/>
            <w:tcBorders>
              <w:bottom w:val="single" w:sz="4" w:space="0" w:color="auto"/>
            </w:tcBorders>
            <w:shd w:val="clear" w:color="auto" w:fill="FFFFFF" w:themeFill="background1"/>
          </w:tcPr>
          <w:p w14:paraId="5921EFAE"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9</w:t>
            </w:r>
          </w:p>
        </w:tc>
      </w:tr>
      <w:tr w:rsidR="00F2353C" w:rsidRPr="00394948" w14:paraId="6716604F" w14:textId="77777777" w:rsidTr="00942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tcBorders>
            <w:shd w:val="clear" w:color="auto" w:fill="FFFFFF" w:themeFill="background1"/>
            <w:vAlign w:val="center"/>
          </w:tcPr>
          <w:p w14:paraId="19F6FEB5" w14:textId="77777777" w:rsidR="00F2353C" w:rsidRPr="00394948" w:rsidRDefault="00F2353C" w:rsidP="00382D10">
            <w:pPr>
              <w:rPr>
                <w:rFonts w:cstheme="minorHAnsi"/>
                <w:color w:val="000000"/>
                <w:sz w:val="20"/>
                <w:szCs w:val="20"/>
                <w:lang w:eastAsia="en-AU"/>
              </w:rPr>
            </w:pPr>
            <w:r w:rsidRPr="00394948">
              <w:rPr>
                <w:rFonts w:cstheme="minorHAnsi"/>
                <w:color w:val="000000"/>
                <w:sz w:val="20"/>
                <w:szCs w:val="20"/>
                <w:lang w:eastAsia="en-AU"/>
              </w:rPr>
              <w:t xml:space="preserve">Plasmapheresis </w:t>
            </w:r>
          </w:p>
        </w:tc>
        <w:tc>
          <w:tcPr>
            <w:tcW w:w="1970" w:type="dxa"/>
            <w:tcBorders>
              <w:top w:val="single" w:sz="4" w:space="0" w:color="auto"/>
              <w:bottom w:val="single" w:sz="4" w:space="0" w:color="auto"/>
            </w:tcBorders>
            <w:shd w:val="clear" w:color="auto" w:fill="FFFFFF" w:themeFill="background1"/>
          </w:tcPr>
          <w:p w14:paraId="33962345"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238</w:t>
            </w:r>
          </w:p>
        </w:tc>
        <w:tc>
          <w:tcPr>
            <w:tcW w:w="1970" w:type="dxa"/>
            <w:tcBorders>
              <w:top w:val="single" w:sz="4" w:space="0" w:color="auto"/>
              <w:bottom w:val="single" w:sz="4" w:space="0" w:color="auto"/>
            </w:tcBorders>
            <w:shd w:val="clear" w:color="auto" w:fill="FFFFFF" w:themeFill="background1"/>
          </w:tcPr>
          <w:p w14:paraId="21D3ECC7"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4</w:t>
            </w:r>
          </w:p>
        </w:tc>
        <w:tc>
          <w:tcPr>
            <w:tcW w:w="1970" w:type="dxa"/>
            <w:tcBorders>
              <w:top w:val="single" w:sz="4" w:space="0" w:color="auto"/>
              <w:bottom w:val="single" w:sz="4" w:space="0" w:color="auto"/>
            </w:tcBorders>
            <w:shd w:val="clear" w:color="auto" w:fill="FFFFFF" w:themeFill="background1"/>
          </w:tcPr>
          <w:p w14:paraId="5A2F588C"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324</w:t>
            </w:r>
          </w:p>
        </w:tc>
        <w:tc>
          <w:tcPr>
            <w:tcW w:w="1970" w:type="dxa"/>
            <w:tcBorders>
              <w:top w:val="single" w:sz="4" w:space="0" w:color="auto"/>
              <w:bottom w:val="single" w:sz="4" w:space="0" w:color="auto"/>
            </w:tcBorders>
            <w:shd w:val="clear" w:color="auto" w:fill="FFFFFF" w:themeFill="background1"/>
          </w:tcPr>
          <w:p w14:paraId="6564CCEC"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6</w:t>
            </w:r>
          </w:p>
        </w:tc>
      </w:tr>
      <w:tr w:rsidR="00F2353C" w:rsidRPr="00394948" w14:paraId="2C0F3BDC" w14:textId="77777777" w:rsidTr="00942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tcBorders>
            <w:shd w:val="clear" w:color="auto" w:fill="FFFFFF" w:themeFill="background1"/>
            <w:vAlign w:val="center"/>
          </w:tcPr>
          <w:p w14:paraId="6079AA16" w14:textId="77777777" w:rsidR="00F2353C" w:rsidRPr="00394948" w:rsidRDefault="00F2353C" w:rsidP="00382D10">
            <w:pPr>
              <w:rPr>
                <w:rFonts w:cstheme="minorHAnsi"/>
                <w:color w:val="000000"/>
                <w:sz w:val="20"/>
                <w:szCs w:val="20"/>
                <w:lang w:eastAsia="en-AU"/>
              </w:rPr>
            </w:pPr>
            <w:r w:rsidRPr="00394948">
              <w:rPr>
                <w:rFonts w:cstheme="minorHAnsi"/>
                <w:color w:val="000000"/>
                <w:sz w:val="20"/>
                <w:szCs w:val="20"/>
                <w:lang w:eastAsia="en-AU"/>
              </w:rPr>
              <w:t>Plateletpheresis</w:t>
            </w:r>
          </w:p>
        </w:tc>
        <w:tc>
          <w:tcPr>
            <w:tcW w:w="1970" w:type="dxa"/>
            <w:tcBorders>
              <w:top w:val="single" w:sz="4" w:space="0" w:color="auto"/>
              <w:bottom w:val="single" w:sz="4" w:space="0" w:color="auto"/>
            </w:tcBorders>
            <w:shd w:val="clear" w:color="auto" w:fill="FFFFFF" w:themeFill="background1"/>
          </w:tcPr>
          <w:p w14:paraId="367F03B5"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9</w:t>
            </w:r>
          </w:p>
        </w:tc>
        <w:tc>
          <w:tcPr>
            <w:tcW w:w="1970" w:type="dxa"/>
            <w:tcBorders>
              <w:top w:val="single" w:sz="4" w:space="0" w:color="auto"/>
              <w:bottom w:val="single" w:sz="4" w:space="0" w:color="auto"/>
            </w:tcBorders>
            <w:shd w:val="clear" w:color="auto" w:fill="FFFFFF" w:themeFill="background1"/>
          </w:tcPr>
          <w:p w14:paraId="41BDF7F1"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2</w:t>
            </w:r>
          </w:p>
        </w:tc>
        <w:tc>
          <w:tcPr>
            <w:tcW w:w="1970" w:type="dxa"/>
            <w:tcBorders>
              <w:top w:val="single" w:sz="4" w:space="0" w:color="auto"/>
              <w:bottom w:val="single" w:sz="4" w:space="0" w:color="auto"/>
            </w:tcBorders>
            <w:shd w:val="clear" w:color="auto" w:fill="FFFFFF" w:themeFill="background1"/>
          </w:tcPr>
          <w:p w14:paraId="2FDDB371"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25</w:t>
            </w:r>
          </w:p>
        </w:tc>
        <w:tc>
          <w:tcPr>
            <w:tcW w:w="1970" w:type="dxa"/>
            <w:tcBorders>
              <w:top w:val="single" w:sz="4" w:space="0" w:color="auto"/>
              <w:bottom w:val="single" w:sz="4" w:space="0" w:color="auto"/>
            </w:tcBorders>
            <w:shd w:val="clear" w:color="auto" w:fill="FFFFFF" w:themeFill="background1"/>
          </w:tcPr>
          <w:p w14:paraId="6739B630" w14:textId="77777777" w:rsidR="00F2353C" w:rsidRPr="00394948" w:rsidRDefault="00F2353C" w:rsidP="00382D1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AU"/>
              </w:rPr>
            </w:pPr>
            <w:r w:rsidRPr="00394948">
              <w:rPr>
                <w:rFonts w:cstheme="minorHAnsi"/>
                <w:sz w:val="20"/>
                <w:szCs w:val="20"/>
              </w:rPr>
              <w:t>7</w:t>
            </w:r>
          </w:p>
        </w:tc>
      </w:tr>
      <w:tr w:rsidR="00F2353C" w:rsidRPr="00394948" w14:paraId="0CD4E67D" w14:textId="77777777" w:rsidTr="00942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tcBorders>
            <w:shd w:val="clear" w:color="auto" w:fill="FFFFFF" w:themeFill="background1"/>
            <w:vAlign w:val="center"/>
          </w:tcPr>
          <w:p w14:paraId="5F783A64" w14:textId="77777777" w:rsidR="00F2353C" w:rsidRPr="00394948" w:rsidRDefault="00F2353C" w:rsidP="00382D10">
            <w:pPr>
              <w:rPr>
                <w:rFonts w:cstheme="minorHAnsi"/>
                <w:color w:val="000000"/>
                <w:sz w:val="20"/>
                <w:szCs w:val="20"/>
                <w:lang w:eastAsia="en-AU"/>
              </w:rPr>
            </w:pPr>
            <w:r w:rsidRPr="00394948">
              <w:rPr>
                <w:rFonts w:cstheme="minorHAnsi"/>
                <w:color w:val="000000"/>
                <w:sz w:val="20"/>
                <w:szCs w:val="20"/>
                <w:lang w:eastAsia="en-AU"/>
              </w:rPr>
              <w:t>Total</w:t>
            </w:r>
          </w:p>
        </w:tc>
        <w:tc>
          <w:tcPr>
            <w:tcW w:w="1970" w:type="dxa"/>
            <w:tcBorders>
              <w:top w:val="single" w:sz="4" w:space="0" w:color="auto"/>
              <w:bottom w:val="single" w:sz="4" w:space="0" w:color="auto"/>
            </w:tcBorders>
            <w:shd w:val="clear" w:color="auto" w:fill="FFFFFF" w:themeFill="background1"/>
          </w:tcPr>
          <w:p w14:paraId="2264F582"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20"/>
                <w:szCs w:val="20"/>
                <w:lang w:eastAsia="en-AU"/>
              </w:rPr>
            </w:pPr>
            <w:r w:rsidRPr="00394948">
              <w:rPr>
                <w:rFonts w:cstheme="minorHAnsi"/>
                <w:b/>
                <w:sz w:val="20"/>
                <w:szCs w:val="20"/>
              </w:rPr>
              <w:t>826</w:t>
            </w:r>
          </w:p>
        </w:tc>
        <w:tc>
          <w:tcPr>
            <w:tcW w:w="1970" w:type="dxa"/>
            <w:tcBorders>
              <w:top w:val="single" w:sz="4" w:space="0" w:color="auto"/>
              <w:bottom w:val="single" w:sz="4" w:space="0" w:color="auto"/>
            </w:tcBorders>
            <w:shd w:val="clear" w:color="auto" w:fill="FFFFFF" w:themeFill="background1"/>
          </w:tcPr>
          <w:p w14:paraId="162B3447"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20"/>
                <w:szCs w:val="20"/>
                <w:lang w:eastAsia="en-AU"/>
              </w:rPr>
            </w:pPr>
            <w:r w:rsidRPr="00394948">
              <w:rPr>
                <w:rFonts w:cstheme="minorHAnsi"/>
                <w:b/>
                <w:sz w:val="20"/>
                <w:szCs w:val="20"/>
              </w:rPr>
              <w:t>6</w:t>
            </w:r>
          </w:p>
        </w:tc>
        <w:tc>
          <w:tcPr>
            <w:tcW w:w="1970" w:type="dxa"/>
            <w:tcBorders>
              <w:top w:val="single" w:sz="4" w:space="0" w:color="auto"/>
              <w:bottom w:val="single" w:sz="4" w:space="0" w:color="auto"/>
            </w:tcBorders>
            <w:shd w:val="clear" w:color="auto" w:fill="FFFFFF" w:themeFill="background1"/>
          </w:tcPr>
          <w:p w14:paraId="1281362D"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20"/>
                <w:szCs w:val="20"/>
                <w:lang w:eastAsia="en-AU"/>
              </w:rPr>
            </w:pPr>
            <w:r w:rsidRPr="00394948">
              <w:rPr>
                <w:rFonts w:cstheme="minorHAnsi"/>
                <w:b/>
                <w:sz w:val="20"/>
                <w:szCs w:val="20"/>
              </w:rPr>
              <w:t>1,001</w:t>
            </w:r>
          </w:p>
        </w:tc>
        <w:tc>
          <w:tcPr>
            <w:tcW w:w="1970" w:type="dxa"/>
            <w:tcBorders>
              <w:top w:val="single" w:sz="4" w:space="0" w:color="auto"/>
              <w:bottom w:val="single" w:sz="4" w:space="0" w:color="auto"/>
            </w:tcBorders>
            <w:shd w:val="clear" w:color="auto" w:fill="FFFFFF" w:themeFill="background1"/>
          </w:tcPr>
          <w:p w14:paraId="02082089" w14:textId="77777777" w:rsidR="00F2353C" w:rsidRPr="00394948" w:rsidRDefault="00F2353C" w:rsidP="00382D10">
            <w:pPr>
              <w:jc w:val="right"/>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0000"/>
                <w:sz w:val="20"/>
                <w:szCs w:val="20"/>
                <w:lang w:eastAsia="en-AU"/>
              </w:rPr>
            </w:pPr>
            <w:r w:rsidRPr="00394948">
              <w:rPr>
                <w:rFonts w:cstheme="minorHAnsi"/>
                <w:b/>
                <w:sz w:val="20"/>
                <w:szCs w:val="20"/>
              </w:rPr>
              <w:t>8</w:t>
            </w:r>
          </w:p>
        </w:tc>
      </w:tr>
    </w:tbl>
    <w:p w14:paraId="5E9AFE29" w14:textId="338442BB" w:rsidR="00B72B9A" w:rsidRPr="00394948" w:rsidRDefault="00F2353C" w:rsidP="00B72B9A">
      <w:pPr>
        <w:tabs>
          <w:tab w:val="left" w:pos="3080"/>
        </w:tabs>
        <w:spacing w:before="200"/>
        <w:rPr>
          <w:rStyle w:val="SubtleEmphasis"/>
          <w:rFonts w:cstheme="minorHAnsi"/>
        </w:rPr>
      </w:pPr>
      <w:r w:rsidRPr="00394948">
        <w:rPr>
          <w:rStyle w:val="SubtleEmphasis"/>
          <w:rFonts w:cstheme="minorHAnsi"/>
          <w:color w:val="000000" w:themeColor="text1"/>
        </w:rPr>
        <w:t>Hospital referral rates have fallen steadily in whole blood donors since 2014 -15 and has remained stable</w:t>
      </w:r>
      <w:r w:rsidR="00B72B9A" w:rsidRPr="00394948">
        <w:rPr>
          <w:rStyle w:val="SubtleEmphasis"/>
          <w:rFonts w:cstheme="minorHAnsi"/>
          <w:color w:val="000000" w:themeColor="text1"/>
        </w:rPr>
        <w:t xml:space="preserve"> in apheresis donors. (Refer </w:t>
      </w:r>
      <w:r w:rsidR="00B72B9A" w:rsidRPr="00D00B62">
        <w:rPr>
          <w:rStyle w:val="SubtleEmphasis"/>
          <w:rFonts w:cstheme="minorHAnsi"/>
          <w:color w:val="000000" w:themeColor="text1"/>
        </w:rPr>
        <w:t xml:space="preserve">to </w:t>
      </w:r>
      <w:r w:rsidR="00535EEE" w:rsidRPr="00D00B62">
        <w:rPr>
          <w:rStyle w:val="SubtleEmphasis"/>
          <w:rFonts w:cstheme="minorHAnsi"/>
          <w:b/>
          <w:i w:val="0"/>
          <w:color w:val="000000" w:themeColor="text1"/>
          <w:sz w:val="20"/>
          <w:szCs w:val="20"/>
        </w:rPr>
        <w:t xml:space="preserve">Table </w:t>
      </w:r>
      <w:r w:rsidR="00942707" w:rsidRPr="00D00B62">
        <w:rPr>
          <w:rStyle w:val="SubtleEmphasis"/>
          <w:rFonts w:cstheme="minorHAnsi"/>
          <w:b/>
          <w:i w:val="0"/>
          <w:color w:val="000000" w:themeColor="text1"/>
          <w:sz w:val="20"/>
          <w:szCs w:val="20"/>
        </w:rPr>
        <w:t>43</w:t>
      </w:r>
      <w:r w:rsidR="00942707" w:rsidRPr="00394948">
        <w:rPr>
          <w:rStyle w:val="SubtleEmphasis"/>
          <w:rFonts w:cstheme="minorHAnsi"/>
          <w:color w:val="000000" w:themeColor="text1"/>
        </w:rPr>
        <w:t xml:space="preserve"> </w:t>
      </w:r>
      <w:r w:rsidRPr="00394948">
        <w:rPr>
          <w:rStyle w:val="SubtleEmphasis"/>
          <w:rFonts w:cstheme="minorHAnsi"/>
          <w:color w:val="000000" w:themeColor="text1"/>
        </w:rPr>
        <w:t>below).</w:t>
      </w:r>
      <w:r w:rsidRPr="00394948">
        <w:rPr>
          <w:rStyle w:val="SubtleEmphasis"/>
          <w:rFonts w:cstheme="minorHAnsi"/>
        </w:rPr>
        <w:t xml:space="preserve"> </w:t>
      </w:r>
      <w:bookmarkStart w:id="112" w:name="_Ref523127468"/>
    </w:p>
    <w:p w14:paraId="7B1556EE" w14:textId="77777777" w:rsidR="00B72B9A" w:rsidRPr="00394948" w:rsidRDefault="00B72B9A">
      <w:pPr>
        <w:spacing w:line="276" w:lineRule="auto"/>
        <w:rPr>
          <w:rStyle w:val="SubtleEmphasis"/>
          <w:rFonts w:cstheme="minorHAnsi"/>
        </w:rPr>
      </w:pPr>
      <w:r w:rsidRPr="00394948">
        <w:rPr>
          <w:rStyle w:val="SubtleEmphasis"/>
          <w:rFonts w:cstheme="minorHAnsi"/>
        </w:rPr>
        <w:br w:type="page"/>
      </w:r>
    </w:p>
    <w:bookmarkEnd w:id="112"/>
    <w:p w14:paraId="7CB4D687" w14:textId="15AF0A7B" w:rsidR="00F2353C" w:rsidRPr="00394948" w:rsidRDefault="00F2353C" w:rsidP="00B72B9A">
      <w:pPr>
        <w:tabs>
          <w:tab w:val="left" w:pos="3080"/>
        </w:tabs>
        <w:spacing w:before="200"/>
        <w:rPr>
          <w:rFonts w:cstheme="minorHAnsi"/>
          <w:b/>
          <w:sz w:val="20"/>
          <w:szCs w:val="20"/>
        </w:rPr>
      </w:pPr>
    </w:p>
    <w:p w14:paraId="24C1E1CC" w14:textId="52B6BF69" w:rsidR="00942707" w:rsidRPr="00F37ADB" w:rsidRDefault="00942707" w:rsidP="00942707">
      <w:pPr>
        <w:pStyle w:val="Caption"/>
        <w:keepNext/>
        <w:spacing w:after="0"/>
        <w:rPr>
          <w:color w:val="auto"/>
        </w:rPr>
      </w:pPr>
      <w:bookmarkStart w:id="113" w:name="_Toc36208193"/>
      <w:bookmarkStart w:id="114" w:name="_Toc41909335"/>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43</w:t>
      </w:r>
      <w:r w:rsidRPr="00F37ADB">
        <w:rPr>
          <w:color w:val="auto"/>
        </w:rPr>
        <w:fldChar w:fldCharType="end"/>
      </w:r>
      <w:r w:rsidRPr="00F37ADB">
        <w:rPr>
          <w:color w:val="auto"/>
        </w:rPr>
        <w:t>: The rate per 10,000 donations and total numbers of adverse donor reactions (in bracket) requiring hospital attendance, 2012-13 to 2016-17</w:t>
      </w:r>
      <w:bookmarkEnd w:id="113"/>
      <w:bookmarkEnd w:id="114"/>
    </w:p>
    <w:tbl>
      <w:tblPr>
        <w:tblW w:w="9087" w:type="dxa"/>
        <w:tblInd w:w="93" w:type="dxa"/>
        <w:tblLayout w:type="fixed"/>
        <w:tblLook w:val="04A0" w:firstRow="1" w:lastRow="0" w:firstColumn="1" w:lastColumn="0" w:noHBand="0" w:noVBand="1"/>
      </w:tblPr>
      <w:tblGrid>
        <w:gridCol w:w="2567"/>
        <w:gridCol w:w="1644"/>
        <w:gridCol w:w="1219"/>
        <w:gridCol w:w="1219"/>
        <w:gridCol w:w="1219"/>
        <w:gridCol w:w="1219"/>
      </w:tblGrid>
      <w:tr w:rsidR="00F2353C" w:rsidRPr="00394948" w14:paraId="463D4505" w14:textId="77777777" w:rsidTr="00382D10">
        <w:trPr>
          <w:trHeight w:val="315"/>
        </w:trPr>
        <w:tc>
          <w:tcPr>
            <w:tcW w:w="2567" w:type="dxa"/>
            <w:tcBorders>
              <w:top w:val="nil"/>
              <w:left w:val="nil"/>
              <w:bottom w:val="nil"/>
              <w:right w:val="nil"/>
            </w:tcBorders>
            <w:shd w:val="clear" w:color="000000" w:fill="FF0000"/>
            <w:noWrap/>
            <w:vAlign w:val="bottom"/>
            <w:hideMark/>
          </w:tcPr>
          <w:p w14:paraId="4096F2CD" w14:textId="77777777" w:rsidR="00F2353C" w:rsidRPr="00394948" w:rsidRDefault="00F2353C" w:rsidP="00382D10">
            <w:pPr>
              <w:spacing w:after="0"/>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Procedure</w:t>
            </w:r>
          </w:p>
        </w:tc>
        <w:tc>
          <w:tcPr>
            <w:tcW w:w="1644" w:type="dxa"/>
            <w:tcBorders>
              <w:top w:val="nil"/>
              <w:left w:val="nil"/>
              <w:bottom w:val="nil"/>
              <w:right w:val="nil"/>
            </w:tcBorders>
            <w:shd w:val="clear" w:color="000000" w:fill="FF0000"/>
            <w:noWrap/>
            <w:vAlign w:val="center"/>
            <w:hideMark/>
          </w:tcPr>
          <w:p w14:paraId="79ED82C1" w14:textId="2EB6E5AA"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2012–13</w:t>
            </w:r>
          </w:p>
        </w:tc>
        <w:tc>
          <w:tcPr>
            <w:tcW w:w="1219" w:type="dxa"/>
            <w:tcBorders>
              <w:top w:val="nil"/>
              <w:left w:val="nil"/>
              <w:bottom w:val="nil"/>
              <w:right w:val="nil"/>
            </w:tcBorders>
            <w:shd w:val="clear" w:color="000000" w:fill="FF0000"/>
            <w:noWrap/>
            <w:vAlign w:val="center"/>
            <w:hideMark/>
          </w:tcPr>
          <w:p w14:paraId="27BE0F9D"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2013–14</w:t>
            </w:r>
          </w:p>
        </w:tc>
        <w:tc>
          <w:tcPr>
            <w:tcW w:w="1219" w:type="dxa"/>
            <w:tcBorders>
              <w:top w:val="nil"/>
              <w:left w:val="nil"/>
              <w:bottom w:val="nil"/>
              <w:right w:val="nil"/>
            </w:tcBorders>
            <w:shd w:val="clear" w:color="000000" w:fill="FF0000"/>
            <w:noWrap/>
            <w:vAlign w:val="center"/>
            <w:hideMark/>
          </w:tcPr>
          <w:p w14:paraId="4169CA49"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2014-15</w:t>
            </w:r>
          </w:p>
        </w:tc>
        <w:tc>
          <w:tcPr>
            <w:tcW w:w="1219" w:type="dxa"/>
            <w:tcBorders>
              <w:top w:val="nil"/>
              <w:left w:val="nil"/>
              <w:bottom w:val="nil"/>
              <w:right w:val="nil"/>
            </w:tcBorders>
            <w:shd w:val="clear" w:color="000000" w:fill="FF0000"/>
            <w:noWrap/>
            <w:vAlign w:val="center"/>
            <w:hideMark/>
          </w:tcPr>
          <w:p w14:paraId="12821A9B"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2015-16</w:t>
            </w:r>
          </w:p>
        </w:tc>
        <w:tc>
          <w:tcPr>
            <w:tcW w:w="1219" w:type="dxa"/>
            <w:tcBorders>
              <w:top w:val="nil"/>
              <w:left w:val="nil"/>
              <w:bottom w:val="nil"/>
              <w:right w:val="nil"/>
            </w:tcBorders>
            <w:shd w:val="clear" w:color="000000" w:fill="FF0000"/>
            <w:noWrap/>
            <w:vAlign w:val="center"/>
            <w:hideMark/>
          </w:tcPr>
          <w:p w14:paraId="244355BF"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2016-17</w:t>
            </w:r>
          </w:p>
        </w:tc>
      </w:tr>
      <w:tr w:rsidR="00F2353C" w:rsidRPr="00394948" w:rsidDel="006D0DC8" w14:paraId="787C5112" w14:textId="77777777" w:rsidTr="00382D10">
        <w:trPr>
          <w:trHeight w:val="315"/>
        </w:trPr>
        <w:tc>
          <w:tcPr>
            <w:tcW w:w="2567" w:type="dxa"/>
            <w:tcBorders>
              <w:top w:val="nil"/>
              <w:left w:val="nil"/>
              <w:bottom w:val="single" w:sz="8" w:space="0" w:color="auto"/>
              <w:right w:val="nil"/>
            </w:tcBorders>
            <w:shd w:val="clear" w:color="auto" w:fill="auto"/>
            <w:noWrap/>
            <w:vAlign w:val="bottom"/>
            <w:hideMark/>
          </w:tcPr>
          <w:p w14:paraId="378DB958" w14:textId="77777777" w:rsidR="00F2353C" w:rsidRPr="00394948" w:rsidRDefault="00F2353C" w:rsidP="00382D10">
            <w:pPr>
              <w:spacing w:after="0"/>
              <w:rPr>
                <w:rFonts w:eastAsia="Times New Roman" w:cstheme="minorHAnsi"/>
                <w:b/>
                <w:bCs/>
                <w:color w:val="000000"/>
                <w:sz w:val="20"/>
                <w:szCs w:val="20"/>
                <w:lang w:eastAsia="zh-CN"/>
              </w:rPr>
            </w:pPr>
            <w:r w:rsidRPr="00394948">
              <w:rPr>
                <w:rFonts w:eastAsia="Times New Roman" w:cstheme="minorHAnsi"/>
                <w:b/>
                <w:bCs/>
                <w:color w:val="000000"/>
                <w:sz w:val="20"/>
                <w:szCs w:val="20"/>
                <w:lang w:eastAsia="zh-CN"/>
              </w:rPr>
              <w:t>Whole Blood</w:t>
            </w:r>
          </w:p>
        </w:tc>
        <w:tc>
          <w:tcPr>
            <w:tcW w:w="1644" w:type="dxa"/>
            <w:tcBorders>
              <w:top w:val="nil"/>
              <w:left w:val="nil"/>
              <w:bottom w:val="single" w:sz="8" w:space="0" w:color="auto"/>
              <w:right w:val="nil"/>
            </w:tcBorders>
            <w:shd w:val="clear" w:color="auto" w:fill="auto"/>
            <w:noWrap/>
            <w:vAlign w:val="bottom"/>
            <w:hideMark/>
          </w:tcPr>
          <w:p w14:paraId="530C275B"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4 (348)</w:t>
            </w:r>
          </w:p>
        </w:tc>
        <w:tc>
          <w:tcPr>
            <w:tcW w:w="1219" w:type="dxa"/>
            <w:tcBorders>
              <w:top w:val="nil"/>
              <w:left w:val="nil"/>
              <w:bottom w:val="single" w:sz="8" w:space="0" w:color="auto"/>
              <w:right w:val="nil"/>
            </w:tcBorders>
            <w:shd w:val="clear" w:color="auto" w:fill="auto"/>
            <w:noWrap/>
            <w:vAlign w:val="bottom"/>
            <w:hideMark/>
          </w:tcPr>
          <w:p w14:paraId="144EA55A"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5 (356)</w:t>
            </w:r>
          </w:p>
        </w:tc>
        <w:tc>
          <w:tcPr>
            <w:tcW w:w="1219" w:type="dxa"/>
            <w:tcBorders>
              <w:top w:val="nil"/>
              <w:left w:val="nil"/>
              <w:bottom w:val="single" w:sz="8" w:space="0" w:color="auto"/>
              <w:right w:val="nil"/>
            </w:tcBorders>
            <w:shd w:val="clear" w:color="auto" w:fill="auto"/>
            <w:noWrap/>
            <w:vAlign w:val="bottom"/>
            <w:hideMark/>
          </w:tcPr>
          <w:p w14:paraId="282A38A0"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10 (761)</w:t>
            </w:r>
          </w:p>
        </w:tc>
        <w:tc>
          <w:tcPr>
            <w:tcW w:w="1219" w:type="dxa"/>
            <w:tcBorders>
              <w:top w:val="nil"/>
              <w:left w:val="nil"/>
              <w:bottom w:val="single" w:sz="8" w:space="0" w:color="auto"/>
              <w:right w:val="nil"/>
            </w:tcBorders>
            <w:shd w:val="clear" w:color="auto" w:fill="auto"/>
            <w:noWrap/>
            <w:vAlign w:val="bottom"/>
            <w:hideMark/>
          </w:tcPr>
          <w:p w14:paraId="76CB1E2D"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9 (653)</w:t>
            </w:r>
          </w:p>
        </w:tc>
        <w:tc>
          <w:tcPr>
            <w:tcW w:w="1219" w:type="dxa"/>
            <w:tcBorders>
              <w:top w:val="nil"/>
              <w:left w:val="nil"/>
              <w:bottom w:val="single" w:sz="8" w:space="0" w:color="auto"/>
              <w:right w:val="nil"/>
            </w:tcBorders>
            <w:shd w:val="clear" w:color="auto" w:fill="auto"/>
            <w:noWrap/>
            <w:vAlign w:val="bottom"/>
            <w:hideMark/>
          </w:tcPr>
          <w:p w14:paraId="69518C32" w14:textId="77777777" w:rsidR="00F2353C" w:rsidRPr="00394948" w:rsidDel="006D0DC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8 (579)</w:t>
            </w:r>
          </w:p>
        </w:tc>
      </w:tr>
      <w:tr w:rsidR="00F2353C" w:rsidRPr="00394948" w:rsidDel="006D0DC8" w14:paraId="0E3B5C8B" w14:textId="77777777" w:rsidTr="00382D10">
        <w:trPr>
          <w:trHeight w:val="315"/>
        </w:trPr>
        <w:tc>
          <w:tcPr>
            <w:tcW w:w="2567" w:type="dxa"/>
            <w:tcBorders>
              <w:top w:val="nil"/>
              <w:left w:val="nil"/>
              <w:bottom w:val="single" w:sz="8" w:space="0" w:color="auto"/>
              <w:right w:val="nil"/>
            </w:tcBorders>
            <w:shd w:val="clear" w:color="000000" w:fill="FFFFFF"/>
            <w:noWrap/>
            <w:vAlign w:val="bottom"/>
            <w:hideMark/>
          </w:tcPr>
          <w:p w14:paraId="543F29DB" w14:textId="77777777" w:rsidR="00F2353C" w:rsidRPr="00394948" w:rsidRDefault="00F2353C" w:rsidP="00382D10">
            <w:pPr>
              <w:spacing w:after="0"/>
              <w:rPr>
                <w:rFonts w:eastAsia="Times New Roman" w:cstheme="minorHAnsi"/>
                <w:b/>
                <w:bCs/>
                <w:color w:val="000000"/>
                <w:sz w:val="20"/>
                <w:szCs w:val="20"/>
                <w:lang w:eastAsia="zh-CN"/>
              </w:rPr>
            </w:pPr>
            <w:r w:rsidRPr="00394948">
              <w:rPr>
                <w:rFonts w:eastAsia="Times New Roman" w:cstheme="minorHAnsi"/>
                <w:b/>
                <w:bCs/>
                <w:color w:val="000000"/>
                <w:sz w:val="20"/>
                <w:szCs w:val="20"/>
                <w:lang w:eastAsia="zh-CN"/>
              </w:rPr>
              <w:t>All apheresis procedures</w:t>
            </w:r>
          </w:p>
        </w:tc>
        <w:tc>
          <w:tcPr>
            <w:tcW w:w="1644" w:type="dxa"/>
            <w:tcBorders>
              <w:top w:val="nil"/>
              <w:left w:val="nil"/>
              <w:bottom w:val="single" w:sz="8" w:space="0" w:color="auto"/>
              <w:right w:val="nil"/>
            </w:tcBorders>
            <w:shd w:val="clear" w:color="auto" w:fill="auto"/>
            <w:noWrap/>
            <w:vAlign w:val="bottom"/>
            <w:hideMark/>
          </w:tcPr>
          <w:p w14:paraId="16359C64"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8 (124)</w:t>
            </w:r>
          </w:p>
        </w:tc>
        <w:tc>
          <w:tcPr>
            <w:tcW w:w="1219" w:type="dxa"/>
            <w:tcBorders>
              <w:top w:val="nil"/>
              <w:left w:val="nil"/>
              <w:bottom w:val="single" w:sz="8" w:space="0" w:color="auto"/>
              <w:right w:val="nil"/>
            </w:tcBorders>
            <w:shd w:val="clear" w:color="auto" w:fill="auto"/>
            <w:noWrap/>
            <w:vAlign w:val="bottom"/>
            <w:hideMark/>
          </w:tcPr>
          <w:p w14:paraId="21BD5609"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3 (136)</w:t>
            </w:r>
          </w:p>
        </w:tc>
        <w:tc>
          <w:tcPr>
            <w:tcW w:w="1219" w:type="dxa"/>
            <w:tcBorders>
              <w:top w:val="nil"/>
              <w:left w:val="nil"/>
              <w:bottom w:val="single" w:sz="8" w:space="0" w:color="auto"/>
              <w:right w:val="nil"/>
            </w:tcBorders>
            <w:shd w:val="clear" w:color="auto" w:fill="auto"/>
            <w:noWrap/>
            <w:vAlign w:val="bottom"/>
            <w:hideMark/>
          </w:tcPr>
          <w:p w14:paraId="779A6976"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4 (226)</w:t>
            </w:r>
          </w:p>
        </w:tc>
        <w:tc>
          <w:tcPr>
            <w:tcW w:w="1219" w:type="dxa"/>
            <w:tcBorders>
              <w:top w:val="nil"/>
              <w:left w:val="nil"/>
              <w:bottom w:val="single" w:sz="8" w:space="0" w:color="auto"/>
              <w:right w:val="nil"/>
            </w:tcBorders>
            <w:shd w:val="clear" w:color="auto" w:fill="auto"/>
            <w:noWrap/>
            <w:vAlign w:val="bottom"/>
            <w:hideMark/>
          </w:tcPr>
          <w:p w14:paraId="79CCDE08"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4 (247)</w:t>
            </w:r>
          </w:p>
        </w:tc>
        <w:tc>
          <w:tcPr>
            <w:tcW w:w="1219" w:type="dxa"/>
            <w:tcBorders>
              <w:top w:val="nil"/>
              <w:left w:val="nil"/>
              <w:bottom w:val="single" w:sz="8" w:space="0" w:color="auto"/>
              <w:right w:val="nil"/>
            </w:tcBorders>
            <w:shd w:val="clear" w:color="auto" w:fill="auto"/>
            <w:noWrap/>
            <w:vAlign w:val="bottom"/>
            <w:hideMark/>
          </w:tcPr>
          <w:p w14:paraId="436ED703" w14:textId="77777777" w:rsidR="00F2353C" w:rsidRPr="00394948" w:rsidDel="006D0DC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4 (247)</w:t>
            </w:r>
          </w:p>
        </w:tc>
      </w:tr>
      <w:tr w:rsidR="00F2353C" w:rsidRPr="00394948" w:rsidDel="006D0DC8" w14:paraId="5D99395C" w14:textId="77777777" w:rsidTr="00382D10">
        <w:trPr>
          <w:trHeight w:val="315"/>
        </w:trPr>
        <w:tc>
          <w:tcPr>
            <w:tcW w:w="2567" w:type="dxa"/>
            <w:tcBorders>
              <w:top w:val="nil"/>
              <w:left w:val="nil"/>
              <w:bottom w:val="single" w:sz="8" w:space="0" w:color="auto"/>
              <w:right w:val="nil"/>
            </w:tcBorders>
            <w:shd w:val="clear" w:color="000000" w:fill="FFFFFF"/>
            <w:noWrap/>
            <w:vAlign w:val="center"/>
            <w:hideMark/>
          </w:tcPr>
          <w:p w14:paraId="1659FACB" w14:textId="77777777" w:rsidR="00F2353C" w:rsidRPr="00394948" w:rsidRDefault="00F2353C" w:rsidP="00382D10">
            <w:pPr>
              <w:spacing w:after="0"/>
              <w:rPr>
                <w:rFonts w:eastAsia="Times New Roman" w:cstheme="minorHAnsi"/>
                <w:b/>
                <w:bCs/>
                <w:i/>
                <w:iCs/>
                <w:color w:val="000000"/>
                <w:sz w:val="20"/>
                <w:szCs w:val="20"/>
                <w:lang w:eastAsia="zh-CN"/>
              </w:rPr>
            </w:pPr>
            <w:r w:rsidRPr="00394948">
              <w:rPr>
                <w:rFonts w:eastAsia="Times New Roman" w:cstheme="minorHAnsi"/>
                <w:b/>
                <w:bCs/>
                <w:i/>
                <w:iCs/>
                <w:color w:val="000000"/>
                <w:sz w:val="20"/>
                <w:szCs w:val="20"/>
                <w:lang w:eastAsia="zh-CN"/>
              </w:rPr>
              <w:t xml:space="preserve">                      Plasmapheresis</w:t>
            </w:r>
          </w:p>
        </w:tc>
        <w:tc>
          <w:tcPr>
            <w:tcW w:w="1644" w:type="dxa"/>
            <w:tcBorders>
              <w:top w:val="nil"/>
              <w:left w:val="nil"/>
              <w:bottom w:val="single" w:sz="8" w:space="0" w:color="auto"/>
              <w:right w:val="nil"/>
            </w:tcBorders>
            <w:shd w:val="clear" w:color="auto" w:fill="auto"/>
            <w:noWrap/>
            <w:vAlign w:val="bottom"/>
            <w:hideMark/>
          </w:tcPr>
          <w:p w14:paraId="14F6FD5D"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2 (105)</w:t>
            </w:r>
          </w:p>
        </w:tc>
        <w:tc>
          <w:tcPr>
            <w:tcW w:w="1219" w:type="dxa"/>
            <w:tcBorders>
              <w:top w:val="nil"/>
              <w:left w:val="nil"/>
              <w:bottom w:val="single" w:sz="8" w:space="0" w:color="auto"/>
              <w:right w:val="nil"/>
            </w:tcBorders>
            <w:shd w:val="clear" w:color="auto" w:fill="auto"/>
            <w:noWrap/>
            <w:vAlign w:val="bottom"/>
            <w:hideMark/>
          </w:tcPr>
          <w:p w14:paraId="6262946D"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2 (120)</w:t>
            </w:r>
          </w:p>
        </w:tc>
        <w:tc>
          <w:tcPr>
            <w:tcW w:w="1219" w:type="dxa"/>
            <w:tcBorders>
              <w:top w:val="nil"/>
              <w:left w:val="nil"/>
              <w:bottom w:val="single" w:sz="8" w:space="0" w:color="auto"/>
              <w:right w:val="nil"/>
            </w:tcBorders>
            <w:shd w:val="clear" w:color="auto" w:fill="auto"/>
            <w:noWrap/>
            <w:vAlign w:val="bottom"/>
            <w:hideMark/>
          </w:tcPr>
          <w:p w14:paraId="7AE509E9"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4 (191)</w:t>
            </w:r>
          </w:p>
        </w:tc>
        <w:tc>
          <w:tcPr>
            <w:tcW w:w="1219" w:type="dxa"/>
            <w:tcBorders>
              <w:top w:val="nil"/>
              <w:left w:val="nil"/>
              <w:bottom w:val="single" w:sz="8" w:space="0" w:color="auto"/>
              <w:right w:val="nil"/>
            </w:tcBorders>
            <w:shd w:val="clear" w:color="auto" w:fill="auto"/>
            <w:noWrap/>
            <w:vAlign w:val="bottom"/>
            <w:hideMark/>
          </w:tcPr>
          <w:p w14:paraId="3FBA3A90"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4 (224)</w:t>
            </w:r>
          </w:p>
        </w:tc>
        <w:tc>
          <w:tcPr>
            <w:tcW w:w="1219" w:type="dxa"/>
            <w:tcBorders>
              <w:top w:val="nil"/>
              <w:left w:val="nil"/>
              <w:bottom w:val="single" w:sz="8" w:space="0" w:color="auto"/>
              <w:right w:val="nil"/>
            </w:tcBorders>
            <w:shd w:val="clear" w:color="auto" w:fill="auto"/>
            <w:noWrap/>
            <w:vAlign w:val="bottom"/>
            <w:hideMark/>
          </w:tcPr>
          <w:p w14:paraId="66657728" w14:textId="77777777" w:rsidR="00F2353C" w:rsidRPr="00394948" w:rsidDel="006D0DC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4 (238)</w:t>
            </w:r>
          </w:p>
        </w:tc>
      </w:tr>
      <w:tr w:rsidR="00F2353C" w:rsidRPr="00394948" w:rsidDel="006D0DC8" w14:paraId="53048D36" w14:textId="77777777" w:rsidTr="00382D10">
        <w:trPr>
          <w:trHeight w:val="315"/>
        </w:trPr>
        <w:tc>
          <w:tcPr>
            <w:tcW w:w="2567" w:type="dxa"/>
            <w:tcBorders>
              <w:top w:val="nil"/>
              <w:left w:val="nil"/>
              <w:bottom w:val="single" w:sz="8" w:space="0" w:color="auto"/>
              <w:right w:val="nil"/>
            </w:tcBorders>
            <w:shd w:val="clear" w:color="auto" w:fill="auto"/>
            <w:noWrap/>
            <w:vAlign w:val="center"/>
            <w:hideMark/>
          </w:tcPr>
          <w:p w14:paraId="5A3A539D" w14:textId="77777777" w:rsidR="00F2353C" w:rsidRPr="00394948" w:rsidRDefault="00F2353C" w:rsidP="00382D10">
            <w:pPr>
              <w:spacing w:after="0"/>
              <w:rPr>
                <w:rFonts w:eastAsia="Times New Roman" w:cstheme="minorHAnsi"/>
                <w:b/>
                <w:bCs/>
                <w:i/>
                <w:iCs/>
                <w:color w:val="000000"/>
                <w:sz w:val="20"/>
                <w:szCs w:val="20"/>
                <w:lang w:eastAsia="zh-CN"/>
              </w:rPr>
            </w:pPr>
            <w:r w:rsidRPr="00394948">
              <w:rPr>
                <w:rFonts w:eastAsia="Times New Roman" w:cstheme="minorHAnsi"/>
                <w:b/>
                <w:bCs/>
                <w:i/>
                <w:iCs/>
                <w:color w:val="000000"/>
                <w:sz w:val="20"/>
                <w:szCs w:val="20"/>
                <w:lang w:eastAsia="zh-CN"/>
              </w:rPr>
              <w:t xml:space="preserve">                      Plateletpheresis</w:t>
            </w:r>
          </w:p>
        </w:tc>
        <w:tc>
          <w:tcPr>
            <w:tcW w:w="1644" w:type="dxa"/>
            <w:tcBorders>
              <w:top w:val="nil"/>
              <w:left w:val="nil"/>
              <w:bottom w:val="single" w:sz="8" w:space="0" w:color="auto"/>
              <w:right w:val="nil"/>
            </w:tcBorders>
            <w:shd w:val="clear" w:color="auto" w:fill="auto"/>
            <w:noWrap/>
            <w:vAlign w:val="bottom"/>
            <w:hideMark/>
          </w:tcPr>
          <w:p w14:paraId="0AA69C09"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5 (19)</w:t>
            </w:r>
          </w:p>
        </w:tc>
        <w:tc>
          <w:tcPr>
            <w:tcW w:w="1219" w:type="dxa"/>
            <w:tcBorders>
              <w:top w:val="nil"/>
              <w:left w:val="nil"/>
              <w:bottom w:val="single" w:sz="8" w:space="0" w:color="auto"/>
              <w:right w:val="nil"/>
            </w:tcBorders>
            <w:shd w:val="clear" w:color="auto" w:fill="auto"/>
            <w:noWrap/>
            <w:vAlign w:val="bottom"/>
            <w:hideMark/>
          </w:tcPr>
          <w:p w14:paraId="34BCAB42"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4 (16)</w:t>
            </w:r>
          </w:p>
        </w:tc>
        <w:tc>
          <w:tcPr>
            <w:tcW w:w="1219" w:type="dxa"/>
            <w:tcBorders>
              <w:top w:val="nil"/>
              <w:left w:val="nil"/>
              <w:bottom w:val="single" w:sz="8" w:space="0" w:color="auto"/>
              <w:right w:val="nil"/>
            </w:tcBorders>
            <w:shd w:val="clear" w:color="auto" w:fill="auto"/>
            <w:noWrap/>
            <w:vAlign w:val="bottom"/>
            <w:hideMark/>
          </w:tcPr>
          <w:p w14:paraId="4502E056"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cstheme="minorHAnsi"/>
                <w:sz w:val="20"/>
                <w:szCs w:val="20"/>
              </w:rPr>
              <w:t>9 (35)</w:t>
            </w:r>
          </w:p>
        </w:tc>
        <w:tc>
          <w:tcPr>
            <w:tcW w:w="1219" w:type="dxa"/>
            <w:tcBorders>
              <w:top w:val="nil"/>
              <w:left w:val="nil"/>
              <w:bottom w:val="single" w:sz="8" w:space="0" w:color="auto"/>
              <w:right w:val="nil"/>
            </w:tcBorders>
            <w:shd w:val="clear" w:color="auto" w:fill="auto"/>
            <w:noWrap/>
            <w:vAlign w:val="bottom"/>
            <w:hideMark/>
          </w:tcPr>
          <w:p w14:paraId="1A652986" w14:textId="77777777" w:rsidR="00F2353C" w:rsidRPr="0039494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6 (23)</w:t>
            </w:r>
          </w:p>
        </w:tc>
        <w:tc>
          <w:tcPr>
            <w:tcW w:w="1219" w:type="dxa"/>
            <w:tcBorders>
              <w:top w:val="nil"/>
              <w:left w:val="nil"/>
              <w:bottom w:val="single" w:sz="8" w:space="0" w:color="auto"/>
              <w:right w:val="nil"/>
            </w:tcBorders>
            <w:shd w:val="clear" w:color="auto" w:fill="auto"/>
            <w:noWrap/>
            <w:vAlign w:val="bottom"/>
            <w:hideMark/>
          </w:tcPr>
          <w:p w14:paraId="35F6AAD5" w14:textId="77777777" w:rsidR="00F2353C" w:rsidRPr="00394948" w:rsidDel="006D0DC8" w:rsidRDefault="00F2353C" w:rsidP="00382D10">
            <w:pPr>
              <w:spacing w:after="0"/>
              <w:jc w:val="right"/>
              <w:rPr>
                <w:rFonts w:eastAsia="Times New Roman" w:cstheme="minorHAnsi"/>
                <w:color w:val="000000"/>
                <w:sz w:val="20"/>
                <w:szCs w:val="20"/>
                <w:lang w:eastAsia="en-AU"/>
              </w:rPr>
            </w:pPr>
            <w:r w:rsidRPr="00394948">
              <w:rPr>
                <w:rFonts w:eastAsia="Times New Roman" w:cstheme="minorHAnsi"/>
                <w:color w:val="000000"/>
                <w:sz w:val="20"/>
                <w:szCs w:val="20"/>
                <w:lang w:eastAsia="en-AU"/>
              </w:rPr>
              <w:t>2 (9)</w:t>
            </w:r>
          </w:p>
        </w:tc>
      </w:tr>
      <w:tr w:rsidR="00F2353C" w:rsidRPr="00394948" w14:paraId="1E906E38" w14:textId="77777777" w:rsidTr="00382D10">
        <w:trPr>
          <w:trHeight w:val="315"/>
        </w:trPr>
        <w:tc>
          <w:tcPr>
            <w:tcW w:w="2567" w:type="dxa"/>
            <w:tcBorders>
              <w:top w:val="nil"/>
              <w:left w:val="nil"/>
              <w:bottom w:val="single" w:sz="8" w:space="0" w:color="auto"/>
              <w:right w:val="nil"/>
            </w:tcBorders>
            <w:shd w:val="clear" w:color="auto" w:fill="auto"/>
            <w:noWrap/>
            <w:vAlign w:val="bottom"/>
            <w:hideMark/>
          </w:tcPr>
          <w:p w14:paraId="70AA36AB" w14:textId="77777777" w:rsidR="00F2353C" w:rsidRPr="00394948" w:rsidRDefault="00F2353C" w:rsidP="00382D10">
            <w:pPr>
              <w:spacing w:after="0"/>
              <w:rPr>
                <w:rFonts w:eastAsia="Times New Roman" w:cstheme="minorHAnsi"/>
                <w:b/>
                <w:bCs/>
                <w:color w:val="000000"/>
                <w:sz w:val="20"/>
                <w:szCs w:val="20"/>
                <w:lang w:eastAsia="zh-CN"/>
              </w:rPr>
            </w:pPr>
            <w:r w:rsidRPr="00394948">
              <w:rPr>
                <w:rFonts w:eastAsia="Times New Roman" w:cstheme="minorHAnsi"/>
                <w:b/>
                <w:bCs/>
                <w:color w:val="000000"/>
                <w:sz w:val="20"/>
                <w:szCs w:val="20"/>
                <w:lang w:eastAsia="zh-CN"/>
              </w:rPr>
              <w:t>Total procedures</w:t>
            </w:r>
          </w:p>
        </w:tc>
        <w:tc>
          <w:tcPr>
            <w:tcW w:w="1644" w:type="dxa"/>
            <w:tcBorders>
              <w:top w:val="nil"/>
              <w:left w:val="nil"/>
              <w:bottom w:val="single" w:sz="8" w:space="0" w:color="auto"/>
              <w:right w:val="nil"/>
            </w:tcBorders>
            <w:shd w:val="clear" w:color="auto" w:fill="auto"/>
            <w:noWrap/>
            <w:vAlign w:val="bottom"/>
            <w:hideMark/>
          </w:tcPr>
          <w:p w14:paraId="4D002718" w14:textId="77777777" w:rsidR="00F2353C" w:rsidRPr="00394948" w:rsidRDefault="00F2353C" w:rsidP="00382D10">
            <w:pPr>
              <w:spacing w:after="0"/>
              <w:jc w:val="right"/>
              <w:rPr>
                <w:rFonts w:eastAsia="Times New Roman" w:cstheme="minorHAnsi"/>
                <w:b/>
                <w:bCs/>
                <w:color w:val="000000"/>
                <w:sz w:val="20"/>
                <w:szCs w:val="20"/>
                <w:lang w:eastAsia="en-AU"/>
              </w:rPr>
            </w:pPr>
            <w:r w:rsidRPr="00394948">
              <w:rPr>
                <w:rFonts w:cstheme="minorHAnsi"/>
                <w:b/>
                <w:sz w:val="20"/>
                <w:szCs w:val="20"/>
              </w:rPr>
              <w:t>4 (472)</w:t>
            </w:r>
          </w:p>
        </w:tc>
        <w:tc>
          <w:tcPr>
            <w:tcW w:w="1219" w:type="dxa"/>
            <w:tcBorders>
              <w:top w:val="nil"/>
              <w:left w:val="nil"/>
              <w:bottom w:val="single" w:sz="8" w:space="0" w:color="auto"/>
              <w:right w:val="nil"/>
            </w:tcBorders>
            <w:shd w:val="clear" w:color="auto" w:fill="auto"/>
            <w:noWrap/>
            <w:vAlign w:val="bottom"/>
            <w:hideMark/>
          </w:tcPr>
          <w:p w14:paraId="19E8AFFE" w14:textId="77777777" w:rsidR="00F2353C" w:rsidRPr="00394948" w:rsidRDefault="00F2353C" w:rsidP="00382D10">
            <w:pPr>
              <w:spacing w:after="0"/>
              <w:jc w:val="right"/>
              <w:rPr>
                <w:rFonts w:eastAsia="Times New Roman" w:cstheme="minorHAnsi"/>
                <w:b/>
                <w:bCs/>
                <w:color w:val="000000"/>
                <w:sz w:val="20"/>
                <w:szCs w:val="20"/>
                <w:lang w:eastAsia="en-AU"/>
              </w:rPr>
            </w:pPr>
            <w:r w:rsidRPr="00394948">
              <w:rPr>
                <w:rFonts w:cstheme="minorHAnsi"/>
                <w:b/>
                <w:sz w:val="20"/>
                <w:szCs w:val="20"/>
              </w:rPr>
              <w:t>4 (492)</w:t>
            </w:r>
          </w:p>
        </w:tc>
        <w:tc>
          <w:tcPr>
            <w:tcW w:w="1219" w:type="dxa"/>
            <w:tcBorders>
              <w:top w:val="nil"/>
              <w:left w:val="nil"/>
              <w:bottom w:val="single" w:sz="8" w:space="0" w:color="auto"/>
              <w:right w:val="nil"/>
            </w:tcBorders>
            <w:shd w:val="clear" w:color="auto" w:fill="auto"/>
            <w:noWrap/>
            <w:vAlign w:val="bottom"/>
            <w:hideMark/>
          </w:tcPr>
          <w:p w14:paraId="0EB468CF" w14:textId="77777777" w:rsidR="00F2353C" w:rsidRPr="00394948" w:rsidRDefault="00F2353C" w:rsidP="00382D10">
            <w:pPr>
              <w:spacing w:after="0"/>
              <w:jc w:val="right"/>
              <w:rPr>
                <w:rFonts w:eastAsia="Times New Roman" w:cstheme="minorHAnsi"/>
                <w:b/>
                <w:bCs/>
                <w:color w:val="000000"/>
                <w:sz w:val="20"/>
                <w:szCs w:val="20"/>
                <w:lang w:eastAsia="en-AU"/>
              </w:rPr>
            </w:pPr>
            <w:r w:rsidRPr="00394948">
              <w:rPr>
                <w:rFonts w:cstheme="minorHAnsi"/>
                <w:b/>
                <w:sz w:val="20"/>
                <w:szCs w:val="20"/>
              </w:rPr>
              <w:t>7 (955)</w:t>
            </w:r>
          </w:p>
        </w:tc>
        <w:tc>
          <w:tcPr>
            <w:tcW w:w="1219" w:type="dxa"/>
            <w:tcBorders>
              <w:top w:val="nil"/>
              <w:left w:val="nil"/>
              <w:bottom w:val="single" w:sz="8" w:space="0" w:color="auto"/>
              <w:right w:val="nil"/>
            </w:tcBorders>
            <w:shd w:val="clear" w:color="auto" w:fill="auto"/>
            <w:noWrap/>
            <w:vAlign w:val="bottom"/>
            <w:hideMark/>
          </w:tcPr>
          <w:p w14:paraId="3A259641" w14:textId="77777777" w:rsidR="00F2353C" w:rsidRPr="00394948" w:rsidRDefault="00F2353C" w:rsidP="00382D10">
            <w:pPr>
              <w:spacing w:after="0"/>
              <w:jc w:val="right"/>
              <w:rPr>
                <w:rFonts w:eastAsia="Times New Roman" w:cstheme="minorHAnsi"/>
                <w:b/>
                <w:bCs/>
                <w:color w:val="000000"/>
                <w:sz w:val="20"/>
                <w:szCs w:val="20"/>
                <w:lang w:eastAsia="en-AU"/>
              </w:rPr>
            </w:pPr>
            <w:r w:rsidRPr="00394948">
              <w:rPr>
                <w:rFonts w:eastAsia="Times New Roman" w:cstheme="minorHAnsi"/>
                <w:b/>
                <w:bCs/>
                <w:color w:val="000000"/>
                <w:sz w:val="20"/>
                <w:szCs w:val="20"/>
                <w:lang w:eastAsia="en-AU"/>
              </w:rPr>
              <w:t>7 (900)</w:t>
            </w:r>
          </w:p>
        </w:tc>
        <w:tc>
          <w:tcPr>
            <w:tcW w:w="1219" w:type="dxa"/>
            <w:tcBorders>
              <w:top w:val="nil"/>
              <w:left w:val="nil"/>
              <w:bottom w:val="single" w:sz="8" w:space="0" w:color="auto"/>
              <w:right w:val="nil"/>
            </w:tcBorders>
            <w:shd w:val="clear" w:color="auto" w:fill="auto"/>
            <w:noWrap/>
            <w:vAlign w:val="bottom"/>
            <w:hideMark/>
          </w:tcPr>
          <w:p w14:paraId="4F021946" w14:textId="77777777" w:rsidR="00F2353C" w:rsidRPr="00394948" w:rsidDel="006D0DC8" w:rsidRDefault="00F2353C" w:rsidP="00382D10">
            <w:pPr>
              <w:spacing w:after="0"/>
              <w:jc w:val="right"/>
              <w:rPr>
                <w:rFonts w:eastAsia="Times New Roman" w:cstheme="minorHAnsi"/>
                <w:b/>
                <w:bCs/>
                <w:color w:val="000000"/>
                <w:sz w:val="20"/>
                <w:szCs w:val="20"/>
                <w:lang w:eastAsia="en-AU"/>
              </w:rPr>
            </w:pPr>
            <w:r w:rsidRPr="00394948">
              <w:rPr>
                <w:rFonts w:eastAsia="Times New Roman" w:cstheme="minorHAnsi"/>
                <w:b/>
                <w:bCs/>
                <w:color w:val="000000"/>
                <w:sz w:val="20"/>
                <w:szCs w:val="20"/>
                <w:lang w:eastAsia="en-AU"/>
              </w:rPr>
              <w:t>6 (826)</w:t>
            </w:r>
          </w:p>
        </w:tc>
      </w:tr>
    </w:tbl>
    <w:p w14:paraId="25E12161" w14:textId="3E5435DD" w:rsidR="00F2353C" w:rsidRPr="00394948" w:rsidRDefault="00F2353C" w:rsidP="00F2353C">
      <w:pPr>
        <w:spacing w:before="200"/>
        <w:rPr>
          <w:rFonts w:cstheme="minorHAnsi"/>
          <w:b/>
          <w:sz w:val="24"/>
          <w:szCs w:val="24"/>
        </w:rPr>
      </w:pPr>
      <w:r w:rsidRPr="00394948">
        <w:rPr>
          <w:rFonts w:cstheme="minorHAnsi"/>
        </w:rPr>
        <w:t>The majority of donors attending hospital are whole blood donors. There have not been any significant changes in whole blood collection procedures or in the demographics of the whole blood donor pool which would account for the significant increase in hospital referrals. The increase is attributable mainly to transfer donors to hospital if their recovery from a vasovagal reaction is slow (more than 60-70 minutes), recognising that early administration of intravenous fluids is the most effective means of treating this group of donors.</w:t>
      </w:r>
      <w:r w:rsidRPr="00394948" w:rsidDel="0053303D">
        <w:rPr>
          <w:rFonts w:cstheme="minorHAnsi"/>
        </w:rPr>
        <w:t xml:space="preserve"> </w:t>
      </w:r>
      <w:r w:rsidRPr="00394948">
        <w:rPr>
          <w:rFonts w:cstheme="minorHAnsi"/>
        </w:rPr>
        <w:t>In keeping with good clinical practice, the majority of donors who complain of chest pain are referred to hospital.</w:t>
      </w:r>
    </w:p>
    <w:p w14:paraId="00951DB2" w14:textId="77777777" w:rsidR="00D95F88" w:rsidRPr="00394948" w:rsidRDefault="00D95F88">
      <w:pPr>
        <w:spacing w:line="276" w:lineRule="auto"/>
        <w:rPr>
          <w:rFonts w:asciiTheme="minorHAnsi" w:eastAsia="SimSun" w:hAnsiTheme="minorHAnsi" w:cstheme="minorHAnsi"/>
          <w:b/>
          <w:bCs/>
          <w:color w:val="000000" w:themeColor="text1"/>
          <w:sz w:val="20"/>
          <w:szCs w:val="20"/>
        </w:rPr>
      </w:pPr>
      <w:bookmarkStart w:id="115" w:name="_Ref523128425"/>
      <w:r w:rsidRPr="00394948">
        <w:rPr>
          <w:rFonts w:cstheme="minorHAnsi"/>
          <w:color w:val="000000" w:themeColor="text1"/>
          <w:sz w:val="20"/>
          <w:szCs w:val="20"/>
        </w:rPr>
        <w:br w:type="page"/>
      </w:r>
    </w:p>
    <w:p w14:paraId="2F47CFBF" w14:textId="51ABF10E" w:rsidR="00DA5BAD" w:rsidRPr="00394948" w:rsidRDefault="00DA5BAD" w:rsidP="00DA5BAD">
      <w:pPr>
        <w:pStyle w:val="Heading3"/>
      </w:pPr>
      <w:bookmarkStart w:id="116" w:name="_Toc41909288"/>
      <w:r w:rsidRPr="00394948">
        <w:lastRenderedPageBreak/>
        <w:t>Donor gender and age and adverse reactions to donation</w:t>
      </w:r>
      <w:bookmarkEnd w:id="116"/>
    </w:p>
    <w:p w14:paraId="70F9A76D" w14:textId="317C96DD" w:rsidR="00DA5BAD" w:rsidRPr="00394948" w:rsidRDefault="00DA5BAD" w:rsidP="00DA5BAD">
      <w:pPr>
        <w:rPr>
          <w:rFonts w:cstheme="minorHAnsi"/>
        </w:rPr>
      </w:pPr>
      <w:r w:rsidRPr="00394948">
        <w:rPr>
          <w:rFonts w:cstheme="minorHAnsi"/>
        </w:rPr>
        <w:t xml:space="preserve">The frequency of donation associated events is higher in younger blood donors and in female blood donors. There is a steady reduction in the likelihood of a donation reaction with increasing age (See </w:t>
      </w:r>
      <w:r w:rsidRPr="00D00B62">
        <w:rPr>
          <w:rFonts w:cstheme="minorHAnsi"/>
        </w:rPr>
        <w:t xml:space="preserve">Table </w:t>
      </w:r>
      <w:r w:rsidR="00942707" w:rsidRPr="00D00B62">
        <w:rPr>
          <w:rFonts w:cstheme="minorHAnsi"/>
        </w:rPr>
        <w:t>44</w:t>
      </w:r>
      <w:r w:rsidRPr="00D00B62">
        <w:rPr>
          <w:rFonts w:cstheme="minorHAnsi"/>
        </w:rPr>
        <w:t xml:space="preserve"> and Table </w:t>
      </w:r>
      <w:r w:rsidR="00942707" w:rsidRPr="00D00B62">
        <w:rPr>
          <w:rFonts w:cstheme="minorHAnsi"/>
        </w:rPr>
        <w:t>45</w:t>
      </w:r>
      <w:r w:rsidRPr="00394948">
        <w:rPr>
          <w:rFonts w:cstheme="minorHAnsi"/>
        </w:rPr>
        <w:t xml:space="preserve"> below). The majority of the donation reactions in younger donors are characterised by brief dizziness, associated with sweating and nausea, usually lasting for less than</w:t>
      </w:r>
      <w:r w:rsidR="008D2534">
        <w:rPr>
          <w:rFonts w:cstheme="minorHAnsi"/>
        </w:rPr>
        <w:t xml:space="preserve"> </w:t>
      </w:r>
      <w:r w:rsidRPr="00394948">
        <w:rPr>
          <w:rFonts w:cstheme="minorHAnsi"/>
        </w:rPr>
        <w:t xml:space="preserve">15 minutes. The higher rate of adverse events in this age group was one of the reasons that prompted a decision to increase the minimum age for blood donation from 16 to 18 years. </w:t>
      </w:r>
    </w:p>
    <w:p w14:paraId="380B18CE" w14:textId="28EC2F66" w:rsidR="00942707" w:rsidRPr="00F37ADB" w:rsidRDefault="00942707" w:rsidP="00942707">
      <w:pPr>
        <w:pStyle w:val="Caption"/>
        <w:keepNext/>
        <w:spacing w:after="0"/>
        <w:rPr>
          <w:color w:val="auto"/>
        </w:rPr>
      </w:pPr>
      <w:bookmarkStart w:id="117" w:name="_Toc36208194"/>
      <w:bookmarkStart w:id="118" w:name="_Toc41909336"/>
      <w:bookmarkEnd w:id="115"/>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44</w:t>
      </w:r>
      <w:r w:rsidRPr="00F37ADB">
        <w:rPr>
          <w:color w:val="auto"/>
        </w:rPr>
        <w:fldChar w:fldCharType="end"/>
      </w:r>
      <w:r w:rsidRPr="00F37ADB">
        <w:rPr>
          <w:color w:val="auto"/>
        </w:rPr>
        <w:t>: Adverse donation reactions in female donors by age, including odds ratio, 2016-17</w:t>
      </w:r>
      <w:bookmarkEnd w:id="117"/>
      <w:bookmarkEnd w:id="118"/>
    </w:p>
    <w:tbl>
      <w:tblPr>
        <w:tblW w:w="8804" w:type="dxa"/>
        <w:tblInd w:w="93" w:type="dxa"/>
        <w:tblLayout w:type="fixed"/>
        <w:tblLook w:val="04A0" w:firstRow="1" w:lastRow="0" w:firstColumn="1" w:lastColumn="0" w:noHBand="0" w:noVBand="1"/>
      </w:tblPr>
      <w:tblGrid>
        <w:gridCol w:w="1433"/>
        <w:gridCol w:w="1063"/>
        <w:gridCol w:w="1488"/>
        <w:gridCol w:w="1488"/>
        <w:gridCol w:w="1489"/>
        <w:gridCol w:w="1843"/>
      </w:tblGrid>
      <w:tr w:rsidR="00F2353C" w:rsidRPr="00394948" w14:paraId="501A0A92" w14:textId="77777777" w:rsidTr="00382D10">
        <w:trPr>
          <w:trHeight w:val="510"/>
        </w:trPr>
        <w:tc>
          <w:tcPr>
            <w:tcW w:w="1433" w:type="dxa"/>
            <w:vMerge w:val="restart"/>
            <w:tcBorders>
              <w:top w:val="nil"/>
              <w:left w:val="nil"/>
              <w:bottom w:val="nil"/>
              <w:right w:val="nil"/>
            </w:tcBorders>
            <w:shd w:val="clear" w:color="000000" w:fill="FF0000"/>
            <w:vAlign w:val="center"/>
            <w:hideMark/>
          </w:tcPr>
          <w:p w14:paraId="2EDBA874" w14:textId="77777777" w:rsidR="00F2353C" w:rsidRPr="00394948" w:rsidRDefault="00F2353C" w:rsidP="00382D10">
            <w:pPr>
              <w:spacing w:after="0"/>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Age group</w:t>
            </w:r>
          </w:p>
        </w:tc>
        <w:tc>
          <w:tcPr>
            <w:tcW w:w="1063" w:type="dxa"/>
            <w:vMerge w:val="restart"/>
            <w:tcBorders>
              <w:top w:val="nil"/>
              <w:left w:val="nil"/>
              <w:bottom w:val="nil"/>
              <w:right w:val="nil"/>
            </w:tcBorders>
            <w:shd w:val="clear" w:color="000000" w:fill="FF0000"/>
            <w:vAlign w:val="center"/>
            <w:hideMark/>
          </w:tcPr>
          <w:p w14:paraId="3BDA2F00"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Number of events</w:t>
            </w:r>
          </w:p>
        </w:tc>
        <w:tc>
          <w:tcPr>
            <w:tcW w:w="1488" w:type="dxa"/>
            <w:vMerge w:val="restart"/>
            <w:tcBorders>
              <w:top w:val="nil"/>
              <w:left w:val="nil"/>
              <w:bottom w:val="nil"/>
              <w:right w:val="nil"/>
            </w:tcBorders>
            <w:shd w:val="clear" w:color="000000" w:fill="FF0000"/>
            <w:vAlign w:val="center"/>
            <w:hideMark/>
          </w:tcPr>
          <w:p w14:paraId="3C49EA11"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Total donors in age group</w:t>
            </w:r>
          </w:p>
        </w:tc>
        <w:tc>
          <w:tcPr>
            <w:tcW w:w="1488" w:type="dxa"/>
            <w:vMerge w:val="restart"/>
            <w:tcBorders>
              <w:top w:val="nil"/>
              <w:left w:val="nil"/>
              <w:bottom w:val="nil"/>
              <w:right w:val="nil"/>
            </w:tcBorders>
            <w:shd w:val="clear" w:color="000000" w:fill="FF0000"/>
            <w:vAlign w:val="center"/>
            <w:hideMark/>
          </w:tcPr>
          <w:p w14:paraId="7AA56A8F"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Frequency</w:t>
            </w:r>
          </w:p>
        </w:tc>
        <w:tc>
          <w:tcPr>
            <w:tcW w:w="1489" w:type="dxa"/>
            <w:vMerge w:val="restart"/>
            <w:tcBorders>
              <w:top w:val="nil"/>
              <w:left w:val="nil"/>
              <w:bottom w:val="nil"/>
              <w:right w:val="nil"/>
            </w:tcBorders>
            <w:shd w:val="clear" w:color="000000" w:fill="FF0000"/>
            <w:vAlign w:val="center"/>
            <w:hideMark/>
          </w:tcPr>
          <w:p w14:paraId="36F5EEBB" w14:textId="58533744"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Rate/1,000 donations</w:t>
            </w:r>
          </w:p>
        </w:tc>
        <w:tc>
          <w:tcPr>
            <w:tcW w:w="1843" w:type="dxa"/>
            <w:vMerge w:val="restart"/>
            <w:tcBorders>
              <w:top w:val="nil"/>
              <w:left w:val="nil"/>
              <w:bottom w:val="nil"/>
              <w:right w:val="nil"/>
            </w:tcBorders>
            <w:shd w:val="clear" w:color="000000" w:fill="FF0000"/>
            <w:vAlign w:val="center"/>
            <w:hideMark/>
          </w:tcPr>
          <w:p w14:paraId="13D43C4D" w14:textId="77777777" w:rsidR="00F2353C" w:rsidRPr="00394948" w:rsidRDefault="00F2353C" w:rsidP="00382D10">
            <w:pPr>
              <w:spacing w:after="0"/>
              <w:jc w:val="right"/>
              <w:rPr>
                <w:rFonts w:eastAsia="Times New Roman" w:cstheme="minorHAnsi"/>
                <w:b/>
                <w:bCs/>
                <w:color w:val="FFFFFF"/>
                <w:sz w:val="20"/>
                <w:szCs w:val="20"/>
                <w:lang w:eastAsia="zh-CN"/>
              </w:rPr>
            </w:pPr>
            <w:r w:rsidRPr="00394948">
              <w:rPr>
                <w:rFonts w:eastAsia="Times New Roman" w:cstheme="minorHAnsi"/>
                <w:b/>
                <w:bCs/>
                <w:color w:val="FFFFFF"/>
                <w:sz w:val="20"/>
                <w:szCs w:val="20"/>
                <w:lang w:eastAsia="zh-CN"/>
              </w:rPr>
              <w:t>Odds ratio (95% CI)</w:t>
            </w:r>
          </w:p>
        </w:tc>
      </w:tr>
      <w:tr w:rsidR="00F2353C" w:rsidRPr="00394948" w14:paraId="7F6892AF" w14:textId="77777777" w:rsidTr="00382D10">
        <w:trPr>
          <w:trHeight w:val="509"/>
        </w:trPr>
        <w:tc>
          <w:tcPr>
            <w:tcW w:w="1433" w:type="dxa"/>
            <w:vMerge/>
            <w:tcBorders>
              <w:top w:val="nil"/>
              <w:left w:val="nil"/>
              <w:bottom w:val="nil"/>
              <w:right w:val="nil"/>
            </w:tcBorders>
            <w:vAlign w:val="center"/>
            <w:hideMark/>
          </w:tcPr>
          <w:p w14:paraId="12147083" w14:textId="77777777" w:rsidR="00F2353C" w:rsidRPr="00394948" w:rsidRDefault="00F2353C" w:rsidP="00382D10">
            <w:pPr>
              <w:spacing w:after="0"/>
              <w:rPr>
                <w:rFonts w:eastAsia="Times New Roman" w:cstheme="minorHAnsi"/>
                <w:b/>
                <w:bCs/>
                <w:color w:val="FFFFFF"/>
                <w:sz w:val="20"/>
                <w:szCs w:val="20"/>
                <w:lang w:eastAsia="zh-CN"/>
              </w:rPr>
            </w:pPr>
          </w:p>
        </w:tc>
        <w:tc>
          <w:tcPr>
            <w:tcW w:w="1063" w:type="dxa"/>
            <w:vMerge/>
            <w:tcBorders>
              <w:top w:val="nil"/>
              <w:left w:val="nil"/>
              <w:bottom w:val="nil"/>
              <w:right w:val="nil"/>
            </w:tcBorders>
            <w:vAlign w:val="center"/>
            <w:hideMark/>
          </w:tcPr>
          <w:p w14:paraId="352D1387" w14:textId="77777777" w:rsidR="00F2353C" w:rsidRPr="00394948" w:rsidRDefault="00F2353C" w:rsidP="00382D10">
            <w:pPr>
              <w:spacing w:after="0"/>
              <w:rPr>
                <w:rFonts w:eastAsia="Times New Roman" w:cstheme="minorHAnsi"/>
                <w:b/>
                <w:bCs/>
                <w:color w:val="FFFFFF"/>
                <w:sz w:val="20"/>
                <w:szCs w:val="20"/>
                <w:lang w:eastAsia="zh-CN"/>
              </w:rPr>
            </w:pPr>
          </w:p>
        </w:tc>
        <w:tc>
          <w:tcPr>
            <w:tcW w:w="1488" w:type="dxa"/>
            <w:vMerge/>
            <w:tcBorders>
              <w:top w:val="nil"/>
              <w:left w:val="nil"/>
              <w:bottom w:val="nil"/>
              <w:right w:val="nil"/>
            </w:tcBorders>
            <w:vAlign w:val="center"/>
            <w:hideMark/>
          </w:tcPr>
          <w:p w14:paraId="1D52F5E4" w14:textId="77777777" w:rsidR="00F2353C" w:rsidRPr="00394948" w:rsidRDefault="00F2353C" w:rsidP="00382D10">
            <w:pPr>
              <w:spacing w:after="0"/>
              <w:rPr>
                <w:rFonts w:eastAsia="Times New Roman" w:cstheme="minorHAnsi"/>
                <w:b/>
                <w:bCs/>
                <w:color w:val="FFFFFF"/>
                <w:sz w:val="20"/>
                <w:szCs w:val="20"/>
                <w:lang w:eastAsia="zh-CN"/>
              </w:rPr>
            </w:pPr>
          </w:p>
        </w:tc>
        <w:tc>
          <w:tcPr>
            <w:tcW w:w="1488" w:type="dxa"/>
            <w:vMerge/>
            <w:tcBorders>
              <w:top w:val="nil"/>
              <w:left w:val="nil"/>
              <w:bottom w:val="nil"/>
              <w:right w:val="nil"/>
            </w:tcBorders>
            <w:vAlign w:val="center"/>
            <w:hideMark/>
          </w:tcPr>
          <w:p w14:paraId="12AFE91F" w14:textId="77777777" w:rsidR="00F2353C" w:rsidRPr="00394948" w:rsidRDefault="00F2353C" w:rsidP="00382D10">
            <w:pPr>
              <w:spacing w:after="0"/>
              <w:rPr>
                <w:rFonts w:eastAsia="Times New Roman" w:cstheme="minorHAnsi"/>
                <w:b/>
                <w:bCs/>
                <w:color w:val="FFFFFF"/>
                <w:sz w:val="20"/>
                <w:szCs w:val="20"/>
                <w:lang w:eastAsia="zh-CN"/>
              </w:rPr>
            </w:pPr>
          </w:p>
        </w:tc>
        <w:tc>
          <w:tcPr>
            <w:tcW w:w="1489" w:type="dxa"/>
            <w:vMerge/>
            <w:tcBorders>
              <w:top w:val="nil"/>
              <w:left w:val="nil"/>
              <w:bottom w:val="nil"/>
              <w:right w:val="nil"/>
            </w:tcBorders>
            <w:vAlign w:val="center"/>
            <w:hideMark/>
          </w:tcPr>
          <w:p w14:paraId="018F1412" w14:textId="77777777" w:rsidR="00F2353C" w:rsidRPr="00394948" w:rsidRDefault="00F2353C" w:rsidP="00382D10">
            <w:pPr>
              <w:spacing w:after="0"/>
              <w:rPr>
                <w:rFonts w:eastAsia="Times New Roman" w:cstheme="minorHAnsi"/>
                <w:b/>
                <w:bCs/>
                <w:color w:val="FFFFFF"/>
                <w:sz w:val="20"/>
                <w:szCs w:val="20"/>
                <w:lang w:eastAsia="zh-CN"/>
              </w:rPr>
            </w:pPr>
          </w:p>
        </w:tc>
        <w:tc>
          <w:tcPr>
            <w:tcW w:w="1843" w:type="dxa"/>
            <w:vMerge/>
            <w:tcBorders>
              <w:top w:val="nil"/>
              <w:left w:val="nil"/>
              <w:right w:val="nil"/>
            </w:tcBorders>
            <w:vAlign w:val="center"/>
            <w:hideMark/>
          </w:tcPr>
          <w:p w14:paraId="6901A6CA" w14:textId="77777777" w:rsidR="00F2353C" w:rsidRPr="00394948" w:rsidRDefault="00F2353C" w:rsidP="00382D10">
            <w:pPr>
              <w:spacing w:after="0"/>
              <w:rPr>
                <w:rFonts w:eastAsia="Times New Roman" w:cstheme="minorHAnsi"/>
                <w:b/>
                <w:bCs/>
                <w:color w:val="FFFFFF"/>
                <w:sz w:val="20"/>
                <w:szCs w:val="20"/>
                <w:lang w:eastAsia="zh-CN"/>
              </w:rPr>
            </w:pPr>
          </w:p>
        </w:tc>
      </w:tr>
      <w:tr w:rsidR="00F2353C" w:rsidRPr="00394948" w14:paraId="2BFF9C78" w14:textId="77777777" w:rsidTr="00382D10">
        <w:trPr>
          <w:trHeight w:val="285"/>
        </w:trPr>
        <w:tc>
          <w:tcPr>
            <w:tcW w:w="1433" w:type="dxa"/>
            <w:tcBorders>
              <w:top w:val="nil"/>
              <w:left w:val="nil"/>
              <w:bottom w:val="single" w:sz="8" w:space="0" w:color="000000"/>
              <w:right w:val="nil"/>
            </w:tcBorders>
            <w:shd w:val="clear" w:color="auto" w:fill="auto"/>
            <w:noWrap/>
            <w:vAlign w:val="center"/>
            <w:hideMark/>
          </w:tcPr>
          <w:p w14:paraId="69D0402E"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16-17</w:t>
            </w:r>
          </w:p>
        </w:tc>
        <w:tc>
          <w:tcPr>
            <w:tcW w:w="1063" w:type="dxa"/>
            <w:tcBorders>
              <w:top w:val="nil"/>
              <w:left w:val="nil"/>
              <w:bottom w:val="single" w:sz="8" w:space="0" w:color="000000"/>
              <w:right w:val="nil"/>
            </w:tcBorders>
            <w:shd w:val="clear" w:color="auto" w:fill="auto"/>
            <w:noWrap/>
            <w:vAlign w:val="center"/>
            <w:hideMark/>
          </w:tcPr>
          <w:p w14:paraId="753B013F"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1,371</w:t>
            </w:r>
          </w:p>
        </w:tc>
        <w:tc>
          <w:tcPr>
            <w:tcW w:w="1488" w:type="dxa"/>
            <w:tcBorders>
              <w:top w:val="nil"/>
              <w:left w:val="nil"/>
              <w:bottom w:val="single" w:sz="8" w:space="0" w:color="000000"/>
              <w:right w:val="nil"/>
            </w:tcBorders>
            <w:shd w:val="clear" w:color="auto" w:fill="auto"/>
            <w:noWrap/>
            <w:vAlign w:val="center"/>
            <w:hideMark/>
          </w:tcPr>
          <w:p w14:paraId="73ABB43C"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7,875</w:t>
            </w:r>
          </w:p>
        </w:tc>
        <w:tc>
          <w:tcPr>
            <w:tcW w:w="1488" w:type="dxa"/>
            <w:tcBorders>
              <w:top w:val="nil"/>
              <w:left w:val="nil"/>
              <w:bottom w:val="single" w:sz="8" w:space="0" w:color="000000"/>
              <w:right w:val="nil"/>
            </w:tcBorders>
            <w:shd w:val="clear" w:color="auto" w:fill="auto"/>
            <w:noWrap/>
            <w:vAlign w:val="center"/>
            <w:hideMark/>
          </w:tcPr>
          <w:p w14:paraId="1D2E66CC"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1:7</w:t>
            </w:r>
          </w:p>
        </w:tc>
        <w:tc>
          <w:tcPr>
            <w:tcW w:w="1489" w:type="dxa"/>
            <w:tcBorders>
              <w:top w:val="nil"/>
              <w:left w:val="nil"/>
              <w:bottom w:val="single" w:sz="8" w:space="0" w:color="000000"/>
            </w:tcBorders>
            <w:shd w:val="clear" w:color="auto" w:fill="auto"/>
            <w:noWrap/>
            <w:vAlign w:val="center"/>
            <w:hideMark/>
          </w:tcPr>
          <w:p w14:paraId="182A6379"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174.10</w:t>
            </w:r>
          </w:p>
        </w:tc>
        <w:tc>
          <w:tcPr>
            <w:tcW w:w="1843" w:type="dxa"/>
            <w:tcBorders>
              <w:bottom w:val="single" w:sz="4" w:space="0" w:color="auto"/>
            </w:tcBorders>
            <w:shd w:val="clear" w:color="auto" w:fill="auto"/>
            <w:vAlign w:val="center"/>
            <w:hideMark/>
          </w:tcPr>
          <w:p w14:paraId="2D36D7C0"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4.5829          (4.3176-4.8646)</w:t>
            </w:r>
          </w:p>
        </w:tc>
      </w:tr>
      <w:tr w:rsidR="00F2353C" w:rsidRPr="00394948" w14:paraId="7C6189B4" w14:textId="77777777" w:rsidTr="00382D10">
        <w:trPr>
          <w:trHeight w:val="300"/>
        </w:trPr>
        <w:tc>
          <w:tcPr>
            <w:tcW w:w="1433" w:type="dxa"/>
            <w:tcBorders>
              <w:top w:val="nil"/>
              <w:left w:val="nil"/>
              <w:bottom w:val="single" w:sz="8" w:space="0" w:color="000000"/>
              <w:right w:val="nil"/>
            </w:tcBorders>
            <w:shd w:val="clear" w:color="auto" w:fill="auto"/>
            <w:noWrap/>
            <w:vAlign w:val="center"/>
            <w:hideMark/>
          </w:tcPr>
          <w:p w14:paraId="08227885"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18-20</w:t>
            </w:r>
          </w:p>
        </w:tc>
        <w:tc>
          <w:tcPr>
            <w:tcW w:w="1063" w:type="dxa"/>
            <w:tcBorders>
              <w:top w:val="nil"/>
              <w:left w:val="nil"/>
              <w:bottom w:val="single" w:sz="8" w:space="0" w:color="000000"/>
              <w:right w:val="nil"/>
            </w:tcBorders>
            <w:shd w:val="clear" w:color="auto" w:fill="auto"/>
            <w:noWrap/>
            <w:vAlign w:val="center"/>
            <w:hideMark/>
          </w:tcPr>
          <w:p w14:paraId="2D764063"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1,958</w:t>
            </w:r>
          </w:p>
        </w:tc>
        <w:tc>
          <w:tcPr>
            <w:tcW w:w="1488" w:type="dxa"/>
            <w:tcBorders>
              <w:top w:val="nil"/>
              <w:left w:val="nil"/>
              <w:bottom w:val="single" w:sz="8" w:space="0" w:color="000000"/>
              <w:right w:val="nil"/>
            </w:tcBorders>
            <w:shd w:val="clear" w:color="auto" w:fill="auto"/>
            <w:noWrap/>
            <w:vAlign w:val="center"/>
            <w:hideMark/>
          </w:tcPr>
          <w:p w14:paraId="2C90E70A"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29,237</w:t>
            </w:r>
          </w:p>
        </w:tc>
        <w:tc>
          <w:tcPr>
            <w:tcW w:w="1488" w:type="dxa"/>
            <w:tcBorders>
              <w:top w:val="nil"/>
              <w:left w:val="nil"/>
              <w:bottom w:val="single" w:sz="8" w:space="0" w:color="000000"/>
              <w:right w:val="nil"/>
            </w:tcBorders>
            <w:shd w:val="clear" w:color="auto" w:fill="auto"/>
            <w:noWrap/>
            <w:vAlign w:val="center"/>
            <w:hideMark/>
          </w:tcPr>
          <w:p w14:paraId="4DFC32A3"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1:15</w:t>
            </w:r>
          </w:p>
        </w:tc>
        <w:tc>
          <w:tcPr>
            <w:tcW w:w="1489" w:type="dxa"/>
            <w:tcBorders>
              <w:top w:val="nil"/>
              <w:left w:val="nil"/>
              <w:bottom w:val="single" w:sz="8" w:space="0" w:color="000000"/>
            </w:tcBorders>
            <w:shd w:val="clear" w:color="auto" w:fill="auto"/>
            <w:noWrap/>
            <w:vAlign w:val="center"/>
            <w:hideMark/>
          </w:tcPr>
          <w:p w14:paraId="5F2F8668"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66.97</w:t>
            </w:r>
          </w:p>
        </w:tc>
        <w:tc>
          <w:tcPr>
            <w:tcW w:w="1843" w:type="dxa"/>
            <w:tcBorders>
              <w:top w:val="single" w:sz="4" w:space="0" w:color="auto"/>
              <w:bottom w:val="single" w:sz="4" w:space="0" w:color="auto"/>
            </w:tcBorders>
            <w:shd w:val="clear" w:color="auto" w:fill="auto"/>
            <w:vAlign w:val="center"/>
            <w:hideMark/>
          </w:tcPr>
          <w:p w14:paraId="3D4432E7"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1.5346                 (1.4632-1.6095)</w:t>
            </w:r>
          </w:p>
        </w:tc>
      </w:tr>
      <w:tr w:rsidR="00F2353C" w:rsidRPr="00394948" w14:paraId="4B9BBEE9" w14:textId="77777777" w:rsidTr="00382D10">
        <w:trPr>
          <w:trHeight w:val="330"/>
        </w:trPr>
        <w:tc>
          <w:tcPr>
            <w:tcW w:w="1433" w:type="dxa"/>
            <w:tcBorders>
              <w:top w:val="nil"/>
              <w:left w:val="nil"/>
              <w:bottom w:val="single" w:sz="8" w:space="0" w:color="000000"/>
              <w:right w:val="nil"/>
            </w:tcBorders>
            <w:shd w:val="clear" w:color="auto" w:fill="auto"/>
            <w:noWrap/>
            <w:vAlign w:val="center"/>
            <w:hideMark/>
          </w:tcPr>
          <w:p w14:paraId="44ECAAA9"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21-23</w:t>
            </w:r>
          </w:p>
        </w:tc>
        <w:tc>
          <w:tcPr>
            <w:tcW w:w="1063" w:type="dxa"/>
            <w:tcBorders>
              <w:top w:val="nil"/>
              <w:left w:val="nil"/>
              <w:bottom w:val="single" w:sz="8" w:space="0" w:color="000000"/>
              <w:right w:val="nil"/>
            </w:tcBorders>
            <w:shd w:val="clear" w:color="auto" w:fill="auto"/>
            <w:noWrap/>
            <w:vAlign w:val="center"/>
            <w:hideMark/>
          </w:tcPr>
          <w:p w14:paraId="465C015E"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4,047</w:t>
            </w:r>
          </w:p>
        </w:tc>
        <w:tc>
          <w:tcPr>
            <w:tcW w:w="1488" w:type="dxa"/>
            <w:tcBorders>
              <w:top w:val="nil"/>
              <w:left w:val="nil"/>
              <w:bottom w:val="single" w:sz="8" w:space="0" w:color="000000"/>
              <w:right w:val="nil"/>
            </w:tcBorders>
            <w:shd w:val="clear" w:color="auto" w:fill="auto"/>
            <w:noWrap/>
            <w:vAlign w:val="center"/>
            <w:hideMark/>
          </w:tcPr>
          <w:p w14:paraId="52AD432C"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39,485</w:t>
            </w:r>
          </w:p>
        </w:tc>
        <w:tc>
          <w:tcPr>
            <w:tcW w:w="1488" w:type="dxa"/>
            <w:tcBorders>
              <w:top w:val="nil"/>
              <w:left w:val="nil"/>
              <w:bottom w:val="single" w:sz="8" w:space="0" w:color="000000"/>
              <w:right w:val="nil"/>
            </w:tcBorders>
            <w:shd w:val="clear" w:color="auto" w:fill="auto"/>
            <w:noWrap/>
            <w:vAlign w:val="center"/>
            <w:hideMark/>
          </w:tcPr>
          <w:p w14:paraId="5BF6C886"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1:10</w:t>
            </w:r>
          </w:p>
        </w:tc>
        <w:tc>
          <w:tcPr>
            <w:tcW w:w="1489" w:type="dxa"/>
            <w:tcBorders>
              <w:top w:val="nil"/>
              <w:left w:val="nil"/>
              <w:bottom w:val="single" w:sz="8" w:space="0" w:color="000000"/>
            </w:tcBorders>
            <w:shd w:val="clear" w:color="auto" w:fill="auto"/>
            <w:noWrap/>
            <w:vAlign w:val="center"/>
            <w:hideMark/>
          </w:tcPr>
          <w:p w14:paraId="257798D8"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102.49</w:t>
            </w:r>
          </w:p>
        </w:tc>
        <w:tc>
          <w:tcPr>
            <w:tcW w:w="1843" w:type="dxa"/>
            <w:tcBorders>
              <w:top w:val="single" w:sz="4" w:space="0" w:color="auto"/>
              <w:bottom w:val="single" w:sz="4" w:space="0" w:color="auto"/>
            </w:tcBorders>
            <w:shd w:val="clear" w:color="auto" w:fill="auto"/>
            <w:vAlign w:val="center"/>
            <w:hideMark/>
          </w:tcPr>
          <w:p w14:paraId="782F59FA"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2.6223           (2.5316-2.7164)</w:t>
            </w:r>
          </w:p>
        </w:tc>
      </w:tr>
      <w:tr w:rsidR="00F2353C" w:rsidRPr="00394948" w14:paraId="4AF68E81" w14:textId="77777777" w:rsidTr="00382D10">
        <w:trPr>
          <w:trHeight w:val="285"/>
        </w:trPr>
        <w:tc>
          <w:tcPr>
            <w:tcW w:w="1433" w:type="dxa"/>
            <w:tcBorders>
              <w:top w:val="nil"/>
              <w:left w:val="nil"/>
              <w:bottom w:val="single" w:sz="8" w:space="0" w:color="000000"/>
              <w:right w:val="nil"/>
            </w:tcBorders>
            <w:shd w:val="clear" w:color="auto" w:fill="auto"/>
            <w:noWrap/>
            <w:vAlign w:val="center"/>
            <w:hideMark/>
          </w:tcPr>
          <w:p w14:paraId="30F7CA7C"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24-30</w:t>
            </w:r>
          </w:p>
        </w:tc>
        <w:tc>
          <w:tcPr>
            <w:tcW w:w="1063" w:type="dxa"/>
            <w:tcBorders>
              <w:top w:val="nil"/>
              <w:left w:val="nil"/>
              <w:bottom w:val="single" w:sz="8" w:space="0" w:color="000000"/>
              <w:right w:val="nil"/>
            </w:tcBorders>
            <w:shd w:val="clear" w:color="auto" w:fill="auto"/>
            <w:noWrap/>
            <w:vAlign w:val="center"/>
            <w:hideMark/>
          </w:tcPr>
          <w:p w14:paraId="2D1FC8B8"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5,619</w:t>
            </w:r>
          </w:p>
        </w:tc>
        <w:tc>
          <w:tcPr>
            <w:tcW w:w="1488" w:type="dxa"/>
            <w:tcBorders>
              <w:top w:val="nil"/>
              <w:left w:val="nil"/>
              <w:bottom w:val="single" w:sz="8" w:space="0" w:color="000000"/>
              <w:right w:val="nil"/>
            </w:tcBorders>
            <w:shd w:val="clear" w:color="auto" w:fill="auto"/>
            <w:noWrap/>
            <w:vAlign w:val="center"/>
            <w:hideMark/>
          </w:tcPr>
          <w:p w14:paraId="3764143C"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90,465</w:t>
            </w:r>
          </w:p>
        </w:tc>
        <w:tc>
          <w:tcPr>
            <w:tcW w:w="1488" w:type="dxa"/>
            <w:tcBorders>
              <w:top w:val="nil"/>
              <w:left w:val="nil"/>
              <w:bottom w:val="single" w:sz="8" w:space="0" w:color="000000"/>
              <w:right w:val="nil"/>
            </w:tcBorders>
            <w:shd w:val="clear" w:color="auto" w:fill="auto"/>
            <w:noWrap/>
            <w:vAlign w:val="center"/>
            <w:hideMark/>
          </w:tcPr>
          <w:p w14:paraId="15691006"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1:16</w:t>
            </w:r>
          </w:p>
        </w:tc>
        <w:tc>
          <w:tcPr>
            <w:tcW w:w="1489" w:type="dxa"/>
            <w:tcBorders>
              <w:top w:val="nil"/>
              <w:left w:val="nil"/>
              <w:bottom w:val="single" w:sz="8" w:space="0" w:color="000000"/>
            </w:tcBorders>
            <w:shd w:val="clear" w:color="auto" w:fill="auto"/>
            <w:noWrap/>
            <w:vAlign w:val="center"/>
            <w:hideMark/>
          </w:tcPr>
          <w:p w14:paraId="7A9881EE"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62.11</w:t>
            </w:r>
          </w:p>
        </w:tc>
        <w:tc>
          <w:tcPr>
            <w:tcW w:w="1843" w:type="dxa"/>
            <w:tcBorders>
              <w:top w:val="single" w:sz="4" w:space="0" w:color="auto"/>
              <w:bottom w:val="single" w:sz="4" w:space="0" w:color="auto"/>
            </w:tcBorders>
            <w:shd w:val="clear" w:color="auto" w:fill="auto"/>
            <w:vAlign w:val="center"/>
            <w:hideMark/>
          </w:tcPr>
          <w:p w14:paraId="47BD79CD"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1.4719          (1.4278-1.5175)</w:t>
            </w:r>
          </w:p>
        </w:tc>
      </w:tr>
      <w:tr w:rsidR="00F2353C" w:rsidRPr="00394948" w14:paraId="386CA6F5" w14:textId="77777777" w:rsidTr="00382D10">
        <w:trPr>
          <w:trHeight w:val="270"/>
        </w:trPr>
        <w:tc>
          <w:tcPr>
            <w:tcW w:w="1433" w:type="dxa"/>
            <w:tcBorders>
              <w:top w:val="nil"/>
              <w:left w:val="nil"/>
              <w:bottom w:val="single" w:sz="8" w:space="0" w:color="000000"/>
              <w:right w:val="nil"/>
            </w:tcBorders>
            <w:shd w:val="clear" w:color="auto" w:fill="auto"/>
            <w:noWrap/>
            <w:vAlign w:val="center"/>
            <w:hideMark/>
          </w:tcPr>
          <w:p w14:paraId="6FC5CD51"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31-40</w:t>
            </w:r>
          </w:p>
        </w:tc>
        <w:tc>
          <w:tcPr>
            <w:tcW w:w="1063" w:type="dxa"/>
            <w:tcBorders>
              <w:top w:val="nil"/>
              <w:left w:val="nil"/>
              <w:bottom w:val="single" w:sz="8" w:space="0" w:color="000000"/>
              <w:right w:val="nil"/>
            </w:tcBorders>
            <w:shd w:val="clear" w:color="auto" w:fill="auto"/>
            <w:noWrap/>
            <w:vAlign w:val="center"/>
            <w:hideMark/>
          </w:tcPr>
          <w:p w14:paraId="12629031"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4,077</w:t>
            </w:r>
          </w:p>
        </w:tc>
        <w:tc>
          <w:tcPr>
            <w:tcW w:w="1488" w:type="dxa"/>
            <w:tcBorders>
              <w:top w:val="nil"/>
              <w:left w:val="nil"/>
              <w:bottom w:val="single" w:sz="8" w:space="0" w:color="000000"/>
              <w:right w:val="nil"/>
            </w:tcBorders>
            <w:shd w:val="clear" w:color="auto" w:fill="auto"/>
            <w:noWrap/>
            <w:vAlign w:val="center"/>
            <w:hideMark/>
          </w:tcPr>
          <w:p w14:paraId="6A4273B3"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94,385</w:t>
            </w:r>
          </w:p>
        </w:tc>
        <w:tc>
          <w:tcPr>
            <w:tcW w:w="1488" w:type="dxa"/>
            <w:tcBorders>
              <w:top w:val="nil"/>
              <w:left w:val="nil"/>
              <w:bottom w:val="single" w:sz="8" w:space="0" w:color="000000"/>
              <w:right w:val="nil"/>
            </w:tcBorders>
            <w:shd w:val="clear" w:color="auto" w:fill="auto"/>
            <w:noWrap/>
            <w:vAlign w:val="center"/>
            <w:hideMark/>
          </w:tcPr>
          <w:p w14:paraId="125D9A4F"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1:23</w:t>
            </w:r>
          </w:p>
        </w:tc>
        <w:tc>
          <w:tcPr>
            <w:tcW w:w="1489" w:type="dxa"/>
            <w:tcBorders>
              <w:top w:val="nil"/>
              <w:left w:val="nil"/>
              <w:bottom w:val="single" w:sz="8" w:space="0" w:color="000000"/>
            </w:tcBorders>
            <w:shd w:val="clear" w:color="auto" w:fill="auto"/>
            <w:noWrap/>
            <w:vAlign w:val="center"/>
            <w:hideMark/>
          </w:tcPr>
          <w:p w14:paraId="2BF57AFA"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43.20</w:t>
            </w:r>
          </w:p>
        </w:tc>
        <w:tc>
          <w:tcPr>
            <w:tcW w:w="1843" w:type="dxa"/>
            <w:tcBorders>
              <w:top w:val="single" w:sz="4" w:space="0" w:color="auto"/>
              <w:bottom w:val="single" w:sz="4" w:space="0" w:color="auto"/>
            </w:tcBorders>
            <w:shd w:val="clear" w:color="auto" w:fill="auto"/>
            <w:vAlign w:val="center"/>
            <w:hideMark/>
          </w:tcPr>
          <w:p w14:paraId="037B9E18"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0.9239            (0.8929-0.9561)</w:t>
            </w:r>
          </w:p>
        </w:tc>
      </w:tr>
      <w:tr w:rsidR="00F2353C" w:rsidRPr="00394948" w14:paraId="25A8E70B" w14:textId="77777777" w:rsidTr="00382D10">
        <w:trPr>
          <w:trHeight w:val="225"/>
        </w:trPr>
        <w:tc>
          <w:tcPr>
            <w:tcW w:w="1433" w:type="dxa"/>
            <w:tcBorders>
              <w:top w:val="nil"/>
              <w:left w:val="nil"/>
              <w:bottom w:val="single" w:sz="8" w:space="0" w:color="000000"/>
              <w:right w:val="nil"/>
            </w:tcBorders>
            <w:shd w:val="clear" w:color="auto" w:fill="auto"/>
            <w:noWrap/>
            <w:vAlign w:val="center"/>
            <w:hideMark/>
          </w:tcPr>
          <w:p w14:paraId="3B4DCD3C"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41-50</w:t>
            </w:r>
          </w:p>
        </w:tc>
        <w:tc>
          <w:tcPr>
            <w:tcW w:w="1063" w:type="dxa"/>
            <w:tcBorders>
              <w:top w:val="nil"/>
              <w:left w:val="nil"/>
              <w:bottom w:val="single" w:sz="8" w:space="0" w:color="000000"/>
              <w:right w:val="nil"/>
            </w:tcBorders>
            <w:shd w:val="clear" w:color="auto" w:fill="auto"/>
            <w:noWrap/>
            <w:vAlign w:val="center"/>
            <w:hideMark/>
          </w:tcPr>
          <w:p w14:paraId="32C75489"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3,202</w:t>
            </w:r>
          </w:p>
        </w:tc>
        <w:tc>
          <w:tcPr>
            <w:tcW w:w="1488" w:type="dxa"/>
            <w:tcBorders>
              <w:top w:val="nil"/>
              <w:left w:val="nil"/>
              <w:bottom w:val="single" w:sz="8" w:space="0" w:color="000000"/>
              <w:right w:val="nil"/>
            </w:tcBorders>
            <w:shd w:val="clear" w:color="auto" w:fill="auto"/>
            <w:noWrap/>
            <w:vAlign w:val="center"/>
            <w:hideMark/>
          </w:tcPr>
          <w:p w14:paraId="2402C82A"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99,203</w:t>
            </w:r>
          </w:p>
        </w:tc>
        <w:tc>
          <w:tcPr>
            <w:tcW w:w="1488" w:type="dxa"/>
            <w:tcBorders>
              <w:top w:val="nil"/>
              <w:left w:val="nil"/>
              <w:bottom w:val="single" w:sz="8" w:space="0" w:color="000000"/>
              <w:right w:val="nil"/>
            </w:tcBorders>
            <w:shd w:val="clear" w:color="auto" w:fill="auto"/>
            <w:noWrap/>
            <w:vAlign w:val="center"/>
            <w:hideMark/>
          </w:tcPr>
          <w:p w14:paraId="19C5B62C"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1:31</w:t>
            </w:r>
          </w:p>
        </w:tc>
        <w:tc>
          <w:tcPr>
            <w:tcW w:w="1489" w:type="dxa"/>
            <w:tcBorders>
              <w:top w:val="nil"/>
              <w:left w:val="nil"/>
              <w:bottom w:val="single" w:sz="8" w:space="0" w:color="000000"/>
            </w:tcBorders>
            <w:shd w:val="clear" w:color="auto" w:fill="auto"/>
            <w:noWrap/>
            <w:vAlign w:val="center"/>
            <w:hideMark/>
          </w:tcPr>
          <w:p w14:paraId="50EA7154"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32.28</w:t>
            </w:r>
          </w:p>
        </w:tc>
        <w:tc>
          <w:tcPr>
            <w:tcW w:w="1843" w:type="dxa"/>
            <w:tcBorders>
              <w:top w:val="single" w:sz="4" w:space="0" w:color="auto"/>
              <w:bottom w:val="single" w:sz="4" w:space="0" w:color="auto"/>
            </w:tcBorders>
            <w:shd w:val="clear" w:color="auto" w:fill="auto"/>
            <w:vAlign w:val="center"/>
            <w:hideMark/>
          </w:tcPr>
          <w:p w14:paraId="4D0A77F6"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0.649                (0.6250-0.6739)</w:t>
            </w:r>
          </w:p>
        </w:tc>
      </w:tr>
      <w:tr w:rsidR="00F2353C" w:rsidRPr="00394948" w14:paraId="1B030FE2" w14:textId="77777777" w:rsidTr="00382D10">
        <w:trPr>
          <w:trHeight w:val="255"/>
        </w:trPr>
        <w:tc>
          <w:tcPr>
            <w:tcW w:w="1433" w:type="dxa"/>
            <w:tcBorders>
              <w:top w:val="nil"/>
              <w:left w:val="nil"/>
              <w:bottom w:val="single" w:sz="8" w:space="0" w:color="000000"/>
              <w:right w:val="nil"/>
            </w:tcBorders>
            <w:shd w:val="clear" w:color="auto" w:fill="auto"/>
            <w:noWrap/>
            <w:vAlign w:val="center"/>
            <w:hideMark/>
          </w:tcPr>
          <w:p w14:paraId="5BB46032"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51-60</w:t>
            </w:r>
          </w:p>
        </w:tc>
        <w:tc>
          <w:tcPr>
            <w:tcW w:w="1063" w:type="dxa"/>
            <w:tcBorders>
              <w:top w:val="nil"/>
              <w:left w:val="nil"/>
              <w:bottom w:val="single" w:sz="8" w:space="0" w:color="000000"/>
              <w:right w:val="nil"/>
            </w:tcBorders>
            <w:shd w:val="clear" w:color="auto" w:fill="auto"/>
            <w:noWrap/>
            <w:vAlign w:val="center"/>
            <w:hideMark/>
          </w:tcPr>
          <w:p w14:paraId="31DB37C8"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3,291</w:t>
            </w:r>
          </w:p>
        </w:tc>
        <w:tc>
          <w:tcPr>
            <w:tcW w:w="1488" w:type="dxa"/>
            <w:tcBorders>
              <w:top w:val="nil"/>
              <w:left w:val="nil"/>
              <w:bottom w:val="single" w:sz="8" w:space="0" w:color="000000"/>
              <w:right w:val="nil"/>
            </w:tcBorders>
            <w:shd w:val="clear" w:color="auto" w:fill="auto"/>
            <w:noWrap/>
            <w:vAlign w:val="center"/>
            <w:hideMark/>
          </w:tcPr>
          <w:p w14:paraId="41F7B06C"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111,462</w:t>
            </w:r>
          </w:p>
        </w:tc>
        <w:tc>
          <w:tcPr>
            <w:tcW w:w="1488" w:type="dxa"/>
            <w:tcBorders>
              <w:top w:val="nil"/>
              <w:left w:val="nil"/>
              <w:bottom w:val="single" w:sz="8" w:space="0" w:color="000000"/>
              <w:right w:val="nil"/>
            </w:tcBorders>
            <w:shd w:val="clear" w:color="auto" w:fill="auto"/>
            <w:noWrap/>
            <w:vAlign w:val="center"/>
            <w:hideMark/>
          </w:tcPr>
          <w:p w14:paraId="563804FC"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1:34</w:t>
            </w:r>
          </w:p>
        </w:tc>
        <w:tc>
          <w:tcPr>
            <w:tcW w:w="1489" w:type="dxa"/>
            <w:tcBorders>
              <w:top w:val="nil"/>
              <w:left w:val="nil"/>
              <w:bottom w:val="single" w:sz="8" w:space="0" w:color="000000"/>
            </w:tcBorders>
            <w:shd w:val="clear" w:color="auto" w:fill="auto"/>
            <w:noWrap/>
            <w:vAlign w:val="center"/>
            <w:hideMark/>
          </w:tcPr>
          <w:p w14:paraId="3E242B03"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29.53</w:t>
            </w:r>
          </w:p>
        </w:tc>
        <w:tc>
          <w:tcPr>
            <w:tcW w:w="1843" w:type="dxa"/>
            <w:tcBorders>
              <w:top w:val="single" w:sz="4" w:space="0" w:color="auto"/>
              <w:bottom w:val="single" w:sz="4" w:space="0" w:color="auto"/>
            </w:tcBorders>
            <w:shd w:val="clear" w:color="auto" w:fill="auto"/>
            <w:vAlign w:val="center"/>
            <w:hideMark/>
          </w:tcPr>
          <w:p w14:paraId="0C92E869"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0.5778</w:t>
            </w:r>
          </w:p>
          <w:p w14:paraId="7AEAC135"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 xml:space="preserve"> (0.5567-0.5997)</w:t>
            </w:r>
          </w:p>
        </w:tc>
      </w:tr>
      <w:tr w:rsidR="00F2353C" w:rsidRPr="00394948" w14:paraId="027CADBA" w14:textId="77777777" w:rsidTr="00382D10">
        <w:trPr>
          <w:trHeight w:val="300"/>
        </w:trPr>
        <w:tc>
          <w:tcPr>
            <w:tcW w:w="1433" w:type="dxa"/>
            <w:tcBorders>
              <w:top w:val="nil"/>
              <w:left w:val="nil"/>
              <w:bottom w:val="single" w:sz="8" w:space="0" w:color="000000"/>
              <w:right w:val="nil"/>
            </w:tcBorders>
            <w:shd w:val="clear" w:color="auto" w:fill="auto"/>
            <w:noWrap/>
            <w:vAlign w:val="center"/>
            <w:hideMark/>
          </w:tcPr>
          <w:p w14:paraId="5F850DDE"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61-70</w:t>
            </w:r>
          </w:p>
        </w:tc>
        <w:tc>
          <w:tcPr>
            <w:tcW w:w="1063" w:type="dxa"/>
            <w:tcBorders>
              <w:top w:val="nil"/>
              <w:left w:val="nil"/>
              <w:bottom w:val="single" w:sz="8" w:space="0" w:color="000000"/>
              <w:right w:val="nil"/>
            </w:tcBorders>
            <w:shd w:val="clear" w:color="auto" w:fill="auto"/>
            <w:noWrap/>
            <w:vAlign w:val="center"/>
            <w:hideMark/>
          </w:tcPr>
          <w:p w14:paraId="0E71E368"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2,053</w:t>
            </w:r>
          </w:p>
        </w:tc>
        <w:tc>
          <w:tcPr>
            <w:tcW w:w="1488" w:type="dxa"/>
            <w:tcBorders>
              <w:top w:val="nil"/>
              <w:left w:val="nil"/>
              <w:bottom w:val="single" w:sz="8" w:space="0" w:color="000000"/>
              <w:right w:val="nil"/>
            </w:tcBorders>
            <w:shd w:val="clear" w:color="auto" w:fill="auto"/>
            <w:noWrap/>
            <w:vAlign w:val="center"/>
            <w:hideMark/>
          </w:tcPr>
          <w:p w14:paraId="422DB385"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82,047</w:t>
            </w:r>
          </w:p>
        </w:tc>
        <w:tc>
          <w:tcPr>
            <w:tcW w:w="1488" w:type="dxa"/>
            <w:tcBorders>
              <w:top w:val="nil"/>
              <w:left w:val="nil"/>
              <w:bottom w:val="single" w:sz="8" w:space="0" w:color="000000"/>
              <w:right w:val="nil"/>
            </w:tcBorders>
            <w:shd w:val="clear" w:color="auto" w:fill="auto"/>
            <w:noWrap/>
            <w:vAlign w:val="center"/>
            <w:hideMark/>
          </w:tcPr>
          <w:p w14:paraId="6E4CCBA2"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1:40</w:t>
            </w:r>
          </w:p>
        </w:tc>
        <w:tc>
          <w:tcPr>
            <w:tcW w:w="1489" w:type="dxa"/>
            <w:tcBorders>
              <w:top w:val="nil"/>
              <w:left w:val="nil"/>
              <w:bottom w:val="single" w:sz="8" w:space="0" w:color="000000"/>
            </w:tcBorders>
            <w:shd w:val="clear" w:color="auto" w:fill="auto"/>
            <w:noWrap/>
            <w:vAlign w:val="center"/>
            <w:hideMark/>
          </w:tcPr>
          <w:p w14:paraId="132CE949"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25.02</w:t>
            </w:r>
          </w:p>
        </w:tc>
        <w:tc>
          <w:tcPr>
            <w:tcW w:w="1843" w:type="dxa"/>
            <w:tcBorders>
              <w:top w:val="single" w:sz="4" w:space="0" w:color="auto"/>
              <w:bottom w:val="single" w:sz="4" w:space="0" w:color="auto"/>
            </w:tcBorders>
            <w:shd w:val="clear" w:color="auto" w:fill="auto"/>
            <w:vAlign w:val="center"/>
            <w:hideMark/>
          </w:tcPr>
          <w:p w14:paraId="3CFE4A7F"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0.4937           (0.4717-0.5169)</w:t>
            </w:r>
          </w:p>
        </w:tc>
      </w:tr>
      <w:tr w:rsidR="00F2353C" w:rsidRPr="00394948" w14:paraId="2BCB4932" w14:textId="77777777" w:rsidTr="00382D10">
        <w:trPr>
          <w:trHeight w:val="240"/>
        </w:trPr>
        <w:tc>
          <w:tcPr>
            <w:tcW w:w="1433" w:type="dxa"/>
            <w:tcBorders>
              <w:top w:val="nil"/>
              <w:left w:val="nil"/>
              <w:bottom w:val="single" w:sz="8" w:space="0" w:color="000000"/>
              <w:right w:val="nil"/>
            </w:tcBorders>
            <w:shd w:val="clear" w:color="auto" w:fill="auto"/>
            <w:noWrap/>
            <w:vAlign w:val="center"/>
            <w:hideMark/>
          </w:tcPr>
          <w:p w14:paraId="042165E8"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71+</w:t>
            </w:r>
          </w:p>
        </w:tc>
        <w:tc>
          <w:tcPr>
            <w:tcW w:w="1063" w:type="dxa"/>
            <w:tcBorders>
              <w:top w:val="nil"/>
              <w:left w:val="nil"/>
              <w:bottom w:val="single" w:sz="8" w:space="0" w:color="000000"/>
              <w:right w:val="nil"/>
            </w:tcBorders>
            <w:shd w:val="clear" w:color="auto" w:fill="auto"/>
            <w:noWrap/>
            <w:vAlign w:val="center"/>
            <w:hideMark/>
          </w:tcPr>
          <w:p w14:paraId="104F24A4"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153</w:t>
            </w:r>
          </w:p>
        </w:tc>
        <w:tc>
          <w:tcPr>
            <w:tcW w:w="1488" w:type="dxa"/>
            <w:tcBorders>
              <w:top w:val="nil"/>
              <w:left w:val="nil"/>
              <w:bottom w:val="single" w:sz="8" w:space="0" w:color="000000"/>
              <w:right w:val="nil"/>
            </w:tcBorders>
            <w:shd w:val="clear" w:color="auto" w:fill="auto"/>
            <w:noWrap/>
            <w:vAlign w:val="center"/>
            <w:hideMark/>
          </w:tcPr>
          <w:p w14:paraId="473D6A41"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9,976</w:t>
            </w:r>
          </w:p>
        </w:tc>
        <w:tc>
          <w:tcPr>
            <w:tcW w:w="1488" w:type="dxa"/>
            <w:tcBorders>
              <w:top w:val="nil"/>
              <w:left w:val="nil"/>
              <w:bottom w:val="single" w:sz="8" w:space="0" w:color="000000"/>
              <w:right w:val="nil"/>
            </w:tcBorders>
            <w:shd w:val="clear" w:color="auto" w:fill="auto"/>
            <w:noWrap/>
            <w:vAlign w:val="center"/>
            <w:hideMark/>
          </w:tcPr>
          <w:p w14:paraId="1A222388"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1:65</w:t>
            </w:r>
          </w:p>
        </w:tc>
        <w:tc>
          <w:tcPr>
            <w:tcW w:w="1489" w:type="dxa"/>
            <w:tcBorders>
              <w:top w:val="nil"/>
              <w:left w:val="nil"/>
              <w:bottom w:val="single" w:sz="8" w:space="0" w:color="000000"/>
            </w:tcBorders>
            <w:shd w:val="clear" w:color="auto" w:fill="auto"/>
            <w:noWrap/>
            <w:vAlign w:val="center"/>
            <w:hideMark/>
          </w:tcPr>
          <w:p w14:paraId="2AB9E762"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15.34</w:t>
            </w:r>
          </w:p>
        </w:tc>
        <w:tc>
          <w:tcPr>
            <w:tcW w:w="1843" w:type="dxa"/>
            <w:tcBorders>
              <w:top w:val="single" w:sz="4" w:space="0" w:color="auto"/>
              <w:bottom w:val="single" w:sz="4" w:space="0" w:color="auto"/>
            </w:tcBorders>
            <w:shd w:val="clear" w:color="auto" w:fill="auto"/>
            <w:vAlign w:val="center"/>
            <w:hideMark/>
          </w:tcPr>
          <w:p w14:paraId="38EE5F50"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0.3213            (0.2737-0.3771)</w:t>
            </w:r>
          </w:p>
        </w:tc>
      </w:tr>
      <w:tr w:rsidR="00F2353C" w:rsidRPr="00394948" w14:paraId="423534A7" w14:textId="77777777" w:rsidTr="00382D10">
        <w:trPr>
          <w:trHeight w:val="315"/>
        </w:trPr>
        <w:tc>
          <w:tcPr>
            <w:tcW w:w="1433" w:type="dxa"/>
            <w:tcBorders>
              <w:top w:val="nil"/>
              <w:left w:val="nil"/>
              <w:bottom w:val="single" w:sz="8" w:space="0" w:color="auto"/>
              <w:right w:val="nil"/>
            </w:tcBorders>
            <w:shd w:val="clear" w:color="auto" w:fill="auto"/>
            <w:noWrap/>
            <w:vAlign w:val="center"/>
            <w:hideMark/>
          </w:tcPr>
          <w:p w14:paraId="30C3C16E" w14:textId="77777777" w:rsidR="00F2353C" w:rsidRPr="00394948" w:rsidRDefault="00F2353C" w:rsidP="00382D10">
            <w:pPr>
              <w:spacing w:after="0"/>
              <w:rPr>
                <w:rFonts w:eastAsia="Times New Roman" w:cstheme="minorHAnsi"/>
                <w:b/>
                <w:bCs/>
                <w:sz w:val="20"/>
                <w:szCs w:val="20"/>
                <w:lang w:eastAsia="en-AU"/>
              </w:rPr>
            </w:pPr>
            <w:r w:rsidRPr="00394948">
              <w:rPr>
                <w:rFonts w:eastAsia="Times New Roman" w:cstheme="minorHAnsi"/>
                <w:b/>
                <w:bCs/>
                <w:sz w:val="20"/>
                <w:szCs w:val="20"/>
                <w:lang w:eastAsia="en-AU"/>
              </w:rPr>
              <w:t>Total</w:t>
            </w:r>
          </w:p>
        </w:tc>
        <w:tc>
          <w:tcPr>
            <w:tcW w:w="1063" w:type="dxa"/>
            <w:tcBorders>
              <w:top w:val="nil"/>
              <w:left w:val="nil"/>
              <w:bottom w:val="single" w:sz="8" w:space="0" w:color="auto"/>
              <w:right w:val="nil"/>
            </w:tcBorders>
            <w:shd w:val="clear" w:color="auto" w:fill="auto"/>
            <w:noWrap/>
            <w:vAlign w:val="center"/>
            <w:hideMark/>
          </w:tcPr>
          <w:p w14:paraId="60E070A0" w14:textId="77777777" w:rsidR="00F2353C" w:rsidRPr="00394948" w:rsidRDefault="00F2353C" w:rsidP="00382D10">
            <w:pPr>
              <w:spacing w:after="0"/>
              <w:jc w:val="center"/>
              <w:rPr>
                <w:rFonts w:eastAsia="Times New Roman" w:cstheme="minorHAnsi"/>
                <w:b/>
                <w:bCs/>
                <w:sz w:val="20"/>
                <w:szCs w:val="20"/>
                <w:lang w:eastAsia="en-AU"/>
              </w:rPr>
            </w:pPr>
            <w:r w:rsidRPr="00394948">
              <w:rPr>
                <w:rFonts w:eastAsia="Times New Roman" w:cstheme="minorHAnsi"/>
                <w:b/>
                <w:bCs/>
                <w:sz w:val="20"/>
                <w:szCs w:val="20"/>
                <w:lang w:eastAsia="en-AU"/>
              </w:rPr>
              <w:t>25,771</w:t>
            </w:r>
          </w:p>
        </w:tc>
        <w:tc>
          <w:tcPr>
            <w:tcW w:w="1488" w:type="dxa"/>
            <w:tcBorders>
              <w:top w:val="nil"/>
              <w:left w:val="nil"/>
              <w:bottom w:val="single" w:sz="8" w:space="0" w:color="auto"/>
              <w:right w:val="nil"/>
            </w:tcBorders>
            <w:shd w:val="clear" w:color="auto" w:fill="auto"/>
            <w:noWrap/>
            <w:vAlign w:val="center"/>
            <w:hideMark/>
          </w:tcPr>
          <w:p w14:paraId="1D4D97E6" w14:textId="77777777" w:rsidR="00F2353C" w:rsidRPr="00394948" w:rsidRDefault="00F2353C" w:rsidP="00382D10">
            <w:pPr>
              <w:spacing w:after="0"/>
              <w:jc w:val="center"/>
              <w:rPr>
                <w:rFonts w:eastAsia="Times New Roman" w:cstheme="minorHAnsi"/>
                <w:b/>
                <w:bCs/>
                <w:sz w:val="20"/>
                <w:szCs w:val="20"/>
                <w:lang w:eastAsia="en-AU"/>
              </w:rPr>
            </w:pPr>
            <w:r w:rsidRPr="00394948">
              <w:rPr>
                <w:rFonts w:eastAsia="Times New Roman" w:cstheme="minorHAnsi"/>
                <w:b/>
                <w:bCs/>
                <w:sz w:val="20"/>
                <w:szCs w:val="20"/>
                <w:lang w:eastAsia="en-AU"/>
              </w:rPr>
              <w:t>564,137</w:t>
            </w:r>
          </w:p>
        </w:tc>
        <w:tc>
          <w:tcPr>
            <w:tcW w:w="1488" w:type="dxa"/>
            <w:tcBorders>
              <w:top w:val="nil"/>
              <w:left w:val="nil"/>
              <w:bottom w:val="single" w:sz="8" w:space="0" w:color="auto"/>
              <w:right w:val="nil"/>
            </w:tcBorders>
            <w:shd w:val="clear" w:color="auto" w:fill="auto"/>
            <w:noWrap/>
            <w:vAlign w:val="center"/>
            <w:hideMark/>
          </w:tcPr>
          <w:p w14:paraId="44C90A00" w14:textId="77777777" w:rsidR="00F2353C" w:rsidRPr="00394948" w:rsidRDefault="00F2353C" w:rsidP="00382D10">
            <w:pPr>
              <w:spacing w:after="0"/>
              <w:jc w:val="center"/>
              <w:rPr>
                <w:rFonts w:eastAsia="Times New Roman" w:cstheme="minorHAnsi"/>
                <w:b/>
                <w:bCs/>
                <w:sz w:val="20"/>
                <w:szCs w:val="20"/>
                <w:lang w:eastAsia="en-AU"/>
              </w:rPr>
            </w:pPr>
            <w:r w:rsidRPr="00394948">
              <w:rPr>
                <w:rFonts w:eastAsia="Times New Roman" w:cstheme="minorHAnsi"/>
                <w:b/>
                <w:bCs/>
                <w:sz w:val="20"/>
                <w:szCs w:val="20"/>
                <w:lang w:eastAsia="en-AU"/>
              </w:rPr>
              <w:t>1:22</w:t>
            </w:r>
          </w:p>
        </w:tc>
        <w:tc>
          <w:tcPr>
            <w:tcW w:w="1489" w:type="dxa"/>
            <w:tcBorders>
              <w:top w:val="nil"/>
              <w:left w:val="nil"/>
              <w:bottom w:val="single" w:sz="8" w:space="0" w:color="auto"/>
            </w:tcBorders>
            <w:shd w:val="clear" w:color="auto" w:fill="auto"/>
            <w:noWrap/>
            <w:vAlign w:val="center"/>
            <w:hideMark/>
          </w:tcPr>
          <w:p w14:paraId="6F918BB9" w14:textId="77777777" w:rsidR="00F2353C" w:rsidRPr="00394948" w:rsidRDefault="00F2353C" w:rsidP="00382D10">
            <w:pPr>
              <w:spacing w:after="0"/>
              <w:jc w:val="center"/>
              <w:rPr>
                <w:rFonts w:eastAsia="Times New Roman" w:cstheme="minorHAnsi"/>
                <w:b/>
                <w:bCs/>
                <w:sz w:val="20"/>
                <w:szCs w:val="20"/>
                <w:lang w:eastAsia="en-AU"/>
              </w:rPr>
            </w:pPr>
            <w:r w:rsidRPr="00394948">
              <w:rPr>
                <w:rFonts w:eastAsia="Times New Roman" w:cstheme="minorHAnsi"/>
                <w:b/>
                <w:bCs/>
                <w:sz w:val="20"/>
                <w:szCs w:val="20"/>
                <w:lang w:eastAsia="en-AU"/>
              </w:rPr>
              <w:t>45.68</w:t>
            </w:r>
          </w:p>
        </w:tc>
        <w:tc>
          <w:tcPr>
            <w:tcW w:w="1843" w:type="dxa"/>
            <w:tcBorders>
              <w:top w:val="single" w:sz="4" w:space="0" w:color="auto"/>
              <w:bottom w:val="single" w:sz="4" w:space="0" w:color="auto"/>
            </w:tcBorders>
            <w:shd w:val="clear" w:color="auto" w:fill="auto"/>
            <w:noWrap/>
            <w:vAlign w:val="center"/>
            <w:hideMark/>
          </w:tcPr>
          <w:p w14:paraId="3DAA1D5C" w14:textId="77777777" w:rsidR="00F2353C" w:rsidRPr="00394948" w:rsidRDefault="00F2353C" w:rsidP="00382D10">
            <w:pPr>
              <w:spacing w:after="0"/>
              <w:jc w:val="center"/>
              <w:rPr>
                <w:rFonts w:eastAsia="Times New Roman" w:cstheme="minorHAnsi"/>
                <w:b/>
                <w:bCs/>
                <w:sz w:val="20"/>
                <w:szCs w:val="20"/>
                <w:lang w:eastAsia="en-AU"/>
              </w:rPr>
            </w:pPr>
            <w:r w:rsidRPr="00394948">
              <w:rPr>
                <w:rFonts w:eastAsia="Times New Roman" w:cstheme="minorHAnsi"/>
                <w:b/>
                <w:bCs/>
                <w:sz w:val="20"/>
                <w:szCs w:val="20"/>
                <w:lang w:eastAsia="en-AU"/>
              </w:rPr>
              <w:t> </w:t>
            </w:r>
          </w:p>
        </w:tc>
      </w:tr>
    </w:tbl>
    <w:p w14:paraId="793487DF" w14:textId="77777777" w:rsidR="00DA5BAD" w:rsidRPr="00394948" w:rsidRDefault="00DA5BAD" w:rsidP="00F2353C">
      <w:pPr>
        <w:pStyle w:val="Caption"/>
        <w:keepNext/>
        <w:spacing w:before="200"/>
        <w:rPr>
          <w:rFonts w:cstheme="minorHAnsi"/>
          <w:color w:val="000000" w:themeColor="text1"/>
          <w:sz w:val="20"/>
          <w:szCs w:val="20"/>
        </w:rPr>
      </w:pPr>
      <w:bookmarkStart w:id="119" w:name="_Ref523128461"/>
    </w:p>
    <w:p w14:paraId="0A7205A9" w14:textId="77777777" w:rsidR="00DA5BAD" w:rsidRPr="00394948" w:rsidRDefault="00DA5BAD">
      <w:pPr>
        <w:spacing w:line="276" w:lineRule="auto"/>
        <w:rPr>
          <w:rFonts w:asciiTheme="minorHAnsi" w:eastAsia="SimSun" w:hAnsiTheme="minorHAnsi" w:cstheme="minorHAnsi"/>
          <w:b/>
          <w:bCs/>
          <w:color w:val="000000" w:themeColor="text1"/>
          <w:sz w:val="20"/>
          <w:szCs w:val="20"/>
        </w:rPr>
      </w:pPr>
      <w:r w:rsidRPr="00394948">
        <w:rPr>
          <w:rFonts w:cstheme="minorHAnsi"/>
          <w:color w:val="000000" w:themeColor="text1"/>
          <w:sz w:val="20"/>
          <w:szCs w:val="20"/>
        </w:rPr>
        <w:br w:type="page"/>
      </w:r>
    </w:p>
    <w:bookmarkEnd w:id="119"/>
    <w:p w14:paraId="0E31C988" w14:textId="67A6C4FE" w:rsidR="00F2353C" w:rsidRPr="00394948" w:rsidRDefault="00F2353C" w:rsidP="00F2353C">
      <w:pPr>
        <w:pStyle w:val="Caption"/>
        <w:keepNext/>
        <w:spacing w:before="200"/>
        <w:rPr>
          <w:rFonts w:cstheme="minorHAnsi"/>
          <w:color w:val="000000" w:themeColor="text1"/>
          <w:sz w:val="20"/>
          <w:szCs w:val="20"/>
        </w:rPr>
      </w:pPr>
    </w:p>
    <w:p w14:paraId="345B2E73" w14:textId="05CBB6C5" w:rsidR="00942707" w:rsidRPr="00F37ADB" w:rsidRDefault="00942707" w:rsidP="00942707">
      <w:pPr>
        <w:pStyle w:val="Caption"/>
        <w:keepNext/>
        <w:spacing w:after="0"/>
        <w:rPr>
          <w:color w:val="auto"/>
        </w:rPr>
      </w:pPr>
      <w:bookmarkStart w:id="120" w:name="_Toc36208195"/>
      <w:bookmarkStart w:id="121" w:name="_Toc41909337"/>
      <w:r w:rsidRPr="00F37ADB">
        <w:rPr>
          <w:color w:val="auto"/>
        </w:rPr>
        <w:t xml:space="preserve">Table </w:t>
      </w:r>
      <w:r w:rsidRPr="00F37ADB">
        <w:rPr>
          <w:color w:val="auto"/>
        </w:rPr>
        <w:fldChar w:fldCharType="begin"/>
      </w:r>
      <w:r w:rsidRPr="00F37ADB">
        <w:rPr>
          <w:color w:val="auto"/>
        </w:rPr>
        <w:instrText xml:space="preserve"> SEQ Table \* ARABIC </w:instrText>
      </w:r>
      <w:r w:rsidRPr="00F37ADB">
        <w:rPr>
          <w:color w:val="auto"/>
        </w:rPr>
        <w:fldChar w:fldCharType="separate"/>
      </w:r>
      <w:r w:rsidRPr="00F37ADB">
        <w:rPr>
          <w:noProof/>
          <w:color w:val="auto"/>
        </w:rPr>
        <w:t>45</w:t>
      </w:r>
      <w:r w:rsidRPr="00F37ADB">
        <w:rPr>
          <w:color w:val="auto"/>
        </w:rPr>
        <w:fldChar w:fldCharType="end"/>
      </w:r>
      <w:r w:rsidRPr="00F37ADB">
        <w:rPr>
          <w:color w:val="auto"/>
        </w:rPr>
        <w:t>: Adverse donation reactions in male donors by age, including odds ratio, 2016-17</w:t>
      </w:r>
      <w:bookmarkEnd w:id="120"/>
      <w:bookmarkEnd w:id="121"/>
    </w:p>
    <w:tbl>
      <w:tblPr>
        <w:tblW w:w="8804" w:type="dxa"/>
        <w:tblInd w:w="93" w:type="dxa"/>
        <w:tblLayout w:type="fixed"/>
        <w:tblLook w:val="04A0" w:firstRow="1" w:lastRow="0" w:firstColumn="1" w:lastColumn="0" w:noHBand="0" w:noVBand="1"/>
      </w:tblPr>
      <w:tblGrid>
        <w:gridCol w:w="1433"/>
        <w:gridCol w:w="1063"/>
        <w:gridCol w:w="1488"/>
        <w:gridCol w:w="1488"/>
        <w:gridCol w:w="1489"/>
        <w:gridCol w:w="1843"/>
      </w:tblGrid>
      <w:tr w:rsidR="00F2353C" w:rsidRPr="00394948" w14:paraId="74535F91" w14:textId="77777777" w:rsidTr="00382D10">
        <w:trPr>
          <w:trHeight w:val="510"/>
        </w:trPr>
        <w:tc>
          <w:tcPr>
            <w:tcW w:w="1433" w:type="dxa"/>
            <w:vMerge w:val="restart"/>
            <w:tcBorders>
              <w:top w:val="nil"/>
              <w:left w:val="nil"/>
              <w:bottom w:val="nil"/>
              <w:right w:val="nil"/>
            </w:tcBorders>
            <w:shd w:val="clear" w:color="000000" w:fill="FF0000"/>
            <w:vAlign w:val="center"/>
            <w:hideMark/>
          </w:tcPr>
          <w:p w14:paraId="270D183C" w14:textId="77777777" w:rsidR="00F2353C" w:rsidRPr="00394948" w:rsidRDefault="00F2353C" w:rsidP="00382D10">
            <w:pPr>
              <w:spacing w:after="0"/>
              <w:rPr>
                <w:rFonts w:eastAsia="Times New Roman"/>
                <w:b/>
                <w:bCs/>
                <w:color w:val="FFFFFF"/>
                <w:sz w:val="20"/>
                <w:szCs w:val="20"/>
                <w:lang w:eastAsia="zh-CN"/>
              </w:rPr>
            </w:pPr>
            <w:r w:rsidRPr="00394948">
              <w:rPr>
                <w:rFonts w:eastAsia="Times New Roman"/>
                <w:b/>
                <w:bCs/>
                <w:color w:val="FFFFFF"/>
                <w:sz w:val="20"/>
                <w:szCs w:val="20"/>
                <w:lang w:eastAsia="zh-CN"/>
              </w:rPr>
              <w:t>Age group</w:t>
            </w:r>
          </w:p>
        </w:tc>
        <w:tc>
          <w:tcPr>
            <w:tcW w:w="1063" w:type="dxa"/>
            <w:vMerge w:val="restart"/>
            <w:tcBorders>
              <w:top w:val="nil"/>
              <w:left w:val="nil"/>
              <w:bottom w:val="nil"/>
              <w:right w:val="nil"/>
            </w:tcBorders>
            <w:shd w:val="clear" w:color="000000" w:fill="FF0000"/>
            <w:vAlign w:val="center"/>
            <w:hideMark/>
          </w:tcPr>
          <w:p w14:paraId="3C67879E" w14:textId="77777777" w:rsidR="00F2353C" w:rsidRPr="00394948" w:rsidRDefault="00F2353C" w:rsidP="00382D10">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Number of events</w:t>
            </w:r>
          </w:p>
        </w:tc>
        <w:tc>
          <w:tcPr>
            <w:tcW w:w="1488" w:type="dxa"/>
            <w:vMerge w:val="restart"/>
            <w:tcBorders>
              <w:top w:val="nil"/>
              <w:left w:val="nil"/>
              <w:bottom w:val="nil"/>
              <w:right w:val="nil"/>
            </w:tcBorders>
            <w:shd w:val="clear" w:color="000000" w:fill="FF0000"/>
            <w:vAlign w:val="center"/>
            <w:hideMark/>
          </w:tcPr>
          <w:p w14:paraId="6ACA9FB9" w14:textId="77777777" w:rsidR="00F2353C" w:rsidRPr="00394948" w:rsidRDefault="00F2353C" w:rsidP="00382D10">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Total donors in age group</w:t>
            </w:r>
          </w:p>
        </w:tc>
        <w:tc>
          <w:tcPr>
            <w:tcW w:w="1488" w:type="dxa"/>
            <w:vMerge w:val="restart"/>
            <w:tcBorders>
              <w:top w:val="nil"/>
              <w:left w:val="nil"/>
              <w:bottom w:val="nil"/>
              <w:right w:val="nil"/>
            </w:tcBorders>
            <w:shd w:val="clear" w:color="000000" w:fill="FF0000"/>
            <w:vAlign w:val="center"/>
            <w:hideMark/>
          </w:tcPr>
          <w:p w14:paraId="7A5E688D" w14:textId="77777777" w:rsidR="00F2353C" w:rsidRPr="00394948" w:rsidRDefault="00F2353C" w:rsidP="00382D10">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Frequency</w:t>
            </w:r>
          </w:p>
        </w:tc>
        <w:tc>
          <w:tcPr>
            <w:tcW w:w="1489" w:type="dxa"/>
            <w:vMerge w:val="restart"/>
            <w:tcBorders>
              <w:top w:val="nil"/>
              <w:left w:val="nil"/>
              <w:bottom w:val="nil"/>
              <w:right w:val="nil"/>
            </w:tcBorders>
            <w:shd w:val="clear" w:color="000000" w:fill="FF0000"/>
            <w:vAlign w:val="center"/>
            <w:hideMark/>
          </w:tcPr>
          <w:p w14:paraId="12DDDC3E" w14:textId="77777777" w:rsidR="00F2353C" w:rsidRPr="00394948" w:rsidRDefault="00F2353C" w:rsidP="00382D10">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Rate/1,000 donations</w:t>
            </w:r>
          </w:p>
        </w:tc>
        <w:tc>
          <w:tcPr>
            <w:tcW w:w="1843" w:type="dxa"/>
            <w:vMerge w:val="restart"/>
            <w:tcBorders>
              <w:top w:val="nil"/>
              <w:left w:val="nil"/>
              <w:bottom w:val="nil"/>
              <w:right w:val="nil"/>
            </w:tcBorders>
            <w:shd w:val="clear" w:color="000000" w:fill="FF0000"/>
            <w:vAlign w:val="center"/>
            <w:hideMark/>
          </w:tcPr>
          <w:p w14:paraId="6456E31B" w14:textId="77777777" w:rsidR="00F2353C" w:rsidRPr="00394948" w:rsidRDefault="00F2353C" w:rsidP="00382D10">
            <w:pPr>
              <w:spacing w:after="0"/>
              <w:jc w:val="right"/>
              <w:rPr>
                <w:rFonts w:eastAsia="Times New Roman"/>
                <w:b/>
                <w:bCs/>
                <w:color w:val="FFFFFF"/>
                <w:sz w:val="20"/>
                <w:szCs w:val="20"/>
                <w:lang w:eastAsia="zh-CN"/>
              </w:rPr>
            </w:pPr>
            <w:r w:rsidRPr="00394948">
              <w:rPr>
                <w:rFonts w:eastAsia="Times New Roman"/>
                <w:b/>
                <w:bCs/>
                <w:color w:val="FFFFFF"/>
                <w:sz w:val="20"/>
                <w:szCs w:val="20"/>
                <w:lang w:eastAsia="zh-CN"/>
              </w:rPr>
              <w:t>Odds ratio (95% CI)</w:t>
            </w:r>
          </w:p>
        </w:tc>
      </w:tr>
      <w:tr w:rsidR="00F2353C" w:rsidRPr="00394948" w14:paraId="3F279C01" w14:textId="77777777" w:rsidTr="00382D10">
        <w:trPr>
          <w:trHeight w:val="509"/>
        </w:trPr>
        <w:tc>
          <w:tcPr>
            <w:tcW w:w="1433" w:type="dxa"/>
            <w:vMerge/>
            <w:tcBorders>
              <w:top w:val="nil"/>
              <w:left w:val="nil"/>
              <w:bottom w:val="nil"/>
              <w:right w:val="nil"/>
            </w:tcBorders>
            <w:vAlign w:val="center"/>
            <w:hideMark/>
          </w:tcPr>
          <w:p w14:paraId="3D8638EF" w14:textId="77777777" w:rsidR="00F2353C" w:rsidRPr="00394948" w:rsidRDefault="00F2353C" w:rsidP="00382D10">
            <w:pPr>
              <w:spacing w:after="0"/>
              <w:rPr>
                <w:rFonts w:eastAsia="Times New Roman"/>
                <w:b/>
                <w:bCs/>
                <w:color w:val="FFFFFF"/>
                <w:sz w:val="20"/>
                <w:szCs w:val="20"/>
                <w:lang w:eastAsia="zh-CN"/>
              </w:rPr>
            </w:pPr>
          </w:p>
        </w:tc>
        <w:tc>
          <w:tcPr>
            <w:tcW w:w="1063" w:type="dxa"/>
            <w:vMerge/>
            <w:tcBorders>
              <w:top w:val="nil"/>
              <w:left w:val="nil"/>
              <w:bottom w:val="nil"/>
              <w:right w:val="nil"/>
            </w:tcBorders>
            <w:vAlign w:val="center"/>
            <w:hideMark/>
          </w:tcPr>
          <w:p w14:paraId="6142FB05" w14:textId="77777777" w:rsidR="00F2353C" w:rsidRPr="00394948" w:rsidRDefault="00F2353C" w:rsidP="00382D10">
            <w:pPr>
              <w:spacing w:after="0"/>
              <w:rPr>
                <w:rFonts w:eastAsia="Times New Roman"/>
                <w:b/>
                <w:bCs/>
                <w:color w:val="FFFFFF"/>
                <w:sz w:val="20"/>
                <w:szCs w:val="20"/>
                <w:lang w:eastAsia="zh-CN"/>
              </w:rPr>
            </w:pPr>
          </w:p>
        </w:tc>
        <w:tc>
          <w:tcPr>
            <w:tcW w:w="1488" w:type="dxa"/>
            <w:vMerge/>
            <w:tcBorders>
              <w:top w:val="nil"/>
              <w:left w:val="nil"/>
              <w:bottom w:val="nil"/>
              <w:right w:val="nil"/>
            </w:tcBorders>
            <w:vAlign w:val="center"/>
            <w:hideMark/>
          </w:tcPr>
          <w:p w14:paraId="61A4D29F" w14:textId="77777777" w:rsidR="00F2353C" w:rsidRPr="00394948" w:rsidRDefault="00F2353C" w:rsidP="00382D10">
            <w:pPr>
              <w:spacing w:after="0"/>
              <w:rPr>
                <w:rFonts w:eastAsia="Times New Roman"/>
                <w:b/>
                <w:bCs/>
                <w:color w:val="FFFFFF"/>
                <w:sz w:val="20"/>
                <w:szCs w:val="20"/>
                <w:lang w:eastAsia="zh-CN"/>
              </w:rPr>
            </w:pPr>
          </w:p>
        </w:tc>
        <w:tc>
          <w:tcPr>
            <w:tcW w:w="1488" w:type="dxa"/>
            <w:vMerge/>
            <w:tcBorders>
              <w:top w:val="nil"/>
              <w:left w:val="nil"/>
              <w:bottom w:val="nil"/>
              <w:right w:val="nil"/>
            </w:tcBorders>
            <w:vAlign w:val="center"/>
            <w:hideMark/>
          </w:tcPr>
          <w:p w14:paraId="0B30F582" w14:textId="77777777" w:rsidR="00F2353C" w:rsidRPr="00394948" w:rsidRDefault="00F2353C" w:rsidP="00382D10">
            <w:pPr>
              <w:spacing w:after="0"/>
              <w:rPr>
                <w:rFonts w:eastAsia="Times New Roman"/>
                <w:b/>
                <w:bCs/>
                <w:color w:val="FFFFFF"/>
                <w:sz w:val="20"/>
                <w:szCs w:val="20"/>
                <w:lang w:eastAsia="zh-CN"/>
              </w:rPr>
            </w:pPr>
          </w:p>
        </w:tc>
        <w:tc>
          <w:tcPr>
            <w:tcW w:w="1489" w:type="dxa"/>
            <w:vMerge/>
            <w:tcBorders>
              <w:top w:val="nil"/>
              <w:left w:val="nil"/>
              <w:bottom w:val="nil"/>
              <w:right w:val="nil"/>
            </w:tcBorders>
            <w:vAlign w:val="center"/>
            <w:hideMark/>
          </w:tcPr>
          <w:p w14:paraId="7047243C" w14:textId="77777777" w:rsidR="00F2353C" w:rsidRPr="00394948" w:rsidRDefault="00F2353C" w:rsidP="00382D10">
            <w:pPr>
              <w:spacing w:after="0"/>
              <w:rPr>
                <w:rFonts w:eastAsia="Times New Roman"/>
                <w:b/>
                <w:bCs/>
                <w:color w:val="FFFFFF"/>
                <w:sz w:val="20"/>
                <w:szCs w:val="20"/>
                <w:lang w:eastAsia="zh-CN"/>
              </w:rPr>
            </w:pPr>
          </w:p>
        </w:tc>
        <w:tc>
          <w:tcPr>
            <w:tcW w:w="1843" w:type="dxa"/>
            <w:vMerge/>
            <w:tcBorders>
              <w:top w:val="nil"/>
              <w:left w:val="nil"/>
              <w:right w:val="nil"/>
            </w:tcBorders>
            <w:vAlign w:val="center"/>
            <w:hideMark/>
          </w:tcPr>
          <w:p w14:paraId="744611D9" w14:textId="77777777" w:rsidR="00F2353C" w:rsidRPr="00394948" w:rsidRDefault="00F2353C" w:rsidP="00382D10">
            <w:pPr>
              <w:spacing w:after="0"/>
              <w:rPr>
                <w:rFonts w:eastAsia="Times New Roman"/>
                <w:b/>
                <w:bCs/>
                <w:color w:val="FFFFFF"/>
                <w:sz w:val="20"/>
                <w:szCs w:val="20"/>
                <w:lang w:eastAsia="zh-CN"/>
              </w:rPr>
            </w:pPr>
          </w:p>
        </w:tc>
      </w:tr>
      <w:tr w:rsidR="00F2353C" w:rsidRPr="00394948" w14:paraId="04B6B7E9" w14:textId="77777777" w:rsidTr="00382D10">
        <w:trPr>
          <w:trHeight w:val="285"/>
        </w:trPr>
        <w:tc>
          <w:tcPr>
            <w:tcW w:w="1433" w:type="dxa"/>
            <w:tcBorders>
              <w:top w:val="nil"/>
              <w:left w:val="nil"/>
              <w:bottom w:val="single" w:sz="8" w:space="0" w:color="000000"/>
              <w:right w:val="nil"/>
            </w:tcBorders>
            <w:shd w:val="clear" w:color="auto" w:fill="auto"/>
            <w:noWrap/>
            <w:vAlign w:val="center"/>
            <w:hideMark/>
          </w:tcPr>
          <w:p w14:paraId="6D98BB09"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16-17</w:t>
            </w:r>
          </w:p>
        </w:tc>
        <w:tc>
          <w:tcPr>
            <w:tcW w:w="1063" w:type="dxa"/>
            <w:tcBorders>
              <w:top w:val="nil"/>
              <w:left w:val="nil"/>
              <w:bottom w:val="single" w:sz="8" w:space="0" w:color="000000"/>
              <w:right w:val="nil"/>
            </w:tcBorders>
            <w:shd w:val="clear" w:color="auto" w:fill="auto"/>
            <w:noWrap/>
            <w:vAlign w:val="center"/>
            <w:hideMark/>
          </w:tcPr>
          <w:p w14:paraId="174C3EF5"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514</w:t>
            </w:r>
          </w:p>
        </w:tc>
        <w:tc>
          <w:tcPr>
            <w:tcW w:w="1488" w:type="dxa"/>
            <w:tcBorders>
              <w:top w:val="nil"/>
              <w:left w:val="nil"/>
              <w:bottom w:val="single" w:sz="8" w:space="0" w:color="000000"/>
              <w:right w:val="nil"/>
            </w:tcBorders>
            <w:shd w:val="clear" w:color="auto" w:fill="auto"/>
            <w:noWrap/>
            <w:vAlign w:val="center"/>
            <w:hideMark/>
          </w:tcPr>
          <w:p w14:paraId="63180C0D"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4,762</w:t>
            </w:r>
          </w:p>
        </w:tc>
        <w:tc>
          <w:tcPr>
            <w:tcW w:w="1488" w:type="dxa"/>
            <w:tcBorders>
              <w:top w:val="nil"/>
              <w:left w:val="nil"/>
              <w:bottom w:val="single" w:sz="8" w:space="0" w:color="000000"/>
              <w:right w:val="nil"/>
            </w:tcBorders>
            <w:shd w:val="clear" w:color="auto" w:fill="auto"/>
            <w:noWrap/>
            <w:vAlign w:val="center"/>
            <w:hideMark/>
          </w:tcPr>
          <w:p w14:paraId="2C9340C4"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1:9</w:t>
            </w:r>
          </w:p>
        </w:tc>
        <w:tc>
          <w:tcPr>
            <w:tcW w:w="1489" w:type="dxa"/>
            <w:tcBorders>
              <w:top w:val="nil"/>
              <w:left w:val="nil"/>
              <w:bottom w:val="single" w:sz="8" w:space="0" w:color="000000"/>
            </w:tcBorders>
            <w:shd w:val="clear" w:color="auto" w:fill="auto"/>
            <w:noWrap/>
            <w:vAlign w:val="center"/>
            <w:hideMark/>
          </w:tcPr>
          <w:p w14:paraId="28286437"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107.94</w:t>
            </w:r>
          </w:p>
        </w:tc>
        <w:tc>
          <w:tcPr>
            <w:tcW w:w="1843" w:type="dxa"/>
            <w:tcBorders>
              <w:bottom w:val="single" w:sz="4" w:space="0" w:color="auto"/>
            </w:tcBorders>
            <w:shd w:val="clear" w:color="auto" w:fill="auto"/>
            <w:vAlign w:val="center"/>
            <w:hideMark/>
          </w:tcPr>
          <w:p w14:paraId="3099509F"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5.9653           (5.4357-6.545)</w:t>
            </w:r>
          </w:p>
        </w:tc>
      </w:tr>
      <w:tr w:rsidR="00F2353C" w:rsidRPr="00394948" w14:paraId="566CA21F" w14:textId="77777777" w:rsidTr="00382D10">
        <w:trPr>
          <w:trHeight w:val="300"/>
        </w:trPr>
        <w:tc>
          <w:tcPr>
            <w:tcW w:w="1433" w:type="dxa"/>
            <w:tcBorders>
              <w:top w:val="nil"/>
              <w:left w:val="nil"/>
              <w:bottom w:val="single" w:sz="8" w:space="0" w:color="000000"/>
              <w:right w:val="nil"/>
            </w:tcBorders>
            <w:shd w:val="clear" w:color="auto" w:fill="auto"/>
            <w:noWrap/>
            <w:vAlign w:val="center"/>
            <w:hideMark/>
          </w:tcPr>
          <w:p w14:paraId="70BA1871"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18-20</w:t>
            </w:r>
          </w:p>
        </w:tc>
        <w:tc>
          <w:tcPr>
            <w:tcW w:w="1063" w:type="dxa"/>
            <w:tcBorders>
              <w:top w:val="nil"/>
              <w:left w:val="nil"/>
              <w:bottom w:val="single" w:sz="8" w:space="0" w:color="000000"/>
              <w:right w:val="nil"/>
            </w:tcBorders>
            <w:shd w:val="clear" w:color="auto" w:fill="auto"/>
            <w:noWrap/>
            <w:vAlign w:val="center"/>
            <w:hideMark/>
          </w:tcPr>
          <w:p w14:paraId="2E48AD19"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1,043</w:t>
            </w:r>
          </w:p>
        </w:tc>
        <w:tc>
          <w:tcPr>
            <w:tcW w:w="1488" w:type="dxa"/>
            <w:tcBorders>
              <w:top w:val="nil"/>
              <w:left w:val="nil"/>
              <w:bottom w:val="single" w:sz="8" w:space="0" w:color="000000"/>
              <w:right w:val="nil"/>
            </w:tcBorders>
            <w:shd w:val="clear" w:color="auto" w:fill="auto"/>
            <w:noWrap/>
            <w:vAlign w:val="center"/>
            <w:hideMark/>
          </w:tcPr>
          <w:p w14:paraId="35257046"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26,066</w:t>
            </w:r>
          </w:p>
        </w:tc>
        <w:tc>
          <w:tcPr>
            <w:tcW w:w="1488" w:type="dxa"/>
            <w:tcBorders>
              <w:top w:val="nil"/>
              <w:left w:val="nil"/>
              <w:bottom w:val="single" w:sz="8" w:space="0" w:color="000000"/>
              <w:right w:val="nil"/>
            </w:tcBorders>
            <w:shd w:val="clear" w:color="auto" w:fill="auto"/>
            <w:noWrap/>
            <w:vAlign w:val="center"/>
            <w:hideMark/>
          </w:tcPr>
          <w:p w14:paraId="7850FF40"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1:25</w:t>
            </w:r>
          </w:p>
        </w:tc>
        <w:tc>
          <w:tcPr>
            <w:tcW w:w="1489" w:type="dxa"/>
            <w:tcBorders>
              <w:top w:val="nil"/>
              <w:left w:val="nil"/>
              <w:bottom w:val="single" w:sz="8" w:space="0" w:color="000000"/>
            </w:tcBorders>
            <w:shd w:val="clear" w:color="auto" w:fill="auto"/>
            <w:noWrap/>
            <w:vAlign w:val="center"/>
            <w:hideMark/>
          </w:tcPr>
          <w:p w14:paraId="565D2193"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40.01</w:t>
            </w:r>
          </w:p>
        </w:tc>
        <w:tc>
          <w:tcPr>
            <w:tcW w:w="1843" w:type="dxa"/>
            <w:tcBorders>
              <w:top w:val="single" w:sz="4" w:space="0" w:color="auto"/>
              <w:bottom w:val="single" w:sz="4" w:space="0" w:color="auto"/>
            </w:tcBorders>
            <w:shd w:val="clear" w:color="auto" w:fill="auto"/>
            <w:vAlign w:val="center"/>
            <w:hideMark/>
          </w:tcPr>
          <w:p w14:paraId="4DDDF0D3"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2.069           (1.9405-2.2060)</w:t>
            </w:r>
          </w:p>
        </w:tc>
      </w:tr>
      <w:tr w:rsidR="00F2353C" w:rsidRPr="00394948" w14:paraId="7CF0C77A" w14:textId="77777777" w:rsidTr="00382D10">
        <w:trPr>
          <w:trHeight w:val="330"/>
        </w:trPr>
        <w:tc>
          <w:tcPr>
            <w:tcW w:w="1433" w:type="dxa"/>
            <w:tcBorders>
              <w:top w:val="nil"/>
              <w:left w:val="nil"/>
              <w:bottom w:val="single" w:sz="8" w:space="0" w:color="000000"/>
              <w:right w:val="nil"/>
            </w:tcBorders>
            <w:shd w:val="clear" w:color="auto" w:fill="auto"/>
            <w:noWrap/>
            <w:vAlign w:val="center"/>
            <w:hideMark/>
          </w:tcPr>
          <w:p w14:paraId="20946671"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21-23</w:t>
            </w:r>
          </w:p>
        </w:tc>
        <w:tc>
          <w:tcPr>
            <w:tcW w:w="1063" w:type="dxa"/>
            <w:tcBorders>
              <w:top w:val="nil"/>
              <w:left w:val="nil"/>
              <w:bottom w:val="single" w:sz="8" w:space="0" w:color="000000"/>
              <w:right w:val="nil"/>
            </w:tcBorders>
            <w:shd w:val="clear" w:color="auto" w:fill="auto"/>
            <w:noWrap/>
            <w:vAlign w:val="center"/>
            <w:hideMark/>
          </w:tcPr>
          <w:p w14:paraId="782AB518"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1,903</w:t>
            </w:r>
          </w:p>
        </w:tc>
        <w:tc>
          <w:tcPr>
            <w:tcW w:w="1488" w:type="dxa"/>
            <w:tcBorders>
              <w:top w:val="nil"/>
              <w:left w:val="nil"/>
              <w:bottom w:val="single" w:sz="8" w:space="0" w:color="000000"/>
              <w:right w:val="nil"/>
            </w:tcBorders>
            <w:shd w:val="clear" w:color="auto" w:fill="auto"/>
            <w:noWrap/>
            <w:vAlign w:val="center"/>
            <w:hideMark/>
          </w:tcPr>
          <w:p w14:paraId="197254D4"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33,423</w:t>
            </w:r>
          </w:p>
        </w:tc>
        <w:tc>
          <w:tcPr>
            <w:tcW w:w="1488" w:type="dxa"/>
            <w:tcBorders>
              <w:top w:val="nil"/>
              <w:left w:val="nil"/>
              <w:bottom w:val="single" w:sz="8" w:space="0" w:color="000000"/>
              <w:right w:val="nil"/>
            </w:tcBorders>
            <w:shd w:val="clear" w:color="auto" w:fill="auto"/>
            <w:noWrap/>
            <w:vAlign w:val="center"/>
            <w:hideMark/>
          </w:tcPr>
          <w:p w14:paraId="522D0D46"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1:18</w:t>
            </w:r>
          </w:p>
        </w:tc>
        <w:tc>
          <w:tcPr>
            <w:tcW w:w="1489" w:type="dxa"/>
            <w:tcBorders>
              <w:top w:val="nil"/>
              <w:left w:val="nil"/>
              <w:bottom w:val="single" w:sz="8" w:space="0" w:color="000000"/>
            </w:tcBorders>
            <w:shd w:val="clear" w:color="auto" w:fill="auto"/>
            <w:noWrap/>
            <w:vAlign w:val="center"/>
            <w:hideMark/>
          </w:tcPr>
          <w:p w14:paraId="2563227A"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56.94</w:t>
            </w:r>
          </w:p>
        </w:tc>
        <w:tc>
          <w:tcPr>
            <w:tcW w:w="1843" w:type="dxa"/>
            <w:tcBorders>
              <w:top w:val="single" w:sz="4" w:space="0" w:color="auto"/>
              <w:bottom w:val="single" w:sz="4" w:space="0" w:color="auto"/>
            </w:tcBorders>
            <w:shd w:val="clear" w:color="auto" w:fill="auto"/>
            <w:vAlign w:val="center"/>
            <w:hideMark/>
          </w:tcPr>
          <w:p w14:paraId="672E794F"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3.157           (3.0050-3.3166)</w:t>
            </w:r>
          </w:p>
        </w:tc>
      </w:tr>
      <w:tr w:rsidR="00F2353C" w:rsidRPr="00394948" w14:paraId="5D7F5035" w14:textId="77777777" w:rsidTr="00382D10">
        <w:trPr>
          <w:trHeight w:val="285"/>
        </w:trPr>
        <w:tc>
          <w:tcPr>
            <w:tcW w:w="1433" w:type="dxa"/>
            <w:tcBorders>
              <w:top w:val="nil"/>
              <w:left w:val="nil"/>
              <w:bottom w:val="single" w:sz="8" w:space="0" w:color="000000"/>
              <w:right w:val="nil"/>
            </w:tcBorders>
            <w:shd w:val="clear" w:color="auto" w:fill="auto"/>
            <w:noWrap/>
            <w:vAlign w:val="center"/>
            <w:hideMark/>
          </w:tcPr>
          <w:p w14:paraId="3C219638"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24-30</w:t>
            </w:r>
          </w:p>
        </w:tc>
        <w:tc>
          <w:tcPr>
            <w:tcW w:w="1063" w:type="dxa"/>
            <w:tcBorders>
              <w:top w:val="nil"/>
              <w:left w:val="nil"/>
              <w:bottom w:val="single" w:sz="8" w:space="0" w:color="000000"/>
              <w:right w:val="nil"/>
            </w:tcBorders>
            <w:shd w:val="clear" w:color="auto" w:fill="auto"/>
            <w:noWrap/>
            <w:vAlign w:val="center"/>
            <w:hideMark/>
          </w:tcPr>
          <w:p w14:paraId="6F8CC8C5"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3,337</w:t>
            </w:r>
          </w:p>
        </w:tc>
        <w:tc>
          <w:tcPr>
            <w:tcW w:w="1488" w:type="dxa"/>
            <w:tcBorders>
              <w:top w:val="nil"/>
              <w:left w:val="nil"/>
              <w:bottom w:val="single" w:sz="8" w:space="0" w:color="000000"/>
              <w:right w:val="nil"/>
            </w:tcBorders>
            <w:shd w:val="clear" w:color="auto" w:fill="auto"/>
            <w:noWrap/>
            <w:vAlign w:val="center"/>
            <w:hideMark/>
          </w:tcPr>
          <w:p w14:paraId="06FF1306"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94,800</w:t>
            </w:r>
          </w:p>
        </w:tc>
        <w:tc>
          <w:tcPr>
            <w:tcW w:w="1488" w:type="dxa"/>
            <w:tcBorders>
              <w:top w:val="nil"/>
              <w:left w:val="nil"/>
              <w:bottom w:val="single" w:sz="8" w:space="0" w:color="000000"/>
              <w:right w:val="nil"/>
            </w:tcBorders>
            <w:shd w:val="clear" w:color="auto" w:fill="auto"/>
            <w:noWrap/>
            <w:vAlign w:val="center"/>
            <w:hideMark/>
          </w:tcPr>
          <w:p w14:paraId="02897E90"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1:28</w:t>
            </w:r>
          </w:p>
        </w:tc>
        <w:tc>
          <w:tcPr>
            <w:tcW w:w="1489" w:type="dxa"/>
            <w:tcBorders>
              <w:top w:val="nil"/>
              <w:left w:val="nil"/>
              <w:bottom w:val="single" w:sz="8" w:space="0" w:color="000000"/>
            </w:tcBorders>
            <w:shd w:val="clear" w:color="auto" w:fill="auto"/>
            <w:noWrap/>
            <w:vAlign w:val="center"/>
            <w:hideMark/>
          </w:tcPr>
          <w:p w14:paraId="6FC90252"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35.20</w:t>
            </w:r>
          </w:p>
        </w:tc>
        <w:tc>
          <w:tcPr>
            <w:tcW w:w="1843" w:type="dxa"/>
            <w:tcBorders>
              <w:top w:val="single" w:sz="4" w:space="0" w:color="auto"/>
              <w:bottom w:val="single" w:sz="4" w:space="0" w:color="auto"/>
            </w:tcBorders>
            <w:shd w:val="clear" w:color="auto" w:fill="auto"/>
            <w:vAlign w:val="center"/>
            <w:hideMark/>
          </w:tcPr>
          <w:p w14:paraId="0D6B03D9"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1.9495           (1.8749-2.0271)</w:t>
            </w:r>
          </w:p>
        </w:tc>
      </w:tr>
      <w:tr w:rsidR="00F2353C" w:rsidRPr="00394948" w14:paraId="28BAE234" w14:textId="77777777" w:rsidTr="00382D10">
        <w:trPr>
          <w:trHeight w:val="270"/>
        </w:trPr>
        <w:tc>
          <w:tcPr>
            <w:tcW w:w="1433" w:type="dxa"/>
            <w:tcBorders>
              <w:top w:val="nil"/>
              <w:left w:val="nil"/>
              <w:bottom w:val="single" w:sz="8" w:space="0" w:color="000000"/>
              <w:right w:val="nil"/>
            </w:tcBorders>
            <w:shd w:val="clear" w:color="auto" w:fill="auto"/>
            <w:noWrap/>
            <w:vAlign w:val="center"/>
            <w:hideMark/>
          </w:tcPr>
          <w:p w14:paraId="7834D9D1"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31-40</w:t>
            </w:r>
          </w:p>
        </w:tc>
        <w:tc>
          <w:tcPr>
            <w:tcW w:w="1063" w:type="dxa"/>
            <w:tcBorders>
              <w:top w:val="nil"/>
              <w:left w:val="nil"/>
              <w:bottom w:val="single" w:sz="8" w:space="0" w:color="000000"/>
              <w:right w:val="nil"/>
            </w:tcBorders>
            <w:shd w:val="clear" w:color="auto" w:fill="auto"/>
            <w:noWrap/>
            <w:vAlign w:val="center"/>
            <w:hideMark/>
          </w:tcPr>
          <w:p w14:paraId="1E951B97"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3,153</w:t>
            </w:r>
          </w:p>
        </w:tc>
        <w:tc>
          <w:tcPr>
            <w:tcW w:w="1488" w:type="dxa"/>
            <w:tcBorders>
              <w:top w:val="nil"/>
              <w:left w:val="nil"/>
              <w:bottom w:val="single" w:sz="8" w:space="0" w:color="000000"/>
              <w:right w:val="nil"/>
            </w:tcBorders>
            <w:shd w:val="clear" w:color="auto" w:fill="auto"/>
            <w:noWrap/>
            <w:vAlign w:val="center"/>
            <w:hideMark/>
          </w:tcPr>
          <w:p w14:paraId="595042A6"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120,620</w:t>
            </w:r>
          </w:p>
        </w:tc>
        <w:tc>
          <w:tcPr>
            <w:tcW w:w="1488" w:type="dxa"/>
            <w:tcBorders>
              <w:top w:val="nil"/>
              <w:left w:val="nil"/>
              <w:bottom w:val="single" w:sz="8" w:space="0" w:color="000000"/>
              <w:right w:val="nil"/>
            </w:tcBorders>
            <w:shd w:val="clear" w:color="auto" w:fill="auto"/>
            <w:noWrap/>
            <w:vAlign w:val="center"/>
            <w:hideMark/>
          </w:tcPr>
          <w:p w14:paraId="7719CF7D"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1:38</w:t>
            </w:r>
          </w:p>
        </w:tc>
        <w:tc>
          <w:tcPr>
            <w:tcW w:w="1489" w:type="dxa"/>
            <w:tcBorders>
              <w:top w:val="nil"/>
              <w:left w:val="nil"/>
              <w:bottom w:val="single" w:sz="8" w:space="0" w:color="000000"/>
            </w:tcBorders>
            <w:shd w:val="clear" w:color="auto" w:fill="auto"/>
            <w:noWrap/>
            <w:vAlign w:val="center"/>
            <w:hideMark/>
          </w:tcPr>
          <w:p w14:paraId="3439F1E9"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26.14</w:t>
            </w:r>
          </w:p>
        </w:tc>
        <w:tc>
          <w:tcPr>
            <w:tcW w:w="1843" w:type="dxa"/>
            <w:tcBorders>
              <w:top w:val="single" w:sz="4" w:space="0" w:color="auto"/>
              <w:bottom w:val="single" w:sz="4" w:space="0" w:color="auto"/>
            </w:tcBorders>
            <w:shd w:val="clear" w:color="auto" w:fill="auto"/>
            <w:vAlign w:val="center"/>
            <w:hideMark/>
          </w:tcPr>
          <w:p w14:paraId="2E024918"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1.355              (1.3023-1.4099)</w:t>
            </w:r>
          </w:p>
        </w:tc>
      </w:tr>
      <w:tr w:rsidR="00F2353C" w:rsidRPr="00394948" w14:paraId="01B81A0E" w14:textId="77777777" w:rsidTr="00382D10">
        <w:trPr>
          <w:trHeight w:val="225"/>
        </w:trPr>
        <w:tc>
          <w:tcPr>
            <w:tcW w:w="1433" w:type="dxa"/>
            <w:tcBorders>
              <w:top w:val="nil"/>
              <w:left w:val="nil"/>
              <w:bottom w:val="single" w:sz="8" w:space="0" w:color="000000"/>
              <w:right w:val="nil"/>
            </w:tcBorders>
            <w:shd w:val="clear" w:color="auto" w:fill="auto"/>
            <w:noWrap/>
            <w:vAlign w:val="center"/>
            <w:hideMark/>
          </w:tcPr>
          <w:p w14:paraId="2484BF7B"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41-50</w:t>
            </w:r>
          </w:p>
        </w:tc>
        <w:tc>
          <w:tcPr>
            <w:tcW w:w="1063" w:type="dxa"/>
            <w:tcBorders>
              <w:top w:val="nil"/>
              <w:left w:val="nil"/>
              <w:bottom w:val="single" w:sz="8" w:space="0" w:color="000000"/>
              <w:right w:val="nil"/>
            </w:tcBorders>
            <w:shd w:val="clear" w:color="auto" w:fill="auto"/>
            <w:noWrap/>
            <w:vAlign w:val="center"/>
            <w:hideMark/>
          </w:tcPr>
          <w:p w14:paraId="13B29C51"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2,191</w:t>
            </w:r>
          </w:p>
        </w:tc>
        <w:tc>
          <w:tcPr>
            <w:tcW w:w="1488" w:type="dxa"/>
            <w:tcBorders>
              <w:top w:val="nil"/>
              <w:left w:val="nil"/>
              <w:bottom w:val="single" w:sz="8" w:space="0" w:color="000000"/>
              <w:right w:val="nil"/>
            </w:tcBorders>
            <w:shd w:val="clear" w:color="auto" w:fill="auto"/>
            <w:noWrap/>
            <w:vAlign w:val="center"/>
            <w:hideMark/>
          </w:tcPr>
          <w:p w14:paraId="46237F9B"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137,872</w:t>
            </w:r>
          </w:p>
        </w:tc>
        <w:tc>
          <w:tcPr>
            <w:tcW w:w="1488" w:type="dxa"/>
            <w:tcBorders>
              <w:top w:val="nil"/>
              <w:left w:val="nil"/>
              <w:bottom w:val="single" w:sz="8" w:space="0" w:color="000000"/>
              <w:right w:val="nil"/>
            </w:tcBorders>
            <w:shd w:val="clear" w:color="auto" w:fill="auto"/>
            <w:noWrap/>
            <w:vAlign w:val="center"/>
            <w:hideMark/>
          </w:tcPr>
          <w:p w14:paraId="5AE32F47"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1:63</w:t>
            </w:r>
          </w:p>
        </w:tc>
        <w:tc>
          <w:tcPr>
            <w:tcW w:w="1489" w:type="dxa"/>
            <w:tcBorders>
              <w:top w:val="nil"/>
              <w:left w:val="nil"/>
              <w:bottom w:val="single" w:sz="8" w:space="0" w:color="000000"/>
            </w:tcBorders>
            <w:shd w:val="clear" w:color="auto" w:fill="auto"/>
            <w:noWrap/>
            <w:vAlign w:val="center"/>
            <w:hideMark/>
          </w:tcPr>
          <w:p w14:paraId="5899AC0E"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15.96</w:t>
            </w:r>
          </w:p>
        </w:tc>
        <w:tc>
          <w:tcPr>
            <w:tcW w:w="1843" w:type="dxa"/>
            <w:tcBorders>
              <w:top w:val="single" w:sz="4" w:space="0" w:color="auto"/>
              <w:bottom w:val="single" w:sz="4" w:space="0" w:color="auto"/>
            </w:tcBorders>
            <w:shd w:val="clear" w:color="auto" w:fill="auto"/>
            <w:vAlign w:val="center"/>
            <w:hideMark/>
          </w:tcPr>
          <w:p w14:paraId="1A6A7931"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0.7375          (0.7046-0.7720)</w:t>
            </w:r>
          </w:p>
        </w:tc>
      </w:tr>
      <w:tr w:rsidR="00F2353C" w:rsidRPr="00394948" w14:paraId="1890C010" w14:textId="77777777" w:rsidTr="00382D10">
        <w:trPr>
          <w:trHeight w:val="255"/>
        </w:trPr>
        <w:tc>
          <w:tcPr>
            <w:tcW w:w="1433" w:type="dxa"/>
            <w:tcBorders>
              <w:top w:val="nil"/>
              <w:left w:val="nil"/>
              <w:bottom w:val="single" w:sz="8" w:space="0" w:color="000000"/>
              <w:right w:val="nil"/>
            </w:tcBorders>
            <w:shd w:val="clear" w:color="auto" w:fill="auto"/>
            <w:noWrap/>
            <w:vAlign w:val="center"/>
            <w:hideMark/>
          </w:tcPr>
          <w:p w14:paraId="0ECC48FB"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51-60</w:t>
            </w:r>
          </w:p>
        </w:tc>
        <w:tc>
          <w:tcPr>
            <w:tcW w:w="1063" w:type="dxa"/>
            <w:tcBorders>
              <w:top w:val="nil"/>
              <w:left w:val="nil"/>
              <w:bottom w:val="single" w:sz="8" w:space="0" w:color="000000"/>
              <w:right w:val="nil"/>
            </w:tcBorders>
            <w:shd w:val="clear" w:color="auto" w:fill="auto"/>
            <w:noWrap/>
            <w:vAlign w:val="center"/>
            <w:hideMark/>
          </w:tcPr>
          <w:p w14:paraId="4E187A03"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1,910</w:t>
            </w:r>
          </w:p>
        </w:tc>
        <w:tc>
          <w:tcPr>
            <w:tcW w:w="1488" w:type="dxa"/>
            <w:tcBorders>
              <w:top w:val="nil"/>
              <w:left w:val="nil"/>
              <w:bottom w:val="single" w:sz="8" w:space="0" w:color="000000"/>
              <w:right w:val="nil"/>
            </w:tcBorders>
            <w:shd w:val="clear" w:color="auto" w:fill="auto"/>
            <w:noWrap/>
            <w:vAlign w:val="center"/>
            <w:hideMark/>
          </w:tcPr>
          <w:p w14:paraId="1C0D91BE"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173,872</w:t>
            </w:r>
          </w:p>
        </w:tc>
        <w:tc>
          <w:tcPr>
            <w:tcW w:w="1488" w:type="dxa"/>
            <w:tcBorders>
              <w:top w:val="nil"/>
              <w:left w:val="nil"/>
              <w:bottom w:val="single" w:sz="8" w:space="0" w:color="000000"/>
              <w:right w:val="nil"/>
            </w:tcBorders>
            <w:shd w:val="clear" w:color="auto" w:fill="auto"/>
            <w:noWrap/>
            <w:vAlign w:val="center"/>
            <w:hideMark/>
          </w:tcPr>
          <w:p w14:paraId="4F9CF8E5"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1:91</w:t>
            </w:r>
          </w:p>
        </w:tc>
        <w:tc>
          <w:tcPr>
            <w:tcW w:w="1489" w:type="dxa"/>
            <w:tcBorders>
              <w:top w:val="nil"/>
              <w:left w:val="nil"/>
              <w:bottom w:val="single" w:sz="8" w:space="0" w:color="000000"/>
            </w:tcBorders>
            <w:shd w:val="clear" w:color="auto" w:fill="auto"/>
            <w:noWrap/>
            <w:vAlign w:val="center"/>
            <w:hideMark/>
          </w:tcPr>
          <w:p w14:paraId="54053EFC"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10.99</w:t>
            </w:r>
          </w:p>
        </w:tc>
        <w:tc>
          <w:tcPr>
            <w:tcW w:w="1843" w:type="dxa"/>
            <w:tcBorders>
              <w:top w:val="single" w:sz="4" w:space="0" w:color="auto"/>
              <w:bottom w:val="single" w:sz="4" w:space="0" w:color="auto"/>
            </w:tcBorders>
            <w:shd w:val="clear" w:color="auto" w:fill="auto"/>
            <w:vAlign w:val="center"/>
            <w:hideMark/>
          </w:tcPr>
          <w:p w14:paraId="684E228F"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0.4639           (0.4421-0.4869)</w:t>
            </w:r>
          </w:p>
        </w:tc>
      </w:tr>
      <w:tr w:rsidR="00F2353C" w:rsidRPr="00394948" w14:paraId="3377ADE9" w14:textId="77777777" w:rsidTr="00382D10">
        <w:trPr>
          <w:trHeight w:val="300"/>
        </w:trPr>
        <w:tc>
          <w:tcPr>
            <w:tcW w:w="1433" w:type="dxa"/>
            <w:tcBorders>
              <w:top w:val="nil"/>
              <w:left w:val="nil"/>
              <w:bottom w:val="single" w:sz="8" w:space="0" w:color="000000"/>
              <w:right w:val="nil"/>
            </w:tcBorders>
            <w:shd w:val="clear" w:color="auto" w:fill="auto"/>
            <w:noWrap/>
            <w:vAlign w:val="center"/>
            <w:hideMark/>
          </w:tcPr>
          <w:p w14:paraId="0424DFD0"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61-70</w:t>
            </w:r>
          </w:p>
        </w:tc>
        <w:tc>
          <w:tcPr>
            <w:tcW w:w="1063" w:type="dxa"/>
            <w:tcBorders>
              <w:top w:val="nil"/>
              <w:left w:val="nil"/>
              <w:bottom w:val="single" w:sz="8" w:space="0" w:color="000000"/>
              <w:right w:val="nil"/>
            </w:tcBorders>
            <w:shd w:val="clear" w:color="auto" w:fill="auto"/>
            <w:noWrap/>
            <w:vAlign w:val="center"/>
            <w:hideMark/>
          </w:tcPr>
          <w:p w14:paraId="15AAD24E"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1,095</w:t>
            </w:r>
          </w:p>
        </w:tc>
        <w:tc>
          <w:tcPr>
            <w:tcW w:w="1488" w:type="dxa"/>
            <w:tcBorders>
              <w:top w:val="nil"/>
              <w:left w:val="nil"/>
              <w:bottom w:val="single" w:sz="8" w:space="0" w:color="000000"/>
              <w:right w:val="nil"/>
            </w:tcBorders>
            <w:shd w:val="clear" w:color="auto" w:fill="auto"/>
            <w:noWrap/>
            <w:vAlign w:val="center"/>
            <w:hideMark/>
          </w:tcPr>
          <w:p w14:paraId="5552C676"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133,002</w:t>
            </w:r>
          </w:p>
        </w:tc>
        <w:tc>
          <w:tcPr>
            <w:tcW w:w="1488" w:type="dxa"/>
            <w:tcBorders>
              <w:top w:val="nil"/>
              <w:left w:val="nil"/>
              <w:bottom w:val="single" w:sz="8" w:space="0" w:color="000000"/>
              <w:right w:val="nil"/>
            </w:tcBorders>
            <w:shd w:val="clear" w:color="auto" w:fill="auto"/>
            <w:noWrap/>
            <w:vAlign w:val="center"/>
            <w:hideMark/>
          </w:tcPr>
          <w:p w14:paraId="63948BAF"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1:121</w:t>
            </w:r>
          </w:p>
        </w:tc>
        <w:tc>
          <w:tcPr>
            <w:tcW w:w="1489" w:type="dxa"/>
            <w:tcBorders>
              <w:top w:val="nil"/>
              <w:left w:val="nil"/>
              <w:bottom w:val="single" w:sz="8" w:space="0" w:color="000000"/>
            </w:tcBorders>
            <w:shd w:val="clear" w:color="auto" w:fill="auto"/>
            <w:noWrap/>
            <w:vAlign w:val="center"/>
            <w:hideMark/>
          </w:tcPr>
          <w:p w14:paraId="54BFAB37"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8.23</w:t>
            </w:r>
          </w:p>
        </w:tc>
        <w:tc>
          <w:tcPr>
            <w:tcW w:w="1843" w:type="dxa"/>
            <w:tcBorders>
              <w:top w:val="single" w:sz="4" w:space="0" w:color="auto"/>
              <w:bottom w:val="single" w:sz="4" w:space="0" w:color="auto"/>
            </w:tcBorders>
            <w:shd w:val="clear" w:color="auto" w:fill="auto"/>
            <w:vAlign w:val="center"/>
            <w:hideMark/>
          </w:tcPr>
          <w:p w14:paraId="5818335F"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0.3507           (0.3297-0.3731)</w:t>
            </w:r>
          </w:p>
        </w:tc>
      </w:tr>
      <w:tr w:rsidR="00F2353C" w:rsidRPr="00394948" w14:paraId="5FD723CB" w14:textId="77777777" w:rsidTr="00382D10">
        <w:trPr>
          <w:trHeight w:val="240"/>
        </w:trPr>
        <w:tc>
          <w:tcPr>
            <w:tcW w:w="1433" w:type="dxa"/>
            <w:tcBorders>
              <w:top w:val="nil"/>
              <w:left w:val="nil"/>
              <w:bottom w:val="single" w:sz="8" w:space="0" w:color="000000"/>
              <w:right w:val="nil"/>
            </w:tcBorders>
            <w:shd w:val="clear" w:color="auto" w:fill="auto"/>
            <w:noWrap/>
            <w:vAlign w:val="center"/>
            <w:hideMark/>
          </w:tcPr>
          <w:p w14:paraId="11579ACA" w14:textId="77777777" w:rsidR="00F2353C" w:rsidRPr="00394948" w:rsidRDefault="00F2353C" w:rsidP="00382D10">
            <w:pPr>
              <w:spacing w:after="0"/>
              <w:rPr>
                <w:rFonts w:eastAsia="Times New Roman" w:cstheme="minorHAnsi"/>
                <w:sz w:val="20"/>
                <w:szCs w:val="20"/>
                <w:lang w:eastAsia="en-AU"/>
              </w:rPr>
            </w:pPr>
            <w:r w:rsidRPr="00394948">
              <w:rPr>
                <w:rFonts w:eastAsia="Times New Roman" w:cstheme="minorHAnsi"/>
                <w:sz w:val="20"/>
                <w:szCs w:val="20"/>
                <w:lang w:eastAsia="en-AU"/>
              </w:rPr>
              <w:t>71+</w:t>
            </w:r>
          </w:p>
        </w:tc>
        <w:tc>
          <w:tcPr>
            <w:tcW w:w="1063" w:type="dxa"/>
            <w:tcBorders>
              <w:top w:val="nil"/>
              <w:left w:val="nil"/>
              <w:bottom w:val="single" w:sz="8" w:space="0" w:color="000000"/>
              <w:right w:val="nil"/>
            </w:tcBorders>
            <w:shd w:val="clear" w:color="auto" w:fill="auto"/>
            <w:noWrap/>
            <w:vAlign w:val="center"/>
            <w:hideMark/>
          </w:tcPr>
          <w:p w14:paraId="68D9F45F"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78</w:t>
            </w:r>
          </w:p>
        </w:tc>
        <w:tc>
          <w:tcPr>
            <w:tcW w:w="1488" w:type="dxa"/>
            <w:tcBorders>
              <w:top w:val="nil"/>
              <w:left w:val="nil"/>
              <w:bottom w:val="single" w:sz="8" w:space="0" w:color="000000"/>
              <w:right w:val="nil"/>
            </w:tcBorders>
            <w:shd w:val="clear" w:color="auto" w:fill="auto"/>
            <w:noWrap/>
            <w:vAlign w:val="center"/>
            <w:hideMark/>
          </w:tcPr>
          <w:p w14:paraId="0C80DB2C"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21,371</w:t>
            </w:r>
          </w:p>
        </w:tc>
        <w:tc>
          <w:tcPr>
            <w:tcW w:w="1488" w:type="dxa"/>
            <w:tcBorders>
              <w:top w:val="nil"/>
              <w:left w:val="nil"/>
              <w:bottom w:val="single" w:sz="8" w:space="0" w:color="000000"/>
              <w:right w:val="nil"/>
            </w:tcBorders>
            <w:shd w:val="clear" w:color="auto" w:fill="auto"/>
            <w:noWrap/>
            <w:vAlign w:val="center"/>
            <w:hideMark/>
          </w:tcPr>
          <w:p w14:paraId="4664E7B9"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1:274</w:t>
            </w:r>
          </w:p>
        </w:tc>
        <w:tc>
          <w:tcPr>
            <w:tcW w:w="1489" w:type="dxa"/>
            <w:tcBorders>
              <w:top w:val="nil"/>
              <w:left w:val="nil"/>
              <w:bottom w:val="single" w:sz="8" w:space="0" w:color="000000"/>
            </w:tcBorders>
            <w:shd w:val="clear" w:color="auto" w:fill="auto"/>
            <w:noWrap/>
            <w:vAlign w:val="center"/>
            <w:hideMark/>
          </w:tcPr>
          <w:p w14:paraId="281A7BA6" w14:textId="77777777" w:rsidR="00F2353C" w:rsidRPr="00394948" w:rsidRDefault="00F2353C" w:rsidP="00382D10">
            <w:pPr>
              <w:spacing w:after="0"/>
              <w:jc w:val="right"/>
              <w:rPr>
                <w:rFonts w:eastAsia="Times New Roman" w:cstheme="minorHAnsi"/>
                <w:sz w:val="20"/>
                <w:szCs w:val="20"/>
                <w:lang w:eastAsia="en-AU"/>
              </w:rPr>
            </w:pPr>
            <w:r w:rsidRPr="00394948">
              <w:rPr>
                <w:rFonts w:eastAsia="Times New Roman" w:cstheme="minorHAnsi"/>
                <w:sz w:val="20"/>
                <w:szCs w:val="20"/>
                <w:lang w:eastAsia="en-AU"/>
              </w:rPr>
              <w:t>3.65</w:t>
            </w:r>
          </w:p>
        </w:tc>
        <w:tc>
          <w:tcPr>
            <w:tcW w:w="1843" w:type="dxa"/>
            <w:tcBorders>
              <w:top w:val="single" w:sz="4" w:space="0" w:color="auto"/>
              <w:bottom w:val="single" w:sz="4" w:space="0" w:color="auto"/>
            </w:tcBorders>
            <w:shd w:val="clear" w:color="auto" w:fill="auto"/>
            <w:vAlign w:val="center"/>
            <w:hideMark/>
          </w:tcPr>
          <w:p w14:paraId="1B06682C" w14:textId="77777777" w:rsidR="00F2353C" w:rsidRPr="00394948" w:rsidRDefault="00F2353C" w:rsidP="00382D10">
            <w:pPr>
              <w:spacing w:after="0"/>
              <w:jc w:val="center"/>
              <w:rPr>
                <w:rFonts w:eastAsia="Times New Roman" w:cstheme="minorHAnsi"/>
                <w:color w:val="000000"/>
                <w:sz w:val="20"/>
                <w:szCs w:val="20"/>
                <w:lang w:eastAsia="en-AU"/>
              </w:rPr>
            </w:pPr>
            <w:r w:rsidRPr="00394948">
              <w:rPr>
                <w:rFonts w:eastAsia="Times New Roman" w:cstheme="minorHAnsi"/>
                <w:color w:val="000000"/>
                <w:sz w:val="20"/>
                <w:szCs w:val="20"/>
                <w:lang w:eastAsia="en-AU"/>
              </w:rPr>
              <w:t>0.1713                    (0.1371-0.2142)</w:t>
            </w:r>
          </w:p>
        </w:tc>
      </w:tr>
      <w:tr w:rsidR="00F2353C" w:rsidRPr="00394948" w14:paraId="21EF7153" w14:textId="77777777" w:rsidTr="00382D10">
        <w:trPr>
          <w:trHeight w:val="315"/>
        </w:trPr>
        <w:tc>
          <w:tcPr>
            <w:tcW w:w="1433" w:type="dxa"/>
            <w:tcBorders>
              <w:top w:val="nil"/>
              <w:left w:val="nil"/>
              <w:bottom w:val="single" w:sz="8" w:space="0" w:color="auto"/>
              <w:right w:val="nil"/>
            </w:tcBorders>
            <w:shd w:val="clear" w:color="auto" w:fill="auto"/>
            <w:noWrap/>
            <w:vAlign w:val="center"/>
            <w:hideMark/>
          </w:tcPr>
          <w:p w14:paraId="5B850B58" w14:textId="77777777" w:rsidR="00F2353C" w:rsidRPr="00394948" w:rsidRDefault="00F2353C" w:rsidP="00382D10">
            <w:pPr>
              <w:spacing w:after="0"/>
              <w:rPr>
                <w:rFonts w:eastAsia="Times New Roman" w:cstheme="minorHAnsi"/>
                <w:b/>
                <w:bCs/>
                <w:sz w:val="20"/>
                <w:szCs w:val="20"/>
                <w:lang w:eastAsia="en-AU"/>
              </w:rPr>
            </w:pPr>
            <w:r w:rsidRPr="00394948">
              <w:rPr>
                <w:rFonts w:eastAsia="Times New Roman" w:cstheme="minorHAnsi"/>
                <w:b/>
                <w:bCs/>
                <w:sz w:val="20"/>
                <w:szCs w:val="20"/>
                <w:lang w:eastAsia="en-AU"/>
              </w:rPr>
              <w:t>Total</w:t>
            </w:r>
          </w:p>
        </w:tc>
        <w:tc>
          <w:tcPr>
            <w:tcW w:w="1063" w:type="dxa"/>
            <w:tcBorders>
              <w:top w:val="nil"/>
              <w:left w:val="nil"/>
              <w:bottom w:val="single" w:sz="8" w:space="0" w:color="auto"/>
              <w:right w:val="nil"/>
            </w:tcBorders>
            <w:shd w:val="clear" w:color="auto" w:fill="auto"/>
            <w:noWrap/>
            <w:vAlign w:val="center"/>
            <w:hideMark/>
          </w:tcPr>
          <w:p w14:paraId="1A111EB1" w14:textId="77777777" w:rsidR="00F2353C" w:rsidRPr="00394948" w:rsidRDefault="00F2353C" w:rsidP="00382D10">
            <w:pPr>
              <w:spacing w:after="0"/>
              <w:jc w:val="right"/>
              <w:rPr>
                <w:rFonts w:eastAsia="Times New Roman" w:cstheme="minorHAnsi"/>
                <w:b/>
                <w:bCs/>
                <w:sz w:val="20"/>
                <w:szCs w:val="20"/>
                <w:lang w:eastAsia="en-AU"/>
              </w:rPr>
            </w:pPr>
            <w:r w:rsidRPr="00394948">
              <w:rPr>
                <w:rFonts w:eastAsia="Times New Roman" w:cstheme="minorHAnsi"/>
                <w:b/>
                <w:bCs/>
                <w:sz w:val="20"/>
                <w:szCs w:val="20"/>
                <w:lang w:eastAsia="en-AU"/>
              </w:rPr>
              <w:t>15,224</w:t>
            </w:r>
          </w:p>
        </w:tc>
        <w:tc>
          <w:tcPr>
            <w:tcW w:w="1488" w:type="dxa"/>
            <w:tcBorders>
              <w:top w:val="nil"/>
              <w:left w:val="nil"/>
              <w:bottom w:val="single" w:sz="8" w:space="0" w:color="auto"/>
              <w:right w:val="nil"/>
            </w:tcBorders>
            <w:shd w:val="clear" w:color="auto" w:fill="auto"/>
            <w:noWrap/>
            <w:vAlign w:val="center"/>
            <w:hideMark/>
          </w:tcPr>
          <w:p w14:paraId="1DD3191C" w14:textId="77777777" w:rsidR="00F2353C" w:rsidRPr="00394948" w:rsidRDefault="00F2353C" w:rsidP="00382D10">
            <w:pPr>
              <w:spacing w:after="0"/>
              <w:jc w:val="right"/>
              <w:rPr>
                <w:rFonts w:eastAsia="Times New Roman" w:cstheme="minorHAnsi"/>
                <w:b/>
                <w:bCs/>
                <w:sz w:val="20"/>
                <w:szCs w:val="20"/>
                <w:lang w:eastAsia="en-AU"/>
              </w:rPr>
            </w:pPr>
            <w:r w:rsidRPr="00394948">
              <w:rPr>
                <w:rFonts w:eastAsia="Times New Roman" w:cstheme="minorHAnsi"/>
                <w:b/>
                <w:bCs/>
                <w:sz w:val="20"/>
                <w:szCs w:val="20"/>
                <w:lang w:eastAsia="en-AU"/>
              </w:rPr>
              <w:t>745,201</w:t>
            </w:r>
          </w:p>
        </w:tc>
        <w:tc>
          <w:tcPr>
            <w:tcW w:w="1488" w:type="dxa"/>
            <w:tcBorders>
              <w:top w:val="nil"/>
              <w:left w:val="nil"/>
              <w:bottom w:val="single" w:sz="8" w:space="0" w:color="auto"/>
              <w:right w:val="nil"/>
            </w:tcBorders>
            <w:shd w:val="clear" w:color="auto" w:fill="auto"/>
            <w:noWrap/>
            <w:vAlign w:val="center"/>
            <w:hideMark/>
          </w:tcPr>
          <w:p w14:paraId="4677127A" w14:textId="77777777" w:rsidR="00F2353C" w:rsidRPr="00394948" w:rsidRDefault="00F2353C" w:rsidP="00382D10">
            <w:pPr>
              <w:spacing w:after="0"/>
              <w:jc w:val="right"/>
              <w:rPr>
                <w:rFonts w:eastAsia="Times New Roman" w:cstheme="minorHAnsi"/>
                <w:b/>
                <w:bCs/>
                <w:sz w:val="20"/>
                <w:szCs w:val="20"/>
                <w:lang w:eastAsia="en-AU"/>
              </w:rPr>
            </w:pPr>
            <w:r w:rsidRPr="00394948">
              <w:rPr>
                <w:rFonts w:eastAsia="Times New Roman" w:cstheme="minorHAnsi"/>
                <w:b/>
                <w:bCs/>
                <w:sz w:val="20"/>
                <w:szCs w:val="20"/>
                <w:lang w:eastAsia="en-AU"/>
              </w:rPr>
              <w:t>1:49</w:t>
            </w:r>
          </w:p>
        </w:tc>
        <w:tc>
          <w:tcPr>
            <w:tcW w:w="1489" w:type="dxa"/>
            <w:tcBorders>
              <w:top w:val="nil"/>
              <w:left w:val="nil"/>
              <w:bottom w:val="single" w:sz="8" w:space="0" w:color="auto"/>
            </w:tcBorders>
            <w:shd w:val="clear" w:color="auto" w:fill="auto"/>
            <w:noWrap/>
            <w:vAlign w:val="center"/>
            <w:hideMark/>
          </w:tcPr>
          <w:p w14:paraId="610C9AD9" w14:textId="77777777" w:rsidR="00F2353C" w:rsidRPr="00394948" w:rsidRDefault="00F2353C" w:rsidP="00382D10">
            <w:pPr>
              <w:spacing w:after="0"/>
              <w:jc w:val="right"/>
              <w:rPr>
                <w:rFonts w:eastAsia="Times New Roman" w:cstheme="minorHAnsi"/>
                <w:b/>
                <w:bCs/>
                <w:sz w:val="20"/>
                <w:szCs w:val="20"/>
                <w:lang w:eastAsia="en-AU"/>
              </w:rPr>
            </w:pPr>
            <w:r w:rsidRPr="00394948">
              <w:rPr>
                <w:rFonts w:eastAsia="Times New Roman" w:cstheme="minorHAnsi"/>
                <w:b/>
                <w:bCs/>
                <w:sz w:val="20"/>
                <w:szCs w:val="20"/>
                <w:lang w:eastAsia="en-AU"/>
              </w:rPr>
              <w:t>20.43</w:t>
            </w:r>
          </w:p>
        </w:tc>
        <w:tc>
          <w:tcPr>
            <w:tcW w:w="1843" w:type="dxa"/>
            <w:tcBorders>
              <w:top w:val="single" w:sz="4" w:space="0" w:color="auto"/>
              <w:bottom w:val="single" w:sz="4" w:space="0" w:color="auto"/>
            </w:tcBorders>
            <w:shd w:val="clear" w:color="auto" w:fill="auto"/>
            <w:noWrap/>
            <w:vAlign w:val="center"/>
            <w:hideMark/>
          </w:tcPr>
          <w:p w14:paraId="3B9D7071" w14:textId="77777777" w:rsidR="00F2353C" w:rsidRPr="00394948" w:rsidRDefault="00F2353C" w:rsidP="00382D10">
            <w:pPr>
              <w:spacing w:after="0"/>
              <w:jc w:val="center"/>
              <w:rPr>
                <w:rFonts w:eastAsia="Times New Roman" w:cstheme="minorHAnsi"/>
                <w:sz w:val="20"/>
                <w:szCs w:val="20"/>
                <w:lang w:eastAsia="en-AU"/>
              </w:rPr>
            </w:pPr>
            <w:r w:rsidRPr="00394948">
              <w:rPr>
                <w:rFonts w:eastAsia="Times New Roman" w:cstheme="minorHAnsi"/>
                <w:sz w:val="20"/>
                <w:szCs w:val="20"/>
                <w:lang w:eastAsia="en-AU"/>
              </w:rPr>
              <w:t> </w:t>
            </w:r>
          </w:p>
        </w:tc>
      </w:tr>
    </w:tbl>
    <w:p w14:paraId="1D1D1394" w14:textId="762E847B" w:rsidR="00F2353C" w:rsidRPr="00394948" w:rsidRDefault="00F2353C" w:rsidP="00DA5BAD">
      <w:pPr>
        <w:spacing w:before="200"/>
        <w:rPr>
          <w:rFonts w:ascii="Arial" w:hAnsi="Arial" w:cs="Arial"/>
          <w:color w:val="365F91" w:themeColor="accent1" w:themeShade="BF"/>
          <w:sz w:val="36"/>
          <w:szCs w:val="36"/>
        </w:rPr>
      </w:pPr>
      <w:r w:rsidRPr="00394948">
        <w:rPr>
          <w:rFonts w:cs="Arial"/>
        </w:rPr>
        <w:t xml:space="preserve">The higher incidence of reactions in young donors and female donors is consistent with international experience. </w:t>
      </w:r>
    </w:p>
    <w:p w14:paraId="403AC7B1" w14:textId="77777777" w:rsidR="00F94A8C" w:rsidRPr="00394948" w:rsidRDefault="00F94A8C">
      <w:pPr>
        <w:spacing w:line="276" w:lineRule="auto"/>
        <w:rPr>
          <w:rFonts w:ascii="Arial" w:hAnsi="Arial" w:cs="Arial"/>
          <w:color w:val="C60C30"/>
          <w:sz w:val="28"/>
          <w:szCs w:val="28"/>
        </w:rPr>
      </w:pPr>
      <w:r w:rsidRPr="00394948">
        <w:br w:type="page"/>
      </w:r>
    </w:p>
    <w:p w14:paraId="7F84C4A4" w14:textId="5BDF1D3D" w:rsidR="007831A9" w:rsidRPr="00394948" w:rsidRDefault="007831A9" w:rsidP="006B4DAF">
      <w:pPr>
        <w:pStyle w:val="Heading3"/>
      </w:pPr>
      <w:bookmarkStart w:id="122" w:name="_Toc41909289"/>
      <w:r w:rsidRPr="00394948">
        <w:lastRenderedPageBreak/>
        <w:t>Current strategies to reduce the risk of adverse events</w:t>
      </w:r>
      <w:bookmarkEnd w:id="122"/>
    </w:p>
    <w:p w14:paraId="2378CA68" w14:textId="77777777" w:rsidR="007831A9" w:rsidRPr="00394948" w:rsidRDefault="007831A9" w:rsidP="007831A9">
      <w:pPr>
        <w:pStyle w:val="ListParagraph"/>
        <w:numPr>
          <w:ilvl w:val="0"/>
          <w:numId w:val="8"/>
        </w:numPr>
        <w:spacing w:line="276" w:lineRule="auto"/>
        <w:rPr>
          <w:rFonts w:cs="Arial"/>
        </w:rPr>
      </w:pPr>
      <w:r w:rsidRPr="00394948">
        <w:rPr>
          <w:rFonts w:cs="Arial"/>
        </w:rPr>
        <w:t>Donor selection criteria:</w:t>
      </w:r>
    </w:p>
    <w:p w14:paraId="6BF9B0F3" w14:textId="7165084F" w:rsidR="007831A9" w:rsidRPr="00394948" w:rsidRDefault="007831A9" w:rsidP="007831A9">
      <w:pPr>
        <w:pStyle w:val="ListParagraph"/>
        <w:numPr>
          <w:ilvl w:val="1"/>
          <w:numId w:val="8"/>
        </w:numPr>
        <w:spacing w:line="276" w:lineRule="auto"/>
        <w:rPr>
          <w:rFonts w:cs="Arial"/>
        </w:rPr>
      </w:pPr>
      <w:r w:rsidRPr="00394948">
        <w:rPr>
          <w:rFonts w:cs="Arial"/>
        </w:rPr>
        <w:t xml:space="preserve"> An increase in the minimum weight to 50kg, and a minimum total blood volume of 3</w:t>
      </w:r>
      <w:r w:rsidR="00216896" w:rsidRPr="00394948">
        <w:rPr>
          <w:rFonts w:cs="Arial"/>
        </w:rPr>
        <w:t>,</w:t>
      </w:r>
      <w:r w:rsidRPr="00394948">
        <w:rPr>
          <w:rFonts w:cs="Arial"/>
        </w:rPr>
        <w:t>333ml, was implemented in 2015.</w:t>
      </w:r>
    </w:p>
    <w:p w14:paraId="65064AD1" w14:textId="77777777" w:rsidR="007831A9" w:rsidRPr="00394948" w:rsidRDefault="007831A9" w:rsidP="007831A9">
      <w:pPr>
        <w:pStyle w:val="ListParagraph"/>
        <w:numPr>
          <w:ilvl w:val="1"/>
          <w:numId w:val="8"/>
        </w:numPr>
        <w:spacing w:line="276" w:lineRule="auto"/>
        <w:rPr>
          <w:rFonts w:cs="Arial"/>
        </w:rPr>
      </w:pPr>
      <w:r w:rsidRPr="00394948">
        <w:rPr>
          <w:rFonts w:cs="Arial"/>
        </w:rPr>
        <w:t xml:space="preserve">Permanent deferral of donors who are at significant risk of experiencing a recurrence of serious adverse reactions. </w:t>
      </w:r>
    </w:p>
    <w:p w14:paraId="3D712D89" w14:textId="77777777" w:rsidR="007831A9" w:rsidRPr="00394948" w:rsidRDefault="007831A9" w:rsidP="007831A9">
      <w:pPr>
        <w:pStyle w:val="ListParagraph"/>
        <w:numPr>
          <w:ilvl w:val="0"/>
          <w:numId w:val="8"/>
        </w:numPr>
        <w:spacing w:line="276" w:lineRule="auto"/>
        <w:rPr>
          <w:rFonts w:cs="Arial"/>
        </w:rPr>
      </w:pPr>
      <w:r w:rsidRPr="00394948">
        <w:rPr>
          <w:rFonts w:cs="Arial"/>
        </w:rPr>
        <w:t>Interventions which reduce the risk of an adverse donation reaction</w:t>
      </w:r>
    </w:p>
    <w:p w14:paraId="39ECB30B" w14:textId="77777777" w:rsidR="007831A9" w:rsidRPr="00394948" w:rsidRDefault="007831A9" w:rsidP="007831A9">
      <w:pPr>
        <w:pStyle w:val="ListParagraph"/>
        <w:numPr>
          <w:ilvl w:val="1"/>
          <w:numId w:val="8"/>
        </w:numPr>
        <w:spacing w:line="276" w:lineRule="auto"/>
        <w:rPr>
          <w:rFonts w:cs="Arial"/>
        </w:rPr>
      </w:pPr>
      <w:r w:rsidRPr="00394948">
        <w:rPr>
          <w:rFonts w:cs="Arial"/>
        </w:rPr>
        <w:t xml:space="preserve">Provide advice to donors on strategies to minimise the risk of a reaction during and after donation on </w:t>
      </w:r>
      <w:hyperlink r:id="rId55" w:history="1">
        <w:r w:rsidRPr="00394948">
          <w:rPr>
            <w:rStyle w:val="Hyperlink"/>
          </w:rPr>
          <w:t>donateblood.com.au</w:t>
        </w:r>
      </w:hyperlink>
      <w:r w:rsidRPr="00394948">
        <w:rPr>
          <w:rFonts w:cs="Arial"/>
        </w:rPr>
        <w:t xml:space="preserve"> (rest and fluid intake, avoidance of strenuous physical activity and alcohol post donation). </w:t>
      </w:r>
    </w:p>
    <w:p w14:paraId="489D7168" w14:textId="77777777" w:rsidR="007831A9" w:rsidRPr="00394948" w:rsidRDefault="007831A9" w:rsidP="007831A9">
      <w:pPr>
        <w:pStyle w:val="ListParagraph"/>
        <w:numPr>
          <w:ilvl w:val="1"/>
          <w:numId w:val="8"/>
        </w:numPr>
        <w:spacing w:line="276" w:lineRule="auto"/>
        <w:rPr>
          <w:rFonts w:cs="Arial"/>
        </w:rPr>
      </w:pPr>
      <w:r w:rsidRPr="00394948">
        <w:rPr>
          <w:rFonts w:cs="Arial"/>
        </w:rPr>
        <w:t>Provision of specific information cards to donors at the time of an adverse event detailing immediate management and preventative actions relevant to subsequent donations.</w:t>
      </w:r>
    </w:p>
    <w:p w14:paraId="5B147666" w14:textId="77777777" w:rsidR="007831A9" w:rsidRPr="00394948" w:rsidRDefault="007831A9" w:rsidP="007831A9">
      <w:pPr>
        <w:pStyle w:val="ListParagraph"/>
        <w:numPr>
          <w:ilvl w:val="1"/>
          <w:numId w:val="8"/>
        </w:numPr>
        <w:spacing w:line="276" w:lineRule="auto"/>
        <w:rPr>
          <w:rFonts w:cs="Arial"/>
        </w:rPr>
      </w:pPr>
      <w:r w:rsidRPr="00394948">
        <w:rPr>
          <w:rFonts w:cs="Arial"/>
        </w:rPr>
        <w:t>Use of a mid-donation saline protocol for plasma donors which includes the administration of 500ml of saline to reduce the risk of vasovagal reactions.</w:t>
      </w:r>
    </w:p>
    <w:p w14:paraId="3B0F1C2B" w14:textId="77777777" w:rsidR="007831A9" w:rsidRPr="00394948" w:rsidRDefault="007831A9" w:rsidP="007831A9">
      <w:pPr>
        <w:pStyle w:val="ListParagraph"/>
        <w:numPr>
          <w:ilvl w:val="1"/>
          <w:numId w:val="8"/>
        </w:numPr>
        <w:spacing w:line="276" w:lineRule="auto"/>
        <w:rPr>
          <w:rFonts w:cs="Arial"/>
        </w:rPr>
      </w:pPr>
      <w:r w:rsidRPr="00394948">
        <w:rPr>
          <w:rFonts w:cs="Arial"/>
        </w:rPr>
        <w:t xml:space="preserve">Using a stepwise approach to increasing collection volume for plasmapheresis donors donating plasma for fractionation based on nomograms* for percent Total Blood Volume.  </w:t>
      </w:r>
    </w:p>
    <w:p w14:paraId="4DB873CA" w14:textId="77777777" w:rsidR="007831A9" w:rsidRPr="00394948" w:rsidRDefault="007831A9" w:rsidP="007831A9">
      <w:pPr>
        <w:pStyle w:val="ListParagraph"/>
        <w:numPr>
          <w:ilvl w:val="1"/>
          <w:numId w:val="8"/>
        </w:numPr>
        <w:spacing w:line="276" w:lineRule="auto"/>
        <w:rPr>
          <w:rFonts w:cs="Arial"/>
        </w:rPr>
      </w:pPr>
      <w:r w:rsidRPr="00394948">
        <w:rPr>
          <w:rFonts w:cs="Arial"/>
        </w:rPr>
        <w:t>Using a stepwise approach for plasmapheresis donors donating Clinical Fresh Frozen Plasma with end saline also based on a nomogram for Total Blood Volume.</w:t>
      </w:r>
    </w:p>
    <w:p w14:paraId="383EE1E0" w14:textId="7D8BB873" w:rsidR="007831A9" w:rsidRPr="00394948" w:rsidRDefault="007831A9" w:rsidP="007831A9">
      <w:pPr>
        <w:pStyle w:val="ListParagraph"/>
        <w:numPr>
          <w:ilvl w:val="1"/>
          <w:numId w:val="8"/>
        </w:numPr>
        <w:spacing w:line="276" w:lineRule="auto"/>
        <w:rPr>
          <w:rFonts w:cs="Arial"/>
        </w:rPr>
      </w:pPr>
      <w:r w:rsidRPr="00394948">
        <w:rPr>
          <w:rFonts w:cs="Arial"/>
        </w:rPr>
        <w:t>Since December 2016, all plasma- and plateletpheresis donors have been routinely provided with 900mg of elemental calcium in a palatable peppermint lozenge. This has resulted in a significant, sustained reduction in the incidence of citrate reactions in platelet donors and female plasma donors.</w:t>
      </w:r>
    </w:p>
    <w:p w14:paraId="5F6C31E1" w14:textId="77777777" w:rsidR="007831A9" w:rsidRPr="00394948" w:rsidRDefault="007831A9" w:rsidP="007831A9">
      <w:pPr>
        <w:pStyle w:val="ListParagraph"/>
        <w:numPr>
          <w:ilvl w:val="0"/>
          <w:numId w:val="8"/>
        </w:numPr>
        <w:spacing w:line="276" w:lineRule="auto"/>
        <w:rPr>
          <w:rFonts w:cs="Arial"/>
        </w:rPr>
      </w:pPr>
      <w:r w:rsidRPr="00394948">
        <w:rPr>
          <w:rFonts w:cs="Arial"/>
        </w:rPr>
        <w:t>Haemovigilance and Clinical Governance activities</w:t>
      </w:r>
    </w:p>
    <w:p w14:paraId="54C266F8" w14:textId="77777777" w:rsidR="007831A9" w:rsidRPr="00394948" w:rsidRDefault="007831A9" w:rsidP="007831A9">
      <w:pPr>
        <w:pStyle w:val="ListParagraph"/>
        <w:numPr>
          <w:ilvl w:val="1"/>
          <w:numId w:val="8"/>
        </w:numPr>
        <w:spacing w:line="276" w:lineRule="auto"/>
        <w:rPr>
          <w:rFonts w:cs="Arial"/>
        </w:rPr>
      </w:pPr>
      <w:r w:rsidRPr="00394948">
        <w:rPr>
          <w:rFonts w:cs="Arial"/>
        </w:rPr>
        <w:t>Communication with comparable international blood services to ensure ‘best practice’ protocols.</w:t>
      </w:r>
    </w:p>
    <w:p w14:paraId="40F516F4" w14:textId="77777777" w:rsidR="007831A9" w:rsidRPr="00394948" w:rsidRDefault="007831A9" w:rsidP="007831A9">
      <w:pPr>
        <w:pStyle w:val="ListParagraph"/>
        <w:numPr>
          <w:ilvl w:val="1"/>
          <w:numId w:val="8"/>
        </w:numPr>
        <w:spacing w:line="276" w:lineRule="auto"/>
        <w:rPr>
          <w:rFonts w:cs="Arial"/>
        </w:rPr>
      </w:pPr>
      <w:r w:rsidRPr="00394948">
        <w:rPr>
          <w:rFonts w:cs="Arial"/>
        </w:rPr>
        <w:t xml:space="preserve">Regular adverse events data review and trend analysis is conducted by the Donor Haemovigilance Team, with reporting provided at donor centre, state and national level.  </w:t>
      </w:r>
    </w:p>
    <w:p w14:paraId="157E66D6" w14:textId="3F878F97" w:rsidR="007831A9" w:rsidRPr="00394948" w:rsidRDefault="007831A9" w:rsidP="007831A9">
      <w:pPr>
        <w:pStyle w:val="ListParagraph"/>
        <w:numPr>
          <w:ilvl w:val="1"/>
          <w:numId w:val="8"/>
        </w:numPr>
        <w:spacing w:line="276" w:lineRule="auto"/>
        <w:rPr>
          <w:rFonts w:cs="Arial"/>
        </w:rPr>
      </w:pPr>
      <w:r w:rsidRPr="00394948">
        <w:rPr>
          <w:rFonts w:cs="Arial"/>
        </w:rPr>
        <w:t>Formal clinical governance processes inclu</w:t>
      </w:r>
      <w:r w:rsidR="00942707">
        <w:rPr>
          <w:rFonts w:cs="Arial"/>
        </w:rPr>
        <w:t xml:space="preserve">ding </w:t>
      </w:r>
      <w:r w:rsidRPr="00394948">
        <w:rPr>
          <w:rFonts w:cs="Arial"/>
        </w:rPr>
        <w:t>review of staff scope of practice and training, the conduct of clinical audits, robust data capture and analysis of adverse events, regular management and external review of donor adverse event trends with corrective action taken as required.</w:t>
      </w:r>
    </w:p>
    <w:p w14:paraId="2D3BCB34" w14:textId="5CB02ADB" w:rsidR="007831A9" w:rsidRPr="00394948" w:rsidRDefault="007831A9" w:rsidP="007831A9">
      <w:pPr>
        <w:rPr>
          <w:sz w:val="18"/>
          <w:szCs w:val="18"/>
        </w:rPr>
      </w:pPr>
      <w:r w:rsidRPr="00394948">
        <w:rPr>
          <w:rFonts w:cs="Arial"/>
        </w:rPr>
        <w:t>*A nomogram is a chart or graph used to show relationships between several variables (such as height and weight) to enable a third value (the collection volume, which is based on the total blood volume) to be read directly at the intersection point of the first 2 values</w:t>
      </w:r>
      <w:r w:rsidRPr="00394948">
        <w:rPr>
          <w:sz w:val="18"/>
          <w:szCs w:val="18"/>
        </w:rPr>
        <w:t>.</w:t>
      </w:r>
    </w:p>
    <w:p w14:paraId="69EF4ADA" w14:textId="77777777" w:rsidR="007831A9" w:rsidRPr="00394948" w:rsidRDefault="007831A9" w:rsidP="007831A9">
      <w:pPr>
        <w:rPr>
          <w:rFonts w:ascii="Arial" w:hAnsi="Arial" w:cs="Arial"/>
          <w:sz w:val="36"/>
          <w:szCs w:val="36"/>
        </w:rPr>
      </w:pPr>
      <w:r w:rsidRPr="00394948">
        <w:rPr>
          <w:rFonts w:ascii="Arial" w:hAnsi="Arial" w:cs="Arial"/>
          <w:sz w:val="36"/>
          <w:szCs w:val="36"/>
        </w:rPr>
        <w:br w:type="page"/>
      </w:r>
    </w:p>
    <w:p w14:paraId="1C17798B" w14:textId="23DEAD76" w:rsidR="007831A9" w:rsidRDefault="00DA767E" w:rsidP="00DA767E">
      <w:pPr>
        <w:pStyle w:val="Heading1"/>
      </w:pPr>
      <w:bookmarkStart w:id="123" w:name="_Toc41909290"/>
      <w:r>
        <w:lastRenderedPageBreak/>
        <w:t>APPENDIX 1</w:t>
      </w:r>
      <w:bookmarkEnd w:id="123"/>
    </w:p>
    <w:p w14:paraId="30B13A72" w14:textId="77777777" w:rsidR="00DA767E" w:rsidRPr="00394948" w:rsidRDefault="00DA767E" w:rsidP="008F4F86">
      <w:pPr>
        <w:rPr>
          <w:b/>
        </w:rPr>
      </w:pPr>
    </w:p>
    <w:p w14:paraId="42947D72" w14:textId="60EBBAD7" w:rsidR="00942707" w:rsidRDefault="00942707" w:rsidP="00942707">
      <w:pPr>
        <w:pStyle w:val="Caption"/>
        <w:keepNext/>
        <w:spacing w:after="0"/>
      </w:pPr>
      <w:r w:rsidRPr="00F37ADB">
        <w:rPr>
          <w:color w:val="auto"/>
        </w:rPr>
        <w:t xml:space="preserve">Appendix </w:t>
      </w:r>
      <w:r w:rsidRPr="00F37ADB">
        <w:rPr>
          <w:color w:val="auto"/>
        </w:rPr>
        <w:fldChar w:fldCharType="begin"/>
      </w:r>
      <w:r w:rsidRPr="00F37ADB">
        <w:rPr>
          <w:color w:val="auto"/>
        </w:rPr>
        <w:instrText xml:space="preserve"> SEQ Appendix \* ARABIC </w:instrText>
      </w:r>
      <w:r w:rsidRPr="00F37ADB">
        <w:rPr>
          <w:color w:val="auto"/>
        </w:rPr>
        <w:fldChar w:fldCharType="separate"/>
      </w:r>
      <w:r w:rsidRPr="00F37ADB">
        <w:rPr>
          <w:noProof/>
          <w:color w:val="auto"/>
        </w:rPr>
        <w:t>1</w:t>
      </w:r>
      <w:r w:rsidRPr="00F37ADB">
        <w:rPr>
          <w:color w:val="auto"/>
        </w:rPr>
        <w:fldChar w:fldCharType="end"/>
      </w:r>
      <w:r w:rsidRPr="00F37ADB">
        <w:rPr>
          <w:color w:val="auto"/>
        </w:rPr>
        <w:t>:  International Society of Blood Transfusion (ISBT) definitions</w:t>
      </w:r>
    </w:p>
    <w:p w14:paraId="1DED42F0" w14:textId="77777777" w:rsidR="00B45F05" w:rsidRPr="00394948" w:rsidRDefault="00B45F05" w:rsidP="007831A9">
      <w:r w:rsidRPr="00394948">
        <w:rPr>
          <w:noProof/>
          <w:lang w:eastAsia="en-AU"/>
        </w:rPr>
        <w:drawing>
          <wp:inline distT="0" distB="0" distL="0" distR="0" wp14:anchorId="629694C9" wp14:editId="45D6CA92">
            <wp:extent cx="5926455" cy="4787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6455" cy="4787872"/>
                    </a:xfrm>
                    <a:prstGeom prst="rect">
                      <a:avLst/>
                    </a:prstGeom>
                    <a:noFill/>
                    <a:ln>
                      <a:noFill/>
                    </a:ln>
                  </pic:spPr>
                </pic:pic>
              </a:graphicData>
            </a:graphic>
          </wp:inline>
        </w:drawing>
      </w:r>
    </w:p>
    <w:p w14:paraId="322DA8DC" w14:textId="77777777" w:rsidR="00A01FDF" w:rsidRPr="00394948" w:rsidRDefault="00A01FDF" w:rsidP="007831A9"/>
    <w:p w14:paraId="1CB3D831" w14:textId="77777777" w:rsidR="00A01FDF" w:rsidRPr="00394948" w:rsidRDefault="00A01FDF" w:rsidP="007831A9"/>
    <w:p w14:paraId="3A79823A" w14:textId="77777777" w:rsidR="00A01FDF" w:rsidRPr="00394948" w:rsidRDefault="00A01FDF" w:rsidP="007831A9"/>
    <w:p w14:paraId="6285CE46" w14:textId="77777777" w:rsidR="007831A9" w:rsidRPr="00394948" w:rsidRDefault="007831A9">
      <w:pPr>
        <w:spacing w:line="276" w:lineRule="auto"/>
      </w:pPr>
    </w:p>
    <w:p w14:paraId="42474027" w14:textId="77777777" w:rsidR="00A01FDF" w:rsidRPr="00394948" w:rsidRDefault="00A01FDF">
      <w:pPr>
        <w:spacing w:line="276" w:lineRule="auto"/>
      </w:pPr>
      <w:r w:rsidRPr="00394948">
        <w:br w:type="page"/>
      </w:r>
    </w:p>
    <w:p w14:paraId="4274E126" w14:textId="1A37196C" w:rsidR="007703A2" w:rsidRPr="00C94BEE" w:rsidRDefault="00DA767E" w:rsidP="00DA767E">
      <w:pPr>
        <w:pStyle w:val="Heading1"/>
      </w:pPr>
      <w:bookmarkStart w:id="124" w:name="_Toc41909291"/>
      <w:r>
        <w:lastRenderedPageBreak/>
        <w:t>ABBREVIATIONS</w:t>
      </w:r>
      <w:bookmarkEnd w:id="124"/>
    </w:p>
    <w:p w14:paraId="291B0805" w14:textId="77777777" w:rsidR="007703A2" w:rsidRPr="00C94BEE" w:rsidRDefault="007703A2" w:rsidP="007703A2">
      <w:pPr>
        <w:spacing w:before="60" w:after="0"/>
        <w:rPr>
          <w:sz w:val="21"/>
          <w:szCs w:val="21"/>
        </w:rPr>
      </w:pPr>
      <w:r w:rsidRPr="00C94BEE">
        <w:rPr>
          <w:sz w:val="21"/>
          <w:szCs w:val="21"/>
        </w:rPr>
        <w:t xml:space="preserve">AABB </w:t>
      </w:r>
      <w:r w:rsidRPr="00C94BEE">
        <w:rPr>
          <w:sz w:val="21"/>
          <w:szCs w:val="21"/>
        </w:rPr>
        <w:tab/>
      </w:r>
      <w:r w:rsidRPr="00C94BEE">
        <w:rPr>
          <w:sz w:val="21"/>
          <w:szCs w:val="21"/>
        </w:rPr>
        <w:tab/>
        <w:t>American Association of Blood Banks</w:t>
      </w:r>
    </w:p>
    <w:p w14:paraId="0D0F664F" w14:textId="77777777" w:rsidR="007703A2" w:rsidRPr="00C94BEE" w:rsidRDefault="007703A2" w:rsidP="007703A2">
      <w:pPr>
        <w:spacing w:before="60" w:after="0"/>
        <w:rPr>
          <w:sz w:val="21"/>
          <w:szCs w:val="21"/>
        </w:rPr>
      </w:pPr>
      <w:r w:rsidRPr="00C94BEE">
        <w:rPr>
          <w:sz w:val="21"/>
          <w:szCs w:val="21"/>
        </w:rPr>
        <w:t xml:space="preserve">ABO </w:t>
      </w:r>
      <w:r w:rsidRPr="00C94BEE">
        <w:rPr>
          <w:sz w:val="21"/>
          <w:szCs w:val="21"/>
        </w:rPr>
        <w:tab/>
      </w:r>
      <w:r w:rsidRPr="00C94BEE">
        <w:rPr>
          <w:sz w:val="21"/>
          <w:szCs w:val="21"/>
        </w:rPr>
        <w:tab/>
        <w:t>The human red cell ABO blood group system</w:t>
      </w:r>
    </w:p>
    <w:p w14:paraId="22D4AAE9" w14:textId="77777777" w:rsidR="007703A2" w:rsidRPr="00C94BEE" w:rsidRDefault="007703A2" w:rsidP="007703A2">
      <w:pPr>
        <w:spacing w:before="60" w:after="0"/>
        <w:rPr>
          <w:sz w:val="21"/>
          <w:szCs w:val="21"/>
        </w:rPr>
      </w:pPr>
      <w:r w:rsidRPr="00C94BEE">
        <w:rPr>
          <w:sz w:val="21"/>
          <w:szCs w:val="21"/>
        </w:rPr>
        <w:t xml:space="preserve">ACT </w:t>
      </w:r>
      <w:r w:rsidRPr="00C94BEE">
        <w:rPr>
          <w:sz w:val="21"/>
          <w:szCs w:val="21"/>
        </w:rPr>
        <w:tab/>
      </w:r>
      <w:r w:rsidRPr="00C94BEE">
        <w:rPr>
          <w:sz w:val="21"/>
          <w:szCs w:val="21"/>
        </w:rPr>
        <w:tab/>
        <w:t>Australian Capital Territory</w:t>
      </w:r>
    </w:p>
    <w:p w14:paraId="53AD67B0" w14:textId="77777777" w:rsidR="007703A2" w:rsidRPr="00C94BEE" w:rsidRDefault="007703A2" w:rsidP="007703A2">
      <w:pPr>
        <w:spacing w:before="60" w:after="0"/>
        <w:rPr>
          <w:sz w:val="21"/>
          <w:szCs w:val="21"/>
        </w:rPr>
      </w:pPr>
      <w:r w:rsidRPr="00C94BEE">
        <w:rPr>
          <w:sz w:val="21"/>
          <w:szCs w:val="21"/>
        </w:rPr>
        <w:t xml:space="preserve">AHTR </w:t>
      </w:r>
      <w:r w:rsidRPr="00C94BEE">
        <w:rPr>
          <w:sz w:val="21"/>
          <w:szCs w:val="21"/>
        </w:rPr>
        <w:tab/>
      </w:r>
      <w:r w:rsidRPr="00C94BEE">
        <w:rPr>
          <w:sz w:val="21"/>
          <w:szCs w:val="21"/>
        </w:rPr>
        <w:tab/>
        <w:t>Acute haemolytic transfusion reaction (other than ABO incompatibility)</w:t>
      </w:r>
    </w:p>
    <w:p w14:paraId="3E6FA9DF" w14:textId="77777777" w:rsidR="007703A2" w:rsidRPr="00C94BEE" w:rsidRDefault="007703A2" w:rsidP="007703A2">
      <w:pPr>
        <w:spacing w:before="60" w:after="0"/>
        <w:rPr>
          <w:sz w:val="21"/>
          <w:szCs w:val="21"/>
        </w:rPr>
      </w:pPr>
      <w:r w:rsidRPr="00C94BEE">
        <w:rPr>
          <w:sz w:val="21"/>
          <w:szCs w:val="21"/>
        </w:rPr>
        <w:t xml:space="preserve">ATR </w:t>
      </w:r>
      <w:r w:rsidRPr="00C94BEE">
        <w:rPr>
          <w:sz w:val="21"/>
          <w:szCs w:val="21"/>
        </w:rPr>
        <w:tab/>
      </w:r>
      <w:r w:rsidRPr="00C94BEE">
        <w:rPr>
          <w:sz w:val="21"/>
          <w:szCs w:val="21"/>
        </w:rPr>
        <w:tab/>
        <w:t>Acute transfusion reactions</w:t>
      </w:r>
    </w:p>
    <w:p w14:paraId="5CD4AF2B" w14:textId="77777777" w:rsidR="007703A2" w:rsidRPr="00C94BEE" w:rsidRDefault="007703A2" w:rsidP="007703A2">
      <w:pPr>
        <w:spacing w:before="60" w:after="0"/>
        <w:rPr>
          <w:sz w:val="21"/>
          <w:szCs w:val="21"/>
        </w:rPr>
      </w:pPr>
      <w:r w:rsidRPr="00C94BEE">
        <w:rPr>
          <w:sz w:val="21"/>
          <w:szCs w:val="21"/>
        </w:rPr>
        <w:t xml:space="preserve">DHTR </w:t>
      </w:r>
      <w:r w:rsidRPr="00C94BEE">
        <w:rPr>
          <w:sz w:val="21"/>
          <w:szCs w:val="21"/>
        </w:rPr>
        <w:tab/>
      </w:r>
      <w:r w:rsidRPr="00C94BEE">
        <w:rPr>
          <w:sz w:val="21"/>
          <w:szCs w:val="21"/>
        </w:rPr>
        <w:tab/>
        <w:t>Delayed haemolytic transfusion reaction</w:t>
      </w:r>
    </w:p>
    <w:p w14:paraId="6650F8AF" w14:textId="77777777" w:rsidR="007703A2" w:rsidRPr="00C94BEE" w:rsidRDefault="007703A2" w:rsidP="007703A2">
      <w:pPr>
        <w:spacing w:before="60" w:after="0"/>
        <w:rPr>
          <w:sz w:val="21"/>
          <w:szCs w:val="21"/>
        </w:rPr>
      </w:pPr>
      <w:r w:rsidRPr="00C94BEE">
        <w:rPr>
          <w:sz w:val="21"/>
          <w:szCs w:val="21"/>
        </w:rPr>
        <w:t xml:space="preserve">DVT </w:t>
      </w:r>
      <w:r w:rsidRPr="00C94BEE">
        <w:rPr>
          <w:sz w:val="21"/>
          <w:szCs w:val="21"/>
        </w:rPr>
        <w:tab/>
      </w:r>
      <w:r w:rsidRPr="00C94BEE">
        <w:rPr>
          <w:sz w:val="21"/>
          <w:szCs w:val="21"/>
        </w:rPr>
        <w:tab/>
        <w:t>Deep vein thrombosis</w:t>
      </w:r>
    </w:p>
    <w:p w14:paraId="4B613946" w14:textId="77777777" w:rsidR="007703A2" w:rsidRPr="00C94BEE" w:rsidRDefault="007703A2" w:rsidP="007703A2">
      <w:pPr>
        <w:spacing w:before="60" w:after="0"/>
        <w:rPr>
          <w:sz w:val="21"/>
          <w:szCs w:val="21"/>
        </w:rPr>
      </w:pPr>
      <w:r w:rsidRPr="00C94BEE">
        <w:rPr>
          <w:sz w:val="21"/>
          <w:szCs w:val="21"/>
        </w:rPr>
        <w:t xml:space="preserve">FNHTR </w:t>
      </w:r>
      <w:r w:rsidRPr="00C94BEE">
        <w:rPr>
          <w:sz w:val="21"/>
          <w:szCs w:val="21"/>
        </w:rPr>
        <w:tab/>
      </w:r>
      <w:r w:rsidRPr="00C94BEE">
        <w:rPr>
          <w:sz w:val="21"/>
          <w:szCs w:val="21"/>
        </w:rPr>
        <w:tab/>
        <w:t>Febrile non haemolytic transfusion reaction</w:t>
      </w:r>
    </w:p>
    <w:p w14:paraId="6BDF1B41" w14:textId="404AF2CB" w:rsidR="007703A2" w:rsidRPr="00C94BEE" w:rsidRDefault="007703A2" w:rsidP="007703A2">
      <w:pPr>
        <w:spacing w:before="60" w:after="0"/>
        <w:rPr>
          <w:sz w:val="21"/>
          <w:szCs w:val="21"/>
        </w:rPr>
      </w:pPr>
      <w:r w:rsidRPr="00C94BEE">
        <w:rPr>
          <w:sz w:val="21"/>
          <w:szCs w:val="21"/>
        </w:rPr>
        <w:t xml:space="preserve">GP </w:t>
      </w:r>
      <w:r w:rsidRPr="00C94BEE">
        <w:rPr>
          <w:sz w:val="21"/>
          <w:szCs w:val="21"/>
        </w:rPr>
        <w:tab/>
      </w:r>
      <w:r w:rsidRPr="00C94BEE">
        <w:rPr>
          <w:sz w:val="21"/>
          <w:szCs w:val="21"/>
        </w:rPr>
        <w:tab/>
        <w:t xml:space="preserve">General </w:t>
      </w:r>
      <w:r w:rsidR="004D0A41" w:rsidRPr="00C94BEE">
        <w:rPr>
          <w:sz w:val="21"/>
          <w:szCs w:val="21"/>
        </w:rPr>
        <w:t>Practitioner</w:t>
      </w:r>
    </w:p>
    <w:p w14:paraId="69256ADF" w14:textId="77777777" w:rsidR="007703A2" w:rsidRPr="00C94BEE" w:rsidRDefault="007703A2" w:rsidP="007703A2">
      <w:pPr>
        <w:spacing w:before="60" w:after="0"/>
        <w:rPr>
          <w:sz w:val="21"/>
          <w:szCs w:val="21"/>
        </w:rPr>
      </w:pPr>
      <w:r w:rsidRPr="00C94BEE">
        <w:rPr>
          <w:sz w:val="21"/>
          <w:szCs w:val="21"/>
        </w:rPr>
        <w:t xml:space="preserve">HAC </w:t>
      </w:r>
      <w:r w:rsidRPr="00C94BEE">
        <w:rPr>
          <w:sz w:val="21"/>
          <w:szCs w:val="21"/>
        </w:rPr>
        <w:tab/>
      </w:r>
      <w:r w:rsidRPr="00C94BEE">
        <w:rPr>
          <w:sz w:val="21"/>
          <w:szCs w:val="21"/>
        </w:rPr>
        <w:tab/>
        <w:t>Haemovigilance Advisory Committee</w:t>
      </w:r>
    </w:p>
    <w:p w14:paraId="5B81DA55" w14:textId="77777777" w:rsidR="007703A2" w:rsidRPr="00C94BEE" w:rsidRDefault="007703A2" w:rsidP="007703A2">
      <w:pPr>
        <w:spacing w:before="60" w:after="0"/>
        <w:rPr>
          <w:sz w:val="21"/>
          <w:szCs w:val="21"/>
        </w:rPr>
      </w:pPr>
      <w:r w:rsidRPr="00C94BEE">
        <w:rPr>
          <w:sz w:val="21"/>
          <w:szCs w:val="21"/>
        </w:rPr>
        <w:t xml:space="preserve">HBsAg </w:t>
      </w:r>
      <w:r w:rsidRPr="00C94BEE">
        <w:rPr>
          <w:sz w:val="21"/>
          <w:szCs w:val="21"/>
        </w:rPr>
        <w:tab/>
      </w:r>
      <w:r w:rsidRPr="00C94BEE">
        <w:rPr>
          <w:sz w:val="21"/>
          <w:szCs w:val="21"/>
        </w:rPr>
        <w:tab/>
        <w:t>Hepatitis B surface antigen</w:t>
      </w:r>
    </w:p>
    <w:p w14:paraId="1FA1C93F" w14:textId="77777777" w:rsidR="007703A2" w:rsidRPr="00C94BEE" w:rsidRDefault="007703A2" w:rsidP="007703A2">
      <w:pPr>
        <w:spacing w:before="60" w:after="0"/>
        <w:rPr>
          <w:sz w:val="21"/>
          <w:szCs w:val="21"/>
        </w:rPr>
      </w:pPr>
      <w:r w:rsidRPr="00C94BEE">
        <w:rPr>
          <w:sz w:val="21"/>
          <w:szCs w:val="21"/>
        </w:rPr>
        <w:t xml:space="preserve">HBV </w:t>
      </w:r>
      <w:r w:rsidRPr="00C94BEE">
        <w:rPr>
          <w:sz w:val="21"/>
          <w:szCs w:val="21"/>
        </w:rPr>
        <w:tab/>
      </w:r>
      <w:r w:rsidRPr="00C94BEE">
        <w:rPr>
          <w:sz w:val="21"/>
          <w:szCs w:val="21"/>
        </w:rPr>
        <w:tab/>
        <w:t>Hepatitis B virus</w:t>
      </w:r>
    </w:p>
    <w:p w14:paraId="1CB22B9D" w14:textId="77777777" w:rsidR="007703A2" w:rsidRPr="00C94BEE" w:rsidRDefault="007703A2" w:rsidP="007703A2">
      <w:pPr>
        <w:spacing w:before="60" w:after="0"/>
        <w:rPr>
          <w:sz w:val="21"/>
          <w:szCs w:val="21"/>
        </w:rPr>
      </w:pPr>
      <w:r w:rsidRPr="00C94BEE">
        <w:rPr>
          <w:sz w:val="21"/>
          <w:szCs w:val="21"/>
        </w:rPr>
        <w:t xml:space="preserve">HCV </w:t>
      </w:r>
      <w:r w:rsidRPr="00C94BEE">
        <w:rPr>
          <w:sz w:val="21"/>
          <w:szCs w:val="21"/>
        </w:rPr>
        <w:tab/>
      </w:r>
      <w:r w:rsidRPr="00C94BEE">
        <w:rPr>
          <w:sz w:val="21"/>
          <w:szCs w:val="21"/>
        </w:rPr>
        <w:tab/>
        <w:t>Hepatitis C virus</w:t>
      </w:r>
    </w:p>
    <w:p w14:paraId="7A3FE293" w14:textId="77777777" w:rsidR="007703A2" w:rsidRPr="00C94BEE" w:rsidRDefault="007703A2" w:rsidP="007703A2">
      <w:pPr>
        <w:spacing w:before="60" w:after="0"/>
        <w:rPr>
          <w:sz w:val="21"/>
          <w:szCs w:val="21"/>
        </w:rPr>
      </w:pPr>
      <w:r w:rsidRPr="00C94BEE">
        <w:rPr>
          <w:sz w:val="21"/>
          <w:szCs w:val="21"/>
        </w:rPr>
        <w:t xml:space="preserve">HIV </w:t>
      </w:r>
      <w:r w:rsidRPr="00C94BEE">
        <w:rPr>
          <w:sz w:val="21"/>
          <w:szCs w:val="21"/>
        </w:rPr>
        <w:tab/>
      </w:r>
      <w:r w:rsidRPr="00C94BEE">
        <w:rPr>
          <w:sz w:val="21"/>
          <w:szCs w:val="21"/>
        </w:rPr>
        <w:tab/>
        <w:t>Human Immunodeficiency virus</w:t>
      </w:r>
    </w:p>
    <w:p w14:paraId="7FE4189C" w14:textId="77777777" w:rsidR="007703A2" w:rsidRPr="00C94BEE" w:rsidRDefault="007703A2" w:rsidP="007703A2">
      <w:pPr>
        <w:spacing w:before="60" w:after="0"/>
        <w:rPr>
          <w:sz w:val="21"/>
          <w:szCs w:val="21"/>
        </w:rPr>
      </w:pPr>
      <w:r w:rsidRPr="00C94BEE">
        <w:rPr>
          <w:sz w:val="21"/>
          <w:szCs w:val="21"/>
        </w:rPr>
        <w:t xml:space="preserve">HTC </w:t>
      </w:r>
      <w:r w:rsidRPr="00C94BEE">
        <w:rPr>
          <w:sz w:val="21"/>
          <w:szCs w:val="21"/>
        </w:rPr>
        <w:tab/>
      </w:r>
      <w:r w:rsidRPr="00C94BEE">
        <w:rPr>
          <w:sz w:val="21"/>
          <w:szCs w:val="21"/>
        </w:rPr>
        <w:tab/>
        <w:t>Haemophilia Treatment Centre</w:t>
      </w:r>
    </w:p>
    <w:p w14:paraId="6C911892" w14:textId="77777777" w:rsidR="007703A2" w:rsidRPr="00C94BEE" w:rsidRDefault="007703A2" w:rsidP="007703A2">
      <w:pPr>
        <w:spacing w:before="60" w:after="0"/>
        <w:rPr>
          <w:sz w:val="21"/>
          <w:szCs w:val="21"/>
        </w:rPr>
      </w:pPr>
      <w:r w:rsidRPr="00C94BEE">
        <w:rPr>
          <w:sz w:val="21"/>
          <w:szCs w:val="21"/>
        </w:rPr>
        <w:t xml:space="preserve">HTLV </w:t>
      </w:r>
      <w:r w:rsidRPr="00C94BEE">
        <w:rPr>
          <w:sz w:val="21"/>
          <w:szCs w:val="21"/>
        </w:rPr>
        <w:tab/>
      </w:r>
      <w:r w:rsidRPr="00C94BEE">
        <w:rPr>
          <w:sz w:val="21"/>
          <w:szCs w:val="21"/>
        </w:rPr>
        <w:tab/>
        <w:t>Human T-cell lymphoma virus</w:t>
      </w:r>
    </w:p>
    <w:p w14:paraId="15689BA4" w14:textId="77777777" w:rsidR="007703A2" w:rsidRPr="00C94BEE" w:rsidRDefault="007703A2" w:rsidP="007703A2">
      <w:pPr>
        <w:spacing w:before="60" w:after="0"/>
        <w:rPr>
          <w:sz w:val="21"/>
          <w:szCs w:val="21"/>
        </w:rPr>
      </w:pPr>
      <w:r w:rsidRPr="00C94BEE">
        <w:rPr>
          <w:sz w:val="21"/>
          <w:szCs w:val="21"/>
        </w:rPr>
        <w:t xml:space="preserve">IBCT </w:t>
      </w:r>
      <w:r w:rsidRPr="00C94BEE">
        <w:rPr>
          <w:sz w:val="21"/>
          <w:szCs w:val="21"/>
        </w:rPr>
        <w:tab/>
      </w:r>
      <w:r w:rsidRPr="00C94BEE">
        <w:rPr>
          <w:sz w:val="21"/>
          <w:szCs w:val="21"/>
        </w:rPr>
        <w:tab/>
        <w:t>Incorrect blood component transfused</w:t>
      </w:r>
    </w:p>
    <w:p w14:paraId="6927AD21" w14:textId="77777777" w:rsidR="007703A2" w:rsidRPr="00C94BEE" w:rsidRDefault="007703A2" w:rsidP="007703A2">
      <w:pPr>
        <w:spacing w:before="60" w:after="0"/>
        <w:rPr>
          <w:sz w:val="21"/>
          <w:szCs w:val="21"/>
        </w:rPr>
      </w:pPr>
      <w:r w:rsidRPr="00C94BEE">
        <w:rPr>
          <w:sz w:val="21"/>
          <w:szCs w:val="21"/>
        </w:rPr>
        <w:t xml:space="preserve">IHN </w:t>
      </w:r>
      <w:r w:rsidRPr="00C94BEE">
        <w:rPr>
          <w:sz w:val="21"/>
          <w:szCs w:val="21"/>
        </w:rPr>
        <w:tab/>
      </w:r>
      <w:r w:rsidRPr="00C94BEE">
        <w:rPr>
          <w:sz w:val="21"/>
          <w:szCs w:val="21"/>
        </w:rPr>
        <w:tab/>
        <w:t>International Haemovigilance Network</w:t>
      </w:r>
    </w:p>
    <w:p w14:paraId="3229C0ED" w14:textId="77777777" w:rsidR="007703A2" w:rsidRPr="00C94BEE" w:rsidRDefault="007703A2" w:rsidP="007703A2">
      <w:pPr>
        <w:spacing w:before="60" w:after="0"/>
        <w:rPr>
          <w:sz w:val="21"/>
          <w:szCs w:val="21"/>
        </w:rPr>
      </w:pPr>
      <w:r w:rsidRPr="00C94BEE">
        <w:rPr>
          <w:sz w:val="21"/>
          <w:szCs w:val="21"/>
        </w:rPr>
        <w:t xml:space="preserve">ISBT </w:t>
      </w:r>
      <w:r w:rsidRPr="00C94BEE">
        <w:rPr>
          <w:sz w:val="21"/>
          <w:szCs w:val="21"/>
        </w:rPr>
        <w:tab/>
      </w:r>
      <w:r w:rsidRPr="00C94BEE">
        <w:rPr>
          <w:sz w:val="21"/>
          <w:szCs w:val="21"/>
        </w:rPr>
        <w:tab/>
        <w:t>International Society for Blood Transfusion</w:t>
      </w:r>
    </w:p>
    <w:p w14:paraId="06DB1A32" w14:textId="77777777" w:rsidR="007703A2" w:rsidRPr="00C94BEE" w:rsidRDefault="007703A2" w:rsidP="007703A2">
      <w:pPr>
        <w:spacing w:before="60" w:after="0"/>
        <w:rPr>
          <w:sz w:val="21"/>
          <w:szCs w:val="21"/>
        </w:rPr>
      </w:pPr>
      <w:r w:rsidRPr="00C94BEE">
        <w:rPr>
          <w:sz w:val="21"/>
          <w:szCs w:val="21"/>
        </w:rPr>
        <w:t xml:space="preserve">LOC </w:t>
      </w:r>
      <w:r w:rsidRPr="00C94BEE">
        <w:rPr>
          <w:sz w:val="21"/>
          <w:szCs w:val="21"/>
        </w:rPr>
        <w:tab/>
      </w:r>
      <w:r w:rsidRPr="00C94BEE">
        <w:rPr>
          <w:sz w:val="21"/>
          <w:szCs w:val="21"/>
        </w:rPr>
        <w:tab/>
        <w:t>Loss of consciousness</w:t>
      </w:r>
    </w:p>
    <w:p w14:paraId="1E889854" w14:textId="77777777" w:rsidR="007703A2" w:rsidRPr="00C94BEE" w:rsidRDefault="007703A2" w:rsidP="007703A2">
      <w:pPr>
        <w:spacing w:before="60" w:after="0"/>
        <w:rPr>
          <w:sz w:val="21"/>
          <w:szCs w:val="21"/>
        </w:rPr>
      </w:pPr>
      <w:r w:rsidRPr="00C94BEE">
        <w:rPr>
          <w:sz w:val="21"/>
          <w:szCs w:val="21"/>
        </w:rPr>
        <w:t xml:space="preserve">NAT </w:t>
      </w:r>
      <w:r w:rsidRPr="00C94BEE">
        <w:rPr>
          <w:sz w:val="21"/>
          <w:szCs w:val="21"/>
        </w:rPr>
        <w:tab/>
      </w:r>
      <w:r w:rsidRPr="00C94BEE">
        <w:rPr>
          <w:sz w:val="21"/>
          <w:szCs w:val="21"/>
        </w:rPr>
        <w:tab/>
        <w:t>Nucleic acid testing</w:t>
      </w:r>
    </w:p>
    <w:p w14:paraId="79488FC6" w14:textId="77777777" w:rsidR="007703A2" w:rsidRPr="00C94BEE" w:rsidRDefault="007703A2" w:rsidP="007703A2">
      <w:pPr>
        <w:spacing w:before="60" w:after="0"/>
        <w:rPr>
          <w:sz w:val="21"/>
          <w:szCs w:val="21"/>
        </w:rPr>
      </w:pPr>
      <w:r w:rsidRPr="00C94BEE">
        <w:rPr>
          <w:sz w:val="21"/>
          <w:szCs w:val="21"/>
        </w:rPr>
        <w:t xml:space="preserve">NBA </w:t>
      </w:r>
      <w:r w:rsidRPr="00C94BEE">
        <w:rPr>
          <w:sz w:val="21"/>
          <w:szCs w:val="21"/>
        </w:rPr>
        <w:tab/>
      </w:r>
      <w:r w:rsidRPr="00C94BEE">
        <w:rPr>
          <w:sz w:val="21"/>
          <w:szCs w:val="21"/>
        </w:rPr>
        <w:tab/>
        <w:t>National Blood Authority</w:t>
      </w:r>
    </w:p>
    <w:p w14:paraId="6FC0A726" w14:textId="77777777" w:rsidR="007703A2" w:rsidRPr="00C94BEE" w:rsidRDefault="007703A2" w:rsidP="007703A2">
      <w:pPr>
        <w:spacing w:before="60" w:after="0"/>
        <w:rPr>
          <w:sz w:val="21"/>
          <w:szCs w:val="21"/>
        </w:rPr>
      </w:pPr>
      <w:r w:rsidRPr="00C94BEE">
        <w:rPr>
          <w:sz w:val="21"/>
          <w:szCs w:val="21"/>
        </w:rPr>
        <w:t xml:space="preserve">NHDD </w:t>
      </w:r>
      <w:r w:rsidRPr="00C94BEE">
        <w:rPr>
          <w:sz w:val="21"/>
          <w:szCs w:val="21"/>
        </w:rPr>
        <w:tab/>
      </w:r>
      <w:r w:rsidRPr="00C94BEE">
        <w:rPr>
          <w:sz w:val="21"/>
          <w:szCs w:val="21"/>
        </w:rPr>
        <w:tab/>
        <w:t>National Haemovigilance Data Dictionary</w:t>
      </w:r>
    </w:p>
    <w:p w14:paraId="4CD93F56" w14:textId="77777777" w:rsidR="007703A2" w:rsidRPr="00C94BEE" w:rsidRDefault="007703A2" w:rsidP="007703A2">
      <w:pPr>
        <w:spacing w:before="60" w:after="0"/>
        <w:rPr>
          <w:sz w:val="21"/>
          <w:szCs w:val="21"/>
        </w:rPr>
      </w:pPr>
      <w:r w:rsidRPr="00C94BEE">
        <w:rPr>
          <w:sz w:val="21"/>
          <w:szCs w:val="21"/>
        </w:rPr>
        <w:t xml:space="preserve">NSW </w:t>
      </w:r>
      <w:r w:rsidRPr="00C94BEE">
        <w:rPr>
          <w:sz w:val="21"/>
          <w:szCs w:val="21"/>
        </w:rPr>
        <w:tab/>
      </w:r>
      <w:r w:rsidRPr="00C94BEE">
        <w:rPr>
          <w:sz w:val="21"/>
          <w:szCs w:val="21"/>
        </w:rPr>
        <w:tab/>
        <w:t>New South Wales</w:t>
      </w:r>
    </w:p>
    <w:p w14:paraId="455F9AB0" w14:textId="77777777" w:rsidR="007703A2" w:rsidRPr="00C94BEE" w:rsidRDefault="007703A2" w:rsidP="007703A2">
      <w:pPr>
        <w:spacing w:before="60" w:after="0"/>
        <w:rPr>
          <w:sz w:val="21"/>
          <w:szCs w:val="21"/>
        </w:rPr>
      </w:pPr>
      <w:r w:rsidRPr="00C94BEE">
        <w:rPr>
          <w:sz w:val="21"/>
          <w:szCs w:val="21"/>
        </w:rPr>
        <w:t xml:space="preserve">NT </w:t>
      </w:r>
      <w:r w:rsidRPr="00C94BEE">
        <w:rPr>
          <w:sz w:val="21"/>
          <w:szCs w:val="21"/>
        </w:rPr>
        <w:tab/>
      </w:r>
      <w:r w:rsidRPr="00C94BEE">
        <w:rPr>
          <w:sz w:val="21"/>
          <w:szCs w:val="21"/>
        </w:rPr>
        <w:tab/>
        <w:t>Northern Territory</w:t>
      </w:r>
    </w:p>
    <w:p w14:paraId="7FBE209C" w14:textId="77777777" w:rsidR="007703A2" w:rsidRPr="00C94BEE" w:rsidRDefault="007703A2" w:rsidP="007703A2">
      <w:pPr>
        <w:spacing w:before="60" w:after="0"/>
        <w:rPr>
          <w:sz w:val="21"/>
          <w:szCs w:val="21"/>
        </w:rPr>
      </w:pPr>
      <w:r w:rsidRPr="00C94BEE">
        <w:rPr>
          <w:sz w:val="21"/>
          <w:szCs w:val="21"/>
        </w:rPr>
        <w:t xml:space="preserve">PTP </w:t>
      </w:r>
      <w:r w:rsidRPr="00C94BEE">
        <w:rPr>
          <w:sz w:val="21"/>
          <w:szCs w:val="21"/>
        </w:rPr>
        <w:tab/>
      </w:r>
      <w:r w:rsidRPr="00C94BEE">
        <w:rPr>
          <w:sz w:val="21"/>
          <w:szCs w:val="21"/>
        </w:rPr>
        <w:tab/>
        <w:t>Post transfusion purpura</w:t>
      </w:r>
    </w:p>
    <w:p w14:paraId="3BF5F63C" w14:textId="77777777" w:rsidR="007703A2" w:rsidRPr="00C94BEE" w:rsidRDefault="007703A2" w:rsidP="007703A2">
      <w:pPr>
        <w:spacing w:before="60" w:after="0"/>
        <w:rPr>
          <w:sz w:val="21"/>
          <w:szCs w:val="21"/>
        </w:rPr>
      </w:pPr>
      <w:r w:rsidRPr="00C94BEE">
        <w:rPr>
          <w:sz w:val="21"/>
          <w:szCs w:val="21"/>
        </w:rPr>
        <w:t xml:space="preserve">QLD </w:t>
      </w:r>
      <w:r w:rsidRPr="00C94BEE">
        <w:rPr>
          <w:sz w:val="21"/>
          <w:szCs w:val="21"/>
        </w:rPr>
        <w:tab/>
      </w:r>
      <w:r w:rsidRPr="00C94BEE">
        <w:rPr>
          <w:sz w:val="21"/>
          <w:szCs w:val="21"/>
        </w:rPr>
        <w:tab/>
        <w:t>Queensland</w:t>
      </w:r>
    </w:p>
    <w:p w14:paraId="65F4357C" w14:textId="77777777" w:rsidR="007703A2" w:rsidRPr="00C94BEE" w:rsidRDefault="007703A2" w:rsidP="007703A2">
      <w:pPr>
        <w:spacing w:before="60" w:after="0"/>
        <w:rPr>
          <w:sz w:val="21"/>
          <w:szCs w:val="21"/>
        </w:rPr>
      </w:pPr>
      <w:r w:rsidRPr="00C94BEE">
        <w:rPr>
          <w:sz w:val="21"/>
          <w:szCs w:val="21"/>
        </w:rPr>
        <w:t xml:space="preserve">SA </w:t>
      </w:r>
      <w:r w:rsidRPr="00C94BEE">
        <w:rPr>
          <w:sz w:val="21"/>
          <w:szCs w:val="21"/>
        </w:rPr>
        <w:tab/>
      </w:r>
      <w:r w:rsidRPr="00C94BEE">
        <w:rPr>
          <w:sz w:val="21"/>
          <w:szCs w:val="21"/>
        </w:rPr>
        <w:tab/>
        <w:t>South Australia</w:t>
      </w:r>
    </w:p>
    <w:p w14:paraId="64B4C025" w14:textId="77777777" w:rsidR="007703A2" w:rsidRPr="00C94BEE" w:rsidRDefault="007703A2" w:rsidP="007703A2">
      <w:pPr>
        <w:spacing w:before="60" w:after="0"/>
        <w:rPr>
          <w:sz w:val="21"/>
          <w:szCs w:val="21"/>
        </w:rPr>
      </w:pPr>
      <w:r w:rsidRPr="00C94BEE">
        <w:rPr>
          <w:sz w:val="21"/>
          <w:szCs w:val="21"/>
        </w:rPr>
        <w:t xml:space="preserve">STIR </w:t>
      </w:r>
      <w:r w:rsidRPr="00C94BEE">
        <w:rPr>
          <w:sz w:val="21"/>
          <w:szCs w:val="21"/>
        </w:rPr>
        <w:tab/>
      </w:r>
      <w:r w:rsidRPr="00C94BEE">
        <w:rPr>
          <w:sz w:val="21"/>
          <w:szCs w:val="21"/>
        </w:rPr>
        <w:tab/>
        <w:t>Serious Transfusion Incident Reporting</w:t>
      </w:r>
    </w:p>
    <w:p w14:paraId="053C2D14" w14:textId="77777777" w:rsidR="007703A2" w:rsidRPr="00C94BEE" w:rsidRDefault="007703A2" w:rsidP="007703A2">
      <w:pPr>
        <w:spacing w:before="60" w:after="0"/>
        <w:rPr>
          <w:sz w:val="21"/>
          <w:szCs w:val="21"/>
        </w:rPr>
      </w:pPr>
      <w:r w:rsidRPr="00C94BEE">
        <w:rPr>
          <w:sz w:val="21"/>
          <w:szCs w:val="21"/>
        </w:rPr>
        <w:t xml:space="preserve">TACO </w:t>
      </w:r>
      <w:r w:rsidRPr="00C94BEE">
        <w:rPr>
          <w:sz w:val="21"/>
          <w:szCs w:val="21"/>
        </w:rPr>
        <w:tab/>
      </w:r>
      <w:r w:rsidRPr="00C94BEE">
        <w:rPr>
          <w:sz w:val="21"/>
          <w:szCs w:val="21"/>
        </w:rPr>
        <w:tab/>
        <w:t>Transfusion-associated circulatory overload</w:t>
      </w:r>
    </w:p>
    <w:p w14:paraId="7099FF60" w14:textId="77777777" w:rsidR="007703A2" w:rsidRPr="00C94BEE" w:rsidRDefault="007703A2" w:rsidP="007703A2">
      <w:pPr>
        <w:spacing w:before="60" w:after="0"/>
        <w:rPr>
          <w:sz w:val="21"/>
          <w:szCs w:val="21"/>
        </w:rPr>
      </w:pPr>
      <w:r w:rsidRPr="00C94BEE">
        <w:rPr>
          <w:sz w:val="21"/>
          <w:szCs w:val="21"/>
        </w:rPr>
        <w:t xml:space="preserve">TAS </w:t>
      </w:r>
      <w:r w:rsidRPr="00C94BEE">
        <w:rPr>
          <w:sz w:val="21"/>
          <w:szCs w:val="21"/>
        </w:rPr>
        <w:tab/>
      </w:r>
      <w:r w:rsidRPr="00C94BEE">
        <w:rPr>
          <w:sz w:val="21"/>
          <w:szCs w:val="21"/>
        </w:rPr>
        <w:tab/>
        <w:t>Tasmania</w:t>
      </w:r>
    </w:p>
    <w:p w14:paraId="5EE6FF08" w14:textId="77777777" w:rsidR="007703A2" w:rsidRPr="00C94BEE" w:rsidRDefault="007703A2" w:rsidP="007703A2">
      <w:pPr>
        <w:spacing w:before="60" w:after="0"/>
        <w:rPr>
          <w:sz w:val="21"/>
          <w:szCs w:val="21"/>
        </w:rPr>
      </w:pPr>
      <w:r w:rsidRPr="00C94BEE">
        <w:rPr>
          <w:sz w:val="21"/>
          <w:szCs w:val="21"/>
        </w:rPr>
        <w:t xml:space="preserve">TIA </w:t>
      </w:r>
      <w:r w:rsidRPr="00C94BEE">
        <w:rPr>
          <w:sz w:val="21"/>
          <w:szCs w:val="21"/>
        </w:rPr>
        <w:tab/>
      </w:r>
      <w:r w:rsidRPr="00C94BEE">
        <w:rPr>
          <w:sz w:val="21"/>
          <w:szCs w:val="21"/>
        </w:rPr>
        <w:tab/>
        <w:t>Transient ischaemic attack</w:t>
      </w:r>
    </w:p>
    <w:p w14:paraId="5ED2CB2B" w14:textId="77777777" w:rsidR="007703A2" w:rsidRPr="00C94BEE" w:rsidRDefault="007703A2" w:rsidP="007703A2">
      <w:pPr>
        <w:spacing w:before="60" w:after="0"/>
        <w:rPr>
          <w:sz w:val="21"/>
          <w:szCs w:val="21"/>
        </w:rPr>
      </w:pPr>
      <w:r w:rsidRPr="00C94BEE">
        <w:rPr>
          <w:sz w:val="21"/>
          <w:szCs w:val="21"/>
        </w:rPr>
        <w:t xml:space="preserve">TRALI </w:t>
      </w:r>
      <w:r w:rsidRPr="00C94BEE">
        <w:rPr>
          <w:sz w:val="21"/>
          <w:szCs w:val="21"/>
        </w:rPr>
        <w:tab/>
      </w:r>
      <w:r w:rsidRPr="00C94BEE">
        <w:rPr>
          <w:sz w:val="21"/>
          <w:szCs w:val="21"/>
        </w:rPr>
        <w:tab/>
        <w:t>Transfusion-related acute lung injury</w:t>
      </w:r>
    </w:p>
    <w:p w14:paraId="57C914B9" w14:textId="77777777" w:rsidR="007703A2" w:rsidRPr="00C94BEE" w:rsidRDefault="007703A2" w:rsidP="007703A2">
      <w:pPr>
        <w:spacing w:before="60" w:after="0"/>
        <w:rPr>
          <w:sz w:val="21"/>
          <w:szCs w:val="21"/>
        </w:rPr>
      </w:pPr>
      <w:r w:rsidRPr="00C94BEE">
        <w:rPr>
          <w:sz w:val="21"/>
          <w:szCs w:val="21"/>
        </w:rPr>
        <w:t xml:space="preserve">TTI </w:t>
      </w:r>
      <w:r w:rsidRPr="00C94BEE">
        <w:rPr>
          <w:sz w:val="21"/>
          <w:szCs w:val="21"/>
        </w:rPr>
        <w:tab/>
      </w:r>
      <w:r w:rsidRPr="00C94BEE">
        <w:rPr>
          <w:sz w:val="21"/>
          <w:szCs w:val="21"/>
        </w:rPr>
        <w:tab/>
        <w:t>Transfusion-transmitted infection</w:t>
      </w:r>
    </w:p>
    <w:p w14:paraId="582CF0D2" w14:textId="77777777" w:rsidR="007703A2" w:rsidRPr="00C94BEE" w:rsidRDefault="007703A2" w:rsidP="007703A2">
      <w:pPr>
        <w:spacing w:before="60" w:after="0"/>
        <w:rPr>
          <w:sz w:val="21"/>
          <w:szCs w:val="21"/>
        </w:rPr>
      </w:pPr>
      <w:r w:rsidRPr="00C94BEE">
        <w:rPr>
          <w:sz w:val="21"/>
          <w:szCs w:val="21"/>
        </w:rPr>
        <w:t xml:space="preserve">vCJD </w:t>
      </w:r>
      <w:r w:rsidRPr="00C94BEE">
        <w:rPr>
          <w:sz w:val="21"/>
          <w:szCs w:val="21"/>
        </w:rPr>
        <w:tab/>
      </w:r>
      <w:r w:rsidRPr="00C94BEE">
        <w:rPr>
          <w:sz w:val="21"/>
          <w:szCs w:val="21"/>
        </w:rPr>
        <w:tab/>
        <w:t>Variant Creutzfeldt-Jakob disease</w:t>
      </w:r>
    </w:p>
    <w:p w14:paraId="4F1F8C8B" w14:textId="77777777" w:rsidR="007703A2" w:rsidRPr="00C94BEE" w:rsidRDefault="007703A2" w:rsidP="007703A2">
      <w:pPr>
        <w:spacing w:before="60" w:after="0"/>
        <w:rPr>
          <w:sz w:val="21"/>
          <w:szCs w:val="21"/>
        </w:rPr>
      </w:pPr>
      <w:r w:rsidRPr="00C94BEE">
        <w:rPr>
          <w:sz w:val="21"/>
          <w:szCs w:val="21"/>
        </w:rPr>
        <w:t xml:space="preserve">VIC </w:t>
      </w:r>
      <w:r w:rsidRPr="00C94BEE">
        <w:rPr>
          <w:sz w:val="21"/>
          <w:szCs w:val="21"/>
        </w:rPr>
        <w:tab/>
      </w:r>
      <w:r w:rsidRPr="00C94BEE">
        <w:rPr>
          <w:sz w:val="21"/>
          <w:szCs w:val="21"/>
        </w:rPr>
        <w:tab/>
        <w:t>Victoria</w:t>
      </w:r>
    </w:p>
    <w:p w14:paraId="085F8BB0" w14:textId="77777777" w:rsidR="007703A2" w:rsidRPr="00C94BEE" w:rsidRDefault="007703A2" w:rsidP="007703A2">
      <w:pPr>
        <w:spacing w:before="60" w:after="0"/>
        <w:rPr>
          <w:sz w:val="21"/>
          <w:szCs w:val="21"/>
        </w:rPr>
      </w:pPr>
      <w:r w:rsidRPr="00C94BEE">
        <w:rPr>
          <w:sz w:val="21"/>
          <w:szCs w:val="21"/>
        </w:rPr>
        <w:t xml:space="preserve">VVR </w:t>
      </w:r>
      <w:r w:rsidRPr="00C94BEE">
        <w:rPr>
          <w:sz w:val="21"/>
          <w:szCs w:val="21"/>
        </w:rPr>
        <w:tab/>
      </w:r>
      <w:r w:rsidRPr="00C94BEE">
        <w:rPr>
          <w:sz w:val="21"/>
          <w:szCs w:val="21"/>
        </w:rPr>
        <w:tab/>
        <w:t>Vasovagal reaction</w:t>
      </w:r>
    </w:p>
    <w:p w14:paraId="547E9496" w14:textId="77777777" w:rsidR="007703A2" w:rsidRPr="00C94BEE" w:rsidRDefault="007703A2" w:rsidP="007703A2">
      <w:pPr>
        <w:spacing w:before="60" w:after="0"/>
        <w:rPr>
          <w:sz w:val="21"/>
          <w:szCs w:val="21"/>
        </w:rPr>
      </w:pPr>
      <w:r w:rsidRPr="00C94BEE">
        <w:rPr>
          <w:sz w:val="21"/>
          <w:szCs w:val="21"/>
        </w:rPr>
        <w:t xml:space="preserve">WA </w:t>
      </w:r>
      <w:r w:rsidRPr="00C94BEE">
        <w:rPr>
          <w:sz w:val="21"/>
          <w:szCs w:val="21"/>
        </w:rPr>
        <w:tab/>
      </w:r>
      <w:r w:rsidRPr="00C94BEE">
        <w:rPr>
          <w:sz w:val="21"/>
          <w:szCs w:val="21"/>
        </w:rPr>
        <w:tab/>
        <w:t>Western Australia</w:t>
      </w:r>
    </w:p>
    <w:p w14:paraId="17171A6F" w14:textId="13ADD3D4" w:rsidR="00C92367" w:rsidRPr="00C94BEE" w:rsidRDefault="00DA767E" w:rsidP="00DA767E">
      <w:pPr>
        <w:pStyle w:val="Heading1"/>
      </w:pPr>
      <w:bookmarkStart w:id="125" w:name="_Toc41909292"/>
      <w:r>
        <w:lastRenderedPageBreak/>
        <w:t>ACKNOWLEDGEMENTS LIST</w:t>
      </w:r>
      <w:bookmarkEnd w:id="125"/>
    </w:p>
    <w:p w14:paraId="640BFD8C" w14:textId="20EB2336" w:rsidR="00C92367" w:rsidRPr="00394948" w:rsidRDefault="00C92367" w:rsidP="007703A2">
      <w:pPr>
        <w:spacing w:before="60" w:after="0"/>
      </w:pPr>
    </w:p>
    <w:p w14:paraId="2BD7A2F8" w14:textId="77777777" w:rsidR="00C92367" w:rsidRPr="00394948" w:rsidRDefault="00C92367" w:rsidP="00C92367">
      <w:pPr>
        <w:rPr>
          <w:b/>
          <w:sz w:val="32"/>
          <w:szCs w:val="32"/>
        </w:rPr>
      </w:pPr>
      <w:r w:rsidRPr="00394948">
        <w:rPr>
          <w:b/>
          <w:sz w:val="32"/>
          <w:szCs w:val="32"/>
        </w:rPr>
        <w:t>National Blood Authority Haemovigilance Advisory Committee</w:t>
      </w:r>
    </w:p>
    <w:p w14:paraId="0A93CD14" w14:textId="5E7CACB2" w:rsidR="00C92367" w:rsidRPr="00394948" w:rsidRDefault="00C92367" w:rsidP="00C92367">
      <w:pPr>
        <w:spacing w:before="60" w:after="0"/>
      </w:pPr>
      <w:r w:rsidRPr="00394948">
        <w:t xml:space="preserve">Associate Professor Alison Street </w:t>
      </w:r>
      <w:r w:rsidRPr="00394948">
        <w:tab/>
      </w:r>
      <w:r w:rsidR="007025FA">
        <w:t>NBA Board member and NBA appointed Committee Chair</w:t>
      </w:r>
    </w:p>
    <w:p w14:paraId="632F2898" w14:textId="77777777" w:rsidR="00C92367" w:rsidRPr="00394948" w:rsidRDefault="00C92367" w:rsidP="00C92367">
      <w:pPr>
        <w:spacing w:before="60" w:after="0"/>
      </w:pPr>
      <w:r w:rsidRPr="00394948">
        <w:t xml:space="preserve">Ms Linley Bielby </w:t>
      </w:r>
      <w:r w:rsidRPr="00394948">
        <w:tab/>
      </w:r>
      <w:r w:rsidRPr="00394948">
        <w:tab/>
      </w:r>
      <w:r w:rsidRPr="00394948">
        <w:tab/>
        <w:t>Manager, VIC Blood Matters Program</w:t>
      </w:r>
    </w:p>
    <w:p w14:paraId="23352F21" w14:textId="77777777" w:rsidR="00C92367" w:rsidRPr="00394948" w:rsidRDefault="00C92367" w:rsidP="00C92367">
      <w:pPr>
        <w:spacing w:before="60" w:after="0"/>
        <w:ind w:left="3600" w:hanging="3600"/>
      </w:pPr>
      <w:r w:rsidRPr="00394948">
        <w:t xml:space="preserve">Mr Neville Board </w:t>
      </w:r>
      <w:r w:rsidRPr="00394948">
        <w:tab/>
        <w:t>Director, Australian Commission on Safety and Quality in Health Care</w:t>
      </w:r>
    </w:p>
    <w:p w14:paraId="4A5DCBA5" w14:textId="77777777" w:rsidR="00C92367" w:rsidRPr="00394948" w:rsidRDefault="00C92367" w:rsidP="00C92367">
      <w:pPr>
        <w:spacing w:before="60" w:after="0"/>
      </w:pPr>
      <w:r w:rsidRPr="00394948">
        <w:t xml:space="preserve">Ms Maria Burgess </w:t>
      </w:r>
      <w:r w:rsidRPr="00394948">
        <w:tab/>
      </w:r>
      <w:r w:rsidRPr="00394948">
        <w:tab/>
      </w:r>
      <w:r w:rsidRPr="00394948">
        <w:tab/>
        <w:t>Transfusion Nurse, ACT Health</w:t>
      </w:r>
    </w:p>
    <w:p w14:paraId="0B5A5DCC" w14:textId="77777777" w:rsidR="00C92367" w:rsidRPr="00394948" w:rsidRDefault="00C92367" w:rsidP="00C92367">
      <w:pPr>
        <w:spacing w:before="60" w:after="0"/>
      </w:pPr>
      <w:r w:rsidRPr="00394948">
        <w:t xml:space="preserve">Dr Bronwen Harvey </w:t>
      </w:r>
      <w:r w:rsidRPr="00394948">
        <w:tab/>
      </w:r>
      <w:r w:rsidRPr="00394948">
        <w:tab/>
      </w:r>
      <w:r w:rsidRPr="00394948">
        <w:tab/>
        <w:t>Director, Therapeutic Goods Administration</w:t>
      </w:r>
    </w:p>
    <w:p w14:paraId="24CD2152" w14:textId="68106012" w:rsidR="00C92367" w:rsidRPr="00394948" w:rsidRDefault="00C92367" w:rsidP="00C92367">
      <w:pPr>
        <w:spacing w:before="60" w:after="0"/>
        <w:ind w:left="3600" w:hanging="3600"/>
      </w:pPr>
      <w:r w:rsidRPr="00394948">
        <w:t xml:space="preserve">Dr James Daly </w:t>
      </w:r>
      <w:r w:rsidRPr="00394948">
        <w:tab/>
        <w:t xml:space="preserve">Australian </w:t>
      </w:r>
      <w:r w:rsidR="00F16232">
        <w:t>Red Cross Lifeblood</w:t>
      </w:r>
    </w:p>
    <w:p w14:paraId="6C8401D5" w14:textId="302C92E3" w:rsidR="00C92367" w:rsidRPr="00394948" w:rsidRDefault="00C92367" w:rsidP="00C92367">
      <w:pPr>
        <w:spacing w:before="60" w:after="0"/>
        <w:ind w:left="3600" w:hanging="3600"/>
      </w:pPr>
      <w:r w:rsidRPr="00394948">
        <w:t xml:space="preserve">Dr Peta Dennington </w:t>
      </w:r>
      <w:r w:rsidRPr="00394948">
        <w:tab/>
        <w:t xml:space="preserve">Transfusion Medicine Specialist, Australian Red Cross </w:t>
      </w:r>
      <w:r w:rsidR="00A23765">
        <w:t>Lifeblood</w:t>
      </w:r>
    </w:p>
    <w:p w14:paraId="1F472751" w14:textId="77777777" w:rsidR="00C92367" w:rsidRPr="00394948" w:rsidRDefault="00C92367" w:rsidP="00C92367">
      <w:pPr>
        <w:spacing w:before="60" w:after="0"/>
      </w:pPr>
      <w:r w:rsidRPr="00394948">
        <w:t xml:space="preserve">Dr Jan Fizzell </w:t>
      </w:r>
      <w:r w:rsidRPr="00394948">
        <w:tab/>
      </w:r>
      <w:r w:rsidRPr="00394948">
        <w:tab/>
      </w:r>
      <w:r w:rsidRPr="00394948">
        <w:tab/>
      </w:r>
      <w:r w:rsidRPr="00394948">
        <w:tab/>
        <w:t>Medical Advisor, NSW Health Department</w:t>
      </w:r>
    </w:p>
    <w:p w14:paraId="07BC074D" w14:textId="77777777" w:rsidR="00C92367" w:rsidRPr="00394948" w:rsidRDefault="00C92367" w:rsidP="00C92367">
      <w:pPr>
        <w:spacing w:before="60" w:after="0"/>
      </w:pPr>
      <w:r w:rsidRPr="00394948">
        <w:t xml:space="preserve">Ms Jenny Hargreaves </w:t>
      </w:r>
      <w:r w:rsidRPr="00394948">
        <w:tab/>
      </w:r>
      <w:r w:rsidRPr="00394948">
        <w:tab/>
      </w:r>
      <w:r w:rsidRPr="00394948">
        <w:tab/>
        <w:t>Senior Executive, Australian Institute of Health and Welfare</w:t>
      </w:r>
    </w:p>
    <w:p w14:paraId="5370C347" w14:textId="77777777" w:rsidR="00C92367" w:rsidRPr="00394948" w:rsidRDefault="00C92367" w:rsidP="00C92367">
      <w:pPr>
        <w:spacing w:before="60" w:after="0"/>
      </w:pPr>
      <w:r w:rsidRPr="00394948">
        <w:t xml:space="preserve">Dr Anne Haughton </w:t>
      </w:r>
      <w:r w:rsidRPr="00394948">
        <w:tab/>
      </w:r>
      <w:r w:rsidRPr="00394948">
        <w:tab/>
      </w:r>
      <w:r w:rsidRPr="00394948">
        <w:tab/>
        <w:t>Haematologist, Australian Association of Pathology Practices</w:t>
      </w:r>
    </w:p>
    <w:p w14:paraId="28005E60" w14:textId="77777777" w:rsidR="00C92367" w:rsidRPr="00394948" w:rsidRDefault="00C92367" w:rsidP="00C92367">
      <w:pPr>
        <w:spacing w:before="60" w:after="0"/>
      </w:pPr>
      <w:r w:rsidRPr="00394948">
        <w:t xml:space="preserve">Dr Chris Hogan </w:t>
      </w:r>
      <w:r w:rsidRPr="00394948">
        <w:tab/>
      </w:r>
      <w:r w:rsidRPr="00394948">
        <w:tab/>
      </w:r>
      <w:r w:rsidRPr="00394948">
        <w:tab/>
      </w:r>
      <w:r w:rsidRPr="00394948">
        <w:tab/>
        <w:t>Haematologist, Australian Red Cross Blood Service</w:t>
      </w:r>
    </w:p>
    <w:p w14:paraId="31314BB6" w14:textId="77777777" w:rsidR="00C92367" w:rsidRPr="00394948" w:rsidRDefault="00C92367" w:rsidP="00C92367">
      <w:pPr>
        <w:spacing w:before="60" w:after="0"/>
      </w:pPr>
      <w:r w:rsidRPr="00394948">
        <w:t xml:space="preserve">Dr Bevan Hokin </w:t>
      </w:r>
      <w:r w:rsidRPr="00394948">
        <w:tab/>
      </w:r>
      <w:r w:rsidRPr="00394948">
        <w:tab/>
      </w:r>
      <w:r w:rsidRPr="00394948">
        <w:tab/>
      </w:r>
      <w:r w:rsidRPr="00394948">
        <w:tab/>
        <w:t>Pathology Director, Australian Private Hospitals Association</w:t>
      </w:r>
    </w:p>
    <w:p w14:paraId="4B325FDB" w14:textId="77777777" w:rsidR="00C92367" w:rsidRPr="00394948" w:rsidRDefault="00C92367" w:rsidP="00C92367">
      <w:pPr>
        <w:spacing w:before="60" w:after="0"/>
      </w:pPr>
      <w:r w:rsidRPr="00394948">
        <w:t xml:space="preserve">Dr David Forbes </w:t>
      </w:r>
      <w:r w:rsidRPr="00394948">
        <w:tab/>
      </w:r>
      <w:r w:rsidRPr="00394948">
        <w:tab/>
      </w:r>
      <w:r w:rsidRPr="00394948">
        <w:tab/>
        <w:t>Senior Clinical Advisor, WA Health</w:t>
      </w:r>
    </w:p>
    <w:p w14:paraId="66942D1F" w14:textId="77777777" w:rsidR="00C92367" w:rsidRPr="00394948" w:rsidRDefault="00C92367" w:rsidP="00C92367">
      <w:pPr>
        <w:spacing w:before="60" w:after="0"/>
      </w:pPr>
      <w:r w:rsidRPr="00394948">
        <w:t xml:space="preserve">Ms Susan McGregor </w:t>
      </w:r>
      <w:r w:rsidRPr="00394948">
        <w:tab/>
      </w:r>
      <w:r w:rsidRPr="00394948">
        <w:tab/>
      </w:r>
      <w:r w:rsidRPr="00394948">
        <w:tab/>
        <w:t>Transfusion Nurse, Western Health</w:t>
      </w:r>
    </w:p>
    <w:p w14:paraId="5D93F2EC" w14:textId="77777777" w:rsidR="00C92367" w:rsidRPr="00394948" w:rsidRDefault="00C92367" w:rsidP="00C92367">
      <w:pPr>
        <w:spacing w:before="60" w:after="0"/>
      </w:pPr>
      <w:r w:rsidRPr="00394948">
        <w:t xml:space="preserve">Professor John McNeil </w:t>
      </w:r>
      <w:r w:rsidRPr="00394948">
        <w:tab/>
      </w:r>
      <w:r w:rsidRPr="00394948">
        <w:tab/>
      </w:r>
      <w:r w:rsidRPr="00394948">
        <w:tab/>
        <w:t>Epidemiologist, Monash University School of Public Health and</w:t>
      </w:r>
    </w:p>
    <w:p w14:paraId="0FDB40D2" w14:textId="77777777" w:rsidR="00C92367" w:rsidRPr="00394948" w:rsidRDefault="00C92367" w:rsidP="00C92367">
      <w:pPr>
        <w:spacing w:before="60" w:after="0"/>
        <w:ind w:left="2880" w:firstLine="720"/>
      </w:pPr>
      <w:r w:rsidRPr="00394948">
        <w:t>Preventive Medicine</w:t>
      </w:r>
    </w:p>
    <w:p w14:paraId="69528025" w14:textId="77777777" w:rsidR="00C92367" w:rsidRPr="00394948" w:rsidRDefault="00C92367" w:rsidP="00C92367">
      <w:pPr>
        <w:spacing w:before="60" w:after="0"/>
      </w:pPr>
      <w:r w:rsidRPr="00394948">
        <w:t xml:space="preserve">Associate Professor Erica Wood </w:t>
      </w:r>
      <w:r w:rsidRPr="00394948">
        <w:tab/>
      </w:r>
      <w:r w:rsidRPr="00394948">
        <w:tab/>
        <w:t>President, International Haemovigilance Network</w:t>
      </w:r>
    </w:p>
    <w:p w14:paraId="47276006" w14:textId="77777777" w:rsidR="00E91D7D" w:rsidRPr="00394948" w:rsidRDefault="00E91D7D" w:rsidP="00C92367">
      <w:pPr>
        <w:rPr>
          <w:b/>
          <w:sz w:val="32"/>
          <w:szCs w:val="32"/>
        </w:rPr>
      </w:pPr>
    </w:p>
    <w:p w14:paraId="4C9BAD95" w14:textId="77777777" w:rsidR="00C92367" w:rsidRPr="00394948" w:rsidRDefault="00C92367" w:rsidP="00C92367">
      <w:pPr>
        <w:rPr>
          <w:b/>
          <w:sz w:val="32"/>
          <w:szCs w:val="32"/>
        </w:rPr>
      </w:pPr>
      <w:r w:rsidRPr="00394948">
        <w:rPr>
          <w:b/>
          <w:sz w:val="32"/>
          <w:szCs w:val="32"/>
        </w:rPr>
        <w:t>National Blood Authority</w:t>
      </w:r>
    </w:p>
    <w:p w14:paraId="0B5EFA15" w14:textId="77777777" w:rsidR="00C92367" w:rsidRPr="00394948" w:rsidRDefault="00C92367" w:rsidP="00C92367">
      <w:pPr>
        <w:spacing w:before="60" w:after="0"/>
      </w:pPr>
      <w:r w:rsidRPr="00394948">
        <w:t xml:space="preserve">Mr John Cahill </w:t>
      </w:r>
      <w:r w:rsidRPr="00394948">
        <w:tab/>
      </w:r>
      <w:r w:rsidRPr="00394948">
        <w:tab/>
      </w:r>
      <w:r w:rsidRPr="00394948">
        <w:tab/>
      </w:r>
      <w:r w:rsidRPr="00394948">
        <w:tab/>
        <w:t>Chief Executive</w:t>
      </w:r>
    </w:p>
    <w:p w14:paraId="55ACC002" w14:textId="15E4EC27" w:rsidR="00C92367" w:rsidRPr="00394948" w:rsidRDefault="00C92367" w:rsidP="00C92367">
      <w:pPr>
        <w:spacing w:before="60" w:after="0"/>
      </w:pPr>
      <w:r w:rsidRPr="00394948">
        <w:t xml:space="preserve">Ms Sandra Cochrane </w:t>
      </w:r>
      <w:r w:rsidRPr="00394948">
        <w:tab/>
      </w:r>
      <w:r w:rsidRPr="00394948">
        <w:tab/>
      </w:r>
      <w:r w:rsidRPr="00394948">
        <w:tab/>
      </w:r>
      <w:r w:rsidR="00DF4A63">
        <w:t>Senior Advisor, Blood and Data Services</w:t>
      </w:r>
    </w:p>
    <w:p w14:paraId="5F4EF866" w14:textId="0A4454FC" w:rsidR="00C92367" w:rsidRPr="00394948" w:rsidRDefault="00C92367" w:rsidP="00C92367">
      <w:pPr>
        <w:spacing w:before="60" w:after="0"/>
      </w:pPr>
      <w:r w:rsidRPr="00394948">
        <w:t xml:space="preserve">Ms Suzie Cong </w:t>
      </w:r>
      <w:r w:rsidRPr="00394948">
        <w:tab/>
      </w:r>
      <w:r w:rsidRPr="00394948">
        <w:tab/>
      </w:r>
      <w:r w:rsidRPr="00394948">
        <w:tab/>
      </w:r>
      <w:r w:rsidRPr="00394948">
        <w:tab/>
        <w:t xml:space="preserve">Senior Data Analyst, </w:t>
      </w:r>
      <w:r w:rsidR="009904D6">
        <w:t>Blood and Data Services</w:t>
      </w:r>
    </w:p>
    <w:p w14:paraId="739C3B91" w14:textId="7A7CFF97" w:rsidR="00C92367" w:rsidRPr="00394948" w:rsidRDefault="00C92367" w:rsidP="00C92367">
      <w:pPr>
        <w:spacing w:before="60" w:after="0"/>
      </w:pPr>
      <w:r w:rsidRPr="00394948">
        <w:t xml:space="preserve">Ms Leia Earnshaw </w:t>
      </w:r>
      <w:r w:rsidRPr="00394948">
        <w:tab/>
      </w:r>
      <w:r w:rsidRPr="00394948">
        <w:tab/>
      </w:r>
      <w:r w:rsidRPr="00394948">
        <w:tab/>
        <w:t xml:space="preserve">Assistant Director, </w:t>
      </w:r>
      <w:r w:rsidR="00DF4A63">
        <w:t>Haemovigilance</w:t>
      </w:r>
      <w:r w:rsidR="00E17E57">
        <w:t>, Blood and Data Services</w:t>
      </w:r>
    </w:p>
    <w:p w14:paraId="4BA613B3" w14:textId="28663EF7" w:rsidR="00C92367" w:rsidRPr="00394948" w:rsidRDefault="00C92367" w:rsidP="00C92367">
      <w:pPr>
        <w:spacing w:before="60" w:after="0"/>
      </w:pPr>
      <w:r w:rsidRPr="00394948">
        <w:t xml:space="preserve">Ms Allison Peters </w:t>
      </w:r>
      <w:r w:rsidRPr="00394948">
        <w:tab/>
      </w:r>
      <w:r w:rsidRPr="00394948">
        <w:tab/>
      </w:r>
      <w:r w:rsidRPr="00394948">
        <w:tab/>
        <w:t xml:space="preserve">Senior Data Analyst, </w:t>
      </w:r>
      <w:r w:rsidR="009904D6">
        <w:t>Blood and Data Services</w:t>
      </w:r>
    </w:p>
    <w:p w14:paraId="3D4E94C4" w14:textId="77777777" w:rsidR="00C92367" w:rsidRPr="00394948" w:rsidRDefault="00C92367" w:rsidP="00C92367">
      <w:pPr>
        <w:spacing w:line="276" w:lineRule="auto"/>
      </w:pPr>
    </w:p>
    <w:p w14:paraId="0AADFBC6" w14:textId="77777777" w:rsidR="00E91D7D" w:rsidRPr="00394948" w:rsidRDefault="00E91D7D">
      <w:pPr>
        <w:spacing w:line="276" w:lineRule="auto"/>
        <w:rPr>
          <w:b/>
          <w:sz w:val="32"/>
          <w:szCs w:val="32"/>
        </w:rPr>
      </w:pPr>
      <w:r w:rsidRPr="00394948">
        <w:rPr>
          <w:b/>
          <w:sz w:val="32"/>
          <w:szCs w:val="32"/>
        </w:rPr>
        <w:br w:type="page"/>
      </w:r>
    </w:p>
    <w:p w14:paraId="4FA082DE" w14:textId="53C2A741" w:rsidR="00C92367" w:rsidRPr="00394948" w:rsidRDefault="00C92367" w:rsidP="00C92367">
      <w:pPr>
        <w:spacing w:line="276" w:lineRule="auto"/>
        <w:rPr>
          <w:b/>
          <w:sz w:val="32"/>
          <w:szCs w:val="32"/>
        </w:rPr>
      </w:pPr>
      <w:r w:rsidRPr="00394948">
        <w:rPr>
          <w:b/>
          <w:sz w:val="32"/>
          <w:szCs w:val="32"/>
        </w:rPr>
        <w:lastRenderedPageBreak/>
        <w:t>Australian Government and State and Territory Contributors</w:t>
      </w:r>
    </w:p>
    <w:p w14:paraId="5BC9515E" w14:textId="77777777" w:rsidR="00C92367" w:rsidRPr="00394948" w:rsidRDefault="00C92367" w:rsidP="00C92367">
      <w:pPr>
        <w:spacing w:before="60" w:after="0"/>
      </w:pPr>
      <w:r w:rsidRPr="00394948">
        <w:t>NSW Health Clinical Excellence Commission Blood Watch Program</w:t>
      </w:r>
    </w:p>
    <w:p w14:paraId="5543715E" w14:textId="77777777" w:rsidR="00C92367" w:rsidRPr="00394948" w:rsidRDefault="00C92367" w:rsidP="00C92367">
      <w:pPr>
        <w:spacing w:before="60" w:after="0"/>
      </w:pPr>
      <w:r w:rsidRPr="00394948">
        <w:t>VIC Department of Health and Human Services Blood Matters Program</w:t>
      </w:r>
    </w:p>
    <w:p w14:paraId="17610468" w14:textId="77777777" w:rsidR="00C92367" w:rsidRPr="00394948" w:rsidRDefault="00C92367" w:rsidP="00C92367">
      <w:pPr>
        <w:spacing w:before="60" w:after="0"/>
      </w:pPr>
      <w:r w:rsidRPr="00394948">
        <w:t>QLD Health</w:t>
      </w:r>
    </w:p>
    <w:p w14:paraId="7FF2DAC6" w14:textId="77777777" w:rsidR="00C92367" w:rsidRPr="00394948" w:rsidRDefault="00C92367" w:rsidP="00C92367">
      <w:pPr>
        <w:spacing w:before="60" w:after="0"/>
      </w:pPr>
      <w:r w:rsidRPr="00394948">
        <w:t>SA Health BloodSafe Program</w:t>
      </w:r>
    </w:p>
    <w:p w14:paraId="22BFEBB2" w14:textId="77777777" w:rsidR="00C92367" w:rsidRPr="00394948" w:rsidRDefault="00C92367" w:rsidP="00C92367">
      <w:pPr>
        <w:spacing w:before="60" w:after="0"/>
      </w:pPr>
      <w:r w:rsidRPr="00394948">
        <w:t>WA Department of Health</w:t>
      </w:r>
    </w:p>
    <w:p w14:paraId="37C1D89E" w14:textId="77777777" w:rsidR="00C92367" w:rsidRPr="00394948" w:rsidRDefault="00C92367" w:rsidP="00C92367">
      <w:pPr>
        <w:spacing w:before="60" w:after="0"/>
      </w:pPr>
      <w:r w:rsidRPr="00394948">
        <w:t>TAS Department of Health and Human Services</w:t>
      </w:r>
    </w:p>
    <w:p w14:paraId="229FEDC8" w14:textId="77777777" w:rsidR="00C92367" w:rsidRPr="00394948" w:rsidRDefault="00C92367" w:rsidP="00C92367">
      <w:pPr>
        <w:spacing w:before="60" w:after="0"/>
      </w:pPr>
      <w:r w:rsidRPr="00394948">
        <w:t>ACT Health</w:t>
      </w:r>
    </w:p>
    <w:p w14:paraId="6C71D6F6" w14:textId="77777777" w:rsidR="00C92367" w:rsidRPr="00394948" w:rsidRDefault="00C92367" w:rsidP="00C92367">
      <w:pPr>
        <w:spacing w:before="60" w:after="0"/>
      </w:pPr>
      <w:r w:rsidRPr="00394948">
        <w:t>NT Department of Health</w:t>
      </w:r>
    </w:p>
    <w:p w14:paraId="66509C3E" w14:textId="77777777" w:rsidR="00E91D7D" w:rsidRPr="00394948" w:rsidRDefault="00E91D7D" w:rsidP="00C92367">
      <w:pPr>
        <w:spacing w:line="276" w:lineRule="auto"/>
      </w:pPr>
    </w:p>
    <w:p w14:paraId="3D86E08C" w14:textId="77777777" w:rsidR="00C92367" w:rsidRPr="00394948" w:rsidRDefault="00C92367" w:rsidP="00C92367">
      <w:pPr>
        <w:spacing w:line="276" w:lineRule="auto"/>
        <w:rPr>
          <w:b/>
          <w:sz w:val="32"/>
          <w:szCs w:val="32"/>
        </w:rPr>
      </w:pPr>
      <w:r w:rsidRPr="00394948">
        <w:rPr>
          <w:b/>
          <w:sz w:val="32"/>
          <w:szCs w:val="32"/>
        </w:rPr>
        <w:t>Australian Red Cross Blood Service</w:t>
      </w:r>
    </w:p>
    <w:p w14:paraId="7A613585" w14:textId="758A4DFD" w:rsidR="00C92367" w:rsidRPr="00394948" w:rsidRDefault="00C92367" w:rsidP="00C92367">
      <w:pPr>
        <w:spacing w:line="276" w:lineRule="auto"/>
      </w:pPr>
      <w:r w:rsidRPr="00394948">
        <w:t xml:space="preserve">SECTION 2 – DONOR VIGILANCE was contributed by the Australian Red Cross </w:t>
      </w:r>
      <w:r w:rsidR="00F85AE6">
        <w:t>Lifeblood</w:t>
      </w:r>
      <w:r w:rsidRPr="00394948">
        <w:t>.</w:t>
      </w:r>
      <w:r w:rsidRPr="00394948">
        <w:cr/>
      </w:r>
    </w:p>
    <w:p w14:paraId="7E4F2746" w14:textId="43111206" w:rsidR="001063E2" w:rsidRDefault="001063E2">
      <w:pPr>
        <w:spacing w:line="276" w:lineRule="auto"/>
      </w:pPr>
      <w:r w:rsidRPr="00394948">
        <w:br w:type="page"/>
      </w:r>
      <w:r w:rsidR="00F74DE0" w:rsidRPr="00394948">
        <w:rPr>
          <w:noProof/>
          <w:lang w:eastAsia="en-AU"/>
        </w:rPr>
        <w:lastRenderedPageBreak/>
        <w:drawing>
          <wp:anchor distT="0" distB="0" distL="114300" distR="114300" simplePos="0" relativeHeight="251669504" behindDoc="1" locked="0" layoutInCell="1" allowOverlap="1" wp14:anchorId="2BFAA74D" wp14:editId="49F10C90">
            <wp:simplePos x="0" y="0"/>
            <wp:positionH relativeFrom="margin">
              <wp:posOffset>-955343</wp:posOffset>
            </wp:positionH>
            <wp:positionV relativeFrom="page">
              <wp:align>center</wp:align>
            </wp:positionV>
            <wp:extent cx="7639200" cy="1066680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or Haem Report 16-17 jpegs_Page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39200" cy="10666800"/>
                    </a:xfrm>
                    <a:prstGeom prst="rect">
                      <a:avLst/>
                    </a:prstGeom>
                  </pic:spPr>
                </pic:pic>
              </a:graphicData>
            </a:graphic>
            <wp14:sizeRelH relativeFrom="margin">
              <wp14:pctWidth>0</wp14:pctWidth>
            </wp14:sizeRelH>
            <wp14:sizeRelV relativeFrom="margin">
              <wp14:pctHeight>0</wp14:pctHeight>
            </wp14:sizeRelV>
          </wp:anchor>
        </w:drawing>
      </w:r>
    </w:p>
    <w:sectPr w:rsidR="001063E2" w:rsidSect="00C42E2A">
      <w:footerReference w:type="default" r:id="rId58"/>
      <w:pgSz w:w="11906" w:h="16838"/>
      <w:pgMar w:top="1276" w:right="1133"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0B6A2" w14:textId="77777777" w:rsidR="00DF4A63" w:rsidRDefault="00DF4A63" w:rsidP="00856708">
      <w:pPr>
        <w:spacing w:after="0"/>
      </w:pPr>
      <w:r>
        <w:separator/>
      </w:r>
    </w:p>
  </w:endnote>
  <w:endnote w:type="continuationSeparator" w:id="0">
    <w:p w14:paraId="39C899A2" w14:textId="77777777" w:rsidR="00DF4A63" w:rsidRDefault="00DF4A63"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modern"/>
    <w:notTrueType/>
    <w:pitch w:val="fixed"/>
    <w:sig w:usb0="00000000" w:usb1="09060000" w:usb2="00000010" w:usb3="00000000" w:csb0="00080000"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Text25L">
    <w:altName w:val="Arial"/>
    <w:charset w:val="00"/>
    <w:family w:val="auto"/>
    <w:pitch w:val="variable"/>
    <w:sig w:usb0="A00000EF" w:usb1="0000004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TitilliumText22L Rg">
    <w:altName w:val="Times New Roman"/>
    <w:charset w:val="00"/>
    <w:family w:val="auto"/>
    <w:pitch w:val="variable"/>
    <w:sig w:usb0="00000001" w:usb1="0000004B" w:usb2="00000000" w:usb3="00000000" w:csb0="00000193" w:csb1="00000000"/>
  </w:font>
  <w:font w:name="Hospital referral rates have f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037391"/>
      <w:docPartObj>
        <w:docPartGallery w:val="Page Numbers (Bottom of Page)"/>
        <w:docPartUnique/>
      </w:docPartObj>
    </w:sdtPr>
    <w:sdtEndPr>
      <w:rPr>
        <w:noProof/>
      </w:rPr>
    </w:sdtEndPr>
    <w:sdtContent>
      <w:p w14:paraId="2AE9EB05" w14:textId="0E897D1F" w:rsidR="00DF4A63" w:rsidRDefault="00DF4A63">
        <w:pPr>
          <w:pStyle w:val="Footer"/>
          <w:jc w:val="right"/>
        </w:pPr>
        <w:r>
          <w:fldChar w:fldCharType="begin"/>
        </w:r>
        <w:r>
          <w:instrText xml:space="preserve"> PAGE   \* MERGEFORMAT </w:instrText>
        </w:r>
        <w:r>
          <w:fldChar w:fldCharType="separate"/>
        </w:r>
        <w:r w:rsidR="005D36B2">
          <w:rPr>
            <w:noProof/>
          </w:rPr>
          <w:t>1</w:t>
        </w:r>
        <w:r>
          <w:rPr>
            <w:noProof/>
          </w:rPr>
          <w:fldChar w:fldCharType="end"/>
        </w:r>
      </w:p>
    </w:sdtContent>
  </w:sdt>
  <w:p w14:paraId="6AE9F129" w14:textId="77777777" w:rsidR="00DF4A63" w:rsidRDefault="00DF4A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896054"/>
      <w:docPartObj>
        <w:docPartGallery w:val="Page Numbers (Bottom of Page)"/>
        <w:docPartUnique/>
      </w:docPartObj>
    </w:sdtPr>
    <w:sdtEndPr>
      <w:rPr>
        <w:noProof/>
      </w:rPr>
    </w:sdtEndPr>
    <w:sdtContent>
      <w:p w14:paraId="3DF373DD" w14:textId="1E2EE6A6" w:rsidR="00DF4A63" w:rsidRDefault="00DF4A63">
        <w:pPr>
          <w:pStyle w:val="Footer"/>
          <w:jc w:val="right"/>
        </w:pPr>
        <w:r>
          <w:fldChar w:fldCharType="begin"/>
        </w:r>
        <w:r>
          <w:instrText xml:space="preserve"> PAGE   \* MERGEFORMAT </w:instrText>
        </w:r>
        <w:r>
          <w:fldChar w:fldCharType="separate"/>
        </w:r>
        <w:r w:rsidR="005D36B2">
          <w:rPr>
            <w:noProof/>
          </w:rPr>
          <w:t>15</w:t>
        </w:r>
        <w:r>
          <w:rPr>
            <w:noProof/>
          </w:rPr>
          <w:fldChar w:fldCharType="end"/>
        </w:r>
      </w:p>
    </w:sdtContent>
  </w:sdt>
  <w:p w14:paraId="3FB0C259" w14:textId="2DC750DC" w:rsidR="00DF4A63" w:rsidRDefault="00DF4A63" w:rsidP="00D00B62">
    <w:pPr>
      <w:pStyle w:val="Footer"/>
      <w:tabs>
        <w:tab w:val="clear" w:pos="4513"/>
        <w:tab w:val="clear" w:pos="9026"/>
        <w:tab w:val="left" w:pos="3852"/>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B88A4" w14:textId="77777777" w:rsidR="00DF4A63" w:rsidRDefault="00DF4A63" w:rsidP="00856708">
      <w:pPr>
        <w:spacing w:after="0"/>
      </w:pPr>
      <w:r>
        <w:separator/>
      </w:r>
    </w:p>
  </w:footnote>
  <w:footnote w:type="continuationSeparator" w:id="0">
    <w:p w14:paraId="14EF8212" w14:textId="77777777" w:rsidR="00DF4A63" w:rsidRDefault="00DF4A63" w:rsidP="0085670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4F1E9" w14:textId="04DDEC95" w:rsidR="00DF4A63" w:rsidRDefault="00DF4A63" w:rsidP="00A569F5">
    <w:pPr>
      <w:pStyle w:val="Header"/>
      <w:tabs>
        <w:tab w:val="clear" w:pos="4513"/>
        <w:tab w:val="clear" w:pos="9026"/>
        <w:tab w:val="left" w:pos="5796"/>
      </w:tabs>
    </w:pPr>
    <w:r w:rsidRPr="00A41EB5">
      <w:rPr>
        <w:rFonts w:ascii="Arial" w:hAnsi="Arial" w:cs="Arial"/>
        <w:noProof/>
        <w:sz w:val="56"/>
        <w:szCs w:val="56"/>
        <w:highlight w:val="yellow"/>
        <w:lang w:eastAsia="en-AU"/>
      </w:rPr>
      <w:drawing>
        <wp:anchor distT="0" distB="0" distL="114300" distR="114300" simplePos="0" relativeHeight="251659264" behindDoc="1" locked="0" layoutInCell="1" allowOverlap="1" wp14:anchorId="0D93DC8C" wp14:editId="2D1B68BC">
          <wp:simplePos x="0" y="0"/>
          <wp:positionH relativeFrom="page">
            <wp:align>left</wp:align>
          </wp:positionH>
          <wp:positionV relativeFrom="page">
            <wp:align>top</wp:align>
          </wp:positionV>
          <wp:extent cx="7658735" cy="1349375"/>
          <wp:effectExtent l="0" t="0" r="0" b="3175"/>
          <wp:wrapThrough wrapText="bothSides">
            <wp:wrapPolygon edited="0">
              <wp:start x="0" y="0"/>
              <wp:lineTo x="0" y="21346"/>
              <wp:lineTo x="21544" y="21346"/>
              <wp:lineTo x="2154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735" cy="13493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7C41" w14:textId="42B94EBB" w:rsidR="00DF4A63" w:rsidRDefault="00DF4A63">
    <w:pPr>
      <w:pStyle w:val="Header"/>
    </w:pPr>
    <w:r>
      <w:rPr>
        <w:noProof/>
        <w:lang w:eastAsia="en-AU"/>
      </w:rPr>
      <w:drawing>
        <wp:anchor distT="0" distB="0" distL="114300" distR="114300" simplePos="0" relativeHeight="251660288" behindDoc="0" locked="0" layoutInCell="1" allowOverlap="1" wp14:anchorId="3AF69D6B" wp14:editId="08B62D7D">
          <wp:simplePos x="0" y="0"/>
          <wp:positionH relativeFrom="column">
            <wp:posOffset>-941070</wp:posOffset>
          </wp:positionH>
          <wp:positionV relativeFrom="paragraph">
            <wp:posOffset>-422275</wp:posOffset>
          </wp:positionV>
          <wp:extent cx="7657465" cy="1347470"/>
          <wp:effectExtent l="0" t="0" r="635" b="5080"/>
          <wp:wrapThrough wrapText="bothSides">
            <wp:wrapPolygon edited="0">
              <wp:start x="0" y="0"/>
              <wp:lineTo x="0" y="21376"/>
              <wp:lineTo x="21548" y="21376"/>
              <wp:lineTo x="215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7465" cy="13474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pt;height:10.75pt;visibility:visible" o:bullet="t">
        <v:imagedata r:id="rId1" o:title=""/>
      </v:shape>
    </w:pict>
  </w:numPicBullet>
  <w:abstractNum w:abstractNumId="0" w15:restartNumberingAfterBreak="0">
    <w:nsid w:val="01FB1E59"/>
    <w:multiLevelType w:val="hybridMultilevel"/>
    <w:tmpl w:val="F9EC59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F76864"/>
    <w:multiLevelType w:val="hybridMultilevel"/>
    <w:tmpl w:val="76784A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3801A0"/>
    <w:multiLevelType w:val="hybridMultilevel"/>
    <w:tmpl w:val="1D98B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B0F9B"/>
    <w:multiLevelType w:val="hybridMultilevel"/>
    <w:tmpl w:val="A3043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F85AEE"/>
    <w:multiLevelType w:val="hybridMultilevel"/>
    <w:tmpl w:val="32DA5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3B2536"/>
    <w:multiLevelType w:val="hybridMultilevel"/>
    <w:tmpl w:val="A4FCD50C"/>
    <w:lvl w:ilvl="0" w:tplc="B50CFF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2157B4"/>
    <w:multiLevelType w:val="hybridMultilevel"/>
    <w:tmpl w:val="426CA6F0"/>
    <w:lvl w:ilvl="0" w:tplc="0C09000F">
      <w:start w:val="1"/>
      <w:numFmt w:val="decimal"/>
      <w:lvlText w:val="%1."/>
      <w:lvlJc w:val="left"/>
      <w:pPr>
        <w:tabs>
          <w:tab w:val="num" w:pos="720"/>
        </w:tabs>
        <w:ind w:left="720" w:hanging="360"/>
      </w:pPr>
    </w:lvl>
    <w:lvl w:ilvl="1" w:tplc="DB806D6E">
      <w:start w:val="1"/>
      <w:numFmt w:val="lowerLetter"/>
      <w:lvlText w:val="%2."/>
      <w:lvlJc w:val="left"/>
      <w:pPr>
        <w:tabs>
          <w:tab w:val="num" w:pos="1440"/>
        </w:tabs>
        <w:ind w:left="1440" w:hanging="360"/>
      </w:pPr>
      <w:rPr>
        <w:rFonts w:hint="default"/>
        <w:b/>
        <w:i w:val="0"/>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D9DC6AA8">
      <w:start w:val="1"/>
      <w:numFmt w:val="lowerLetter"/>
      <w:lvlText w:val="(%5)"/>
      <w:lvlJc w:val="left"/>
      <w:pPr>
        <w:tabs>
          <w:tab w:val="num" w:pos="3780"/>
        </w:tabs>
        <w:ind w:left="3780" w:hanging="540"/>
      </w:pPr>
      <w:rPr>
        <w:rFonts w:hint="default"/>
      </w:rPr>
    </w:lvl>
    <w:lvl w:ilvl="5" w:tplc="C75A5FF6">
      <w:start w:val="1"/>
      <w:numFmt w:val="bullet"/>
      <w:lvlText w:val="-"/>
      <w:lvlJc w:val="left"/>
      <w:pPr>
        <w:tabs>
          <w:tab w:val="num" w:pos="4500"/>
        </w:tabs>
        <w:ind w:left="4500" w:hanging="360"/>
      </w:pPr>
      <w:rPr>
        <w:rFonts w:ascii="Arial" w:eastAsia="Times New Roman" w:hAnsi="Arial" w:cs="Arial" w:hint="default"/>
      </w:r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5627591E"/>
    <w:multiLevelType w:val="hybridMultilevel"/>
    <w:tmpl w:val="4CD613A6"/>
    <w:lvl w:ilvl="0" w:tplc="0A9C64EC">
      <w:start w:val="1"/>
      <w:numFmt w:val="decimal"/>
      <w:lvlText w:val="%1."/>
      <w:lvlJc w:val="left"/>
      <w:pPr>
        <w:ind w:left="360" w:hanging="360"/>
      </w:pPr>
      <w:rPr>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CA72CE5"/>
    <w:multiLevelType w:val="hybridMultilevel"/>
    <w:tmpl w:val="19260B9A"/>
    <w:lvl w:ilvl="0" w:tplc="3B442650">
      <w:numFmt w:val="bullet"/>
      <w:lvlText w:val=""/>
      <w:lvlJc w:val="left"/>
      <w:pPr>
        <w:ind w:left="720" w:hanging="360"/>
      </w:pPr>
      <w:rPr>
        <w:rFonts w:ascii="Wingdings" w:eastAsia="Dotum"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113A1C"/>
    <w:multiLevelType w:val="hybridMultilevel"/>
    <w:tmpl w:val="13B45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802D4F"/>
    <w:multiLevelType w:val="hybridMultilevel"/>
    <w:tmpl w:val="BEF2CD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CF247F0"/>
    <w:multiLevelType w:val="hybridMultilevel"/>
    <w:tmpl w:val="0B40D8C6"/>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E33C77"/>
    <w:multiLevelType w:val="hybridMultilevel"/>
    <w:tmpl w:val="C482583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5B0668"/>
    <w:multiLevelType w:val="hybridMultilevel"/>
    <w:tmpl w:val="D51AC008"/>
    <w:lvl w:ilvl="0" w:tplc="A46C37C8">
      <w:start w:val="1"/>
      <w:numFmt w:val="bullet"/>
      <w:lvlText w:val=""/>
      <w:lvlPicBulletId w:val="0"/>
      <w:lvlJc w:val="left"/>
      <w:pPr>
        <w:tabs>
          <w:tab w:val="num" w:pos="720"/>
        </w:tabs>
        <w:ind w:left="720" w:hanging="360"/>
      </w:pPr>
      <w:rPr>
        <w:rFonts w:ascii="Symbol" w:hAnsi="Symbol" w:hint="default"/>
      </w:rPr>
    </w:lvl>
    <w:lvl w:ilvl="1" w:tplc="6F92B9AC" w:tentative="1">
      <w:start w:val="1"/>
      <w:numFmt w:val="bullet"/>
      <w:lvlText w:val=""/>
      <w:lvlJc w:val="left"/>
      <w:pPr>
        <w:tabs>
          <w:tab w:val="num" w:pos="1440"/>
        </w:tabs>
        <w:ind w:left="1440" w:hanging="360"/>
      </w:pPr>
      <w:rPr>
        <w:rFonts w:ascii="Symbol" w:hAnsi="Symbol" w:hint="default"/>
      </w:rPr>
    </w:lvl>
    <w:lvl w:ilvl="2" w:tplc="9794A372" w:tentative="1">
      <w:start w:val="1"/>
      <w:numFmt w:val="bullet"/>
      <w:lvlText w:val=""/>
      <w:lvlJc w:val="left"/>
      <w:pPr>
        <w:tabs>
          <w:tab w:val="num" w:pos="2160"/>
        </w:tabs>
        <w:ind w:left="2160" w:hanging="360"/>
      </w:pPr>
      <w:rPr>
        <w:rFonts w:ascii="Symbol" w:hAnsi="Symbol" w:hint="default"/>
      </w:rPr>
    </w:lvl>
    <w:lvl w:ilvl="3" w:tplc="E0FA7842" w:tentative="1">
      <w:start w:val="1"/>
      <w:numFmt w:val="bullet"/>
      <w:lvlText w:val=""/>
      <w:lvlJc w:val="left"/>
      <w:pPr>
        <w:tabs>
          <w:tab w:val="num" w:pos="2880"/>
        </w:tabs>
        <w:ind w:left="2880" w:hanging="360"/>
      </w:pPr>
      <w:rPr>
        <w:rFonts w:ascii="Symbol" w:hAnsi="Symbol" w:hint="default"/>
      </w:rPr>
    </w:lvl>
    <w:lvl w:ilvl="4" w:tplc="E6EC762C" w:tentative="1">
      <w:start w:val="1"/>
      <w:numFmt w:val="bullet"/>
      <w:lvlText w:val=""/>
      <w:lvlJc w:val="left"/>
      <w:pPr>
        <w:tabs>
          <w:tab w:val="num" w:pos="3600"/>
        </w:tabs>
        <w:ind w:left="3600" w:hanging="360"/>
      </w:pPr>
      <w:rPr>
        <w:rFonts w:ascii="Symbol" w:hAnsi="Symbol" w:hint="default"/>
      </w:rPr>
    </w:lvl>
    <w:lvl w:ilvl="5" w:tplc="125E2824" w:tentative="1">
      <w:start w:val="1"/>
      <w:numFmt w:val="bullet"/>
      <w:lvlText w:val=""/>
      <w:lvlJc w:val="left"/>
      <w:pPr>
        <w:tabs>
          <w:tab w:val="num" w:pos="4320"/>
        </w:tabs>
        <w:ind w:left="4320" w:hanging="360"/>
      </w:pPr>
      <w:rPr>
        <w:rFonts w:ascii="Symbol" w:hAnsi="Symbol" w:hint="default"/>
      </w:rPr>
    </w:lvl>
    <w:lvl w:ilvl="6" w:tplc="72F6A870" w:tentative="1">
      <w:start w:val="1"/>
      <w:numFmt w:val="bullet"/>
      <w:lvlText w:val=""/>
      <w:lvlJc w:val="left"/>
      <w:pPr>
        <w:tabs>
          <w:tab w:val="num" w:pos="5040"/>
        </w:tabs>
        <w:ind w:left="5040" w:hanging="360"/>
      </w:pPr>
      <w:rPr>
        <w:rFonts w:ascii="Symbol" w:hAnsi="Symbol" w:hint="default"/>
      </w:rPr>
    </w:lvl>
    <w:lvl w:ilvl="7" w:tplc="7C50A83E" w:tentative="1">
      <w:start w:val="1"/>
      <w:numFmt w:val="bullet"/>
      <w:lvlText w:val=""/>
      <w:lvlJc w:val="left"/>
      <w:pPr>
        <w:tabs>
          <w:tab w:val="num" w:pos="5760"/>
        </w:tabs>
        <w:ind w:left="5760" w:hanging="360"/>
      </w:pPr>
      <w:rPr>
        <w:rFonts w:ascii="Symbol" w:hAnsi="Symbol" w:hint="default"/>
      </w:rPr>
    </w:lvl>
    <w:lvl w:ilvl="8" w:tplc="037CFC0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C117D00"/>
    <w:multiLevelType w:val="hybridMultilevel"/>
    <w:tmpl w:val="8EDE75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D963EF4"/>
    <w:multiLevelType w:val="hybridMultilevel"/>
    <w:tmpl w:val="C5E46E60"/>
    <w:lvl w:ilvl="0" w:tplc="0C09000F">
      <w:start w:val="1"/>
      <w:numFmt w:val="decimal"/>
      <w:lvlText w:val="%1."/>
      <w:lvlJc w:val="left"/>
      <w:pPr>
        <w:ind w:left="360" w:hanging="360"/>
      </w:pPr>
    </w:lvl>
    <w:lvl w:ilvl="1" w:tplc="0C090019">
      <w:start w:val="1"/>
      <w:numFmt w:val="lowerLetter"/>
      <w:lvlText w:val="%2."/>
      <w:lvlJc w:val="left"/>
      <w:pPr>
        <w:ind w:left="644"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
  </w:num>
  <w:num w:numId="2">
    <w:abstractNumId w:val="6"/>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7"/>
  </w:num>
  <w:num w:numId="4">
    <w:abstractNumId w:val="15"/>
  </w:num>
  <w:num w:numId="5">
    <w:abstractNumId w:val="5"/>
  </w:num>
  <w:num w:numId="6">
    <w:abstractNumId w:val="11"/>
  </w:num>
  <w:num w:numId="7">
    <w:abstractNumId w:val="0"/>
  </w:num>
  <w:num w:numId="8">
    <w:abstractNumId w:val="19"/>
  </w:num>
  <w:num w:numId="9">
    <w:abstractNumId w:val="12"/>
  </w:num>
  <w:num w:numId="10">
    <w:abstractNumId w:val="1"/>
  </w:num>
  <w:num w:numId="11">
    <w:abstractNumId w:val="9"/>
  </w:num>
  <w:num w:numId="12">
    <w:abstractNumId w:val="4"/>
  </w:num>
  <w:num w:numId="13">
    <w:abstractNumId w:val="8"/>
  </w:num>
  <w:num w:numId="14">
    <w:abstractNumId w:val="17"/>
  </w:num>
  <w:num w:numId="15">
    <w:abstractNumId w:val="13"/>
  </w:num>
  <w:num w:numId="16">
    <w:abstractNumId w:val="2"/>
  </w:num>
  <w:num w:numId="17">
    <w:abstractNumId w:val="18"/>
  </w:num>
  <w:num w:numId="18">
    <w:abstractNumId w:val="10"/>
  </w:num>
  <w:num w:numId="19">
    <w:abstractNumId w:val="3"/>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844"/>
    <w:rsid w:val="00031E4F"/>
    <w:rsid w:val="00036EDC"/>
    <w:rsid w:val="00060080"/>
    <w:rsid w:val="00070574"/>
    <w:rsid w:val="00071FC2"/>
    <w:rsid w:val="000778B3"/>
    <w:rsid w:val="00090AF8"/>
    <w:rsid w:val="00096088"/>
    <w:rsid w:val="000A7A8D"/>
    <w:rsid w:val="000D4445"/>
    <w:rsid w:val="00105018"/>
    <w:rsid w:val="001063E2"/>
    <w:rsid w:val="00123EA2"/>
    <w:rsid w:val="0015084B"/>
    <w:rsid w:val="00180E72"/>
    <w:rsid w:val="0018299F"/>
    <w:rsid w:val="0018509A"/>
    <w:rsid w:val="001D1E60"/>
    <w:rsid w:val="001D547A"/>
    <w:rsid w:val="001F77F9"/>
    <w:rsid w:val="00204550"/>
    <w:rsid w:val="00216896"/>
    <w:rsid w:val="00225855"/>
    <w:rsid w:val="00226F8B"/>
    <w:rsid w:val="002434AD"/>
    <w:rsid w:val="0024530B"/>
    <w:rsid w:val="00253126"/>
    <w:rsid w:val="002537F2"/>
    <w:rsid w:val="002550D4"/>
    <w:rsid w:val="00275046"/>
    <w:rsid w:val="0028384B"/>
    <w:rsid w:val="00284DB4"/>
    <w:rsid w:val="00295CD3"/>
    <w:rsid w:val="002B160C"/>
    <w:rsid w:val="002C1AB9"/>
    <w:rsid w:val="002C1BC3"/>
    <w:rsid w:val="002C382E"/>
    <w:rsid w:val="002C4140"/>
    <w:rsid w:val="00302726"/>
    <w:rsid w:val="00302B89"/>
    <w:rsid w:val="0030693D"/>
    <w:rsid w:val="0031391B"/>
    <w:rsid w:val="00315919"/>
    <w:rsid w:val="00320AA1"/>
    <w:rsid w:val="0038028C"/>
    <w:rsid w:val="00382D10"/>
    <w:rsid w:val="0038722A"/>
    <w:rsid w:val="00393CEB"/>
    <w:rsid w:val="00394695"/>
    <w:rsid w:val="00394948"/>
    <w:rsid w:val="0039610A"/>
    <w:rsid w:val="003B3254"/>
    <w:rsid w:val="003C00EB"/>
    <w:rsid w:val="003C353C"/>
    <w:rsid w:val="003D02D1"/>
    <w:rsid w:val="003D1183"/>
    <w:rsid w:val="003D27F1"/>
    <w:rsid w:val="003F3008"/>
    <w:rsid w:val="003F3BE0"/>
    <w:rsid w:val="0040545E"/>
    <w:rsid w:val="00412A69"/>
    <w:rsid w:val="00413983"/>
    <w:rsid w:val="004265C8"/>
    <w:rsid w:val="00443DBE"/>
    <w:rsid w:val="004451B3"/>
    <w:rsid w:val="004475CF"/>
    <w:rsid w:val="00451BF4"/>
    <w:rsid w:val="00453115"/>
    <w:rsid w:val="0046677C"/>
    <w:rsid w:val="00467AE7"/>
    <w:rsid w:val="00470F5A"/>
    <w:rsid w:val="00476923"/>
    <w:rsid w:val="00485E9F"/>
    <w:rsid w:val="004B5E8B"/>
    <w:rsid w:val="004B74AC"/>
    <w:rsid w:val="004D0A41"/>
    <w:rsid w:val="004D4636"/>
    <w:rsid w:val="00501326"/>
    <w:rsid w:val="00531CB2"/>
    <w:rsid w:val="00532C03"/>
    <w:rsid w:val="00535EEE"/>
    <w:rsid w:val="00540020"/>
    <w:rsid w:val="00553C8A"/>
    <w:rsid w:val="00565DB0"/>
    <w:rsid w:val="005754F0"/>
    <w:rsid w:val="005771CA"/>
    <w:rsid w:val="005A5B44"/>
    <w:rsid w:val="005D36B2"/>
    <w:rsid w:val="0060004F"/>
    <w:rsid w:val="00600291"/>
    <w:rsid w:val="00600B32"/>
    <w:rsid w:val="0062670F"/>
    <w:rsid w:val="0064740D"/>
    <w:rsid w:val="00651D43"/>
    <w:rsid w:val="0065572F"/>
    <w:rsid w:val="00671A36"/>
    <w:rsid w:val="00685285"/>
    <w:rsid w:val="006961EA"/>
    <w:rsid w:val="006B4DAF"/>
    <w:rsid w:val="006B57AB"/>
    <w:rsid w:val="006B6C0A"/>
    <w:rsid w:val="006D5832"/>
    <w:rsid w:val="006E024B"/>
    <w:rsid w:val="007025FA"/>
    <w:rsid w:val="00727300"/>
    <w:rsid w:val="0073158B"/>
    <w:rsid w:val="007411E7"/>
    <w:rsid w:val="00747F00"/>
    <w:rsid w:val="00751BF2"/>
    <w:rsid w:val="007703A2"/>
    <w:rsid w:val="007831A9"/>
    <w:rsid w:val="00785718"/>
    <w:rsid w:val="007A77EB"/>
    <w:rsid w:val="007B667A"/>
    <w:rsid w:val="007D4CE4"/>
    <w:rsid w:val="007E22D5"/>
    <w:rsid w:val="007E5D50"/>
    <w:rsid w:val="00800138"/>
    <w:rsid w:val="008078AB"/>
    <w:rsid w:val="00810096"/>
    <w:rsid w:val="0081570A"/>
    <w:rsid w:val="0082516A"/>
    <w:rsid w:val="008479C9"/>
    <w:rsid w:val="00856708"/>
    <w:rsid w:val="00860B4A"/>
    <w:rsid w:val="00871089"/>
    <w:rsid w:val="0087371C"/>
    <w:rsid w:val="008748B6"/>
    <w:rsid w:val="00893E0A"/>
    <w:rsid w:val="00895DE3"/>
    <w:rsid w:val="008B46C5"/>
    <w:rsid w:val="008D2534"/>
    <w:rsid w:val="008D2560"/>
    <w:rsid w:val="008D3F9B"/>
    <w:rsid w:val="008D67C7"/>
    <w:rsid w:val="008E08CF"/>
    <w:rsid w:val="008E5A3B"/>
    <w:rsid w:val="008F01CA"/>
    <w:rsid w:val="008F4843"/>
    <w:rsid w:val="008F4F86"/>
    <w:rsid w:val="00912FC1"/>
    <w:rsid w:val="0092264B"/>
    <w:rsid w:val="00930BCC"/>
    <w:rsid w:val="00942707"/>
    <w:rsid w:val="00951B85"/>
    <w:rsid w:val="00970131"/>
    <w:rsid w:val="009704DB"/>
    <w:rsid w:val="00970E01"/>
    <w:rsid w:val="00982B5D"/>
    <w:rsid w:val="00985DD8"/>
    <w:rsid w:val="00990419"/>
    <w:rsid w:val="009904D6"/>
    <w:rsid w:val="009A00FE"/>
    <w:rsid w:val="009A3C9E"/>
    <w:rsid w:val="009B4893"/>
    <w:rsid w:val="009C1B65"/>
    <w:rsid w:val="009C6335"/>
    <w:rsid w:val="009D3D6C"/>
    <w:rsid w:val="009E2F3B"/>
    <w:rsid w:val="009E38CC"/>
    <w:rsid w:val="009F6127"/>
    <w:rsid w:val="00A01FDF"/>
    <w:rsid w:val="00A23765"/>
    <w:rsid w:val="00A358DD"/>
    <w:rsid w:val="00A4096B"/>
    <w:rsid w:val="00A41EB5"/>
    <w:rsid w:val="00A426F5"/>
    <w:rsid w:val="00A569F5"/>
    <w:rsid w:val="00A712F8"/>
    <w:rsid w:val="00A76598"/>
    <w:rsid w:val="00A86588"/>
    <w:rsid w:val="00AA2446"/>
    <w:rsid w:val="00AA3776"/>
    <w:rsid w:val="00AB07C4"/>
    <w:rsid w:val="00AB0C5D"/>
    <w:rsid w:val="00AB39B8"/>
    <w:rsid w:val="00AB7ABF"/>
    <w:rsid w:val="00AC6A45"/>
    <w:rsid w:val="00AC7BEC"/>
    <w:rsid w:val="00AD6F8D"/>
    <w:rsid w:val="00AE692A"/>
    <w:rsid w:val="00B32D49"/>
    <w:rsid w:val="00B34DE4"/>
    <w:rsid w:val="00B3502B"/>
    <w:rsid w:val="00B3726E"/>
    <w:rsid w:val="00B45F05"/>
    <w:rsid w:val="00B57A34"/>
    <w:rsid w:val="00B66638"/>
    <w:rsid w:val="00B67FB7"/>
    <w:rsid w:val="00B70991"/>
    <w:rsid w:val="00B711B2"/>
    <w:rsid w:val="00B71B44"/>
    <w:rsid w:val="00B72B9A"/>
    <w:rsid w:val="00B83844"/>
    <w:rsid w:val="00BB255A"/>
    <w:rsid w:val="00BB2EED"/>
    <w:rsid w:val="00BD1FEB"/>
    <w:rsid w:val="00C0505F"/>
    <w:rsid w:val="00C24CD2"/>
    <w:rsid w:val="00C42E2A"/>
    <w:rsid w:val="00C439A8"/>
    <w:rsid w:val="00C56B01"/>
    <w:rsid w:val="00C61E4C"/>
    <w:rsid w:val="00C868B7"/>
    <w:rsid w:val="00C92367"/>
    <w:rsid w:val="00C94BEE"/>
    <w:rsid w:val="00CB4B38"/>
    <w:rsid w:val="00CC29F6"/>
    <w:rsid w:val="00CF3B67"/>
    <w:rsid w:val="00CF5629"/>
    <w:rsid w:val="00D00B62"/>
    <w:rsid w:val="00D17170"/>
    <w:rsid w:val="00D229E0"/>
    <w:rsid w:val="00D22C68"/>
    <w:rsid w:val="00D56841"/>
    <w:rsid w:val="00D706CF"/>
    <w:rsid w:val="00D748EF"/>
    <w:rsid w:val="00D76CCD"/>
    <w:rsid w:val="00D76F77"/>
    <w:rsid w:val="00D828D1"/>
    <w:rsid w:val="00D95F88"/>
    <w:rsid w:val="00DA5BAD"/>
    <w:rsid w:val="00DA6C98"/>
    <w:rsid w:val="00DA767E"/>
    <w:rsid w:val="00DA7C10"/>
    <w:rsid w:val="00DB21CF"/>
    <w:rsid w:val="00DB755F"/>
    <w:rsid w:val="00DD18CF"/>
    <w:rsid w:val="00DD4825"/>
    <w:rsid w:val="00DF4A63"/>
    <w:rsid w:val="00E17E57"/>
    <w:rsid w:val="00E5587D"/>
    <w:rsid w:val="00E67FCC"/>
    <w:rsid w:val="00E81FCF"/>
    <w:rsid w:val="00E91D7D"/>
    <w:rsid w:val="00EE205F"/>
    <w:rsid w:val="00EE2F73"/>
    <w:rsid w:val="00F16232"/>
    <w:rsid w:val="00F164DA"/>
    <w:rsid w:val="00F17586"/>
    <w:rsid w:val="00F2353C"/>
    <w:rsid w:val="00F37ADB"/>
    <w:rsid w:val="00F41A35"/>
    <w:rsid w:val="00F539EF"/>
    <w:rsid w:val="00F74DE0"/>
    <w:rsid w:val="00F85AE6"/>
    <w:rsid w:val="00F86065"/>
    <w:rsid w:val="00F94A8C"/>
    <w:rsid w:val="00FB4E7A"/>
    <w:rsid w:val="00FD5AF6"/>
    <w:rsid w:val="00FD6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54EA3"/>
  <w15:docId w15:val="{5B432CF8-9FFA-46FC-AB89-106BF50E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BalloonText">
    <w:name w:val="Balloon Text"/>
    <w:basedOn w:val="Normal"/>
    <w:link w:val="BalloonTextChar"/>
    <w:uiPriority w:val="99"/>
    <w:semiHidden/>
    <w:unhideWhenUsed/>
    <w:rsid w:val="00B838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844"/>
    <w:rPr>
      <w:rFonts w:ascii="Tahoma" w:eastAsia="Dotum" w:hAnsi="Tahoma" w:cs="Tahoma"/>
      <w:sz w:val="16"/>
      <w:szCs w:val="16"/>
    </w:rPr>
  </w:style>
  <w:style w:type="paragraph" w:customStyle="1" w:styleId="Default">
    <w:name w:val="Default"/>
    <w:rsid w:val="00DA6C98"/>
    <w:pPr>
      <w:autoSpaceDE w:val="0"/>
      <w:autoSpaceDN w:val="0"/>
      <w:adjustRightInd w:val="0"/>
      <w:spacing w:after="0" w:line="240" w:lineRule="auto"/>
    </w:pPr>
    <w:rPr>
      <w:rFonts w:ascii="TitilliumText25L" w:hAnsi="TitilliumText25L" w:cs="TitilliumText25L"/>
      <w:color w:val="000000"/>
      <w:sz w:val="24"/>
      <w:szCs w:val="24"/>
    </w:rPr>
  </w:style>
  <w:style w:type="paragraph" w:customStyle="1" w:styleId="Pa1">
    <w:name w:val="Pa1"/>
    <w:basedOn w:val="Default"/>
    <w:next w:val="Default"/>
    <w:uiPriority w:val="99"/>
    <w:rsid w:val="00DA6C98"/>
    <w:pPr>
      <w:spacing w:line="201" w:lineRule="atLeast"/>
    </w:pPr>
    <w:rPr>
      <w:rFonts w:cstheme="minorBidi"/>
      <w:color w:val="auto"/>
    </w:rPr>
  </w:style>
  <w:style w:type="character" w:customStyle="1" w:styleId="A4">
    <w:name w:val="A4"/>
    <w:uiPriority w:val="99"/>
    <w:rsid w:val="00DA6C98"/>
    <w:rPr>
      <w:rFonts w:cs="TitilliumText25L"/>
      <w:color w:val="263895"/>
      <w:sz w:val="20"/>
      <w:szCs w:val="20"/>
      <w:u w:val="single"/>
    </w:rPr>
  </w:style>
  <w:style w:type="paragraph" w:customStyle="1" w:styleId="Pa3">
    <w:name w:val="Pa3"/>
    <w:basedOn w:val="Default"/>
    <w:next w:val="Default"/>
    <w:uiPriority w:val="99"/>
    <w:rsid w:val="00DA6C98"/>
    <w:pPr>
      <w:spacing w:line="201" w:lineRule="atLeast"/>
    </w:pPr>
    <w:rPr>
      <w:rFonts w:cstheme="minorBidi"/>
      <w:color w:val="auto"/>
    </w:rPr>
  </w:style>
  <w:style w:type="paragraph" w:customStyle="1" w:styleId="Pa4">
    <w:name w:val="Pa4"/>
    <w:basedOn w:val="Default"/>
    <w:next w:val="Default"/>
    <w:uiPriority w:val="99"/>
    <w:rsid w:val="00DA6C98"/>
    <w:pPr>
      <w:spacing w:line="201" w:lineRule="atLeast"/>
    </w:pPr>
    <w:rPr>
      <w:rFonts w:cstheme="minorBidi"/>
      <w:color w:val="auto"/>
    </w:rPr>
  </w:style>
  <w:style w:type="paragraph" w:styleId="Caption">
    <w:name w:val="caption"/>
    <w:basedOn w:val="Normal"/>
    <w:next w:val="Normal"/>
    <w:uiPriority w:val="35"/>
    <w:unhideWhenUsed/>
    <w:qFormat/>
    <w:rsid w:val="007831A9"/>
    <w:rPr>
      <w:rFonts w:asciiTheme="minorHAnsi" w:eastAsia="SimSun" w:hAnsiTheme="minorHAnsi" w:cstheme="minorBidi"/>
      <w:b/>
      <w:bCs/>
      <w:color w:val="4F81BD" w:themeColor="accent1"/>
      <w:sz w:val="18"/>
      <w:szCs w:val="18"/>
    </w:rPr>
  </w:style>
  <w:style w:type="table" w:styleId="MediumShading1-Accent2">
    <w:name w:val="Medium Shading 1 Accent 2"/>
    <w:basedOn w:val="TableNormal"/>
    <w:uiPriority w:val="63"/>
    <w:rsid w:val="007831A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FootnoteReference">
    <w:name w:val="footnote reference"/>
    <w:unhideWhenUsed/>
    <w:rsid w:val="007831A9"/>
    <w:rPr>
      <w:vertAlign w:val="superscript"/>
    </w:rPr>
  </w:style>
  <w:style w:type="paragraph" w:styleId="FootnoteText">
    <w:name w:val="footnote text"/>
    <w:basedOn w:val="Normal"/>
    <w:link w:val="FootnoteTextChar"/>
    <w:semiHidden/>
    <w:unhideWhenUsed/>
    <w:rsid w:val="007831A9"/>
    <w:pPr>
      <w:spacing w:after="0"/>
    </w:pPr>
    <w:rPr>
      <w:sz w:val="20"/>
      <w:szCs w:val="20"/>
      <w:lang w:val="en-US" w:eastAsia="zh-CN"/>
    </w:rPr>
  </w:style>
  <w:style w:type="character" w:customStyle="1" w:styleId="FootnoteTextChar">
    <w:name w:val="Footnote Text Char"/>
    <w:basedOn w:val="DefaultParagraphFont"/>
    <w:link w:val="FootnoteText"/>
    <w:semiHidden/>
    <w:rsid w:val="007831A9"/>
    <w:rPr>
      <w:rFonts w:ascii="Calibri" w:eastAsia="Dotum" w:hAnsi="Calibri" w:cs="Calibri"/>
      <w:sz w:val="20"/>
      <w:szCs w:val="20"/>
      <w:lang w:val="en-US" w:eastAsia="zh-CN"/>
    </w:rPr>
  </w:style>
  <w:style w:type="character" w:styleId="Hyperlink">
    <w:name w:val="Hyperlink"/>
    <w:basedOn w:val="DefaultParagraphFont"/>
    <w:uiPriority w:val="99"/>
    <w:unhideWhenUsed/>
    <w:rsid w:val="007831A9"/>
    <w:rPr>
      <w:color w:val="0000FF" w:themeColor="hyperlink"/>
      <w:u w:val="single"/>
    </w:rPr>
  </w:style>
  <w:style w:type="paragraph" w:styleId="EndnoteText">
    <w:name w:val="endnote text"/>
    <w:basedOn w:val="Normal"/>
    <w:link w:val="EndnoteTextChar"/>
    <w:uiPriority w:val="99"/>
    <w:semiHidden/>
    <w:unhideWhenUsed/>
    <w:rsid w:val="007831A9"/>
    <w:pPr>
      <w:spacing w:after="0"/>
    </w:pPr>
    <w:rPr>
      <w:sz w:val="20"/>
      <w:szCs w:val="20"/>
    </w:rPr>
  </w:style>
  <w:style w:type="character" w:customStyle="1" w:styleId="EndnoteTextChar">
    <w:name w:val="Endnote Text Char"/>
    <w:basedOn w:val="DefaultParagraphFont"/>
    <w:link w:val="EndnoteText"/>
    <w:uiPriority w:val="99"/>
    <w:semiHidden/>
    <w:rsid w:val="007831A9"/>
    <w:rPr>
      <w:rFonts w:ascii="Calibri" w:eastAsia="Dotum" w:hAnsi="Calibri" w:cs="Calibri"/>
      <w:sz w:val="20"/>
      <w:szCs w:val="20"/>
    </w:rPr>
  </w:style>
  <w:style w:type="character" w:styleId="EndnoteReference">
    <w:name w:val="endnote reference"/>
    <w:basedOn w:val="DefaultParagraphFont"/>
    <w:uiPriority w:val="99"/>
    <w:unhideWhenUsed/>
    <w:rsid w:val="007831A9"/>
    <w:rPr>
      <w:vertAlign w:val="superscript"/>
    </w:rPr>
  </w:style>
  <w:style w:type="paragraph" w:styleId="NormalWeb">
    <w:name w:val="Normal (Web)"/>
    <w:basedOn w:val="Normal"/>
    <w:uiPriority w:val="99"/>
    <w:semiHidden/>
    <w:unhideWhenUsed/>
    <w:rsid w:val="007831A9"/>
    <w:pPr>
      <w:spacing w:before="100" w:beforeAutospacing="1" w:after="100" w:afterAutospacing="1"/>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7831A9"/>
    <w:rPr>
      <w:sz w:val="16"/>
      <w:szCs w:val="16"/>
    </w:rPr>
  </w:style>
  <w:style w:type="paragraph" w:styleId="CommentText">
    <w:name w:val="annotation text"/>
    <w:basedOn w:val="Normal"/>
    <w:link w:val="CommentTextChar"/>
    <w:uiPriority w:val="99"/>
    <w:unhideWhenUsed/>
    <w:rsid w:val="007831A9"/>
    <w:rPr>
      <w:rFonts w:asciiTheme="minorHAnsi" w:eastAsia="SimSun" w:hAnsiTheme="minorHAnsi" w:cstheme="minorBidi"/>
      <w:sz w:val="20"/>
      <w:szCs w:val="20"/>
    </w:rPr>
  </w:style>
  <w:style w:type="character" w:customStyle="1" w:styleId="CommentTextChar">
    <w:name w:val="Comment Text Char"/>
    <w:basedOn w:val="DefaultParagraphFont"/>
    <w:link w:val="CommentText"/>
    <w:uiPriority w:val="99"/>
    <w:rsid w:val="007831A9"/>
    <w:rPr>
      <w:rFonts w:eastAsia="SimSun"/>
      <w:sz w:val="20"/>
      <w:szCs w:val="20"/>
    </w:rPr>
  </w:style>
  <w:style w:type="paragraph" w:styleId="CommentSubject">
    <w:name w:val="annotation subject"/>
    <w:basedOn w:val="CommentText"/>
    <w:next w:val="CommentText"/>
    <w:link w:val="CommentSubjectChar"/>
    <w:uiPriority w:val="99"/>
    <w:semiHidden/>
    <w:unhideWhenUsed/>
    <w:rsid w:val="007831A9"/>
    <w:rPr>
      <w:b/>
      <w:bCs/>
    </w:rPr>
  </w:style>
  <w:style w:type="character" w:customStyle="1" w:styleId="CommentSubjectChar">
    <w:name w:val="Comment Subject Char"/>
    <w:basedOn w:val="CommentTextChar"/>
    <w:link w:val="CommentSubject"/>
    <w:uiPriority w:val="99"/>
    <w:semiHidden/>
    <w:rsid w:val="007831A9"/>
    <w:rPr>
      <w:rFonts w:eastAsia="SimSun"/>
      <w:b/>
      <w:bCs/>
      <w:sz w:val="20"/>
      <w:szCs w:val="20"/>
    </w:rPr>
  </w:style>
  <w:style w:type="character" w:styleId="SubtleEmphasis">
    <w:name w:val="Subtle Emphasis"/>
    <w:basedOn w:val="DefaultParagraphFont"/>
    <w:uiPriority w:val="19"/>
    <w:qFormat/>
    <w:rsid w:val="007831A9"/>
    <w:rPr>
      <w:i/>
      <w:iCs/>
      <w:color w:val="808080" w:themeColor="text1" w:themeTint="7F"/>
    </w:rPr>
  </w:style>
  <w:style w:type="paragraph" w:styleId="Revision">
    <w:name w:val="Revision"/>
    <w:hidden/>
    <w:uiPriority w:val="99"/>
    <w:semiHidden/>
    <w:rsid w:val="007831A9"/>
    <w:pPr>
      <w:spacing w:after="0" w:line="240" w:lineRule="auto"/>
    </w:pPr>
    <w:rPr>
      <w:rFonts w:eastAsia="SimSun"/>
    </w:rPr>
  </w:style>
  <w:style w:type="table" w:styleId="MediumList1">
    <w:name w:val="Medium List 1"/>
    <w:basedOn w:val="TableNormal"/>
    <w:uiPriority w:val="65"/>
    <w:rsid w:val="007831A9"/>
    <w:pPr>
      <w:spacing w:after="0" w:line="240" w:lineRule="auto"/>
    </w:pPr>
    <w:rPr>
      <w:rFonts w:eastAsia="SimSu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E67FCC"/>
    <w:pPr>
      <w:keepNext/>
      <w:keepLines/>
      <w:widowControl/>
      <w:spacing w:before="240" w:after="0" w:line="259" w:lineRule="auto"/>
      <w:ind w:right="0"/>
      <w:outlineLvl w:val="9"/>
    </w:pPr>
    <w:rPr>
      <w:rFonts w:asciiTheme="majorHAnsi" w:eastAsiaTheme="majorEastAsia" w:hAnsiTheme="majorHAnsi" w:cstheme="majorBidi"/>
      <w:bCs w:val="0"/>
      <w:color w:val="365F91" w:themeColor="accent1" w:themeShade="BF"/>
      <w:spacing w:val="0"/>
      <w:sz w:val="32"/>
      <w:szCs w:val="32"/>
      <w:lang w:val="en-US"/>
    </w:rPr>
  </w:style>
  <w:style w:type="paragraph" w:styleId="TOC1">
    <w:name w:val="toc 1"/>
    <w:basedOn w:val="Normal"/>
    <w:next w:val="Normal"/>
    <w:autoRedefine/>
    <w:uiPriority w:val="39"/>
    <w:unhideWhenUsed/>
    <w:rsid w:val="00C94BEE"/>
    <w:pPr>
      <w:tabs>
        <w:tab w:val="right" w:leader="dot" w:pos="9323"/>
      </w:tabs>
      <w:spacing w:after="100"/>
    </w:pPr>
    <w:rPr>
      <w:noProof/>
    </w:rPr>
  </w:style>
  <w:style w:type="paragraph" w:styleId="TOC2">
    <w:name w:val="toc 2"/>
    <w:basedOn w:val="Normal"/>
    <w:next w:val="Normal"/>
    <w:autoRedefine/>
    <w:uiPriority w:val="39"/>
    <w:unhideWhenUsed/>
    <w:rsid w:val="00E67FCC"/>
    <w:pPr>
      <w:spacing w:after="100"/>
      <w:ind w:left="220"/>
    </w:pPr>
  </w:style>
  <w:style w:type="paragraph" w:styleId="TOC3">
    <w:name w:val="toc 3"/>
    <w:basedOn w:val="Normal"/>
    <w:next w:val="Normal"/>
    <w:autoRedefine/>
    <w:uiPriority w:val="39"/>
    <w:unhideWhenUsed/>
    <w:rsid w:val="00E67FCC"/>
    <w:pPr>
      <w:spacing w:after="100"/>
      <w:ind w:left="440"/>
    </w:pPr>
  </w:style>
  <w:style w:type="paragraph" w:styleId="TableofFigures">
    <w:name w:val="table of figures"/>
    <w:basedOn w:val="Normal"/>
    <w:next w:val="Normal"/>
    <w:uiPriority w:val="99"/>
    <w:unhideWhenUsed/>
    <w:rsid w:val="00A76598"/>
    <w:pPr>
      <w:spacing w:after="0"/>
    </w:pPr>
  </w:style>
  <w:style w:type="paragraph" w:styleId="NoSpacing">
    <w:name w:val="No Spacing"/>
    <w:uiPriority w:val="1"/>
    <w:qFormat/>
    <w:rsid w:val="00DD4825"/>
    <w:pPr>
      <w:spacing w:after="0" w:line="240" w:lineRule="auto"/>
    </w:pPr>
    <w:rPr>
      <w:rFonts w:ascii="Calibri" w:eastAsia="Dotum" w:hAnsi="Calibri" w:cs="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3182">
      <w:bodyDiv w:val="1"/>
      <w:marLeft w:val="0"/>
      <w:marRight w:val="0"/>
      <w:marTop w:val="0"/>
      <w:marBottom w:val="0"/>
      <w:divBdr>
        <w:top w:val="none" w:sz="0" w:space="0" w:color="auto"/>
        <w:left w:val="none" w:sz="0" w:space="0" w:color="auto"/>
        <w:bottom w:val="none" w:sz="0" w:space="0" w:color="auto"/>
        <w:right w:val="none" w:sz="0" w:space="0" w:color="auto"/>
      </w:divBdr>
    </w:div>
    <w:div w:id="164364823">
      <w:bodyDiv w:val="1"/>
      <w:marLeft w:val="0"/>
      <w:marRight w:val="0"/>
      <w:marTop w:val="0"/>
      <w:marBottom w:val="0"/>
      <w:divBdr>
        <w:top w:val="none" w:sz="0" w:space="0" w:color="auto"/>
        <w:left w:val="none" w:sz="0" w:space="0" w:color="auto"/>
        <w:bottom w:val="none" w:sz="0" w:space="0" w:color="auto"/>
        <w:right w:val="none" w:sz="0" w:space="0" w:color="auto"/>
      </w:divBdr>
    </w:div>
    <w:div w:id="213078875">
      <w:bodyDiv w:val="1"/>
      <w:marLeft w:val="0"/>
      <w:marRight w:val="0"/>
      <w:marTop w:val="0"/>
      <w:marBottom w:val="0"/>
      <w:divBdr>
        <w:top w:val="none" w:sz="0" w:space="0" w:color="auto"/>
        <w:left w:val="none" w:sz="0" w:space="0" w:color="auto"/>
        <w:bottom w:val="none" w:sz="0" w:space="0" w:color="auto"/>
        <w:right w:val="none" w:sz="0" w:space="0" w:color="auto"/>
      </w:divBdr>
    </w:div>
    <w:div w:id="347565355">
      <w:bodyDiv w:val="1"/>
      <w:marLeft w:val="0"/>
      <w:marRight w:val="0"/>
      <w:marTop w:val="0"/>
      <w:marBottom w:val="0"/>
      <w:divBdr>
        <w:top w:val="none" w:sz="0" w:space="0" w:color="auto"/>
        <w:left w:val="none" w:sz="0" w:space="0" w:color="auto"/>
        <w:bottom w:val="none" w:sz="0" w:space="0" w:color="auto"/>
        <w:right w:val="none" w:sz="0" w:space="0" w:color="auto"/>
      </w:divBdr>
    </w:div>
    <w:div w:id="351952748">
      <w:bodyDiv w:val="1"/>
      <w:marLeft w:val="0"/>
      <w:marRight w:val="0"/>
      <w:marTop w:val="0"/>
      <w:marBottom w:val="0"/>
      <w:divBdr>
        <w:top w:val="none" w:sz="0" w:space="0" w:color="auto"/>
        <w:left w:val="none" w:sz="0" w:space="0" w:color="auto"/>
        <w:bottom w:val="none" w:sz="0" w:space="0" w:color="auto"/>
        <w:right w:val="none" w:sz="0" w:space="0" w:color="auto"/>
      </w:divBdr>
    </w:div>
    <w:div w:id="773406885">
      <w:bodyDiv w:val="1"/>
      <w:marLeft w:val="0"/>
      <w:marRight w:val="0"/>
      <w:marTop w:val="0"/>
      <w:marBottom w:val="0"/>
      <w:divBdr>
        <w:top w:val="none" w:sz="0" w:space="0" w:color="auto"/>
        <w:left w:val="none" w:sz="0" w:space="0" w:color="auto"/>
        <w:bottom w:val="none" w:sz="0" w:space="0" w:color="auto"/>
        <w:right w:val="none" w:sz="0" w:space="0" w:color="auto"/>
      </w:divBdr>
    </w:div>
    <w:div w:id="802889602">
      <w:bodyDiv w:val="1"/>
      <w:marLeft w:val="0"/>
      <w:marRight w:val="0"/>
      <w:marTop w:val="0"/>
      <w:marBottom w:val="0"/>
      <w:divBdr>
        <w:top w:val="none" w:sz="0" w:space="0" w:color="auto"/>
        <w:left w:val="none" w:sz="0" w:space="0" w:color="auto"/>
        <w:bottom w:val="none" w:sz="0" w:space="0" w:color="auto"/>
        <w:right w:val="none" w:sz="0" w:space="0" w:color="auto"/>
      </w:divBdr>
    </w:div>
    <w:div w:id="957638642">
      <w:bodyDiv w:val="1"/>
      <w:marLeft w:val="0"/>
      <w:marRight w:val="0"/>
      <w:marTop w:val="0"/>
      <w:marBottom w:val="0"/>
      <w:divBdr>
        <w:top w:val="none" w:sz="0" w:space="0" w:color="auto"/>
        <w:left w:val="none" w:sz="0" w:space="0" w:color="auto"/>
        <w:bottom w:val="none" w:sz="0" w:space="0" w:color="auto"/>
        <w:right w:val="none" w:sz="0" w:space="0" w:color="auto"/>
      </w:divBdr>
    </w:div>
    <w:div w:id="971178842">
      <w:bodyDiv w:val="1"/>
      <w:marLeft w:val="0"/>
      <w:marRight w:val="0"/>
      <w:marTop w:val="0"/>
      <w:marBottom w:val="0"/>
      <w:divBdr>
        <w:top w:val="none" w:sz="0" w:space="0" w:color="auto"/>
        <w:left w:val="none" w:sz="0" w:space="0" w:color="auto"/>
        <w:bottom w:val="none" w:sz="0" w:space="0" w:color="auto"/>
        <w:right w:val="none" w:sz="0" w:space="0" w:color="auto"/>
      </w:divBdr>
    </w:div>
    <w:div w:id="976296944">
      <w:bodyDiv w:val="1"/>
      <w:marLeft w:val="0"/>
      <w:marRight w:val="0"/>
      <w:marTop w:val="0"/>
      <w:marBottom w:val="0"/>
      <w:divBdr>
        <w:top w:val="none" w:sz="0" w:space="0" w:color="auto"/>
        <w:left w:val="none" w:sz="0" w:space="0" w:color="auto"/>
        <w:bottom w:val="none" w:sz="0" w:space="0" w:color="auto"/>
        <w:right w:val="none" w:sz="0" w:space="0" w:color="auto"/>
      </w:divBdr>
    </w:div>
    <w:div w:id="1210144566">
      <w:bodyDiv w:val="1"/>
      <w:marLeft w:val="0"/>
      <w:marRight w:val="0"/>
      <w:marTop w:val="0"/>
      <w:marBottom w:val="0"/>
      <w:divBdr>
        <w:top w:val="none" w:sz="0" w:space="0" w:color="auto"/>
        <w:left w:val="none" w:sz="0" w:space="0" w:color="auto"/>
        <w:bottom w:val="none" w:sz="0" w:space="0" w:color="auto"/>
        <w:right w:val="none" w:sz="0" w:space="0" w:color="auto"/>
      </w:divBdr>
    </w:div>
    <w:div w:id="1213151386">
      <w:bodyDiv w:val="1"/>
      <w:marLeft w:val="0"/>
      <w:marRight w:val="0"/>
      <w:marTop w:val="0"/>
      <w:marBottom w:val="0"/>
      <w:divBdr>
        <w:top w:val="none" w:sz="0" w:space="0" w:color="auto"/>
        <w:left w:val="none" w:sz="0" w:space="0" w:color="auto"/>
        <w:bottom w:val="none" w:sz="0" w:space="0" w:color="auto"/>
        <w:right w:val="none" w:sz="0" w:space="0" w:color="auto"/>
      </w:divBdr>
    </w:div>
    <w:div w:id="1267427253">
      <w:bodyDiv w:val="1"/>
      <w:marLeft w:val="0"/>
      <w:marRight w:val="0"/>
      <w:marTop w:val="0"/>
      <w:marBottom w:val="0"/>
      <w:divBdr>
        <w:top w:val="none" w:sz="0" w:space="0" w:color="auto"/>
        <w:left w:val="none" w:sz="0" w:space="0" w:color="auto"/>
        <w:bottom w:val="none" w:sz="0" w:space="0" w:color="auto"/>
        <w:right w:val="none" w:sz="0" w:space="0" w:color="auto"/>
      </w:divBdr>
    </w:div>
    <w:div w:id="1411536870">
      <w:bodyDiv w:val="1"/>
      <w:marLeft w:val="0"/>
      <w:marRight w:val="0"/>
      <w:marTop w:val="0"/>
      <w:marBottom w:val="0"/>
      <w:divBdr>
        <w:top w:val="none" w:sz="0" w:space="0" w:color="auto"/>
        <w:left w:val="none" w:sz="0" w:space="0" w:color="auto"/>
        <w:bottom w:val="none" w:sz="0" w:space="0" w:color="auto"/>
        <w:right w:val="none" w:sz="0" w:space="0" w:color="auto"/>
      </w:divBdr>
    </w:div>
    <w:div w:id="1515848886">
      <w:bodyDiv w:val="1"/>
      <w:marLeft w:val="0"/>
      <w:marRight w:val="0"/>
      <w:marTop w:val="0"/>
      <w:marBottom w:val="0"/>
      <w:divBdr>
        <w:top w:val="none" w:sz="0" w:space="0" w:color="auto"/>
        <w:left w:val="none" w:sz="0" w:space="0" w:color="auto"/>
        <w:bottom w:val="none" w:sz="0" w:space="0" w:color="auto"/>
        <w:right w:val="none" w:sz="0" w:space="0" w:color="auto"/>
      </w:divBdr>
    </w:div>
    <w:div w:id="1607687575">
      <w:bodyDiv w:val="1"/>
      <w:marLeft w:val="0"/>
      <w:marRight w:val="0"/>
      <w:marTop w:val="0"/>
      <w:marBottom w:val="0"/>
      <w:divBdr>
        <w:top w:val="none" w:sz="0" w:space="0" w:color="auto"/>
        <w:left w:val="none" w:sz="0" w:space="0" w:color="auto"/>
        <w:bottom w:val="none" w:sz="0" w:space="0" w:color="auto"/>
        <w:right w:val="none" w:sz="0" w:space="0" w:color="auto"/>
      </w:divBdr>
    </w:div>
    <w:div w:id="1767920862">
      <w:bodyDiv w:val="1"/>
      <w:marLeft w:val="0"/>
      <w:marRight w:val="0"/>
      <w:marTop w:val="0"/>
      <w:marBottom w:val="0"/>
      <w:divBdr>
        <w:top w:val="none" w:sz="0" w:space="0" w:color="auto"/>
        <w:left w:val="none" w:sz="0" w:space="0" w:color="auto"/>
        <w:bottom w:val="none" w:sz="0" w:space="0" w:color="auto"/>
        <w:right w:val="none" w:sz="0" w:space="0" w:color="auto"/>
      </w:divBdr>
    </w:div>
    <w:div w:id="1770856680">
      <w:bodyDiv w:val="1"/>
      <w:marLeft w:val="0"/>
      <w:marRight w:val="0"/>
      <w:marTop w:val="0"/>
      <w:marBottom w:val="0"/>
      <w:divBdr>
        <w:top w:val="none" w:sz="0" w:space="0" w:color="auto"/>
        <w:left w:val="none" w:sz="0" w:space="0" w:color="auto"/>
        <w:bottom w:val="none" w:sz="0" w:space="0" w:color="auto"/>
        <w:right w:val="none" w:sz="0" w:space="0" w:color="auto"/>
      </w:divBdr>
    </w:div>
    <w:div w:id="1889993408">
      <w:bodyDiv w:val="1"/>
      <w:marLeft w:val="0"/>
      <w:marRight w:val="0"/>
      <w:marTop w:val="0"/>
      <w:marBottom w:val="0"/>
      <w:divBdr>
        <w:top w:val="none" w:sz="0" w:space="0" w:color="auto"/>
        <w:left w:val="none" w:sz="0" w:space="0" w:color="auto"/>
        <w:bottom w:val="none" w:sz="0" w:space="0" w:color="auto"/>
        <w:right w:val="none" w:sz="0" w:space="0" w:color="auto"/>
      </w:divBdr>
    </w:div>
    <w:div w:id="1939025106">
      <w:bodyDiv w:val="1"/>
      <w:marLeft w:val="0"/>
      <w:marRight w:val="0"/>
      <w:marTop w:val="0"/>
      <w:marBottom w:val="0"/>
      <w:divBdr>
        <w:top w:val="none" w:sz="0" w:space="0" w:color="auto"/>
        <w:left w:val="none" w:sz="0" w:space="0" w:color="auto"/>
        <w:bottom w:val="none" w:sz="0" w:space="0" w:color="auto"/>
        <w:right w:val="none" w:sz="0" w:space="0" w:color="auto"/>
      </w:divBdr>
    </w:div>
    <w:div w:id="198720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hyperlink" Target="file:///C:\Users\bbell\Desktop\NBA%20REPORT\NBA%20HAEMOVIGILANCE%20REPORT_15_16_partial271016.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6.emf"/><Relationship Id="rId8" Type="http://schemas.openxmlformats.org/officeDocument/2006/relationships/image" Target="media/image2.jpe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7.jpg"/><Relationship Id="rId10" Type="http://schemas.openxmlformats.org/officeDocument/2006/relationships/hyperlink" Target="http://www.blood.gov.au" TargetMode="Externa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'[Chart in Microsoft Word]Sheet1'!$F$6</c:f>
              <c:strCache>
                <c:ptCount val="1"/>
                <c:pt idx="0">
                  <c:v>Total events / 10,000 donations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Word]Sheet1'!$G$5:$K$5</c:f>
              <c:strCache>
                <c:ptCount val="5"/>
                <c:pt idx="0">
                  <c:v>2012-13</c:v>
                </c:pt>
                <c:pt idx="1">
                  <c:v>2013-14</c:v>
                </c:pt>
                <c:pt idx="2">
                  <c:v>2014-15</c:v>
                </c:pt>
                <c:pt idx="3">
                  <c:v>2015-16</c:v>
                </c:pt>
                <c:pt idx="4">
                  <c:v>2016-17</c:v>
                </c:pt>
              </c:strCache>
            </c:strRef>
          </c:cat>
          <c:val>
            <c:numRef>
              <c:f>'[Chart in Microsoft Word]Sheet1'!$G$6:$K$6</c:f>
              <c:numCache>
                <c:formatCode>General</c:formatCode>
                <c:ptCount val="5"/>
                <c:pt idx="0">
                  <c:v>260</c:v>
                </c:pt>
                <c:pt idx="1">
                  <c:v>286</c:v>
                </c:pt>
                <c:pt idx="2">
                  <c:v>295</c:v>
                </c:pt>
                <c:pt idx="3">
                  <c:v>311</c:v>
                </c:pt>
                <c:pt idx="4">
                  <c:v>308</c:v>
                </c:pt>
              </c:numCache>
            </c:numRef>
          </c:val>
          <c:extLst>
            <c:ext xmlns:c16="http://schemas.microsoft.com/office/drawing/2014/chart" uri="{C3380CC4-5D6E-409C-BE32-E72D297353CC}">
              <c16:uniqueId val="{00000000-5A49-4E8B-80C7-CFB00233EDAA}"/>
            </c:ext>
          </c:extLst>
        </c:ser>
        <c:ser>
          <c:idx val="1"/>
          <c:order val="1"/>
          <c:tx>
            <c:strRef>
              <c:f>'[Chart in Microsoft Word]Sheet1'!$F$7</c:f>
              <c:strCache>
                <c:ptCount val="1"/>
                <c:pt idx="0">
                  <c:v>Hospitalisations / 10,000 donations</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Word]Sheet1'!$G$5:$K$5</c:f>
              <c:strCache>
                <c:ptCount val="5"/>
                <c:pt idx="0">
                  <c:v>2012-13</c:v>
                </c:pt>
                <c:pt idx="1">
                  <c:v>2013-14</c:v>
                </c:pt>
                <c:pt idx="2">
                  <c:v>2014-15</c:v>
                </c:pt>
                <c:pt idx="3">
                  <c:v>2015-16</c:v>
                </c:pt>
                <c:pt idx="4">
                  <c:v>2016-17</c:v>
                </c:pt>
              </c:strCache>
            </c:strRef>
          </c:cat>
          <c:val>
            <c:numRef>
              <c:f>'[Chart in Microsoft Word]Sheet1'!$G$7:$K$7</c:f>
              <c:numCache>
                <c:formatCode>General</c:formatCode>
                <c:ptCount val="5"/>
                <c:pt idx="0">
                  <c:v>4</c:v>
                </c:pt>
                <c:pt idx="1">
                  <c:v>6</c:v>
                </c:pt>
                <c:pt idx="2">
                  <c:v>8</c:v>
                </c:pt>
                <c:pt idx="3">
                  <c:v>7</c:v>
                </c:pt>
                <c:pt idx="4">
                  <c:v>6</c:v>
                </c:pt>
              </c:numCache>
            </c:numRef>
          </c:val>
          <c:extLst>
            <c:ext xmlns:c16="http://schemas.microsoft.com/office/drawing/2014/chart" uri="{C3380CC4-5D6E-409C-BE32-E72D297353CC}">
              <c16:uniqueId val="{00000001-5A49-4E8B-80C7-CFB00233EDAA}"/>
            </c:ext>
          </c:extLst>
        </c:ser>
        <c:dLbls>
          <c:showLegendKey val="0"/>
          <c:showVal val="0"/>
          <c:showCatName val="0"/>
          <c:showSerName val="0"/>
          <c:showPercent val="0"/>
          <c:showBubbleSize val="0"/>
        </c:dLbls>
        <c:gapWidth val="150"/>
        <c:axId val="218817024"/>
        <c:axId val="41020800"/>
      </c:barChart>
      <c:catAx>
        <c:axId val="218817024"/>
        <c:scaling>
          <c:orientation val="minMax"/>
        </c:scaling>
        <c:delete val="0"/>
        <c:axPos val="b"/>
        <c:numFmt formatCode="General" sourceLinked="1"/>
        <c:majorTickMark val="out"/>
        <c:minorTickMark val="none"/>
        <c:tickLblPos val="nextTo"/>
        <c:crossAx val="41020800"/>
        <c:crosses val="autoZero"/>
        <c:auto val="1"/>
        <c:lblAlgn val="ctr"/>
        <c:lblOffset val="100"/>
        <c:noMultiLvlLbl val="0"/>
      </c:catAx>
      <c:valAx>
        <c:axId val="41020800"/>
        <c:scaling>
          <c:orientation val="minMax"/>
        </c:scaling>
        <c:delete val="0"/>
        <c:axPos val="l"/>
        <c:majorGridlines>
          <c:spPr>
            <a:ln>
              <a:solidFill>
                <a:schemeClr val="tx1">
                  <a:tint val="75000"/>
                  <a:shade val="95000"/>
                  <a:satMod val="105000"/>
                </a:schemeClr>
              </a:solidFill>
              <a:prstDash val="dash"/>
            </a:ln>
          </c:spPr>
        </c:majorGridlines>
        <c:title>
          <c:tx>
            <c:rich>
              <a:bodyPr rot="-5400000" vert="horz"/>
              <a:lstStyle/>
              <a:p>
                <a:pPr>
                  <a:defRPr/>
                </a:pPr>
                <a:r>
                  <a:rPr lang="en-AU"/>
                  <a:t>Event</a:t>
                </a:r>
                <a:r>
                  <a:rPr lang="en-AU" baseline="0"/>
                  <a:t> rate/ 10,000 donations</a:t>
                </a:r>
                <a:endParaRPr lang="en-AU"/>
              </a:p>
            </c:rich>
          </c:tx>
          <c:overlay val="0"/>
        </c:title>
        <c:numFmt formatCode="General" sourceLinked="1"/>
        <c:majorTickMark val="out"/>
        <c:minorTickMark val="none"/>
        <c:tickLblPos val="nextTo"/>
        <c:spPr>
          <a:ln>
            <a:noFill/>
          </a:ln>
        </c:spPr>
        <c:crossAx val="218817024"/>
        <c:crosses val="autoZero"/>
        <c:crossBetween val="between"/>
      </c:valAx>
    </c:plotArea>
    <c:legend>
      <c:legendPos val="b"/>
      <c:overlay val="0"/>
      <c:txPr>
        <a:bodyPr/>
        <a:lstStyle/>
        <a:p>
          <a:pPr>
            <a:defRPr b="0"/>
          </a:pPr>
          <a:endParaRPr lang="en-US"/>
        </a:p>
      </c:txPr>
    </c:legend>
    <c:plotVisOnly val="1"/>
    <c:dispBlanksAs val="gap"/>
    <c:showDLblsOverMax val="0"/>
  </c:chart>
  <c:spPr>
    <a:noFill/>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0.26597</cdr:x>
      <cdr:y>0.25868</cdr:y>
    </cdr:from>
    <cdr:to>
      <cdr:x>0.40862</cdr:x>
      <cdr:y>0.59201</cdr:y>
    </cdr:to>
    <cdr:sp macro="" textlink="">
      <cdr:nvSpPr>
        <cdr:cNvPr id="2" name="TextBox 1"/>
        <cdr:cNvSpPr txBox="1"/>
      </cdr:nvSpPr>
      <cdr:spPr>
        <a:xfrm xmlns:a="http://schemas.openxmlformats.org/drawingml/2006/main">
          <a:off x="1704975" y="7096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AA84C-0051-441A-804D-C58D2DE8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6736</Words>
  <Characters>38399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Blood Authority</dc:creator>
  <cp:lastModifiedBy>Cochrane, Sandra</cp:lastModifiedBy>
  <cp:revision>2</cp:revision>
  <cp:lastPrinted>2020-03-23T04:12:00Z</cp:lastPrinted>
  <dcterms:created xsi:type="dcterms:W3CDTF">2020-10-09T02:42:00Z</dcterms:created>
  <dcterms:modified xsi:type="dcterms:W3CDTF">2020-10-09T02:42:00Z</dcterms:modified>
</cp:coreProperties>
</file>