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BE4" w:rsidRPr="00F16498" w:rsidRDefault="004802BF" w:rsidP="007A6577">
      <w:pPr>
        <w:ind w:left="-284"/>
        <w:rPr>
          <w:b/>
          <w:sz w:val="28"/>
        </w:rPr>
      </w:pPr>
      <w:bookmarkStart w:id="0" w:name="_GoBack"/>
      <w:bookmarkEnd w:id="0"/>
      <w:r w:rsidRPr="00793AB7">
        <w:rPr>
          <w:rFonts w:ascii="Arial" w:hAnsi="Arial" w:cs="Arial"/>
          <w:sz w:val="28"/>
        </w:rPr>
        <w:t>2017 (v3.0) Proposed changes to v2.1 of the Criteria for the clinical use of intravenous immunoglobulin in Australia</w:t>
      </w:r>
    </w:p>
    <w:tbl>
      <w:tblPr>
        <w:tblStyle w:val="TableGrid"/>
        <w:tblW w:w="14601" w:type="dxa"/>
        <w:tblInd w:w="-318" w:type="dxa"/>
        <w:tblLook w:val="0680" w:firstRow="0" w:lastRow="0" w:firstColumn="1" w:lastColumn="0" w:noHBand="1" w:noVBand="1"/>
      </w:tblPr>
      <w:tblGrid>
        <w:gridCol w:w="4821"/>
        <w:gridCol w:w="9780"/>
      </w:tblGrid>
      <w:tr w:rsidR="008612AB" w:rsidRPr="00447869" w:rsidTr="00832D0D">
        <w:trPr>
          <w:tblHeader/>
        </w:trPr>
        <w:tc>
          <w:tcPr>
            <w:tcW w:w="14601" w:type="dxa"/>
            <w:gridSpan w:val="2"/>
            <w:shd w:val="clear" w:color="auto" w:fill="DBE5F1" w:themeFill="accent1" w:themeFillTint="33"/>
          </w:tcPr>
          <w:p w:rsidR="004549E1" w:rsidRDefault="009171CD" w:rsidP="00631E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 xml:space="preserve">2.1 </w:t>
            </w:r>
            <w:r w:rsidR="008612AB">
              <w:rPr>
                <w:rFonts w:asciiTheme="minorHAnsi" w:eastAsia="Times New Roman" w:hAnsiTheme="minorHAnsi" w:cs="Times New Roman"/>
                <w:b/>
                <w:bCs/>
                <w:lang w:eastAsia="en-AU"/>
              </w:rPr>
              <w:t>CONDITION NAME:</w:t>
            </w:r>
            <w:r w:rsidR="004549E1">
              <w:rPr>
                <w:rFonts w:asciiTheme="minorHAnsi" w:eastAsia="Times New Roman" w:hAnsiTheme="minorHAnsi" w:cs="Times New Roman"/>
                <w:b/>
                <w:bCs/>
                <w:lang w:eastAsia="en-AU"/>
              </w:rPr>
              <w:t xml:space="preserve"> </w:t>
            </w:r>
            <w:r w:rsidR="004549E1" w:rsidRPr="00E33020">
              <w:rPr>
                <w:rFonts w:asciiTheme="minorHAnsi" w:eastAsia="Times New Roman" w:hAnsiTheme="minorHAnsi" w:cs="Times New Roman"/>
                <w:b/>
                <w:bCs/>
                <w:lang w:eastAsia="en-AU"/>
              </w:rPr>
              <w:t>Potassium channel antibody-associated encephalopathy</w:t>
            </w:r>
            <w:r w:rsidR="00C413ED">
              <w:rPr>
                <w:rFonts w:asciiTheme="minorHAnsi" w:eastAsia="Times New Roman" w:hAnsiTheme="minorHAnsi" w:cs="Times New Roman"/>
                <w:b/>
                <w:bCs/>
                <w:lang w:eastAsia="en-AU"/>
              </w:rPr>
              <w:t>, Limbic encephalitis- non-paraneoplastic, Limbic encephalitis paraneoplastic and Hashimotos encephalopathy</w:t>
            </w:r>
          </w:p>
          <w:p w:rsidR="004549E1" w:rsidRDefault="004549E1" w:rsidP="00631EAB">
            <w:pPr>
              <w:spacing w:before="120" w:after="120"/>
              <w:rPr>
                <w:rFonts w:asciiTheme="minorHAnsi" w:eastAsia="Times New Roman" w:hAnsiTheme="minorHAnsi" w:cs="Times New Roman"/>
                <w:b/>
                <w:bCs/>
                <w:lang w:eastAsia="en-AU"/>
              </w:rPr>
            </w:pPr>
            <w:r w:rsidRPr="00202AAE">
              <w:rPr>
                <w:rFonts w:asciiTheme="minorHAnsi" w:eastAsia="Times New Roman" w:hAnsiTheme="minorHAnsi" w:cs="Times New Roman"/>
                <w:b/>
                <w:bCs/>
                <w:lang w:eastAsia="en-AU"/>
              </w:rPr>
              <w:t xml:space="preserve">PREVIOUS PUBLIC CONSULTATION NAME: </w:t>
            </w:r>
            <w:r w:rsidRPr="00E33020">
              <w:rPr>
                <w:rFonts w:asciiTheme="minorHAnsi" w:eastAsia="Times New Roman" w:hAnsiTheme="minorHAnsi" w:cs="Times New Roman"/>
                <w:b/>
                <w:bCs/>
                <w:lang w:eastAsia="en-AU"/>
              </w:rPr>
              <w:t>Autoimmune encephalitis mediated by antibodies targeting cell-surface antigens (AMAE)</w:t>
            </w:r>
          </w:p>
          <w:p w:rsidR="008612AB" w:rsidRPr="00447869" w:rsidRDefault="009171CD" w:rsidP="00631E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674CEF">
              <w:rPr>
                <w:rFonts w:asciiTheme="minorHAnsi" w:eastAsia="Times New Roman" w:hAnsiTheme="minorHAnsi" w:cs="Times New Roman"/>
                <w:b/>
                <w:bCs/>
                <w:lang w:eastAsia="en-AU"/>
              </w:rPr>
              <w:t>3</w:t>
            </w:r>
            <w:r w:rsidR="008E152E">
              <w:rPr>
                <w:rFonts w:asciiTheme="minorHAnsi" w:eastAsia="Times New Roman" w:hAnsiTheme="minorHAnsi" w:cs="Times New Roman"/>
                <w:b/>
                <w:bCs/>
                <w:lang w:eastAsia="en-AU"/>
              </w:rPr>
              <w:t>.</w:t>
            </w:r>
            <w:r w:rsidR="00CC346F">
              <w:rPr>
                <w:rFonts w:asciiTheme="minorHAnsi" w:eastAsia="Times New Roman" w:hAnsiTheme="minorHAnsi" w:cs="Times New Roman"/>
                <w:b/>
                <w:bCs/>
                <w:lang w:eastAsia="en-AU"/>
              </w:rPr>
              <w:t>0</w:t>
            </w:r>
            <w:r w:rsidR="00674CEF">
              <w:rPr>
                <w:rFonts w:asciiTheme="minorHAnsi" w:eastAsia="Times New Roman" w:hAnsiTheme="minorHAnsi" w:cs="Times New Roman"/>
                <w:b/>
                <w:bCs/>
                <w:lang w:eastAsia="en-AU"/>
              </w:rPr>
              <w:t xml:space="preserve"> CONDITION NAME: </w:t>
            </w:r>
            <w:r w:rsidR="004549E1" w:rsidRPr="00202AAE">
              <w:rPr>
                <w:rFonts w:asciiTheme="minorHAnsi" w:eastAsia="Times New Roman" w:hAnsiTheme="minorHAnsi" w:cs="Times New Roman"/>
                <w:b/>
                <w:bCs/>
                <w:lang w:eastAsia="en-AU"/>
              </w:rPr>
              <w:t>Autoimmune encephalitis mediated by antibodies targeting cell-surface antigens</w:t>
            </w:r>
            <w:r w:rsidR="004549E1">
              <w:rPr>
                <w:rFonts w:asciiTheme="minorHAnsi" w:eastAsia="Times New Roman" w:hAnsiTheme="minorHAnsi" w:cs="Times New Roman"/>
                <w:b/>
                <w:bCs/>
                <w:lang w:eastAsia="en-AU"/>
              </w:rPr>
              <w:t xml:space="preserve"> (AMAE)</w:t>
            </w:r>
          </w:p>
        </w:tc>
      </w:tr>
      <w:tr w:rsidR="0038007C" w:rsidRPr="00447869" w:rsidTr="00DC3758">
        <w:trPr>
          <w:tblHeader/>
        </w:trPr>
        <w:tc>
          <w:tcPr>
            <w:tcW w:w="4821" w:type="dxa"/>
            <w:shd w:val="clear" w:color="auto" w:fill="auto"/>
          </w:tcPr>
          <w:p w:rsidR="004549E1" w:rsidRPr="004549E1" w:rsidRDefault="00527DE2" w:rsidP="004549E1">
            <w:pPr>
              <w:spacing w:before="120" w:after="120"/>
              <w:rPr>
                <w:rFonts w:asciiTheme="minorHAnsi" w:eastAsia="Times New Roman" w:hAnsiTheme="minorHAnsi" w:cs="Times New Roman"/>
                <w:b/>
                <w:bCs/>
                <w:lang w:eastAsia="en-AU"/>
              </w:rPr>
            </w:pPr>
            <w:r w:rsidRPr="00F16498">
              <w:rPr>
                <w:rFonts w:asciiTheme="minorHAnsi" w:eastAsia="Times New Roman" w:hAnsiTheme="minorHAnsi" w:cs="Times New Roman"/>
                <w:bCs/>
                <w:lang w:eastAsia="en-AU"/>
              </w:rPr>
              <w:lastRenderedPageBreak/>
              <w:t>In 2015</w:t>
            </w:r>
            <w:r>
              <w:rPr>
                <w:rFonts w:asciiTheme="minorHAnsi" w:eastAsia="Times New Roman" w:hAnsiTheme="minorHAnsi" w:cs="Times New Roman"/>
                <w:b/>
                <w:bCs/>
                <w:lang w:eastAsia="en-AU"/>
              </w:rPr>
              <w:t xml:space="preserve"> </w:t>
            </w:r>
            <w:r w:rsidR="004549E1" w:rsidRPr="004549E1">
              <w:rPr>
                <w:rFonts w:asciiTheme="minorHAnsi" w:eastAsia="Times New Roman" w:hAnsiTheme="minorHAnsi" w:cs="Times New Roman"/>
                <w:b/>
                <w:bCs/>
                <w:lang w:eastAsia="en-AU"/>
              </w:rPr>
              <w:t xml:space="preserve">AMAE (previously named Potassium channel antibody-associated encephalopathy) </w:t>
            </w:r>
            <w:r w:rsidR="000B7852">
              <w:rPr>
                <w:rFonts w:asciiTheme="minorHAnsi" w:eastAsia="Times New Roman" w:hAnsiTheme="minorHAnsi" w:cs="Times New Roman"/>
                <w:bCs/>
                <w:lang w:eastAsia="en-AU"/>
              </w:rPr>
              <w:t xml:space="preserve">was </w:t>
            </w:r>
            <w:r w:rsidR="000B7852" w:rsidRPr="004549E1">
              <w:rPr>
                <w:rFonts w:asciiTheme="minorHAnsi" w:eastAsia="Times New Roman" w:hAnsiTheme="minorHAnsi" w:cs="Times New Roman"/>
                <w:bCs/>
                <w:lang w:eastAsia="en-AU"/>
              </w:rPr>
              <w:t>endorsed</w:t>
            </w:r>
            <w:r w:rsidR="004549E1" w:rsidRPr="004549E1">
              <w:rPr>
                <w:rFonts w:asciiTheme="minorHAnsi" w:eastAsia="Times New Roman" w:hAnsiTheme="minorHAnsi" w:cs="Times New Roman"/>
                <w:bCs/>
                <w:lang w:eastAsia="en-AU"/>
              </w:rPr>
              <w:t xml:space="preserve"> by NIGAC and JBC as a condition for which Ig has an </w:t>
            </w:r>
            <w:r w:rsidRPr="00527DE2">
              <w:rPr>
                <w:rFonts w:asciiTheme="minorHAnsi" w:eastAsia="Times New Roman" w:hAnsiTheme="minorHAnsi" w:cs="Times New Roman"/>
                <w:bCs/>
                <w:i/>
                <w:lang w:eastAsia="en-AU"/>
              </w:rPr>
              <w:t>E</w:t>
            </w:r>
            <w:r w:rsidR="004549E1" w:rsidRPr="00527DE2">
              <w:rPr>
                <w:rFonts w:asciiTheme="minorHAnsi" w:eastAsia="Times New Roman" w:hAnsiTheme="minorHAnsi" w:cs="Times New Roman"/>
                <w:bCs/>
                <w:i/>
                <w:lang w:eastAsia="en-AU"/>
              </w:rPr>
              <w:t>merging therapeutic role</w:t>
            </w:r>
            <w:r w:rsidR="004549E1" w:rsidRPr="004549E1">
              <w:rPr>
                <w:rFonts w:asciiTheme="minorHAnsi" w:eastAsia="Times New Roman" w:hAnsiTheme="minorHAnsi" w:cs="Times New Roman"/>
                <w:bCs/>
                <w:lang w:eastAsia="en-AU"/>
              </w:rPr>
              <w:t xml:space="preserve">.  At the time, the need for further significant review was acknowledged and scheduled to be undertaken as part of the formal review of conditions from the </w:t>
            </w:r>
            <w:r w:rsidR="004549E1" w:rsidRPr="003908FA">
              <w:rPr>
                <w:rFonts w:asciiTheme="minorHAnsi" w:eastAsia="Times New Roman" w:hAnsiTheme="minorHAnsi" w:cs="Times New Roman"/>
                <w:bCs/>
                <w:i/>
                <w:lang w:eastAsia="en-AU"/>
              </w:rPr>
              <w:t xml:space="preserve">Exceptional </w:t>
            </w:r>
            <w:r w:rsidR="009171CD" w:rsidRPr="003908FA">
              <w:rPr>
                <w:rFonts w:asciiTheme="minorHAnsi" w:eastAsia="Times New Roman" w:hAnsiTheme="minorHAnsi" w:cs="Times New Roman"/>
                <w:bCs/>
                <w:i/>
                <w:lang w:eastAsia="en-AU"/>
              </w:rPr>
              <w:t>circumstances only</w:t>
            </w:r>
            <w:r w:rsidR="009171CD" w:rsidRPr="004549E1">
              <w:rPr>
                <w:rFonts w:asciiTheme="minorHAnsi" w:eastAsia="Times New Roman" w:hAnsiTheme="minorHAnsi" w:cs="Times New Roman"/>
                <w:bCs/>
                <w:lang w:eastAsia="en-AU"/>
              </w:rPr>
              <w:t xml:space="preserve"> </w:t>
            </w:r>
            <w:r w:rsidR="004549E1" w:rsidRPr="004549E1">
              <w:rPr>
                <w:rFonts w:asciiTheme="minorHAnsi" w:eastAsia="Times New Roman" w:hAnsiTheme="minorHAnsi" w:cs="Times New Roman"/>
                <w:bCs/>
                <w:lang w:eastAsia="en-AU"/>
              </w:rPr>
              <w:t>category.</w:t>
            </w:r>
            <w:r w:rsidR="004549E1" w:rsidRPr="004549E1">
              <w:rPr>
                <w:rFonts w:asciiTheme="minorHAnsi" w:eastAsia="Times New Roman" w:hAnsiTheme="minorHAnsi" w:cs="Times New Roman"/>
                <w:b/>
                <w:bCs/>
                <w:lang w:eastAsia="en-AU"/>
              </w:rPr>
              <w:t xml:space="preserve"> </w:t>
            </w:r>
          </w:p>
          <w:p w:rsidR="004549E1" w:rsidRPr="004549E1" w:rsidRDefault="009171CD" w:rsidP="004549E1">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PROPOSED APPROACH:</w:t>
            </w:r>
          </w:p>
          <w:p w:rsidR="004549E1" w:rsidRPr="00DC3758" w:rsidRDefault="009171CD" w:rsidP="004549E1">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To</w:t>
            </w:r>
            <w:r w:rsidR="004549E1" w:rsidRPr="00DC3758">
              <w:rPr>
                <w:rFonts w:asciiTheme="minorHAnsi" w:eastAsia="Times New Roman" w:hAnsiTheme="minorHAnsi" w:cs="Times New Roman"/>
                <w:b/>
                <w:bCs/>
                <w:lang w:eastAsia="en-AU"/>
              </w:rPr>
              <w:t xml:space="preserve"> retain </w:t>
            </w:r>
            <w:r w:rsidR="00527DE2">
              <w:rPr>
                <w:rFonts w:asciiTheme="minorHAnsi" w:eastAsia="Times New Roman" w:hAnsiTheme="minorHAnsi" w:cs="Times New Roman"/>
                <w:b/>
                <w:bCs/>
                <w:lang w:eastAsia="en-AU"/>
              </w:rPr>
              <w:t>AMAE in</w:t>
            </w:r>
            <w:r>
              <w:rPr>
                <w:rFonts w:asciiTheme="minorHAnsi" w:eastAsia="Times New Roman" w:hAnsiTheme="minorHAnsi" w:cs="Times New Roman"/>
                <w:b/>
                <w:bCs/>
                <w:lang w:eastAsia="en-AU"/>
              </w:rPr>
              <w:t xml:space="preserve"> </w:t>
            </w:r>
            <w:r w:rsidRPr="009171CD">
              <w:rPr>
                <w:rFonts w:asciiTheme="minorHAnsi" w:eastAsia="Times New Roman" w:hAnsiTheme="minorHAnsi" w:cs="Times New Roman"/>
                <w:b/>
                <w:bCs/>
                <w:i/>
                <w:lang w:eastAsia="en-AU"/>
              </w:rPr>
              <w:t xml:space="preserve">Emerging therapeutic role </w:t>
            </w:r>
            <w:r w:rsidR="004549E1" w:rsidRPr="00DC3758">
              <w:rPr>
                <w:rFonts w:asciiTheme="minorHAnsi" w:eastAsia="Times New Roman" w:hAnsiTheme="minorHAnsi" w:cs="Times New Roman"/>
                <w:b/>
                <w:bCs/>
                <w:lang w:eastAsia="en-AU"/>
              </w:rPr>
              <w:t>with the changes</w:t>
            </w:r>
            <w:r>
              <w:rPr>
                <w:rFonts w:asciiTheme="minorHAnsi" w:eastAsia="Times New Roman" w:hAnsiTheme="minorHAnsi" w:cs="Times New Roman"/>
                <w:b/>
                <w:bCs/>
                <w:lang w:eastAsia="en-AU"/>
              </w:rPr>
              <w:t xml:space="preserve"> </w:t>
            </w:r>
            <w:r w:rsidR="00156033">
              <w:rPr>
                <w:rFonts w:asciiTheme="minorHAnsi" w:eastAsia="Times New Roman" w:hAnsiTheme="minorHAnsi" w:cs="Times New Roman"/>
                <w:b/>
                <w:bCs/>
                <w:lang w:eastAsia="en-AU"/>
              </w:rPr>
              <w:t xml:space="preserve">as </w:t>
            </w:r>
            <w:r>
              <w:rPr>
                <w:rFonts w:asciiTheme="minorHAnsi" w:eastAsia="Times New Roman" w:hAnsiTheme="minorHAnsi" w:cs="Times New Roman"/>
                <w:b/>
                <w:bCs/>
                <w:lang w:eastAsia="en-AU"/>
              </w:rPr>
              <w:t>outlined</w:t>
            </w:r>
            <w:r w:rsidR="004549E1" w:rsidRPr="00DC3758">
              <w:rPr>
                <w:rFonts w:asciiTheme="minorHAnsi" w:eastAsia="Times New Roman" w:hAnsiTheme="minorHAnsi" w:cs="Times New Roman"/>
                <w:b/>
                <w:bCs/>
                <w:lang w:eastAsia="en-AU"/>
              </w:rPr>
              <w:t xml:space="preserve"> </w:t>
            </w:r>
            <w:r w:rsidR="00793AB7">
              <w:rPr>
                <w:rFonts w:asciiTheme="minorHAnsi" w:eastAsia="Times New Roman" w:hAnsiTheme="minorHAnsi" w:cs="Times New Roman"/>
                <w:b/>
                <w:bCs/>
                <w:lang w:eastAsia="en-AU"/>
              </w:rPr>
              <w:t>including addition</w:t>
            </w:r>
            <w:r w:rsidR="004549E1" w:rsidRPr="00DC3758">
              <w:rPr>
                <w:rFonts w:asciiTheme="minorHAnsi" w:eastAsia="Times New Roman" w:hAnsiTheme="minorHAnsi" w:cs="Times New Roman"/>
                <w:b/>
                <w:bCs/>
                <w:lang w:eastAsia="en-AU"/>
              </w:rPr>
              <w:t xml:space="preserve"> of eligible patients with Limbic encephalitis and Hashimoto’s encephalopathy. </w:t>
            </w:r>
          </w:p>
          <w:p w:rsidR="004549E1" w:rsidRPr="00527DE2" w:rsidRDefault="004549E1" w:rsidP="004549E1">
            <w:pPr>
              <w:spacing w:before="120" w:after="120"/>
              <w:rPr>
                <w:rFonts w:asciiTheme="minorHAnsi" w:eastAsia="Times New Roman" w:hAnsiTheme="minorHAnsi" w:cs="Times New Roman"/>
                <w:b/>
                <w:bCs/>
                <w:lang w:eastAsia="en-AU"/>
              </w:rPr>
            </w:pPr>
            <w:r w:rsidRPr="00527DE2">
              <w:rPr>
                <w:rFonts w:asciiTheme="minorHAnsi" w:eastAsia="Times New Roman" w:hAnsiTheme="minorHAnsi" w:cs="Times New Roman"/>
                <w:b/>
                <w:bCs/>
                <w:lang w:eastAsia="en-AU"/>
              </w:rPr>
              <w:t xml:space="preserve">As a result, </w:t>
            </w:r>
            <w:r w:rsidR="00793AB7">
              <w:rPr>
                <w:rFonts w:asciiTheme="minorHAnsi" w:eastAsia="Times New Roman" w:hAnsiTheme="minorHAnsi" w:cs="Times New Roman"/>
                <w:b/>
                <w:bCs/>
                <w:lang w:eastAsia="en-AU"/>
              </w:rPr>
              <w:t>along with Potassium channel antibody-associated encephalopathy, the following conditions will no longer be retained as standalone conditions in any category</w:t>
            </w:r>
          </w:p>
          <w:p w:rsidR="004549E1" w:rsidRPr="00527DE2" w:rsidRDefault="004549E1" w:rsidP="004549E1">
            <w:pPr>
              <w:spacing w:before="120" w:after="120"/>
              <w:rPr>
                <w:rFonts w:asciiTheme="minorHAnsi" w:eastAsia="Times New Roman" w:hAnsiTheme="minorHAnsi" w:cs="Times New Roman"/>
                <w:b/>
                <w:bCs/>
                <w:lang w:eastAsia="en-AU"/>
              </w:rPr>
            </w:pPr>
            <w:r w:rsidRPr="00527DE2">
              <w:rPr>
                <w:rFonts w:asciiTheme="minorHAnsi" w:eastAsia="Times New Roman" w:hAnsiTheme="minorHAnsi" w:cs="Times New Roman"/>
                <w:b/>
                <w:bCs/>
                <w:lang w:eastAsia="en-AU"/>
              </w:rPr>
              <w:t>•</w:t>
            </w:r>
            <w:r w:rsidRPr="00527DE2">
              <w:rPr>
                <w:rFonts w:asciiTheme="minorHAnsi" w:eastAsia="Times New Roman" w:hAnsiTheme="minorHAnsi" w:cs="Times New Roman"/>
                <w:b/>
                <w:bCs/>
                <w:lang w:eastAsia="en-AU"/>
              </w:rPr>
              <w:tab/>
              <w:t>Limbic encephalitis - non- paraneoplastic</w:t>
            </w:r>
          </w:p>
          <w:p w:rsidR="004549E1" w:rsidRPr="00527DE2" w:rsidRDefault="004549E1" w:rsidP="004549E1">
            <w:pPr>
              <w:spacing w:before="120" w:after="120"/>
              <w:rPr>
                <w:rFonts w:asciiTheme="minorHAnsi" w:eastAsia="Times New Roman" w:hAnsiTheme="minorHAnsi" w:cs="Times New Roman"/>
                <w:b/>
                <w:bCs/>
                <w:lang w:eastAsia="en-AU"/>
              </w:rPr>
            </w:pPr>
            <w:r w:rsidRPr="00527DE2">
              <w:rPr>
                <w:rFonts w:asciiTheme="minorHAnsi" w:eastAsia="Times New Roman" w:hAnsiTheme="minorHAnsi" w:cs="Times New Roman"/>
                <w:b/>
                <w:bCs/>
                <w:lang w:eastAsia="en-AU"/>
              </w:rPr>
              <w:t>•</w:t>
            </w:r>
            <w:r w:rsidRPr="00527DE2">
              <w:rPr>
                <w:rFonts w:asciiTheme="minorHAnsi" w:eastAsia="Times New Roman" w:hAnsiTheme="minorHAnsi" w:cs="Times New Roman"/>
                <w:b/>
                <w:bCs/>
                <w:lang w:eastAsia="en-AU"/>
              </w:rPr>
              <w:tab/>
              <w:t xml:space="preserve">Limbic encephalitis paraneoplastic and </w:t>
            </w:r>
          </w:p>
          <w:p w:rsidR="004549E1" w:rsidRPr="00527DE2" w:rsidRDefault="004549E1" w:rsidP="004549E1">
            <w:pPr>
              <w:spacing w:before="120" w:after="120"/>
              <w:rPr>
                <w:rFonts w:asciiTheme="minorHAnsi" w:eastAsia="Times New Roman" w:hAnsiTheme="minorHAnsi" w:cs="Times New Roman"/>
                <w:b/>
                <w:bCs/>
                <w:lang w:eastAsia="en-AU"/>
              </w:rPr>
            </w:pPr>
            <w:r w:rsidRPr="00527DE2">
              <w:rPr>
                <w:rFonts w:asciiTheme="minorHAnsi" w:eastAsia="Times New Roman" w:hAnsiTheme="minorHAnsi" w:cs="Times New Roman"/>
                <w:b/>
                <w:bCs/>
                <w:lang w:eastAsia="en-AU"/>
              </w:rPr>
              <w:t>•</w:t>
            </w:r>
            <w:r w:rsidRPr="00527DE2">
              <w:rPr>
                <w:rFonts w:asciiTheme="minorHAnsi" w:eastAsia="Times New Roman" w:hAnsiTheme="minorHAnsi" w:cs="Times New Roman"/>
                <w:b/>
                <w:bCs/>
                <w:lang w:eastAsia="en-AU"/>
              </w:rPr>
              <w:tab/>
              <w:t>Hashimoto’s encephalopathy</w:t>
            </w:r>
          </w:p>
          <w:p w:rsidR="003E3235" w:rsidRPr="00C92149" w:rsidRDefault="003E3235" w:rsidP="00527DE2">
            <w:pPr>
              <w:spacing w:before="120" w:after="120"/>
              <w:rPr>
                <w:rFonts w:asciiTheme="minorHAnsi" w:eastAsia="Times New Roman" w:hAnsiTheme="minorHAnsi" w:cs="Times New Roman"/>
                <w:bCs/>
                <w:lang w:eastAsia="en-AU"/>
              </w:rPr>
            </w:pPr>
          </w:p>
        </w:tc>
        <w:tc>
          <w:tcPr>
            <w:tcW w:w="9780" w:type="dxa"/>
            <w:shd w:val="clear" w:color="auto" w:fill="auto"/>
          </w:tcPr>
          <w:p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rsidR="004549E1" w:rsidRPr="00E33020" w:rsidRDefault="000E0F0A" w:rsidP="004549E1">
            <w:p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A</w:t>
            </w:r>
            <w:r w:rsidR="004549E1" w:rsidRPr="00E33020">
              <w:rPr>
                <w:rFonts w:asciiTheme="minorHAnsi" w:eastAsia="Times New Roman" w:hAnsiTheme="minorHAnsi" w:cs="Times New Roman"/>
                <w:bCs/>
                <w:lang w:eastAsia="en-AU"/>
              </w:rPr>
              <w:t xml:space="preserve"> number of contributing factors support the recommended changes: </w:t>
            </w:r>
          </w:p>
          <w:p w:rsidR="004549E1" w:rsidRPr="00E33020" w:rsidRDefault="004549E1" w:rsidP="004549E1">
            <w:pPr>
              <w:pStyle w:val="ListParagraph"/>
              <w:numPr>
                <w:ilvl w:val="0"/>
                <w:numId w:val="47"/>
              </w:numPr>
              <w:spacing w:before="120" w:after="120"/>
              <w:rPr>
                <w:rFonts w:asciiTheme="minorHAnsi" w:eastAsia="Times New Roman" w:hAnsiTheme="minorHAnsi" w:cs="Times New Roman"/>
                <w:bCs/>
                <w:lang w:eastAsia="en-AU"/>
              </w:rPr>
            </w:pPr>
            <w:r w:rsidRPr="00E33020">
              <w:rPr>
                <w:rFonts w:asciiTheme="minorHAnsi" w:eastAsia="Times New Roman" w:hAnsiTheme="minorHAnsi" w:cs="Times New Roman"/>
                <w:bCs/>
                <w:lang w:eastAsia="en-AU"/>
              </w:rPr>
              <w:t>Ig therapy is internationally recognised as being first line treatment of AMAE (including limbic encephalitis), in combination with corticosteroids, where clinical outcomes have been demonstrated to improve with earlier treatment</w:t>
            </w:r>
            <w:r w:rsidR="009B6C03">
              <w:rPr>
                <w:rFonts w:asciiTheme="minorHAnsi" w:eastAsia="Times New Roman" w:hAnsiTheme="minorHAnsi" w:cs="Times New Roman"/>
                <w:bCs/>
                <w:lang w:eastAsia="en-AU"/>
              </w:rPr>
              <w:t xml:space="preserve"> and over 500 patient case </w:t>
            </w:r>
            <w:r w:rsidR="00A93A55">
              <w:rPr>
                <w:rFonts w:asciiTheme="minorHAnsi" w:eastAsia="Times New Roman" w:hAnsiTheme="minorHAnsi" w:cs="Times New Roman"/>
                <w:bCs/>
                <w:lang w:eastAsia="en-AU"/>
              </w:rPr>
              <w:t>reports/</w:t>
            </w:r>
            <w:r w:rsidR="009B6C03">
              <w:rPr>
                <w:rFonts w:asciiTheme="minorHAnsi" w:eastAsia="Times New Roman" w:hAnsiTheme="minorHAnsi" w:cs="Times New Roman"/>
                <w:bCs/>
                <w:lang w:eastAsia="en-AU"/>
              </w:rPr>
              <w:t xml:space="preserve">series are now published </w:t>
            </w:r>
            <w:r w:rsidR="00676835">
              <w:rPr>
                <w:rFonts w:asciiTheme="minorHAnsi" w:eastAsia="Times New Roman" w:hAnsiTheme="minorHAnsi" w:cs="Times New Roman"/>
                <w:bCs/>
                <w:lang w:eastAsia="en-AU"/>
              </w:rPr>
              <w:t xml:space="preserve">that have reported </w:t>
            </w:r>
            <w:r w:rsidR="009B6C03">
              <w:rPr>
                <w:rFonts w:asciiTheme="minorHAnsi" w:eastAsia="Times New Roman" w:hAnsiTheme="minorHAnsi" w:cs="Times New Roman"/>
                <w:bCs/>
                <w:lang w:eastAsia="en-AU"/>
              </w:rPr>
              <w:t xml:space="preserve">benefit of Ig therapy. </w:t>
            </w:r>
          </w:p>
          <w:p w:rsidR="004549E1" w:rsidRPr="00E33020" w:rsidRDefault="004549E1" w:rsidP="004549E1">
            <w:pPr>
              <w:pStyle w:val="ListParagraph"/>
              <w:numPr>
                <w:ilvl w:val="0"/>
                <w:numId w:val="47"/>
              </w:numPr>
              <w:spacing w:before="120" w:after="120"/>
              <w:rPr>
                <w:rFonts w:asciiTheme="minorHAnsi" w:eastAsia="Times New Roman" w:hAnsiTheme="minorHAnsi" w:cs="Times New Roman"/>
                <w:bCs/>
                <w:lang w:eastAsia="en-AU"/>
              </w:rPr>
            </w:pPr>
            <w:r w:rsidRPr="00E33020">
              <w:rPr>
                <w:rFonts w:asciiTheme="minorHAnsi" w:eastAsia="Times New Roman" w:hAnsiTheme="minorHAnsi" w:cs="Times New Roman"/>
                <w:bCs/>
                <w:lang w:eastAsia="en-AU"/>
              </w:rPr>
              <w:t>Recent publications (Graus et al</w:t>
            </w:r>
            <w:r w:rsidR="00191734">
              <w:rPr>
                <w:rFonts w:asciiTheme="minorHAnsi" w:eastAsia="Times New Roman" w:hAnsiTheme="minorHAnsi" w:cs="Times New Roman"/>
                <w:bCs/>
                <w:lang w:eastAsia="en-AU"/>
              </w:rPr>
              <w:t>, 2016 and</w:t>
            </w:r>
            <w:r w:rsidRPr="00E33020">
              <w:rPr>
                <w:rFonts w:asciiTheme="minorHAnsi" w:eastAsia="Times New Roman" w:hAnsiTheme="minorHAnsi" w:cs="Times New Roman"/>
                <w:bCs/>
                <w:lang w:eastAsia="en-AU"/>
              </w:rPr>
              <w:t xml:space="preserve"> Nosadini et al</w:t>
            </w:r>
            <w:r w:rsidR="00191734">
              <w:rPr>
                <w:rFonts w:asciiTheme="minorHAnsi" w:eastAsia="Times New Roman" w:hAnsiTheme="minorHAnsi" w:cs="Times New Roman"/>
                <w:bCs/>
                <w:lang w:eastAsia="en-AU"/>
              </w:rPr>
              <w:t>, 2015</w:t>
            </w:r>
            <w:r w:rsidRPr="00E33020">
              <w:rPr>
                <w:rFonts w:asciiTheme="minorHAnsi" w:eastAsia="Times New Roman" w:hAnsiTheme="minorHAnsi" w:cs="Times New Roman"/>
                <w:bCs/>
                <w:lang w:eastAsia="en-AU"/>
              </w:rPr>
              <w:t xml:space="preserve">) have contributed to the strength of evidence and provide formal diagnostic criteria for definite, probable and possible AMAE which have been applied to these revised qualifying criteria. </w:t>
            </w:r>
          </w:p>
          <w:p w:rsidR="004549E1" w:rsidRPr="00E33020" w:rsidRDefault="004549E1" w:rsidP="004549E1">
            <w:pPr>
              <w:pStyle w:val="ListParagraph"/>
              <w:numPr>
                <w:ilvl w:val="0"/>
                <w:numId w:val="47"/>
              </w:numPr>
              <w:spacing w:before="120" w:after="120"/>
              <w:rPr>
                <w:rFonts w:asciiTheme="minorHAnsi" w:eastAsia="Times New Roman" w:hAnsiTheme="minorHAnsi" w:cs="Times New Roman"/>
                <w:bCs/>
                <w:lang w:eastAsia="en-AU"/>
              </w:rPr>
            </w:pPr>
            <w:r w:rsidRPr="00E33020">
              <w:rPr>
                <w:rFonts w:asciiTheme="minorHAnsi" w:eastAsia="Times New Roman" w:hAnsiTheme="minorHAnsi" w:cs="Times New Roman"/>
                <w:bCs/>
                <w:lang w:eastAsia="en-AU"/>
              </w:rPr>
              <w:t>Seronegative patients meeting the diagnostic and review criteria have been proven to derive benefit from Ig therapy (Hachoen et al</w:t>
            </w:r>
            <w:r w:rsidR="00191734">
              <w:rPr>
                <w:rFonts w:asciiTheme="minorHAnsi" w:eastAsia="Times New Roman" w:hAnsiTheme="minorHAnsi" w:cs="Times New Roman"/>
                <w:bCs/>
                <w:lang w:eastAsia="en-AU"/>
              </w:rPr>
              <w:t>, 2013</w:t>
            </w:r>
            <w:r w:rsidRPr="00E33020">
              <w:rPr>
                <w:rFonts w:asciiTheme="minorHAnsi" w:eastAsia="Times New Roman" w:hAnsiTheme="minorHAnsi" w:cs="Times New Roman"/>
                <w:bCs/>
                <w:lang w:eastAsia="en-AU"/>
              </w:rPr>
              <w:t>).</w:t>
            </w:r>
          </w:p>
          <w:p w:rsidR="004549E1" w:rsidRPr="00E33020" w:rsidRDefault="004549E1" w:rsidP="004549E1">
            <w:pPr>
              <w:pStyle w:val="ListParagraph"/>
              <w:numPr>
                <w:ilvl w:val="0"/>
                <w:numId w:val="47"/>
              </w:numPr>
              <w:spacing w:before="120" w:after="120"/>
              <w:rPr>
                <w:rFonts w:asciiTheme="minorHAnsi" w:eastAsia="Times New Roman" w:hAnsiTheme="minorHAnsi" w:cs="Times New Roman"/>
                <w:bCs/>
                <w:lang w:eastAsia="en-AU"/>
              </w:rPr>
            </w:pPr>
            <w:r w:rsidRPr="00E33020">
              <w:rPr>
                <w:rFonts w:asciiTheme="minorHAnsi" w:eastAsia="Times New Roman" w:hAnsiTheme="minorHAnsi" w:cs="Times New Roman"/>
                <w:bCs/>
                <w:lang w:eastAsia="en-AU"/>
              </w:rPr>
              <w:t xml:space="preserve">The review of all conditions in the category of </w:t>
            </w:r>
            <w:r w:rsidRPr="00527DE2">
              <w:rPr>
                <w:rFonts w:asciiTheme="minorHAnsi" w:eastAsia="Times New Roman" w:hAnsiTheme="minorHAnsi" w:cs="Times New Roman"/>
                <w:bCs/>
                <w:i/>
                <w:lang w:eastAsia="en-AU"/>
              </w:rPr>
              <w:t xml:space="preserve">Exceptional </w:t>
            </w:r>
            <w:r w:rsidR="009171CD" w:rsidRPr="00527DE2">
              <w:rPr>
                <w:rFonts w:asciiTheme="minorHAnsi" w:eastAsia="Times New Roman" w:hAnsiTheme="minorHAnsi" w:cs="Times New Roman"/>
                <w:bCs/>
                <w:i/>
                <w:lang w:eastAsia="en-AU"/>
              </w:rPr>
              <w:t>circumstances only</w:t>
            </w:r>
            <w:r w:rsidR="009171CD" w:rsidRPr="00E33020">
              <w:rPr>
                <w:rFonts w:asciiTheme="minorHAnsi" w:eastAsia="Times New Roman" w:hAnsiTheme="minorHAnsi" w:cs="Times New Roman"/>
                <w:bCs/>
                <w:lang w:eastAsia="en-AU"/>
              </w:rPr>
              <w:t xml:space="preserve"> </w:t>
            </w:r>
            <w:r w:rsidRPr="00E33020">
              <w:rPr>
                <w:rFonts w:asciiTheme="minorHAnsi" w:eastAsia="Times New Roman" w:hAnsiTheme="minorHAnsi" w:cs="Times New Roman"/>
                <w:bCs/>
                <w:lang w:eastAsia="en-AU"/>
              </w:rPr>
              <w:t xml:space="preserve">has resulted in the restructuring of a number of conditions and supports the inclusion of patients with other relevant conditions under AMAE (including Limbic encephalitis and eligible patients with Hashimoto’s encephalitis). </w:t>
            </w:r>
          </w:p>
          <w:p w:rsidR="004549E1" w:rsidRPr="00E33020" w:rsidRDefault="004549E1" w:rsidP="004549E1">
            <w:pPr>
              <w:pStyle w:val="ListParagraph"/>
              <w:numPr>
                <w:ilvl w:val="0"/>
                <w:numId w:val="47"/>
              </w:numPr>
              <w:spacing w:before="120" w:after="120"/>
              <w:rPr>
                <w:rFonts w:asciiTheme="minorHAnsi" w:eastAsia="Times New Roman" w:hAnsiTheme="minorHAnsi" w:cs="Times New Roman"/>
                <w:bCs/>
                <w:lang w:eastAsia="en-AU"/>
              </w:rPr>
            </w:pPr>
            <w:r w:rsidRPr="00E33020">
              <w:rPr>
                <w:rFonts w:asciiTheme="minorHAnsi" w:eastAsia="Times New Roman" w:hAnsiTheme="minorHAnsi" w:cs="Times New Roman"/>
                <w:bCs/>
                <w:lang w:eastAsia="en-AU"/>
              </w:rPr>
              <w:t xml:space="preserve">This review has contributed to the formal removal of other conditions (paraneoplastic syndromes) from the Criteria. </w:t>
            </w:r>
          </w:p>
          <w:p w:rsidR="00FF4718" w:rsidRPr="00DC3758" w:rsidRDefault="004549E1" w:rsidP="00DC3758">
            <w:pPr>
              <w:pStyle w:val="ListParagraph"/>
              <w:numPr>
                <w:ilvl w:val="0"/>
                <w:numId w:val="47"/>
              </w:numPr>
              <w:spacing w:before="120" w:after="120"/>
              <w:rPr>
                <w:rFonts w:asciiTheme="minorHAnsi" w:eastAsia="Times New Roman" w:hAnsiTheme="minorHAnsi" w:cs="Times New Roman"/>
                <w:b/>
                <w:bCs/>
                <w:lang w:eastAsia="en-AU"/>
              </w:rPr>
            </w:pPr>
            <w:r w:rsidRPr="00E33020">
              <w:rPr>
                <w:rFonts w:asciiTheme="minorHAnsi" w:eastAsia="Times New Roman" w:hAnsiTheme="minorHAnsi" w:cs="Times New Roman"/>
                <w:bCs/>
                <w:lang w:eastAsia="en-AU"/>
              </w:rPr>
              <w:t>Ig usage has been increasing over recent years, probably in part due to the increasing recognition of the evidence supporting improved clinical outcomes with earlier immune therapy. The revised criteria will ensure that prescribing practice is appropriate and in line with emerging international practice.</w:t>
            </w:r>
            <w:r w:rsidR="003C3480">
              <w:rPr>
                <w:rFonts w:asciiTheme="minorHAnsi" w:eastAsia="Times New Roman" w:hAnsiTheme="minorHAnsi" w:cs="Times New Roman"/>
                <w:bCs/>
                <w:lang w:eastAsia="en-AU"/>
              </w:rPr>
              <w:t xml:space="preserve"> </w:t>
            </w:r>
            <w:r w:rsidRPr="00E33020">
              <w:rPr>
                <w:rFonts w:asciiTheme="minorHAnsi" w:eastAsia="Times New Roman" w:hAnsiTheme="minorHAnsi" w:cs="Times New Roman"/>
                <w:bCs/>
                <w:lang w:eastAsia="en-AU"/>
              </w:rPr>
              <w:t>It is recognised that this is an emerging area that will continue to undergo review as evidence becomes available, access to antibody testing increases and clinical practice is better established.</w:t>
            </w:r>
          </w:p>
          <w:p w:rsidR="003C3480" w:rsidRPr="00C92149" w:rsidRDefault="005C3C0C" w:rsidP="005C3C0C">
            <w:pPr>
              <w:pStyle w:val="ListParagraph"/>
              <w:numPr>
                <w:ilvl w:val="0"/>
                <w:numId w:val="47"/>
              </w:numPr>
              <w:spacing w:before="120" w:after="120"/>
              <w:rPr>
                <w:rFonts w:asciiTheme="minorHAnsi" w:eastAsia="Times New Roman" w:hAnsiTheme="minorHAnsi" w:cs="Times New Roman"/>
                <w:b/>
                <w:bCs/>
                <w:lang w:eastAsia="en-AU"/>
              </w:rPr>
            </w:pPr>
            <w:r w:rsidRPr="005C3C0C">
              <w:rPr>
                <w:rFonts w:asciiTheme="minorHAnsi" w:eastAsia="Times New Roman" w:hAnsiTheme="minorHAnsi" w:cs="Times New Roman"/>
                <w:bCs/>
                <w:lang w:eastAsia="en-AU"/>
              </w:rPr>
              <w:t xml:space="preserve">Autoimmune encephalitis </w:t>
            </w:r>
            <w:r w:rsidR="00D2180C" w:rsidRPr="00A33DC9">
              <w:rPr>
                <w:rFonts w:asciiTheme="minorHAnsi" w:eastAsia="Times New Roman" w:hAnsiTheme="minorHAnsi" w:cs="Times New Roman"/>
                <w:bCs/>
                <w:lang w:eastAsia="en-AU"/>
              </w:rPr>
              <w:t xml:space="preserve">is listed as a ‘grey’ </w:t>
            </w:r>
            <w:r w:rsidR="00D2180C">
              <w:rPr>
                <w:rFonts w:asciiTheme="minorHAnsi" w:eastAsia="Times New Roman" w:hAnsiTheme="minorHAnsi" w:cs="Times New Roman"/>
                <w:bCs/>
                <w:lang w:eastAsia="en-AU"/>
              </w:rPr>
              <w:t xml:space="preserve">indication </w:t>
            </w:r>
            <w:r w:rsidR="00D2180C" w:rsidRPr="00A33DC9">
              <w:rPr>
                <w:rFonts w:asciiTheme="minorHAnsi" w:eastAsia="Times New Roman" w:hAnsiTheme="minorHAnsi" w:cs="Times New Roman"/>
                <w:bCs/>
                <w:lang w:eastAsia="en-AU"/>
              </w:rPr>
              <w:t>in the UK NHS immunoglobulin guidelines</w:t>
            </w:r>
            <w:r w:rsidR="00D2180C">
              <w:rPr>
                <w:rFonts w:asciiTheme="minorHAnsi" w:eastAsia="Times New Roman" w:hAnsiTheme="minorHAnsi" w:cs="Times New Roman"/>
                <w:bCs/>
                <w:lang w:eastAsia="en-AU"/>
              </w:rPr>
              <w:t xml:space="preserve"> (UK Department of Health, 2011). Indications are categorised as ‘grey’ if evidence is weak. The UK guidelines acknowledge that in many cases, this is because the disease is rare. Local approval is required to access IVIg for ‘grey’ indications.</w:t>
            </w:r>
            <w:r w:rsidR="00D2180C" w:rsidRPr="00A33DC9">
              <w:rPr>
                <w:rFonts w:asciiTheme="minorHAnsi" w:eastAsia="Times New Roman" w:hAnsiTheme="minorHAnsi" w:cs="Times New Roman"/>
                <w:bCs/>
                <w:lang w:eastAsia="en-AU"/>
              </w:rPr>
              <w:t xml:space="preserve"> </w:t>
            </w:r>
            <w:r w:rsidRPr="005C3C0C">
              <w:rPr>
                <w:rFonts w:asciiTheme="minorHAnsi" w:eastAsia="Times New Roman" w:hAnsiTheme="minorHAnsi" w:cs="Times New Roman"/>
                <w:bCs/>
                <w:lang w:eastAsia="en-AU"/>
              </w:rPr>
              <w:t xml:space="preserve">It is also listed </w:t>
            </w:r>
            <w:r w:rsidR="008E152E">
              <w:rPr>
                <w:rFonts w:asciiTheme="minorHAnsi" w:eastAsia="Times New Roman" w:hAnsiTheme="minorHAnsi" w:cs="Times New Roman"/>
                <w:bCs/>
                <w:lang w:eastAsia="en-AU"/>
              </w:rPr>
              <w:t>(as NMDA encephalitis)</w:t>
            </w:r>
            <w:r w:rsidR="008E152E" w:rsidRPr="00700139">
              <w:rPr>
                <w:rFonts w:asciiTheme="minorHAnsi" w:eastAsia="Times New Roman" w:hAnsiTheme="minorHAnsi" w:cs="Times New Roman"/>
                <w:bCs/>
                <w:lang w:eastAsia="en-AU"/>
              </w:rPr>
              <w:t xml:space="preserve"> </w:t>
            </w:r>
            <w:r w:rsidRPr="005C3C0C">
              <w:rPr>
                <w:rFonts w:asciiTheme="minorHAnsi" w:eastAsia="Times New Roman" w:hAnsiTheme="minorHAnsi" w:cs="Times New Roman"/>
                <w:bCs/>
                <w:lang w:eastAsia="en-AU"/>
              </w:rPr>
              <w:t xml:space="preserve">in the national Canadian </w:t>
            </w:r>
            <w:r w:rsidR="0015147E">
              <w:rPr>
                <w:rFonts w:asciiTheme="minorHAnsi" w:eastAsia="Times New Roman" w:hAnsiTheme="minorHAnsi" w:cs="Times New Roman"/>
                <w:bCs/>
                <w:lang w:eastAsia="en-AU"/>
              </w:rPr>
              <w:t>IVIg</w:t>
            </w:r>
            <w:r w:rsidRPr="005C3C0C">
              <w:rPr>
                <w:rFonts w:asciiTheme="minorHAnsi" w:eastAsia="Times New Roman" w:hAnsiTheme="minorHAnsi" w:cs="Times New Roman"/>
                <w:bCs/>
                <w:lang w:eastAsia="en-AU"/>
              </w:rPr>
              <w:t xml:space="preserve"> Management Guidelines (Ontario Regional Blood Coordinating Network, 2016).</w:t>
            </w:r>
          </w:p>
        </w:tc>
      </w:tr>
      <w:tr w:rsidR="00631EAB" w:rsidRPr="00447869" w:rsidTr="008612AB">
        <w:trPr>
          <w:tblHeader/>
        </w:trPr>
        <w:tc>
          <w:tcPr>
            <w:tcW w:w="14601" w:type="dxa"/>
            <w:gridSpan w:val="2"/>
            <w:shd w:val="clear" w:color="auto" w:fill="auto"/>
          </w:tcPr>
          <w:p w:rsidR="00550AA4" w:rsidRPr="00550AA4" w:rsidRDefault="00550AA4" w:rsidP="008612AB">
            <w:pPr>
              <w:spacing w:before="120" w:after="120"/>
              <w:rPr>
                <w:rFonts w:asciiTheme="minorHAnsi" w:eastAsia="Times New Roman" w:hAnsiTheme="minorHAnsi" w:cs="Times New Roman"/>
                <w:bCs/>
                <w:lang w:eastAsia="en-AU"/>
              </w:rPr>
            </w:pPr>
            <w:r w:rsidRPr="00793AB7">
              <w:rPr>
                <w:rFonts w:asciiTheme="minorHAnsi" w:eastAsia="Times New Roman" w:hAnsiTheme="minorHAnsi" w:cs="Times New Roman"/>
                <w:b/>
                <w:bCs/>
                <w:lang w:eastAsia="en-AU"/>
              </w:rPr>
              <w:t>v2.1 CONDITION CATEGROY:</w:t>
            </w:r>
            <w:r>
              <w:rPr>
                <w:rFonts w:asciiTheme="minorHAnsi" w:eastAsia="Times New Roman" w:hAnsiTheme="minorHAnsi" w:cs="Times New Roman"/>
                <w:bCs/>
                <w:lang w:eastAsia="en-AU"/>
              </w:rPr>
              <w:t xml:space="preserve"> AMAE was not included. </w:t>
            </w:r>
          </w:p>
          <w:p w:rsidR="00631EAB" w:rsidRDefault="00F16498" w:rsidP="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2015 Public Consultation</w:t>
            </w:r>
            <w:r w:rsidR="00461F36">
              <w:rPr>
                <w:rFonts w:asciiTheme="minorHAnsi" w:eastAsia="Times New Roman" w:hAnsiTheme="minorHAnsi" w:cs="Times New Roman"/>
                <w:b/>
                <w:bCs/>
                <w:lang w:eastAsia="en-AU"/>
              </w:rPr>
              <w:t xml:space="preserve"> CONDITION CATEG</w:t>
            </w:r>
            <w:r w:rsidR="00631EAB">
              <w:rPr>
                <w:rFonts w:asciiTheme="minorHAnsi" w:eastAsia="Times New Roman" w:hAnsiTheme="minorHAnsi" w:cs="Times New Roman"/>
                <w:b/>
                <w:bCs/>
                <w:lang w:eastAsia="en-AU"/>
              </w:rPr>
              <w:t xml:space="preserve">ORY: </w:t>
            </w:r>
            <w:r w:rsidR="00527DE2" w:rsidRPr="00527DE2">
              <w:rPr>
                <w:rFonts w:asciiTheme="minorHAnsi" w:eastAsia="Times New Roman" w:hAnsiTheme="minorHAnsi" w:cs="Times New Roman"/>
                <w:bCs/>
                <w:lang w:eastAsia="en-AU"/>
              </w:rPr>
              <w:t>Condition for which Ig has an</w:t>
            </w:r>
            <w:r w:rsidR="00527DE2">
              <w:rPr>
                <w:rFonts w:asciiTheme="minorHAnsi" w:eastAsia="Times New Roman" w:hAnsiTheme="minorHAnsi" w:cs="Times New Roman"/>
                <w:b/>
                <w:bCs/>
                <w:lang w:eastAsia="en-AU"/>
              </w:rPr>
              <w:t xml:space="preserve"> </w:t>
            </w:r>
            <w:r w:rsidR="004549E1">
              <w:rPr>
                <w:rFonts w:asciiTheme="minorHAnsi" w:eastAsia="Times New Roman" w:hAnsiTheme="minorHAnsi" w:cs="Times New Roman"/>
                <w:bCs/>
                <w:lang w:eastAsia="en-AU"/>
              </w:rPr>
              <w:t>Emerging therapeutic role (Chapter 6)</w:t>
            </w:r>
          </w:p>
          <w:p w:rsidR="00550AA4" w:rsidRDefault="00550AA4"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v3.0 CONDITION CATEGORY: </w:t>
            </w:r>
            <w:r w:rsidRPr="00527DE2">
              <w:rPr>
                <w:rFonts w:asciiTheme="minorHAnsi" w:eastAsia="Times New Roman" w:hAnsiTheme="minorHAnsi" w:cs="Times New Roman"/>
                <w:bCs/>
                <w:lang w:eastAsia="en-AU"/>
              </w:rPr>
              <w:t>Condition for which Ig has an</w:t>
            </w:r>
            <w:r>
              <w:rPr>
                <w:rFonts w:asciiTheme="minorHAnsi" w:eastAsia="Times New Roman" w:hAnsiTheme="minorHAnsi" w:cs="Times New Roman"/>
                <w:b/>
                <w:bCs/>
                <w:lang w:eastAsia="en-AU"/>
              </w:rPr>
              <w:t xml:space="preserve"> </w:t>
            </w:r>
            <w:r>
              <w:rPr>
                <w:rFonts w:asciiTheme="minorHAnsi" w:eastAsia="Times New Roman" w:hAnsiTheme="minorHAnsi" w:cs="Times New Roman"/>
                <w:bCs/>
                <w:lang w:eastAsia="en-AU"/>
              </w:rPr>
              <w:t>Emerging therapeutic role (Chapter 6)</w:t>
            </w:r>
          </w:p>
        </w:tc>
      </w:tr>
      <w:tr w:rsidR="008612AB" w:rsidRPr="00447869" w:rsidTr="008612AB">
        <w:trPr>
          <w:tblHeader/>
        </w:trPr>
        <w:tc>
          <w:tcPr>
            <w:tcW w:w="14601" w:type="dxa"/>
            <w:gridSpan w:val="2"/>
            <w:shd w:val="clear" w:color="auto" w:fill="auto"/>
          </w:tcPr>
          <w:p w:rsidR="004549E1" w:rsidRPr="00E33020" w:rsidRDefault="008612AB" w:rsidP="004549E1">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lastRenderedPageBreak/>
              <w:t>Role of Ig therapy:</w:t>
            </w:r>
            <w:r w:rsidR="00674CEF">
              <w:rPr>
                <w:rFonts w:asciiTheme="minorHAnsi" w:eastAsia="Times New Roman" w:hAnsiTheme="minorHAnsi" w:cs="Times New Roman"/>
                <w:b/>
                <w:bCs/>
                <w:lang w:eastAsia="en-AU"/>
              </w:rPr>
              <w:t xml:space="preserve"> </w:t>
            </w:r>
            <w:r w:rsidR="004549E1" w:rsidRPr="00E33020">
              <w:rPr>
                <w:rFonts w:asciiTheme="minorHAnsi" w:eastAsia="Times New Roman" w:hAnsiTheme="minorHAnsi" w:cs="Times New Roman"/>
                <w:bCs/>
                <w:lang w:eastAsia="en-AU"/>
              </w:rPr>
              <w:t>This condition primarily only responds to Immunotherapy, or</w:t>
            </w:r>
            <w:r w:rsidR="004549E1">
              <w:rPr>
                <w:rFonts w:asciiTheme="minorHAnsi" w:eastAsia="Times New Roman" w:hAnsiTheme="minorHAnsi" w:cs="Times New Roman"/>
                <w:bCs/>
                <w:lang w:eastAsia="en-AU"/>
              </w:rPr>
              <w:t xml:space="preserve"> </w:t>
            </w:r>
            <w:r w:rsidR="004549E1" w:rsidRPr="00E33020">
              <w:rPr>
                <w:rFonts w:asciiTheme="minorHAnsi" w:eastAsia="Times New Roman" w:hAnsiTheme="minorHAnsi" w:cs="Times New Roman"/>
                <w:bCs/>
                <w:lang w:eastAsia="en-AU"/>
              </w:rPr>
              <w:t>tumour resection where a tumour is responsible for generating the causative antibody</w:t>
            </w:r>
            <w:r w:rsidR="004549E1">
              <w:rPr>
                <w:rFonts w:asciiTheme="minorHAnsi" w:eastAsia="Times New Roman" w:hAnsiTheme="minorHAnsi" w:cs="Times New Roman"/>
                <w:bCs/>
                <w:lang w:eastAsia="en-AU"/>
              </w:rPr>
              <w:t xml:space="preserve">. </w:t>
            </w:r>
            <w:r w:rsidR="004549E1" w:rsidRPr="00E33020">
              <w:rPr>
                <w:rFonts w:asciiTheme="minorHAnsi" w:eastAsia="Times New Roman" w:hAnsiTheme="minorHAnsi" w:cs="Times New Roman"/>
                <w:bCs/>
                <w:lang w:eastAsia="en-AU"/>
              </w:rPr>
              <w:t xml:space="preserve">The tenets of the evidence emphasise the importance of instituting Ig treatment early (including prior to antibody confirmation) and </w:t>
            </w:r>
            <w:r w:rsidR="00026961">
              <w:rPr>
                <w:rFonts w:asciiTheme="minorHAnsi" w:eastAsia="Times New Roman" w:hAnsiTheme="minorHAnsi" w:cs="Times New Roman"/>
                <w:bCs/>
                <w:lang w:eastAsia="en-AU"/>
              </w:rPr>
              <w:t xml:space="preserve">that </w:t>
            </w:r>
            <w:r w:rsidR="004549E1" w:rsidRPr="00E33020">
              <w:rPr>
                <w:rFonts w:asciiTheme="minorHAnsi" w:eastAsia="Times New Roman" w:hAnsiTheme="minorHAnsi" w:cs="Times New Roman"/>
                <w:bCs/>
                <w:lang w:eastAsia="en-AU"/>
              </w:rPr>
              <w:t xml:space="preserve">immune therapy is better than </w:t>
            </w:r>
            <w:r w:rsidR="004549E1" w:rsidRPr="00DC3758">
              <w:rPr>
                <w:rFonts w:asciiTheme="minorHAnsi" w:eastAsia="Times New Roman" w:hAnsiTheme="minorHAnsi" w:cs="Times New Roman"/>
                <w:bCs/>
                <w:i/>
                <w:lang w:eastAsia="en-AU"/>
              </w:rPr>
              <w:t>no</w:t>
            </w:r>
            <w:r w:rsidR="004549E1" w:rsidRPr="00E33020">
              <w:rPr>
                <w:rFonts w:asciiTheme="minorHAnsi" w:eastAsia="Times New Roman" w:hAnsiTheme="minorHAnsi" w:cs="Times New Roman"/>
                <w:bCs/>
                <w:lang w:eastAsia="en-AU"/>
              </w:rPr>
              <w:t xml:space="preserve"> immune therapy. Second line treatment improves outcome if first line treatment fails and </w:t>
            </w:r>
            <w:r w:rsidR="008E152E">
              <w:rPr>
                <w:rFonts w:asciiTheme="minorHAnsi" w:eastAsia="Times New Roman" w:hAnsiTheme="minorHAnsi" w:cs="Times New Roman"/>
                <w:bCs/>
                <w:lang w:eastAsia="en-AU"/>
              </w:rPr>
              <w:t>using no</w:t>
            </w:r>
            <w:r w:rsidR="004549E1" w:rsidRPr="00E33020">
              <w:rPr>
                <w:rFonts w:asciiTheme="minorHAnsi" w:eastAsia="Times New Roman" w:hAnsiTheme="minorHAnsi" w:cs="Times New Roman"/>
                <w:bCs/>
                <w:lang w:eastAsia="en-AU"/>
              </w:rPr>
              <w:t xml:space="preserve"> treatment increases the risk of relapse. Seronegative patients who have the clinical features of autoimmune encephalitis respond as well to immune therapy as seropositive patients</w:t>
            </w:r>
            <w:r w:rsidR="00026961">
              <w:rPr>
                <w:rFonts w:asciiTheme="minorHAnsi" w:eastAsia="Times New Roman" w:hAnsiTheme="minorHAnsi" w:cs="Times New Roman"/>
                <w:bCs/>
                <w:lang w:eastAsia="en-AU"/>
              </w:rPr>
              <w:t xml:space="preserve"> </w:t>
            </w:r>
            <w:r w:rsidR="004549E1" w:rsidRPr="00E33020">
              <w:rPr>
                <w:rFonts w:asciiTheme="minorHAnsi" w:eastAsia="Times New Roman" w:hAnsiTheme="minorHAnsi" w:cs="Times New Roman"/>
                <w:bCs/>
                <w:lang w:eastAsia="en-AU"/>
              </w:rPr>
              <w:t>-</w:t>
            </w:r>
            <w:r w:rsidR="00026961">
              <w:rPr>
                <w:rFonts w:asciiTheme="minorHAnsi" w:eastAsia="Times New Roman" w:hAnsiTheme="minorHAnsi" w:cs="Times New Roman"/>
                <w:bCs/>
                <w:lang w:eastAsia="en-AU"/>
              </w:rPr>
              <w:t xml:space="preserve"> </w:t>
            </w:r>
            <w:r w:rsidR="008E152E">
              <w:rPr>
                <w:rFonts w:asciiTheme="minorHAnsi" w:eastAsia="Times New Roman" w:hAnsiTheme="minorHAnsi" w:cs="Times New Roman"/>
                <w:bCs/>
                <w:lang w:eastAsia="en-AU"/>
              </w:rPr>
              <w:t>likely due to the presence of unrecognized autoantibodies</w:t>
            </w:r>
            <w:r w:rsidR="004549E1" w:rsidRPr="00EC6EE8">
              <w:rPr>
                <w:rFonts w:asciiTheme="minorHAnsi" w:eastAsia="Times New Roman" w:hAnsiTheme="minorHAnsi" w:cs="Times New Roman"/>
                <w:bCs/>
                <w:lang w:eastAsia="en-AU"/>
              </w:rPr>
              <w:t xml:space="preserve"> (Hacohen</w:t>
            </w:r>
            <w:r w:rsidR="004549E1" w:rsidRPr="00E33020">
              <w:rPr>
                <w:rFonts w:asciiTheme="minorHAnsi" w:eastAsia="Times New Roman" w:hAnsiTheme="minorHAnsi" w:cs="Times New Roman"/>
                <w:bCs/>
                <w:lang w:eastAsia="en-AU"/>
              </w:rPr>
              <w:t xml:space="preserve"> et al</w:t>
            </w:r>
            <w:r w:rsidR="00191734">
              <w:rPr>
                <w:rFonts w:asciiTheme="minorHAnsi" w:eastAsia="Times New Roman" w:hAnsiTheme="minorHAnsi" w:cs="Times New Roman"/>
                <w:bCs/>
                <w:lang w:eastAsia="en-AU"/>
              </w:rPr>
              <w:t>, 2013</w:t>
            </w:r>
            <w:r w:rsidR="004549E1" w:rsidRPr="00E33020">
              <w:rPr>
                <w:rFonts w:asciiTheme="minorHAnsi" w:eastAsia="Times New Roman" w:hAnsiTheme="minorHAnsi" w:cs="Times New Roman"/>
                <w:bCs/>
                <w:lang w:eastAsia="en-AU"/>
              </w:rPr>
              <w:t>).</w:t>
            </w:r>
          </w:p>
          <w:p w:rsidR="004549E1" w:rsidRPr="00E33020" w:rsidRDefault="004549E1" w:rsidP="004549E1">
            <w:pPr>
              <w:spacing w:before="120" w:after="120"/>
              <w:rPr>
                <w:rFonts w:asciiTheme="minorHAnsi" w:eastAsia="Times New Roman" w:hAnsiTheme="minorHAnsi" w:cs="Times New Roman"/>
                <w:bCs/>
                <w:lang w:eastAsia="en-AU"/>
              </w:rPr>
            </w:pPr>
            <w:r w:rsidRPr="00E33020">
              <w:rPr>
                <w:rFonts w:asciiTheme="minorHAnsi" w:eastAsia="Times New Roman" w:hAnsiTheme="minorHAnsi" w:cs="Times New Roman"/>
                <w:bCs/>
                <w:lang w:eastAsia="en-AU"/>
              </w:rPr>
              <w:t xml:space="preserve">First line immunotherapy typically includes intravenous methylprednisolone and </w:t>
            </w:r>
            <w:r w:rsidR="0015147E">
              <w:rPr>
                <w:rFonts w:asciiTheme="minorHAnsi" w:eastAsia="Times New Roman" w:hAnsiTheme="minorHAnsi" w:cs="Times New Roman"/>
                <w:bCs/>
                <w:lang w:eastAsia="en-AU"/>
              </w:rPr>
              <w:t>IVIg</w:t>
            </w:r>
            <w:r w:rsidRPr="00E33020">
              <w:rPr>
                <w:rFonts w:asciiTheme="minorHAnsi" w:eastAsia="Times New Roman" w:hAnsiTheme="minorHAnsi" w:cs="Times New Roman"/>
                <w:bCs/>
                <w:lang w:eastAsia="en-AU"/>
              </w:rPr>
              <w:t xml:space="preserve"> or plasmapheresis. Due to the behavioural and/or autonomic manifestations of this disease, plasmapheresis, with large bore catheters may be clinically inappropriate.  International best practice is to use </w:t>
            </w:r>
            <w:r w:rsidR="0015147E">
              <w:rPr>
                <w:rFonts w:asciiTheme="minorHAnsi" w:eastAsia="Times New Roman" w:hAnsiTheme="minorHAnsi" w:cs="Times New Roman"/>
                <w:bCs/>
                <w:lang w:eastAsia="en-AU"/>
              </w:rPr>
              <w:t>IVIg</w:t>
            </w:r>
            <w:r w:rsidRPr="00E33020">
              <w:rPr>
                <w:rFonts w:asciiTheme="minorHAnsi" w:eastAsia="Times New Roman" w:hAnsiTheme="minorHAnsi" w:cs="Times New Roman"/>
                <w:bCs/>
                <w:lang w:eastAsia="en-AU"/>
              </w:rPr>
              <w:t xml:space="preserve"> as first line treatment, concurrently with IV steroids.  Second line treatment includes rituximab and cyclophosphamide. The consensus opinion is that one would progress to the addition of second line treatment in a standard case if no clinical improvement is observed after approximately two weeks of first line therapy and no tumour is found. </w:t>
            </w:r>
          </w:p>
          <w:p w:rsidR="008612AB" w:rsidRPr="00447869" w:rsidRDefault="004549E1" w:rsidP="004549E1">
            <w:pPr>
              <w:spacing w:before="120" w:after="120"/>
              <w:rPr>
                <w:rFonts w:asciiTheme="minorHAnsi" w:eastAsia="Times New Roman" w:hAnsiTheme="minorHAnsi" w:cs="Times New Roman"/>
                <w:b/>
                <w:bCs/>
                <w:lang w:eastAsia="en-AU"/>
              </w:rPr>
            </w:pPr>
            <w:r w:rsidRPr="00E33020">
              <w:rPr>
                <w:rFonts w:asciiTheme="minorHAnsi" w:eastAsia="Times New Roman" w:hAnsiTheme="minorHAnsi" w:cs="Times New Roman"/>
                <w:bCs/>
                <w:lang w:eastAsia="en-AU"/>
              </w:rPr>
              <w:t xml:space="preserve">In these criteria, </w:t>
            </w:r>
            <w:r w:rsidR="0015147E">
              <w:rPr>
                <w:rFonts w:asciiTheme="minorHAnsi" w:eastAsia="Times New Roman" w:hAnsiTheme="minorHAnsi" w:cs="Times New Roman"/>
                <w:bCs/>
                <w:lang w:eastAsia="en-AU"/>
              </w:rPr>
              <w:t>IVIg</w:t>
            </w:r>
            <w:r w:rsidRPr="00E33020">
              <w:rPr>
                <w:rFonts w:asciiTheme="minorHAnsi" w:eastAsia="Times New Roman" w:hAnsiTheme="minorHAnsi" w:cs="Times New Roman"/>
                <w:bCs/>
                <w:lang w:eastAsia="en-AU"/>
              </w:rPr>
              <w:t xml:space="preserve"> is</w:t>
            </w:r>
            <w:r>
              <w:rPr>
                <w:rFonts w:asciiTheme="minorHAnsi" w:eastAsia="Times New Roman" w:hAnsiTheme="minorHAnsi" w:cs="Times New Roman"/>
                <w:bCs/>
                <w:lang w:eastAsia="en-AU"/>
              </w:rPr>
              <w:t xml:space="preserve"> proposed to be </w:t>
            </w:r>
            <w:r w:rsidRPr="00E33020">
              <w:rPr>
                <w:rFonts w:asciiTheme="minorHAnsi" w:eastAsia="Times New Roman" w:hAnsiTheme="minorHAnsi" w:cs="Times New Roman"/>
                <w:bCs/>
                <w:lang w:eastAsia="en-AU"/>
              </w:rPr>
              <w:t>approved for one induction cycle (2g/kg over 2- 5 days) in conjunction with systemic steroids (unless contraindicated). Two subsequent monthly doses (each 0.4-1 g/kg) may be given at which stage the patient must be reviewed to determine whether there has been a clinical response prior to further Ig authorisation. The patient is closely monitored to confirm continuing response and no further deterioration in disability. Once symptoms are stable, weaning from Ig therapy is commenced.</w:t>
            </w:r>
            <w:r w:rsidRPr="00E33020">
              <w:rPr>
                <w:rFonts w:asciiTheme="minorHAnsi" w:eastAsia="Times New Roman" w:hAnsiTheme="minorHAnsi" w:cs="Times New Roman"/>
                <w:b/>
                <w:bCs/>
                <w:lang w:eastAsia="en-AU"/>
              </w:rPr>
              <w:t xml:space="preserve">  </w:t>
            </w:r>
          </w:p>
        </w:tc>
      </w:tr>
    </w:tbl>
    <w:p w:rsidR="005851ED" w:rsidRDefault="005851ED"/>
    <w:tbl>
      <w:tblPr>
        <w:tblStyle w:val="TableGrid"/>
        <w:tblW w:w="14601" w:type="dxa"/>
        <w:tblInd w:w="-318" w:type="dxa"/>
        <w:tblLook w:val="0680" w:firstRow="0" w:lastRow="0" w:firstColumn="1" w:lastColumn="0" w:noHBand="1" w:noVBand="1"/>
      </w:tblPr>
      <w:tblGrid>
        <w:gridCol w:w="1540"/>
        <w:gridCol w:w="3938"/>
        <w:gridCol w:w="1956"/>
        <w:gridCol w:w="1956"/>
        <w:gridCol w:w="1957"/>
        <w:gridCol w:w="3254"/>
      </w:tblGrid>
      <w:tr w:rsidR="00846B19" w:rsidRPr="00853117" w:rsidTr="00B8398C">
        <w:trPr>
          <w:trHeight w:val="794"/>
          <w:tblHeader/>
        </w:trPr>
        <w:tc>
          <w:tcPr>
            <w:tcW w:w="1540" w:type="dxa"/>
            <w:shd w:val="clear" w:color="auto" w:fill="DBE5F1" w:themeFill="accent1" w:themeFillTint="33"/>
          </w:tcPr>
          <w:p w:rsidR="00447869" w:rsidRPr="00980B6A" w:rsidRDefault="00447869" w:rsidP="00021243">
            <w:pPr>
              <w:spacing w:before="120" w:after="120"/>
              <w:jc w:val="center"/>
              <w:rPr>
                <w:rFonts w:asciiTheme="minorHAnsi" w:hAnsiTheme="minorHAnsi"/>
                <w:b/>
              </w:rPr>
            </w:pPr>
            <w:r w:rsidRPr="00980B6A">
              <w:rPr>
                <w:rFonts w:asciiTheme="minorHAnsi" w:hAnsiTheme="minorHAnsi"/>
                <w:b/>
              </w:rPr>
              <w:t>ITEM</w:t>
            </w:r>
          </w:p>
        </w:tc>
        <w:tc>
          <w:tcPr>
            <w:tcW w:w="3938" w:type="dxa"/>
            <w:shd w:val="clear" w:color="auto" w:fill="DBE5F1" w:themeFill="accent1" w:themeFillTint="33"/>
          </w:tcPr>
          <w:p w:rsidR="004A10A2" w:rsidRPr="00980B6A" w:rsidRDefault="004549E1" w:rsidP="00745A26">
            <w:pPr>
              <w:spacing w:before="120" w:after="120"/>
              <w:jc w:val="center"/>
              <w:rPr>
                <w:rFonts w:asciiTheme="minorHAnsi" w:hAnsiTheme="minorHAnsi"/>
                <w:b/>
              </w:rPr>
            </w:pPr>
            <w:r w:rsidRPr="00980B6A">
              <w:rPr>
                <w:rFonts w:asciiTheme="minorHAnsi" w:hAnsiTheme="minorHAnsi"/>
                <w:b/>
              </w:rPr>
              <w:t>2015 JBC APPROVED WORDING</w:t>
            </w:r>
          </w:p>
        </w:tc>
        <w:tc>
          <w:tcPr>
            <w:tcW w:w="5869" w:type="dxa"/>
            <w:gridSpan w:val="3"/>
            <w:shd w:val="clear" w:color="auto" w:fill="DBE5F1" w:themeFill="accent1" w:themeFillTint="33"/>
          </w:tcPr>
          <w:p w:rsidR="00324887" w:rsidRPr="00980B6A" w:rsidRDefault="004549E1" w:rsidP="00021243">
            <w:pPr>
              <w:spacing w:before="120" w:after="120"/>
              <w:jc w:val="center"/>
              <w:rPr>
                <w:rFonts w:asciiTheme="minorHAnsi" w:hAnsiTheme="minorHAnsi"/>
                <w:b/>
              </w:rPr>
            </w:pPr>
            <w:r w:rsidRPr="00980B6A">
              <w:rPr>
                <w:rFonts w:asciiTheme="minorHAnsi" w:hAnsiTheme="minorHAnsi"/>
                <w:b/>
              </w:rPr>
              <w:t>REVISIONS TO 2015 JBC APPROVED WORDING</w:t>
            </w:r>
          </w:p>
        </w:tc>
        <w:tc>
          <w:tcPr>
            <w:tcW w:w="3254" w:type="dxa"/>
            <w:shd w:val="clear" w:color="auto" w:fill="DBE5F1" w:themeFill="accent1" w:themeFillTint="33"/>
          </w:tcPr>
          <w:p w:rsidR="00447869" w:rsidRPr="00980B6A" w:rsidRDefault="009171CD">
            <w:pPr>
              <w:spacing w:before="120" w:after="120"/>
              <w:jc w:val="center"/>
              <w:rPr>
                <w:rFonts w:asciiTheme="minorHAnsi" w:hAnsiTheme="minorHAnsi"/>
                <w:b/>
              </w:rPr>
            </w:pPr>
            <w:r>
              <w:rPr>
                <w:rFonts w:asciiTheme="minorHAnsi" w:eastAsia="Times New Roman" w:hAnsiTheme="minorHAnsi" w:cs="Times New Roman"/>
                <w:b/>
                <w:bCs/>
                <w:lang w:eastAsia="en-AU"/>
              </w:rPr>
              <w:t>SPECIALIST WORKING GROUP</w:t>
            </w:r>
            <w:r w:rsidRPr="00980B6A">
              <w:rPr>
                <w:rFonts w:asciiTheme="minorHAnsi" w:eastAsia="Times New Roman" w:hAnsiTheme="minorHAnsi" w:cs="Times New Roman"/>
                <w:b/>
                <w:bCs/>
                <w:lang w:eastAsia="en-AU"/>
              </w:rPr>
              <w:t xml:space="preserve"> </w:t>
            </w:r>
            <w:r w:rsidR="004549E1" w:rsidRPr="00980B6A">
              <w:rPr>
                <w:rFonts w:asciiTheme="minorHAnsi" w:eastAsia="Times New Roman" w:hAnsiTheme="minorHAnsi" w:cs="Times New Roman"/>
                <w:b/>
                <w:bCs/>
                <w:lang w:eastAsia="en-AU"/>
              </w:rPr>
              <w:t>RATIONALE FOR ADDITIONS/CLARIFICATIONS</w:t>
            </w:r>
          </w:p>
        </w:tc>
      </w:tr>
      <w:tr w:rsidR="00846B19" w:rsidRPr="00447869" w:rsidTr="00B8398C">
        <w:tc>
          <w:tcPr>
            <w:tcW w:w="1540" w:type="dxa"/>
            <w:shd w:val="clear" w:color="auto" w:fill="D9D9D9" w:themeFill="background1" w:themeFillShade="D9"/>
          </w:tcPr>
          <w:p w:rsidR="00021243" w:rsidRPr="00447869" w:rsidRDefault="00021243" w:rsidP="00980B6A">
            <w:pPr>
              <w:spacing w:after="120"/>
              <w:rPr>
                <w:rFonts w:asciiTheme="minorHAnsi" w:hAnsiTheme="minorHAnsi"/>
                <w:b/>
              </w:rPr>
            </w:pPr>
            <w:r w:rsidRPr="00447869">
              <w:rPr>
                <w:rFonts w:asciiTheme="minorHAnsi" w:hAnsiTheme="minorHAnsi"/>
                <w:b/>
              </w:rPr>
              <w:t>Condition Name</w:t>
            </w:r>
          </w:p>
        </w:tc>
        <w:tc>
          <w:tcPr>
            <w:tcW w:w="3938" w:type="dxa"/>
          </w:tcPr>
          <w:p w:rsidR="00021243" w:rsidRPr="00980B6A" w:rsidRDefault="004549E1" w:rsidP="00980B6A">
            <w:pPr>
              <w:pStyle w:val="heading"/>
              <w:spacing w:before="0" w:beforeAutospacing="0" w:after="225" w:afterAutospacing="0" w:line="293" w:lineRule="atLeast"/>
              <w:rPr>
                <w:rFonts w:asciiTheme="minorHAnsi" w:eastAsia="Dotum" w:hAnsiTheme="minorHAnsi" w:cs="Calibri"/>
                <w:sz w:val="22"/>
                <w:szCs w:val="22"/>
              </w:rPr>
            </w:pPr>
            <w:r w:rsidRPr="004549E1">
              <w:rPr>
                <w:rFonts w:asciiTheme="minorHAnsi" w:eastAsia="Dotum" w:hAnsiTheme="minorHAnsi" w:cs="Calibri"/>
                <w:sz w:val="22"/>
                <w:szCs w:val="22"/>
              </w:rPr>
              <w:t>Autoimmune encephalitis mediated by antibodies targeting cell-surface antigens</w:t>
            </w:r>
          </w:p>
        </w:tc>
        <w:tc>
          <w:tcPr>
            <w:tcW w:w="5869" w:type="dxa"/>
            <w:gridSpan w:val="3"/>
          </w:tcPr>
          <w:p w:rsidR="00021243" w:rsidRPr="00980B6A" w:rsidRDefault="004549E1" w:rsidP="00980B6A">
            <w:pPr>
              <w:spacing w:after="120"/>
              <w:rPr>
                <w:rFonts w:asciiTheme="minorHAnsi" w:hAnsiTheme="minorHAnsi"/>
              </w:rPr>
            </w:pPr>
            <w:r w:rsidRPr="00594C9D">
              <w:rPr>
                <w:rFonts w:asciiTheme="minorHAnsi" w:hAnsiTheme="minorHAnsi"/>
              </w:rPr>
              <w:t>Autoimmune encephalitis mediated by antibodies targeting cell-surface antigens</w:t>
            </w:r>
          </w:p>
        </w:tc>
        <w:tc>
          <w:tcPr>
            <w:tcW w:w="3254" w:type="dxa"/>
          </w:tcPr>
          <w:p w:rsidR="005960E7" w:rsidRPr="00C92149" w:rsidRDefault="00935BE4" w:rsidP="00980B6A">
            <w:pPr>
              <w:pStyle w:val="heading"/>
              <w:spacing w:before="0" w:beforeAutospacing="0" w:after="225" w:afterAutospacing="0" w:line="293" w:lineRule="atLeast"/>
              <w:rPr>
                <w:rFonts w:asciiTheme="minorHAnsi" w:hAnsiTheme="minorHAnsi"/>
                <w:sz w:val="22"/>
              </w:rPr>
            </w:pPr>
            <w:r>
              <w:rPr>
                <w:rFonts w:asciiTheme="minorHAnsi" w:hAnsiTheme="minorHAnsi"/>
                <w:sz w:val="22"/>
              </w:rPr>
              <w:t>No change</w:t>
            </w:r>
          </w:p>
        </w:tc>
      </w:tr>
      <w:tr w:rsidR="00846B19" w:rsidRPr="00447869" w:rsidTr="00B8398C">
        <w:tc>
          <w:tcPr>
            <w:tcW w:w="1540" w:type="dxa"/>
            <w:shd w:val="clear" w:color="auto" w:fill="D9D9D9" w:themeFill="background1" w:themeFillShade="D9"/>
          </w:tcPr>
          <w:p w:rsidR="00447869" w:rsidRPr="00447869" w:rsidRDefault="00447869" w:rsidP="00021243">
            <w:pPr>
              <w:spacing w:before="120" w:after="120"/>
              <w:rPr>
                <w:rFonts w:asciiTheme="minorHAnsi" w:hAnsiTheme="minorHAnsi"/>
              </w:rPr>
            </w:pPr>
            <w:r w:rsidRPr="00447869">
              <w:rPr>
                <w:rFonts w:asciiTheme="minorHAnsi" w:hAnsiTheme="minorHAnsi"/>
                <w:b/>
              </w:rPr>
              <w:t>Specialty</w:t>
            </w:r>
          </w:p>
        </w:tc>
        <w:tc>
          <w:tcPr>
            <w:tcW w:w="3938" w:type="dxa"/>
          </w:tcPr>
          <w:p w:rsidR="00447869" w:rsidRPr="00447869" w:rsidRDefault="00320C9D" w:rsidP="00021243">
            <w:pPr>
              <w:spacing w:before="120" w:after="120"/>
              <w:rPr>
                <w:rFonts w:asciiTheme="minorHAnsi" w:hAnsiTheme="minorHAnsi"/>
              </w:rPr>
            </w:pPr>
            <w:r>
              <w:rPr>
                <w:rFonts w:asciiTheme="minorHAnsi" w:eastAsia="Times New Roman" w:hAnsiTheme="minorHAnsi" w:cs="Times New Roman"/>
                <w:bCs/>
                <w:lang w:eastAsia="en-AU"/>
              </w:rPr>
              <w:t>Neurology</w:t>
            </w:r>
          </w:p>
        </w:tc>
        <w:tc>
          <w:tcPr>
            <w:tcW w:w="5869" w:type="dxa"/>
            <w:gridSpan w:val="3"/>
          </w:tcPr>
          <w:p w:rsidR="00447869" w:rsidRPr="00447869" w:rsidRDefault="00341D20" w:rsidP="00021243">
            <w:pPr>
              <w:spacing w:before="120" w:after="120"/>
              <w:rPr>
                <w:rFonts w:asciiTheme="minorHAnsi" w:hAnsiTheme="minorHAnsi"/>
              </w:rPr>
            </w:pPr>
            <w:r>
              <w:rPr>
                <w:rFonts w:asciiTheme="minorHAnsi" w:hAnsiTheme="minorHAnsi"/>
              </w:rPr>
              <w:t xml:space="preserve">Neurology </w:t>
            </w:r>
          </w:p>
        </w:tc>
        <w:tc>
          <w:tcPr>
            <w:tcW w:w="3254" w:type="dxa"/>
          </w:tcPr>
          <w:p w:rsidR="00447869" w:rsidRPr="009208EC" w:rsidRDefault="004549E1" w:rsidP="00021243">
            <w:pPr>
              <w:spacing w:before="120" w:after="120"/>
              <w:rPr>
                <w:rFonts w:asciiTheme="minorHAnsi" w:hAnsiTheme="minorHAnsi"/>
                <w:szCs w:val="20"/>
              </w:rPr>
            </w:pPr>
            <w:r>
              <w:rPr>
                <w:rFonts w:asciiTheme="minorHAnsi" w:hAnsiTheme="minorHAnsi"/>
                <w:szCs w:val="20"/>
              </w:rPr>
              <w:t>No change</w:t>
            </w:r>
          </w:p>
        </w:tc>
      </w:tr>
      <w:tr w:rsidR="00846B19" w:rsidRPr="00447869" w:rsidTr="00B8398C">
        <w:tc>
          <w:tcPr>
            <w:tcW w:w="1540" w:type="dxa"/>
            <w:shd w:val="clear" w:color="auto" w:fill="D9D9D9" w:themeFill="background1" w:themeFillShade="D9"/>
          </w:tcPr>
          <w:p w:rsidR="00021243" w:rsidRPr="00447869" w:rsidRDefault="009171CD" w:rsidP="009171CD">
            <w:pPr>
              <w:spacing w:before="120" w:after="120"/>
              <w:rPr>
                <w:rFonts w:asciiTheme="minorHAnsi" w:hAnsiTheme="minorHAnsi"/>
              </w:rPr>
            </w:pPr>
            <w:r w:rsidRPr="00447869">
              <w:rPr>
                <w:rFonts w:asciiTheme="minorHAnsi" w:hAnsiTheme="minorHAnsi"/>
                <w:b/>
              </w:rPr>
              <w:t>C</w:t>
            </w:r>
            <w:r>
              <w:rPr>
                <w:rFonts w:asciiTheme="minorHAnsi" w:hAnsiTheme="minorHAnsi"/>
                <w:b/>
              </w:rPr>
              <w:t>ategory</w:t>
            </w:r>
          </w:p>
        </w:tc>
        <w:tc>
          <w:tcPr>
            <w:tcW w:w="3938" w:type="dxa"/>
          </w:tcPr>
          <w:p w:rsidR="00021243" w:rsidRPr="00447869" w:rsidRDefault="00C32695" w:rsidP="00C32695">
            <w:pPr>
              <w:spacing w:before="120" w:after="120"/>
              <w:rPr>
                <w:rFonts w:asciiTheme="minorHAnsi" w:hAnsiTheme="minorHAnsi"/>
              </w:rPr>
            </w:pPr>
            <w:r w:rsidRPr="00F16498">
              <w:rPr>
                <w:rFonts w:asciiTheme="minorHAnsi" w:hAnsiTheme="minorHAnsi"/>
                <w:i/>
              </w:rPr>
              <w:t>Emerging therapeutic role</w:t>
            </w:r>
            <w:r>
              <w:rPr>
                <w:rFonts w:asciiTheme="minorHAnsi" w:hAnsiTheme="minorHAnsi"/>
              </w:rPr>
              <w:t xml:space="preserve"> </w:t>
            </w:r>
          </w:p>
        </w:tc>
        <w:tc>
          <w:tcPr>
            <w:tcW w:w="5869" w:type="dxa"/>
            <w:gridSpan w:val="3"/>
          </w:tcPr>
          <w:p w:rsidR="00021243" w:rsidRPr="00447869" w:rsidRDefault="009171CD" w:rsidP="00C32695">
            <w:pPr>
              <w:spacing w:before="120" w:after="120"/>
              <w:rPr>
                <w:rFonts w:asciiTheme="minorHAnsi" w:hAnsiTheme="minorHAnsi"/>
              </w:rPr>
            </w:pPr>
            <w:r w:rsidRPr="00F16498">
              <w:rPr>
                <w:rFonts w:asciiTheme="minorHAnsi" w:hAnsiTheme="minorHAnsi"/>
                <w:i/>
              </w:rPr>
              <w:t>Emerging therapeutic role</w:t>
            </w:r>
            <w:r>
              <w:rPr>
                <w:rFonts w:asciiTheme="minorHAnsi" w:hAnsiTheme="minorHAnsi"/>
              </w:rPr>
              <w:t xml:space="preserve"> </w:t>
            </w:r>
          </w:p>
        </w:tc>
        <w:tc>
          <w:tcPr>
            <w:tcW w:w="3254" w:type="dxa"/>
          </w:tcPr>
          <w:p w:rsidR="00021243" w:rsidRPr="009208EC" w:rsidRDefault="004549E1" w:rsidP="00631EAB">
            <w:pPr>
              <w:spacing w:before="120" w:after="120"/>
              <w:rPr>
                <w:rFonts w:asciiTheme="minorHAnsi" w:hAnsiTheme="minorHAnsi"/>
                <w:szCs w:val="20"/>
              </w:rPr>
            </w:pPr>
            <w:r>
              <w:rPr>
                <w:rFonts w:asciiTheme="minorHAnsi" w:hAnsiTheme="minorHAnsi"/>
                <w:szCs w:val="20"/>
              </w:rPr>
              <w:t>No change</w:t>
            </w:r>
          </w:p>
        </w:tc>
      </w:tr>
      <w:tr w:rsidR="00846B19" w:rsidRPr="00447869" w:rsidTr="00B8398C">
        <w:tc>
          <w:tcPr>
            <w:tcW w:w="1540" w:type="dxa"/>
            <w:shd w:val="clear" w:color="auto" w:fill="D9D9D9" w:themeFill="background1" w:themeFillShade="D9"/>
          </w:tcPr>
          <w:p w:rsidR="00447869" w:rsidRPr="008515FF" w:rsidRDefault="00447869" w:rsidP="00021243">
            <w:pPr>
              <w:spacing w:before="120" w:after="120"/>
              <w:rPr>
                <w:rFonts w:asciiTheme="minorHAnsi" w:hAnsiTheme="minorHAnsi"/>
                <w:b/>
              </w:rPr>
            </w:pPr>
            <w:r w:rsidRPr="00447869">
              <w:rPr>
                <w:rFonts w:asciiTheme="minorHAnsi" w:hAnsiTheme="minorHAnsi"/>
                <w:b/>
              </w:rPr>
              <w:t>Specific Conditions</w:t>
            </w:r>
          </w:p>
        </w:tc>
        <w:tc>
          <w:tcPr>
            <w:tcW w:w="3938" w:type="dxa"/>
          </w:tcPr>
          <w:p w:rsidR="004A10A2" w:rsidRPr="00447869" w:rsidRDefault="004549E1" w:rsidP="008515FF">
            <w:pPr>
              <w:spacing w:before="120" w:after="120"/>
              <w:rPr>
                <w:rFonts w:asciiTheme="minorHAnsi" w:hAnsiTheme="minorHAnsi"/>
              </w:rPr>
            </w:pPr>
            <w:r w:rsidRPr="00202AAE">
              <w:rPr>
                <w:rFonts w:asciiTheme="minorHAnsi" w:hAnsiTheme="minorHAnsi" w:cs="Times New Roman"/>
                <w:bCs/>
                <w:color w:val="000000"/>
              </w:rPr>
              <w:t xml:space="preserve">Encephalitis associated with antibodies to NMDA Encephalitis associated with antibodies to VGKC Encephalitis associated with antibodies to LGI1 Encephalitis associated with antibodies to ASPR2 Encephalitis associated with antibodies to DPPX Encephalitis </w:t>
            </w:r>
            <w:r w:rsidRPr="00202AAE">
              <w:rPr>
                <w:rFonts w:asciiTheme="minorHAnsi" w:hAnsiTheme="minorHAnsi" w:cs="Times New Roman"/>
                <w:bCs/>
                <w:color w:val="000000"/>
              </w:rPr>
              <w:lastRenderedPageBreak/>
              <w:t>associated with antibodies to AMPA Encephalitis associated with antibodies to glycine</w:t>
            </w:r>
            <w:r>
              <w:rPr>
                <w:rFonts w:asciiTheme="minorHAnsi" w:hAnsiTheme="minorHAnsi" w:cs="Times New Roman"/>
                <w:bCs/>
                <w:color w:val="000000"/>
              </w:rPr>
              <w:t>.</w:t>
            </w:r>
          </w:p>
        </w:tc>
        <w:tc>
          <w:tcPr>
            <w:tcW w:w="5869" w:type="dxa"/>
            <w:gridSpan w:val="3"/>
          </w:tcPr>
          <w:p w:rsidR="004549E1" w:rsidRPr="00594C9D" w:rsidRDefault="004549E1" w:rsidP="004549E1">
            <w:pPr>
              <w:rPr>
                <w:rFonts w:asciiTheme="minorHAnsi" w:hAnsiTheme="minorHAnsi"/>
              </w:rPr>
            </w:pPr>
            <w:r w:rsidRPr="00594C9D">
              <w:rPr>
                <w:rFonts w:asciiTheme="minorHAnsi" w:hAnsiTheme="minorHAnsi"/>
              </w:rPr>
              <w:lastRenderedPageBreak/>
              <w:t>Encephalitis associated wi</w:t>
            </w:r>
            <w:r w:rsidR="00935BE4">
              <w:rPr>
                <w:rFonts w:asciiTheme="minorHAnsi" w:hAnsiTheme="minorHAnsi"/>
              </w:rPr>
              <w:t>th antibodies to NMDA receptor</w:t>
            </w:r>
          </w:p>
          <w:p w:rsidR="004549E1" w:rsidRPr="00594C9D" w:rsidRDefault="004549E1" w:rsidP="004549E1">
            <w:pPr>
              <w:rPr>
                <w:rFonts w:asciiTheme="minorHAnsi" w:hAnsiTheme="minorHAnsi"/>
              </w:rPr>
            </w:pPr>
            <w:r w:rsidRPr="00594C9D">
              <w:rPr>
                <w:rFonts w:asciiTheme="minorHAnsi" w:hAnsiTheme="minorHAnsi"/>
              </w:rPr>
              <w:t>Encephalitis associated with antibodies to VGKC</w:t>
            </w:r>
          </w:p>
          <w:p w:rsidR="004549E1" w:rsidRPr="00594C9D" w:rsidRDefault="004549E1" w:rsidP="004549E1">
            <w:pPr>
              <w:rPr>
                <w:rFonts w:asciiTheme="minorHAnsi" w:hAnsiTheme="minorHAnsi"/>
              </w:rPr>
            </w:pPr>
            <w:r w:rsidRPr="00594C9D">
              <w:rPr>
                <w:rFonts w:asciiTheme="minorHAnsi" w:hAnsiTheme="minorHAnsi"/>
              </w:rPr>
              <w:t>Encephalitis associated with antibodies to LGI1</w:t>
            </w:r>
          </w:p>
          <w:p w:rsidR="004549E1" w:rsidRPr="00594C9D" w:rsidRDefault="004549E1" w:rsidP="004549E1">
            <w:pPr>
              <w:rPr>
                <w:rFonts w:asciiTheme="minorHAnsi" w:hAnsiTheme="minorHAnsi"/>
              </w:rPr>
            </w:pPr>
            <w:r w:rsidRPr="00594C9D">
              <w:rPr>
                <w:rFonts w:asciiTheme="minorHAnsi" w:hAnsiTheme="minorHAnsi"/>
              </w:rPr>
              <w:t>Encephalitis associ</w:t>
            </w:r>
            <w:r w:rsidR="00935BE4">
              <w:rPr>
                <w:rFonts w:asciiTheme="minorHAnsi" w:hAnsiTheme="minorHAnsi"/>
              </w:rPr>
              <w:t>ated with antibodies to CASPR2</w:t>
            </w:r>
          </w:p>
          <w:p w:rsidR="004549E1" w:rsidRPr="00594C9D" w:rsidRDefault="004549E1" w:rsidP="004549E1">
            <w:pPr>
              <w:rPr>
                <w:rFonts w:asciiTheme="minorHAnsi" w:hAnsiTheme="minorHAnsi"/>
              </w:rPr>
            </w:pPr>
            <w:r w:rsidRPr="00594C9D">
              <w:rPr>
                <w:rFonts w:asciiTheme="minorHAnsi" w:hAnsiTheme="minorHAnsi"/>
              </w:rPr>
              <w:t>Encephalitis ass</w:t>
            </w:r>
            <w:r w:rsidR="00935BE4">
              <w:rPr>
                <w:rFonts w:asciiTheme="minorHAnsi" w:hAnsiTheme="minorHAnsi"/>
              </w:rPr>
              <w:t>ociated with antibodies to DPPX</w:t>
            </w:r>
            <w:r w:rsidRPr="00594C9D">
              <w:rPr>
                <w:rFonts w:asciiTheme="minorHAnsi" w:hAnsiTheme="minorHAnsi"/>
              </w:rPr>
              <w:t xml:space="preserve"> </w:t>
            </w:r>
          </w:p>
          <w:p w:rsidR="004549E1" w:rsidRPr="00594C9D" w:rsidRDefault="004549E1" w:rsidP="004549E1">
            <w:pPr>
              <w:rPr>
                <w:rFonts w:asciiTheme="minorHAnsi" w:hAnsiTheme="minorHAnsi"/>
              </w:rPr>
            </w:pPr>
            <w:r w:rsidRPr="00594C9D">
              <w:rPr>
                <w:rFonts w:asciiTheme="minorHAnsi" w:hAnsiTheme="minorHAnsi"/>
              </w:rPr>
              <w:t>Encephalitis associated w</w:t>
            </w:r>
            <w:r w:rsidR="00935BE4">
              <w:rPr>
                <w:rFonts w:asciiTheme="minorHAnsi" w:hAnsiTheme="minorHAnsi"/>
              </w:rPr>
              <w:t>ith antibodies to AMPA receptor</w:t>
            </w:r>
            <w:r w:rsidRPr="00594C9D">
              <w:rPr>
                <w:rFonts w:asciiTheme="minorHAnsi" w:hAnsiTheme="minorHAnsi"/>
              </w:rPr>
              <w:t xml:space="preserve"> </w:t>
            </w:r>
          </w:p>
          <w:p w:rsidR="004549E1" w:rsidRPr="00594C9D" w:rsidRDefault="004549E1" w:rsidP="004549E1">
            <w:pPr>
              <w:rPr>
                <w:rFonts w:asciiTheme="minorHAnsi" w:hAnsiTheme="minorHAnsi"/>
              </w:rPr>
            </w:pPr>
            <w:r w:rsidRPr="00594C9D">
              <w:rPr>
                <w:rFonts w:asciiTheme="minorHAnsi" w:hAnsiTheme="minorHAnsi"/>
              </w:rPr>
              <w:t>Encephalitis associated with antibodies to glycine receptor</w:t>
            </w:r>
          </w:p>
          <w:p w:rsidR="004549E1" w:rsidRPr="00594C9D" w:rsidRDefault="004549E1" w:rsidP="004549E1">
            <w:pPr>
              <w:rPr>
                <w:rFonts w:asciiTheme="minorHAnsi" w:hAnsiTheme="minorHAnsi"/>
              </w:rPr>
            </w:pPr>
            <w:r w:rsidRPr="00594C9D">
              <w:rPr>
                <w:rFonts w:asciiTheme="minorHAnsi" w:hAnsiTheme="minorHAnsi"/>
              </w:rPr>
              <w:lastRenderedPageBreak/>
              <w:t>Encephalitis associated with antibodies to GABA (A or B) receptor.</w:t>
            </w:r>
          </w:p>
          <w:p w:rsidR="004549E1" w:rsidRPr="00594C9D" w:rsidRDefault="004549E1" w:rsidP="004549E1">
            <w:pPr>
              <w:rPr>
                <w:rFonts w:asciiTheme="minorHAnsi" w:hAnsiTheme="minorHAnsi"/>
                <w:lang w:val="fr-FR"/>
              </w:rPr>
            </w:pPr>
            <w:r w:rsidRPr="00594C9D">
              <w:rPr>
                <w:rFonts w:asciiTheme="minorHAnsi" w:hAnsiTheme="minorHAnsi"/>
                <w:lang w:val="fr-FR"/>
              </w:rPr>
              <w:t xml:space="preserve">Suspected autoimmune encephalitis </w:t>
            </w:r>
          </w:p>
          <w:p w:rsidR="004549E1" w:rsidRPr="00594C9D" w:rsidRDefault="004549E1" w:rsidP="004549E1">
            <w:pPr>
              <w:rPr>
                <w:rFonts w:asciiTheme="minorHAnsi" w:hAnsiTheme="minorHAnsi"/>
                <w:lang w:val="fr-FR"/>
              </w:rPr>
            </w:pPr>
            <w:r w:rsidRPr="00594C9D">
              <w:rPr>
                <w:rFonts w:asciiTheme="minorHAnsi" w:hAnsiTheme="minorHAnsi"/>
                <w:lang w:val="fr-FR"/>
              </w:rPr>
              <w:t>Sero-negative autoimmune encephalitis</w:t>
            </w:r>
          </w:p>
          <w:p w:rsidR="00447869" w:rsidRPr="00447869" w:rsidRDefault="004549E1" w:rsidP="004549E1">
            <w:pPr>
              <w:rPr>
                <w:rFonts w:asciiTheme="minorHAnsi" w:hAnsiTheme="minorHAnsi"/>
              </w:rPr>
            </w:pPr>
            <w:r w:rsidRPr="00594C9D">
              <w:rPr>
                <w:rFonts w:asciiTheme="minorHAnsi" w:hAnsiTheme="minorHAnsi"/>
              </w:rPr>
              <w:t>Suspected autoimmune limbic encephalitis</w:t>
            </w:r>
          </w:p>
        </w:tc>
        <w:tc>
          <w:tcPr>
            <w:tcW w:w="3254" w:type="dxa"/>
          </w:tcPr>
          <w:p w:rsidR="00447869" w:rsidRPr="00C92149" w:rsidRDefault="00026961" w:rsidP="00846B19">
            <w:pPr>
              <w:spacing w:before="120" w:after="120"/>
              <w:rPr>
                <w:rFonts w:asciiTheme="minorHAnsi" w:hAnsiTheme="minorHAnsi"/>
                <w:szCs w:val="20"/>
              </w:rPr>
            </w:pPr>
            <w:r>
              <w:rPr>
                <w:rFonts w:asciiTheme="minorHAnsi" w:hAnsiTheme="minorHAnsi"/>
                <w:szCs w:val="20"/>
              </w:rPr>
              <w:lastRenderedPageBreak/>
              <w:t xml:space="preserve">This section has been revised </w:t>
            </w:r>
            <w:r w:rsidR="00A32DED">
              <w:rPr>
                <w:rFonts w:asciiTheme="minorHAnsi" w:hAnsiTheme="minorHAnsi"/>
                <w:szCs w:val="20"/>
              </w:rPr>
              <w:t>to include</w:t>
            </w:r>
            <w:r>
              <w:rPr>
                <w:rFonts w:asciiTheme="minorHAnsi" w:hAnsiTheme="minorHAnsi"/>
                <w:szCs w:val="20"/>
              </w:rPr>
              <w:t xml:space="preserve"> additional antibodies and values to support analysis </w:t>
            </w:r>
            <w:r w:rsidR="00846B19">
              <w:rPr>
                <w:rFonts w:asciiTheme="minorHAnsi" w:hAnsiTheme="minorHAnsi"/>
                <w:szCs w:val="20"/>
              </w:rPr>
              <w:t>by antibody type and to identify sero-negative patients and those with suspected</w:t>
            </w:r>
            <w:r>
              <w:rPr>
                <w:rFonts w:asciiTheme="minorHAnsi" w:hAnsiTheme="minorHAnsi"/>
                <w:szCs w:val="20"/>
              </w:rPr>
              <w:t xml:space="preserve"> diagnoses treated </w:t>
            </w:r>
            <w:r>
              <w:rPr>
                <w:rFonts w:asciiTheme="minorHAnsi" w:hAnsiTheme="minorHAnsi"/>
                <w:szCs w:val="20"/>
              </w:rPr>
              <w:lastRenderedPageBreak/>
              <w:t xml:space="preserve">under this condition. </w:t>
            </w:r>
          </w:p>
        </w:tc>
      </w:tr>
      <w:tr w:rsidR="00846B19" w:rsidRPr="00447869" w:rsidTr="00B8398C">
        <w:tc>
          <w:tcPr>
            <w:tcW w:w="1540" w:type="dxa"/>
            <w:shd w:val="clear" w:color="auto" w:fill="D9D9D9" w:themeFill="background1" w:themeFillShade="D9"/>
          </w:tcPr>
          <w:p w:rsidR="00021243" w:rsidRPr="00447869" w:rsidRDefault="00021243" w:rsidP="00021243">
            <w:pPr>
              <w:spacing w:before="120" w:after="120"/>
              <w:rPr>
                <w:rFonts w:asciiTheme="minorHAnsi" w:hAnsiTheme="minorHAnsi"/>
                <w:b/>
              </w:rPr>
            </w:pPr>
            <w:r w:rsidRPr="00447869">
              <w:rPr>
                <w:rFonts w:asciiTheme="minorHAnsi" w:hAnsiTheme="minorHAnsi"/>
                <w:b/>
              </w:rPr>
              <w:lastRenderedPageBreak/>
              <w:t>Level of Evidence</w:t>
            </w:r>
          </w:p>
          <w:p w:rsidR="00021243" w:rsidRPr="00447869" w:rsidRDefault="00021243" w:rsidP="00021243">
            <w:pPr>
              <w:spacing w:before="120" w:after="120"/>
              <w:rPr>
                <w:rFonts w:asciiTheme="minorHAnsi" w:hAnsiTheme="minorHAnsi"/>
              </w:rPr>
            </w:pPr>
          </w:p>
        </w:tc>
        <w:tc>
          <w:tcPr>
            <w:tcW w:w="3938" w:type="dxa"/>
          </w:tcPr>
          <w:p w:rsidR="00021243" w:rsidRPr="00447869" w:rsidRDefault="00CB6A4A" w:rsidP="00021243">
            <w:pPr>
              <w:spacing w:before="120" w:after="120"/>
              <w:rPr>
                <w:rFonts w:asciiTheme="minorHAnsi" w:hAnsiTheme="minorHAnsi"/>
              </w:rPr>
            </w:pPr>
            <w:r>
              <w:rPr>
                <w:rFonts w:asciiTheme="minorHAnsi" w:eastAsiaTheme="minorHAnsi" w:hAnsiTheme="minorHAnsi" w:cs="Times New Roman"/>
                <w:bCs/>
                <w:color w:val="000000"/>
              </w:rPr>
              <w:t>Insufficient data</w:t>
            </w:r>
            <w:r w:rsidR="004549E1" w:rsidRPr="00202AAE">
              <w:rPr>
                <w:rFonts w:asciiTheme="minorHAnsi" w:eastAsiaTheme="minorHAnsi" w:hAnsiTheme="minorHAnsi" w:cs="Times New Roman"/>
                <w:bCs/>
                <w:color w:val="000000"/>
              </w:rPr>
              <w:t xml:space="preserve"> (Category 4a).</w:t>
            </w:r>
          </w:p>
        </w:tc>
        <w:tc>
          <w:tcPr>
            <w:tcW w:w="5869" w:type="dxa"/>
            <w:gridSpan w:val="3"/>
          </w:tcPr>
          <w:p w:rsidR="00021243" w:rsidRPr="00447869" w:rsidRDefault="00282F66" w:rsidP="009B6C03">
            <w:pPr>
              <w:spacing w:before="120" w:after="120"/>
              <w:rPr>
                <w:rFonts w:asciiTheme="minorHAnsi" w:hAnsiTheme="minorHAnsi"/>
              </w:rPr>
            </w:pPr>
            <w:r>
              <w:t xml:space="preserve"> </w:t>
            </w:r>
            <w:r w:rsidR="009B6C03">
              <w:t xml:space="preserve">Evidence of probable benefit -  more research needed </w:t>
            </w:r>
            <w:r w:rsidR="00935BE4">
              <w:t xml:space="preserve"> (Category </w:t>
            </w:r>
            <w:r w:rsidR="009B6C03">
              <w:t>2</w:t>
            </w:r>
            <w:r w:rsidR="00935BE4">
              <w:t>a)</w:t>
            </w:r>
          </w:p>
        </w:tc>
        <w:tc>
          <w:tcPr>
            <w:tcW w:w="3254" w:type="dxa"/>
          </w:tcPr>
          <w:p w:rsidR="00021243" w:rsidRPr="009208EC" w:rsidRDefault="009B6C03" w:rsidP="00A93A55">
            <w:pPr>
              <w:spacing w:before="120" w:after="120"/>
              <w:rPr>
                <w:rFonts w:asciiTheme="minorHAnsi" w:hAnsiTheme="minorHAnsi"/>
                <w:szCs w:val="20"/>
              </w:rPr>
            </w:pPr>
            <w:r>
              <w:rPr>
                <w:rFonts w:asciiTheme="minorHAnsi" w:hAnsiTheme="minorHAnsi"/>
                <w:szCs w:val="20"/>
              </w:rPr>
              <w:t xml:space="preserve">The level of evidence has been upgraded in line with the </w:t>
            </w:r>
            <w:r w:rsidR="00A93A55">
              <w:rPr>
                <w:rFonts w:asciiTheme="minorHAnsi" w:hAnsiTheme="minorHAnsi"/>
                <w:szCs w:val="20"/>
              </w:rPr>
              <w:t xml:space="preserve">large </w:t>
            </w:r>
            <w:r>
              <w:rPr>
                <w:rFonts w:asciiTheme="minorHAnsi" w:hAnsiTheme="minorHAnsi"/>
                <w:szCs w:val="20"/>
              </w:rPr>
              <w:t>number of publications (</w:t>
            </w:r>
            <w:r w:rsidR="00A93A55">
              <w:rPr>
                <w:rFonts w:asciiTheme="minorHAnsi" w:hAnsiTheme="minorHAnsi"/>
                <w:szCs w:val="20"/>
              </w:rPr>
              <w:t xml:space="preserve">including over </w:t>
            </w:r>
            <w:r>
              <w:rPr>
                <w:rFonts w:asciiTheme="minorHAnsi" w:hAnsiTheme="minorHAnsi"/>
                <w:szCs w:val="20"/>
              </w:rPr>
              <w:t>500 case</w:t>
            </w:r>
            <w:r w:rsidR="00A93A55">
              <w:rPr>
                <w:rFonts w:asciiTheme="minorHAnsi" w:hAnsiTheme="minorHAnsi"/>
                <w:szCs w:val="20"/>
              </w:rPr>
              <w:t xml:space="preserve"> reports/</w:t>
            </w:r>
            <w:r>
              <w:rPr>
                <w:rFonts w:asciiTheme="minorHAnsi" w:hAnsiTheme="minorHAnsi"/>
                <w:szCs w:val="20"/>
              </w:rPr>
              <w:t xml:space="preserve"> series) </w:t>
            </w:r>
            <w:r w:rsidR="00A93A55">
              <w:rPr>
                <w:rFonts w:asciiTheme="minorHAnsi" w:hAnsiTheme="minorHAnsi"/>
                <w:szCs w:val="20"/>
              </w:rPr>
              <w:t>that have reported</w:t>
            </w:r>
            <w:r>
              <w:rPr>
                <w:rFonts w:asciiTheme="minorHAnsi" w:hAnsiTheme="minorHAnsi"/>
                <w:szCs w:val="20"/>
              </w:rPr>
              <w:t xml:space="preserve"> benefit. </w:t>
            </w:r>
          </w:p>
        </w:tc>
      </w:tr>
      <w:tr w:rsidR="00846B19" w:rsidRPr="00447869" w:rsidTr="00B8398C">
        <w:tc>
          <w:tcPr>
            <w:tcW w:w="1540" w:type="dxa"/>
            <w:shd w:val="clear" w:color="auto" w:fill="D9D9D9" w:themeFill="background1" w:themeFillShade="D9"/>
          </w:tcPr>
          <w:p w:rsidR="00AB120F" w:rsidRPr="00447869" w:rsidRDefault="00AB120F" w:rsidP="00026961">
            <w:pPr>
              <w:spacing w:before="120" w:after="120"/>
              <w:rPr>
                <w:rFonts w:asciiTheme="minorHAnsi" w:hAnsiTheme="minorHAnsi"/>
                <w:b/>
              </w:rPr>
            </w:pPr>
            <w:r w:rsidRPr="00447869">
              <w:rPr>
                <w:rFonts w:asciiTheme="minorHAnsi" w:hAnsiTheme="minorHAnsi"/>
                <w:b/>
              </w:rPr>
              <w:t>Justification for Evidence Category</w:t>
            </w:r>
          </w:p>
          <w:p w:rsidR="00AB120F" w:rsidRPr="00447869" w:rsidRDefault="00AB120F" w:rsidP="00026961">
            <w:pPr>
              <w:spacing w:before="120" w:after="120"/>
              <w:rPr>
                <w:rFonts w:asciiTheme="minorHAnsi" w:hAnsiTheme="minorHAnsi"/>
              </w:rPr>
            </w:pPr>
          </w:p>
        </w:tc>
        <w:tc>
          <w:tcPr>
            <w:tcW w:w="3938" w:type="dxa"/>
          </w:tcPr>
          <w:p w:rsidR="004549E1" w:rsidRPr="00202AAE" w:rsidRDefault="004549E1" w:rsidP="004549E1">
            <w:pPr>
              <w:spacing w:before="120" w:after="120"/>
              <w:rPr>
                <w:rFonts w:asciiTheme="minorHAnsi" w:hAnsiTheme="minorHAnsi"/>
              </w:rPr>
            </w:pPr>
            <w:r w:rsidRPr="00202AAE">
              <w:rPr>
                <w:rFonts w:asciiTheme="minorHAnsi" w:hAnsiTheme="minorHAnsi"/>
              </w:rPr>
              <w:t xml:space="preserve">Owing to the recent recognition of this condition and its rarity, there are no RCTs examining the efficacy of </w:t>
            </w:r>
            <w:r w:rsidR="0015147E">
              <w:rPr>
                <w:rFonts w:asciiTheme="minorHAnsi" w:hAnsiTheme="minorHAnsi"/>
              </w:rPr>
              <w:t>IVIg</w:t>
            </w:r>
            <w:r w:rsidRPr="00202AAE">
              <w:rPr>
                <w:rFonts w:asciiTheme="minorHAnsi" w:hAnsiTheme="minorHAnsi"/>
              </w:rPr>
              <w:t xml:space="preserve"> in anti-NMDA receptor encephalitis. Most publications are of case reports or case series. Cohort studies as described below have been undertaken. In these studies, systemic steroids and </w:t>
            </w:r>
            <w:r w:rsidR="0015147E">
              <w:rPr>
                <w:rFonts w:asciiTheme="minorHAnsi" w:hAnsiTheme="minorHAnsi"/>
              </w:rPr>
              <w:t>IVIg</w:t>
            </w:r>
            <w:r w:rsidRPr="00202AAE">
              <w:rPr>
                <w:rFonts w:asciiTheme="minorHAnsi" w:hAnsiTheme="minorHAnsi"/>
              </w:rPr>
              <w:t xml:space="preserve"> are prescribed in tandem. None have prospectively compared the efficacy of </w:t>
            </w:r>
            <w:r w:rsidR="0015147E">
              <w:rPr>
                <w:rFonts w:asciiTheme="minorHAnsi" w:hAnsiTheme="minorHAnsi"/>
              </w:rPr>
              <w:t>IVIg</w:t>
            </w:r>
            <w:r w:rsidRPr="00202AAE">
              <w:rPr>
                <w:rFonts w:asciiTheme="minorHAnsi" w:hAnsiTheme="minorHAnsi"/>
              </w:rPr>
              <w:t xml:space="preserve"> vs plasmapheresis.</w:t>
            </w:r>
          </w:p>
          <w:p w:rsidR="004549E1" w:rsidRDefault="004549E1" w:rsidP="004549E1">
            <w:pPr>
              <w:spacing w:before="120" w:after="120"/>
              <w:rPr>
                <w:rFonts w:asciiTheme="minorHAnsi" w:hAnsiTheme="minorHAnsi"/>
              </w:rPr>
            </w:pPr>
            <w:r w:rsidRPr="00202AAE">
              <w:rPr>
                <w:rFonts w:asciiTheme="minorHAnsi" w:hAnsiTheme="minorHAnsi"/>
              </w:rPr>
              <w:t xml:space="preserve">Titulaer et al described a cohort study of 577 adult and paediatric patients (of whom 501 had follow-up of at least 4 months) with anti-NMDAR encephalitis. 197 (38%) had an underlying neoplasm which was resected in 189. First line immunotherapy was defined as the use of steroids, </w:t>
            </w:r>
            <w:r w:rsidR="0015147E">
              <w:rPr>
                <w:rFonts w:asciiTheme="minorHAnsi" w:hAnsiTheme="minorHAnsi"/>
              </w:rPr>
              <w:t>IVIg</w:t>
            </w:r>
            <w:r w:rsidRPr="00202AAE">
              <w:rPr>
                <w:rFonts w:asciiTheme="minorHAnsi" w:hAnsiTheme="minorHAnsi"/>
              </w:rPr>
              <w:t xml:space="preserve"> or plasma exchange alone or in combination. Amongst the </w:t>
            </w:r>
            <w:r w:rsidRPr="00202AAE">
              <w:rPr>
                <w:rFonts w:asciiTheme="minorHAnsi" w:hAnsiTheme="minorHAnsi"/>
              </w:rPr>
              <w:lastRenderedPageBreak/>
              <w:t xml:space="preserve">501 patients, 461 (92%) were treated with first line immunotherapy (of these, 202 patients received steroids and </w:t>
            </w:r>
            <w:r w:rsidR="0015147E">
              <w:rPr>
                <w:rFonts w:asciiTheme="minorHAnsi" w:hAnsiTheme="minorHAnsi"/>
              </w:rPr>
              <w:t>IVIg</w:t>
            </w:r>
            <w:r w:rsidRPr="00202AAE">
              <w:rPr>
                <w:rFonts w:asciiTheme="minorHAnsi" w:hAnsiTheme="minorHAnsi"/>
              </w:rPr>
              <w:t xml:space="preserve">) and 134 (27%) progressed to second line immunotherapy. Of the patients who received first line treatment, 251 patients achieved treatment response (defined by a reduction in the modified Rankin score to &lt; 4 within 4 weeks). Over the first 24 months, 241 of 251 reached a modified Rankin score of 0-2 (median 3 months). At 24 months 111 of 115 patients had a good outcome. Publications by the same group have suggested that earlier treatment with both first line and second line therapies is associated with a better outcome.                                                                                                                                                     Armangue et al reported similar findings in 20 patients aged less than 19 years with anti-NMDAR encephalitis. 19 patients received first line immunotherapy at the first episode of encephalitis. All patients received at least a short course of high dose steroids and 14 received </w:t>
            </w:r>
            <w:r w:rsidR="0015147E">
              <w:rPr>
                <w:rFonts w:asciiTheme="minorHAnsi" w:hAnsiTheme="minorHAnsi"/>
              </w:rPr>
              <w:t>IVIg</w:t>
            </w:r>
            <w:r w:rsidRPr="00202AAE">
              <w:rPr>
                <w:rFonts w:asciiTheme="minorHAnsi" w:hAnsiTheme="minorHAnsi"/>
              </w:rPr>
              <w:t xml:space="preserve"> (median 2 cycles, range 1-12 cycles). At median follow up of 17.5 months, 17 (85%) had substantial improvement, 2 had moderate or severe disability and 1 died. The median time from start of immunotherapy to first sign of improvement was 11.5 days.</w:t>
            </w:r>
          </w:p>
          <w:p w:rsidR="004549E1" w:rsidRDefault="004549E1" w:rsidP="004549E1">
            <w:pPr>
              <w:spacing w:before="120" w:after="120"/>
              <w:rPr>
                <w:rFonts w:asciiTheme="minorHAnsi" w:hAnsiTheme="minorHAnsi"/>
              </w:rPr>
            </w:pPr>
            <w:r w:rsidRPr="00202AAE">
              <w:rPr>
                <w:rFonts w:asciiTheme="minorHAnsi" w:hAnsiTheme="minorHAnsi"/>
              </w:rPr>
              <w:lastRenderedPageBreak/>
              <w:t xml:space="preserve">International best practice is to use </w:t>
            </w:r>
            <w:r w:rsidR="0015147E">
              <w:rPr>
                <w:rFonts w:asciiTheme="minorHAnsi" w:hAnsiTheme="minorHAnsi"/>
              </w:rPr>
              <w:t>IVIg</w:t>
            </w:r>
            <w:r w:rsidRPr="00202AAE">
              <w:rPr>
                <w:rFonts w:asciiTheme="minorHAnsi" w:hAnsiTheme="minorHAnsi"/>
              </w:rPr>
              <w:t xml:space="preserve"> as first line treatment, concurrently with IV steroids. Incrementation to second line therapies should be considered early by the treating physicians after familiarisation with the case literature. </w:t>
            </w:r>
          </w:p>
          <w:p w:rsidR="00320C9D" w:rsidRPr="00980B6A" w:rsidRDefault="00980B6A" w:rsidP="00980B6A">
            <w:pPr>
              <w:spacing w:before="120" w:after="120"/>
              <w:rPr>
                <w:rFonts w:asciiTheme="minorHAnsi" w:hAnsiTheme="minorHAnsi"/>
              </w:rPr>
            </w:pPr>
            <w:r>
              <w:rPr>
                <w:rFonts w:asciiTheme="minorHAnsi" w:hAnsiTheme="minorHAnsi"/>
              </w:rPr>
              <w:t>Treatment of other syndromes is less well defined and follows similar lines of immunotherapy plus the use of adjunctive therapies for symptom management.</w:t>
            </w:r>
          </w:p>
        </w:tc>
        <w:tc>
          <w:tcPr>
            <w:tcW w:w="5869" w:type="dxa"/>
            <w:gridSpan w:val="3"/>
          </w:tcPr>
          <w:p w:rsidR="004549E1" w:rsidRPr="00594C9D" w:rsidRDefault="004549E1" w:rsidP="004549E1">
            <w:pPr>
              <w:spacing w:before="120" w:after="120"/>
              <w:rPr>
                <w:rFonts w:asciiTheme="minorHAnsi" w:hAnsiTheme="minorHAnsi"/>
              </w:rPr>
            </w:pPr>
            <w:r w:rsidRPr="00594C9D">
              <w:rPr>
                <w:rFonts w:asciiTheme="minorHAnsi" w:hAnsiTheme="minorHAnsi"/>
              </w:rPr>
              <w:lastRenderedPageBreak/>
              <w:t xml:space="preserve">Owing to the recent recognition of this condition and its rarity, there are no RCTs examining the efficacy of </w:t>
            </w:r>
            <w:r w:rsidR="0015147E">
              <w:rPr>
                <w:rFonts w:asciiTheme="minorHAnsi" w:hAnsiTheme="minorHAnsi"/>
              </w:rPr>
              <w:t>IVIg</w:t>
            </w:r>
            <w:r w:rsidRPr="00594C9D">
              <w:rPr>
                <w:rFonts w:asciiTheme="minorHAnsi" w:hAnsiTheme="minorHAnsi"/>
              </w:rPr>
              <w:t xml:space="preserve"> in anti-NMDA receptor encephalitis. Most publications are of case reports or case series. Cohort studies as described below have been undertaken. In these studies, systemic steroids and </w:t>
            </w:r>
            <w:r w:rsidR="0015147E">
              <w:rPr>
                <w:rFonts w:asciiTheme="minorHAnsi" w:hAnsiTheme="minorHAnsi"/>
              </w:rPr>
              <w:t>IVIg</w:t>
            </w:r>
            <w:r w:rsidRPr="00594C9D">
              <w:rPr>
                <w:rFonts w:asciiTheme="minorHAnsi" w:hAnsiTheme="minorHAnsi"/>
              </w:rPr>
              <w:t xml:space="preserve"> are prescribed in tandem. None have prospectively compared the efficacy of </w:t>
            </w:r>
            <w:r w:rsidR="0015147E">
              <w:rPr>
                <w:rFonts w:asciiTheme="minorHAnsi" w:hAnsiTheme="minorHAnsi"/>
              </w:rPr>
              <w:t>IVIg</w:t>
            </w:r>
            <w:r w:rsidRPr="00594C9D">
              <w:rPr>
                <w:rFonts w:asciiTheme="minorHAnsi" w:hAnsiTheme="minorHAnsi"/>
              </w:rPr>
              <w:t xml:space="preserve"> vs plasmapheresis.</w:t>
            </w:r>
          </w:p>
          <w:p w:rsidR="00026961" w:rsidRDefault="004549E1" w:rsidP="004549E1">
            <w:pPr>
              <w:spacing w:before="120" w:after="120"/>
              <w:rPr>
                <w:rFonts w:asciiTheme="minorHAnsi" w:hAnsiTheme="minorHAnsi"/>
              </w:rPr>
            </w:pPr>
            <w:r w:rsidRPr="00594C9D">
              <w:rPr>
                <w:rFonts w:asciiTheme="minorHAnsi" w:hAnsiTheme="minorHAnsi"/>
              </w:rPr>
              <w:t>Titulaer et al</w:t>
            </w:r>
            <w:r w:rsidR="00CD299E">
              <w:rPr>
                <w:rFonts w:asciiTheme="minorHAnsi" w:hAnsiTheme="minorHAnsi"/>
              </w:rPr>
              <w:t xml:space="preserve"> (2014)</w:t>
            </w:r>
            <w:r w:rsidRPr="00594C9D">
              <w:rPr>
                <w:rFonts w:asciiTheme="minorHAnsi" w:hAnsiTheme="minorHAnsi"/>
              </w:rPr>
              <w:t xml:space="preserve"> described a cohort study of 577 adult and paediatric patients (of whom 501 had follow-up of at least 4 months) with anti-NMDAR encephalitis. 197 (38%) had an underlying neoplasm which was resected in 189. First line immunotherapy was defined as the use of steroids, </w:t>
            </w:r>
            <w:r w:rsidR="0015147E">
              <w:rPr>
                <w:rFonts w:asciiTheme="minorHAnsi" w:hAnsiTheme="minorHAnsi"/>
              </w:rPr>
              <w:t>IVIg</w:t>
            </w:r>
            <w:r w:rsidRPr="00594C9D">
              <w:rPr>
                <w:rFonts w:asciiTheme="minorHAnsi" w:hAnsiTheme="minorHAnsi"/>
              </w:rPr>
              <w:t xml:space="preserve"> or plasma exchange alone or in combination. Amongst the 501 patients, 461 (92%) were treated with first line immunotherapy (of these, 202 patients received steroids and </w:t>
            </w:r>
            <w:r w:rsidR="0015147E">
              <w:rPr>
                <w:rFonts w:asciiTheme="minorHAnsi" w:hAnsiTheme="minorHAnsi"/>
              </w:rPr>
              <w:t>IVIg</w:t>
            </w:r>
            <w:r w:rsidRPr="00594C9D">
              <w:rPr>
                <w:rFonts w:asciiTheme="minorHAnsi" w:hAnsiTheme="minorHAnsi"/>
              </w:rPr>
              <w:t xml:space="preserve">) and 134 (27%) progressed to second line immunotherapy. Of the patients who received first line treatment, 251 patients achieved treatment response (defined by a reduction in the modified Rankin score to &lt; 4 within 4 weeks). Over the first 24 months, 241 of 251 reached a modified Rankin score of 0-2 </w:t>
            </w:r>
            <w:r w:rsidRPr="00594C9D">
              <w:rPr>
                <w:rFonts w:asciiTheme="minorHAnsi" w:hAnsiTheme="minorHAnsi"/>
              </w:rPr>
              <w:lastRenderedPageBreak/>
              <w:t xml:space="preserve">(median 3 months). At 24 months 111 of 115 patients had a good outcome. Publications by the same group have suggested that earlier treatment with both first line and second line therapies is associated with a better outcome. </w:t>
            </w:r>
          </w:p>
          <w:p w:rsidR="004549E1" w:rsidRPr="00594C9D" w:rsidRDefault="004549E1" w:rsidP="004549E1">
            <w:pPr>
              <w:spacing w:before="120" w:after="120"/>
              <w:rPr>
                <w:rFonts w:asciiTheme="minorHAnsi" w:hAnsiTheme="minorHAnsi"/>
              </w:rPr>
            </w:pPr>
            <w:r w:rsidRPr="00594C9D">
              <w:rPr>
                <w:rFonts w:asciiTheme="minorHAnsi" w:hAnsiTheme="minorHAnsi"/>
              </w:rPr>
              <w:t>Armangue et al</w:t>
            </w:r>
            <w:r w:rsidR="00191734">
              <w:rPr>
                <w:rFonts w:asciiTheme="minorHAnsi" w:hAnsiTheme="minorHAnsi"/>
              </w:rPr>
              <w:t xml:space="preserve"> (2015)</w:t>
            </w:r>
            <w:r w:rsidRPr="00594C9D">
              <w:rPr>
                <w:rFonts w:asciiTheme="minorHAnsi" w:hAnsiTheme="minorHAnsi"/>
              </w:rPr>
              <w:t xml:space="preserve"> reported similar findings in 20 patients aged less than 19 years with anti-NMDAR encephalitis. 19 patients received first line immunotherapy at the first episode of encephalitis. All patients received at least a short course of high dose steroids and 14 received </w:t>
            </w:r>
            <w:r w:rsidR="0015147E">
              <w:rPr>
                <w:rFonts w:asciiTheme="minorHAnsi" w:hAnsiTheme="minorHAnsi"/>
              </w:rPr>
              <w:t>IVIg</w:t>
            </w:r>
            <w:r w:rsidRPr="00594C9D">
              <w:rPr>
                <w:rFonts w:asciiTheme="minorHAnsi" w:hAnsiTheme="minorHAnsi"/>
              </w:rPr>
              <w:t xml:space="preserve"> (median 2 cycles, range 1-12 cycles). At median follow up of 17.5 months, 17 (85%) had substantial improvement, 2 had moderate or severe disability and 1 died. The median time from start of immunotherapy to first sign of improvement was 11.5 days.</w:t>
            </w:r>
          </w:p>
          <w:p w:rsidR="004549E1" w:rsidRPr="00594C9D" w:rsidRDefault="004549E1" w:rsidP="004549E1">
            <w:pPr>
              <w:spacing w:before="120" w:after="120"/>
              <w:rPr>
                <w:rFonts w:asciiTheme="minorHAnsi" w:hAnsiTheme="minorHAnsi"/>
              </w:rPr>
            </w:pPr>
            <w:r w:rsidRPr="00594C9D">
              <w:rPr>
                <w:rFonts w:asciiTheme="minorHAnsi" w:hAnsiTheme="minorHAnsi"/>
              </w:rPr>
              <w:t xml:space="preserve">International best practice is to use </w:t>
            </w:r>
            <w:r w:rsidR="0015147E">
              <w:rPr>
                <w:rFonts w:asciiTheme="minorHAnsi" w:hAnsiTheme="minorHAnsi"/>
              </w:rPr>
              <w:t>IVIg</w:t>
            </w:r>
            <w:r w:rsidRPr="00594C9D">
              <w:rPr>
                <w:rFonts w:asciiTheme="minorHAnsi" w:hAnsiTheme="minorHAnsi"/>
              </w:rPr>
              <w:t xml:space="preserve"> as first line treatment, concurrently with IV steroids. </w:t>
            </w:r>
            <w:r w:rsidR="008E152E">
              <w:rPr>
                <w:rFonts w:asciiTheme="minorHAnsi" w:hAnsiTheme="minorHAnsi"/>
              </w:rPr>
              <w:t>Escalation</w:t>
            </w:r>
            <w:r w:rsidRPr="00594C9D">
              <w:rPr>
                <w:rFonts w:asciiTheme="minorHAnsi" w:hAnsiTheme="minorHAnsi"/>
              </w:rPr>
              <w:t xml:space="preserve"> to second line therapies should be considered early by the treating physicians after familiarisation with the case literature. </w:t>
            </w:r>
          </w:p>
          <w:p w:rsidR="004549E1" w:rsidRPr="00594C9D" w:rsidRDefault="004549E1" w:rsidP="004549E1">
            <w:pPr>
              <w:spacing w:before="120" w:after="120"/>
              <w:rPr>
                <w:rFonts w:asciiTheme="minorHAnsi" w:hAnsiTheme="minorHAnsi"/>
              </w:rPr>
            </w:pPr>
            <w:r w:rsidRPr="00594C9D">
              <w:rPr>
                <w:rFonts w:asciiTheme="minorHAnsi" w:hAnsiTheme="minorHAnsi"/>
              </w:rPr>
              <w:t>In the systematic review (retrospective case series) by Nosadini et al</w:t>
            </w:r>
            <w:r w:rsidR="00CD299E">
              <w:rPr>
                <w:rFonts w:asciiTheme="minorHAnsi" w:hAnsiTheme="minorHAnsi"/>
              </w:rPr>
              <w:t xml:space="preserve"> (2015)</w:t>
            </w:r>
            <w:r w:rsidRPr="00594C9D">
              <w:rPr>
                <w:rFonts w:asciiTheme="minorHAnsi" w:hAnsiTheme="minorHAnsi"/>
              </w:rPr>
              <w:t xml:space="preserve">, three tenets and common themes were reported: </w:t>
            </w:r>
          </w:p>
          <w:p w:rsidR="004549E1" w:rsidRPr="00594C9D" w:rsidRDefault="004549E1" w:rsidP="004549E1">
            <w:pPr>
              <w:spacing w:before="120" w:after="120"/>
              <w:rPr>
                <w:rFonts w:asciiTheme="minorHAnsi" w:hAnsiTheme="minorHAnsi"/>
              </w:rPr>
            </w:pPr>
            <w:r w:rsidRPr="00594C9D">
              <w:rPr>
                <w:rFonts w:asciiTheme="minorHAnsi" w:hAnsiTheme="minorHAnsi"/>
              </w:rPr>
              <w:t>1. Immune therapy is better than no immune therapy</w:t>
            </w:r>
          </w:p>
          <w:p w:rsidR="004549E1" w:rsidRDefault="004549E1" w:rsidP="004549E1">
            <w:pPr>
              <w:spacing w:before="120" w:after="120"/>
              <w:rPr>
                <w:rFonts w:asciiTheme="minorHAnsi" w:hAnsiTheme="minorHAnsi"/>
              </w:rPr>
            </w:pPr>
            <w:r w:rsidRPr="00594C9D">
              <w:rPr>
                <w:rFonts w:asciiTheme="minorHAnsi" w:hAnsiTheme="minorHAnsi"/>
              </w:rPr>
              <w:t xml:space="preserve">2. If a patient fails to respond to first line therapy, second line therapy improves outcomes. Steroids and </w:t>
            </w:r>
            <w:r w:rsidR="0015147E">
              <w:rPr>
                <w:rFonts w:asciiTheme="minorHAnsi" w:hAnsiTheme="minorHAnsi"/>
              </w:rPr>
              <w:t>IVIg</w:t>
            </w:r>
            <w:r w:rsidRPr="00594C9D">
              <w:rPr>
                <w:rFonts w:asciiTheme="minorHAnsi" w:hAnsiTheme="minorHAnsi"/>
              </w:rPr>
              <w:t xml:space="preserve"> are generally considered first line</w:t>
            </w:r>
          </w:p>
          <w:p w:rsidR="00AB120F" w:rsidRPr="00447869" w:rsidRDefault="004549E1" w:rsidP="00026961">
            <w:pPr>
              <w:spacing w:before="120" w:after="120"/>
              <w:rPr>
                <w:rFonts w:asciiTheme="minorHAnsi" w:hAnsiTheme="minorHAnsi"/>
              </w:rPr>
            </w:pPr>
            <w:r>
              <w:rPr>
                <w:rFonts w:asciiTheme="minorHAnsi" w:hAnsiTheme="minorHAnsi"/>
              </w:rPr>
              <w:t>3. No treatment increases the risk of relapse.</w:t>
            </w:r>
          </w:p>
        </w:tc>
        <w:tc>
          <w:tcPr>
            <w:tcW w:w="3254" w:type="dxa"/>
          </w:tcPr>
          <w:p w:rsidR="00AB120F" w:rsidRPr="00C92149" w:rsidRDefault="004549E1" w:rsidP="00846B19">
            <w:pPr>
              <w:spacing w:before="120" w:after="120"/>
              <w:rPr>
                <w:rFonts w:asciiTheme="minorHAnsi" w:hAnsiTheme="minorHAnsi"/>
                <w:szCs w:val="20"/>
              </w:rPr>
            </w:pPr>
            <w:r>
              <w:rPr>
                <w:rFonts w:asciiTheme="minorHAnsi" w:hAnsiTheme="minorHAnsi"/>
                <w:szCs w:val="20"/>
              </w:rPr>
              <w:lastRenderedPageBreak/>
              <w:t xml:space="preserve">The final paragraph has been replaced to present </w:t>
            </w:r>
            <w:r w:rsidR="00026961">
              <w:rPr>
                <w:rFonts w:asciiTheme="minorHAnsi" w:hAnsiTheme="minorHAnsi"/>
                <w:szCs w:val="20"/>
              </w:rPr>
              <w:t xml:space="preserve">the </w:t>
            </w:r>
            <w:r w:rsidR="00A32DED">
              <w:rPr>
                <w:rFonts w:asciiTheme="minorHAnsi" w:hAnsiTheme="minorHAnsi"/>
                <w:szCs w:val="20"/>
              </w:rPr>
              <w:t xml:space="preserve">key </w:t>
            </w:r>
            <w:r>
              <w:rPr>
                <w:rFonts w:asciiTheme="minorHAnsi" w:hAnsiTheme="minorHAnsi"/>
                <w:szCs w:val="20"/>
              </w:rPr>
              <w:t>tenants from Nosadini et al (2015), a systematic review of retrospective case series of autoimmune encephalitis.</w:t>
            </w:r>
          </w:p>
        </w:tc>
      </w:tr>
      <w:tr w:rsidR="00846B19" w:rsidRPr="00447869" w:rsidTr="00B8398C">
        <w:tc>
          <w:tcPr>
            <w:tcW w:w="1540" w:type="dxa"/>
            <w:shd w:val="clear" w:color="auto" w:fill="D9D9D9" w:themeFill="background1" w:themeFillShade="D9"/>
          </w:tcPr>
          <w:p w:rsidR="00AB120F" w:rsidRPr="00DC3758" w:rsidRDefault="00AB120F" w:rsidP="00DC3758">
            <w:pPr>
              <w:rPr>
                <w:b/>
              </w:rPr>
            </w:pPr>
            <w:r w:rsidRPr="00DC3758">
              <w:rPr>
                <w:b/>
              </w:rPr>
              <w:lastRenderedPageBreak/>
              <w:t>Indications</w:t>
            </w:r>
          </w:p>
        </w:tc>
        <w:tc>
          <w:tcPr>
            <w:tcW w:w="3938" w:type="dxa"/>
          </w:tcPr>
          <w:p w:rsidR="00AB120F" w:rsidRPr="00447869" w:rsidRDefault="004549E1" w:rsidP="00026961">
            <w:pPr>
              <w:spacing w:before="120" w:after="120"/>
              <w:rPr>
                <w:rFonts w:asciiTheme="minorHAnsi" w:hAnsiTheme="minorHAnsi"/>
              </w:rPr>
            </w:pPr>
            <w:r w:rsidRPr="00202AAE">
              <w:t>First line treatment for autoimmune encephalitis mediated by antibodies targeting neuronal cell surface antigens</w:t>
            </w:r>
          </w:p>
        </w:tc>
        <w:tc>
          <w:tcPr>
            <w:tcW w:w="5869" w:type="dxa"/>
            <w:gridSpan w:val="3"/>
          </w:tcPr>
          <w:p w:rsidR="004549E1" w:rsidRPr="00527DE2" w:rsidRDefault="004549E1" w:rsidP="004549E1">
            <w:pPr>
              <w:spacing w:before="120" w:after="120"/>
              <w:rPr>
                <w:rFonts w:asciiTheme="minorHAnsi" w:hAnsiTheme="minorHAnsi"/>
                <w:b/>
              </w:rPr>
            </w:pPr>
            <w:r w:rsidRPr="00527DE2">
              <w:rPr>
                <w:rFonts w:asciiTheme="minorHAnsi" w:hAnsiTheme="minorHAnsi"/>
                <w:b/>
              </w:rPr>
              <w:t xml:space="preserve">Cell surface antibody positive AMAE or limbic encephalitis  </w:t>
            </w:r>
          </w:p>
          <w:p w:rsidR="00AB120F" w:rsidRPr="00880ECB" w:rsidRDefault="004549E1" w:rsidP="004549E1">
            <w:pPr>
              <w:spacing w:before="120" w:after="120"/>
              <w:rPr>
                <w:rFonts w:asciiTheme="minorHAnsi" w:hAnsiTheme="minorHAnsi"/>
              </w:rPr>
            </w:pPr>
            <w:r w:rsidRPr="00527DE2">
              <w:rPr>
                <w:rFonts w:asciiTheme="minorHAnsi" w:hAnsiTheme="minorHAnsi"/>
                <w:b/>
              </w:rPr>
              <w:t>Suspected AMAE – antibody results not available or sero-negative AMAE or seronegative limbic encephalitis</w:t>
            </w:r>
          </w:p>
        </w:tc>
        <w:tc>
          <w:tcPr>
            <w:tcW w:w="3254" w:type="dxa"/>
          </w:tcPr>
          <w:p w:rsidR="00AB120F" w:rsidRPr="00C92149" w:rsidRDefault="004549E1" w:rsidP="00026961">
            <w:pPr>
              <w:spacing w:before="120" w:after="120"/>
              <w:rPr>
                <w:sz w:val="20"/>
                <w:szCs w:val="20"/>
              </w:rPr>
            </w:pPr>
            <w:r w:rsidRPr="000D5498">
              <w:rPr>
                <w:szCs w:val="20"/>
              </w:rPr>
              <w:t>Indications have been revised to better support different criteria</w:t>
            </w:r>
            <w:r>
              <w:rPr>
                <w:szCs w:val="20"/>
              </w:rPr>
              <w:t xml:space="preserve"> for different patient groups which were not previously distinguished.</w:t>
            </w:r>
          </w:p>
          <w:p w:rsidR="00AB120F" w:rsidRPr="00C92149" w:rsidRDefault="00AB120F" w:rsidP="00026961">
            <w:pPr>
              <w:spacing w:before="120" w:after="120"/>
              <w:rPr>
                <w:rFonts w:asciiTheme="minorHAnsi" w:hAnsiTheme="minorHAnsi"/>
                <w:sz w:val="20"/>
                <w:szCs w:val="20"/>
              </w:rPr>
            </w:pPr>
          </w:p>
        </w:tc>
      </w:tr>
      <w:tr w:rsidR="00846B19" w:rsidRPr="00447869" w:rsidTr="00B8398C">
        <w:tc>
          <w:tcPr>
            <w:tcW w:w="1540" w:type="dxa"/>
            <w:shd w:val="clear" w:color="auto" w:fill="D9D9D9" w:themeFill="background1" w:themeFillShade="D9"/>
          </w:tcPr>
          <w:p w:rsidR="00BA76E3" w:rsidRPr="00447869" w:rsidRDefault="00BA76E3" w:rsidP="00282F66">
            <w:pPr>
              <w:spacing w:before="120" w:after="120"/>
              <w:rPr>
                <w:rFonts w:asciiTheme="minorHAnsi" w:hAnsiTheme="minorHAnsi"/>
                <w:b/>
              </w:rPr>
            </w:pPr>
            <w:r w:rsidRPr="00447869">
              <w:rPr>
                <w:rFonts w:asciiTheme="minorHAnsi" w:hAnsiTheme="minorHAnsi"/>
                <w:b/>
              </w:rPr>
              <w:t>Description and Diagnostic Criteria</w:t>
            </w:r>
          </w:p>
          <w:p w:rsidR="00BA76E3" w:rsidRPr="00447869" w:rsidRDefault="00BA76E3" w:rsidP="00282F66">
            <w:pPr>
              <w:spacing w:before="120" w:after="120"/>
              <w:rPr>
                <w:rFonts w:asciiTheme="minorHAnsi" w:hAnsiTheme="minorHAnsi"/>
              </w:rPr>
            </w:pPr>
          </w:p>
        </w:tc>
        <w:tc>
          <w:tcPr>
            <w:tcW w:w="3938" w:type="dxa"/>
          </w:tcPr>
          <w:p w:rsidR="004549E1" w:rsidRPr="008272A8" w:rsidRDefault="004549E1" w:rsidP="004549E1">
            <w:pPr>
              <w:rPr>
                <w:rFonts w:asciiTheme="minorHAnsi" w:eastAsia="Times New Roman" w:hAnsiTheme="minorHAnsi" w:cs="Times New Roman"/>
                <w:color w:val="000000"/>
                <w:lang w:eastAsia="en-AU"/>
              </w:rPr>
            </w:pPr>
            <w:r w:rsidRPr="008272A8">
              <w:rPr>
                <w:rFonts w:asciiTheme="minorHAnsi" w:eastAsia="Times New Roman" w:hAnsiTheme="minorHAnsi" w:cs="Times New Roman"/>
                <w:color w:val="000000"/>
                <w:lang w:eastAsia="en-AU"/>
              </w:rPr>
              <w:t xml:space="preserve">Anti-N-methyl-D-aspartate-receptor encephalitis is an antibody mediated neurological disease initially described in 2005. It is the most common and best described of the encephalitides associated with antibodies to neuronal cell surface antigens. Patients present with psychiatric symptoms (agitation, paranoia, hallucinations and aggression) which progresses to dyskinesias, seizures, autonomic instability, decreased consciousness, catatonia and central </w:t>
            </w:r>
            <w:r w:rsidRPr="008272A8">
              <w:rPr>
                <w:rFonts w:asciiTheme="minorHAnsi" w:eastAsia="Times New Roman" w:hAnsiTheme="minorHAnsi" w:cs="Times New Roman"/>
                <w:color w:val="000000"/>
                <w:lang w:eastAsia="en-AU"/>
              </w:rPr>
              <w:lastRenderedPageBreak/>
              <w:t xml:space="preserve">hypoventilation leading to a need for ventilator support in ICU. There are variations on the classical presentation including seizures first, milder forms and cases associated with CNS inflammatory lesions. </w:t>
            </w:r>
          </w:p>
          <w:p w:rsidR="004549E1" w:rsidRPr="008272A8" w:rsidRDefault="004549E1" w:rsidP="004549E1">
            <w:pPr>
              <w:rPr>
                <w:rFonts w:asciiTheme="minorHAnsi" w:eastAsia="Times New Roman" w:hAnsiTheme="minorHAnsi" w:cs="Times New Roman"/>
                <w:color w:val="000000"/>
                <w:lang w:eastAsia="en-AU"/>
              </w:rPr>
            </w:pPr>
            <w:r w:rsidRPr="008272A8">
              <w:rPr>
                <w:rFonts w:asciiTheme="minorHAnsi" w:eastAsia="Times New Roman" w:hAnsiTheme="minorHAnsi" w:cs="Times New Roman"/>
                <w:color w:val="000000"/>
                <w:lang w:eastAsia="en-AU"/>
              </w:rPr>
              <w:t>There is compelling evidence suggesting the role for IgG1 and IgG2 antibodies in binding to the GluN1 subunit of the NMDA-receptor. A proportion of cases are associated with underlying teratomas and tumour removal may be curative.</w:t>
            </w:r>
          </w:p>
          <w:p w:rsidR="004549E1" w:rsidRPr="008272A8" w:rsidRDefault="004549E1" w:rsidP="004549E1">
            <w:pPr>
              <w:rPr>
                <w:rFonts w:asciiTheme="minorHAnsi" w:eastAsia="Times New Roman" w:hAnsiTheme="minorHAnsi" w:cs="Times New Roman"/>
                <w:color w:val="000000"/>
                <w:lang w:eastAsia="en-AU"/>
              </w:rPr>
            </w:pPr>
            <w:r w:rsidRPr="008272A8">
              <w:rPr>
                <w:rFonts w:asciiTheme="minorHAnsi" w:eastAsia="Times New Roman" w:hAnsiTheme="minorHAnsi" w:cs="Times New Roman"/>
                <w:color w:val="000000"/>
                <w:lang w:eastAsia="en-AU"/>
              </w:rPr>
              <w:t xml:space="preserve">Treatment thus consists of immunotherapy and tumour resection. First line immunotherapy typically includes intravenous methylprednisolone and </w:t>
            </w:r>
            <w:r w:rsidR="0015147E">
              <w:rPr>
                <w:rFonts w:asciiTheme="minorHAnsi" w:eastAsia="Times New Roman" w:hAnsiTheme="minorHAnsi" w:cs="Times New Roman"/>
                <w:color w:val="000000"/>
                <w:lang w:eastAsia="en-AU"/>
              </w:rPr>
              <w:t>IVIg</w:t>
            </w:r>
            <w:r w:rsidRPr="008272A8">
              <w:rPr>
                <w:rFonts w:asciiTheme="minorHAnsi" w:eastAsia="Times New Roman" w:hAnsiTheme="minorHAnsi" w:cs="Times New Roman"/>
                <w:color w:val="000000"/>
                <w:lang w:eastAsia="en-AU"/>
              </w:rPr>
              <w:t xml:space="preserve"> or plasmapheresis. Due to the behavioural and/or autonomic manifestations of the disease, plasmapheresis, with large bore catheters may be clinically inappropriate. Second line treatment includes rituximab and cyclophosphamide. The consensus opinion is that one would progress to the addition of second line treatment in a standard case if no clinical improvement is observed after approximately two weeks of first line therapy and no tumour is found.</w:t>
            </w:r>
          </w:p>
          <w:p w:rsidR="004549E1" w:rsidRPr="008272A8" w:rsidRDefault="004549E1" w:rsidP="004549E1">
            <w:pPr>
              <w:rPr>
                <w:rFonts w:asciiTheme="minorHAnsi" w:eastAsia="Times New Roman" w:hAnsiTheme="minorHAnsi" w:cs="Times New Roman"/>
                <w:color w:val="000000"/>
                <w:lang w:eastAsia="en-AU"/>
              </w:rPr>
            </w:pPr>
          </w:p>
          <w:p w:rsidR="004549E1" w:rsidRPr="008272A8" w:rsidRDefault="004549E1" w:rsidP="004549E1">
            <w:pPr>
              <w:rPr>
                <w:rFonts w:asciiTheme="minorHAnsi" w:eastAsia="Times New Roman" w:hAnsiTheme="minorHAnsi" w:cs="Times New Roman"/>
                <w:color w:val="000000"/>
                <w:lang w:eastAsia="en-AU"/>
              </w:rPr>
            </w:pPr>
            <w:r w:rsidRPr="008272A8">
              <w:rPr>
                <w:rFonts w:asciiTheme="minorHAnsi" w:eastAsia="Times New Roman" w:hAnsiTheme="minorHAnsi" w:cs="Times New Roman"/>
                <w:color w:val="000000"/>
                <w:lang w:eastAsia="en-AU"/>
              </w:rPr>
              <w:t xml:space="preserve">There are a variety of rarer neuroimmunological syndromes for </w:t>
            </w:r>
            <w:r w:rsidRPr="008272A8">
              <w:rPr>
                <w:rFonts w:asciiTheme="minorHAnsi" w:eastAsia="Times New Roman" w:hAnsiTheme="minorHAnsi" w:cs="Times New Roman"/>
                <w:color w:val="000000"/>
                <w:lang w:eastAsia="en-AU"/>
              </w:rPr>
              <w:lastRenderedPageBreak/>
              <w:t>which there is good evidence of antibodies binding physiologically relevant neuronal surface antigens with a case literature describing responses to im</w:t>
            </w:r>
            <w:r w:rsidR="00307163">
              <w:rPr>
                <w:rFonts w:asciiTheme="minorHAnsi" w:eastAsia="Times New Roman" w:hAnsiTheme="minorHAnsi" w:cs="Times New Roman"/>
                <w:color w:val="000000"/>
                <w:lang w:eastAsia="en-AU"/>
              </w:rPr>
              <w:t xml:space="preserve">munotherapy often including </w:t>
            </w:r>
            <w:r w:rsidR="0015147E">
              <w:rPr>
                <w:rFonts w:asciiTheme="minorHAnsi" w:eastAsia="Times New Roman" w:hAnsiTheme="minorHAnsi" w:cs="Times New Roman"/>
                <w:color w:val="000000"/>
                <w:lang w:eastAsia="en-AU"/>
              </w:rPr>
              <w:t>IVIg</w:t>
            </w:r>
            <w:r w:rsidRPr="008272A8">
              <w:rPr>
                <w:rFonts w:asciiTheme="minorHAnsi" w:eastAsia="Times New Roman" w:hAnsiTheme="minorHAnsi" w:cs="Times New Roman"/>
                <w:color w:val="000000"/>
                <w:lang w:eastAsia="en-AU"/>
              </w:rPr>
              <w:t xml:space="preserve">. All these syndromes have both distinctive clinical syndromes described matching particular antibodies but also have some cases described where there is clinical overlap with those described with other antibodies or other CNS inflammatory disorders. In many of these syndromes associations with malignancies have been identified and clinicians treating such cases should be familiar with the literature and investigate accordingly. </w:t>
            </w:r>
          </w:p>
          <w:p w:rsidR="004549E1" w:rsidRPr="008272A8" w:rsidRDefault="004549E1" w:rsidP="004549E1">
            <w:pPr>
              <w:rPr>
                <w:rFonts w:asciiTheme="minorHAnsi" w:eastAsia="Times New Roman" w:hAnsiTheme="minorHAnsi" w:cs="Times New Roman"/>
                <w:color w:val="000000"/>
                <w:lang w:eastAsia="en-AU"/>
              </w:rPr>
            </w:pPr>
            <w:r w:rsidRPr="008272A8">
              <w:rPr>
                <w:rFonts w:asciiTheme="minorHAnsi" w:eastAsia="Times New Roman" w:hAnsiTheme="minorHAnsi" w:cs="Times New Roman"/>
                <w:color w:val="000000"/>
                <w:lang w:eastAsia="en-AU"/>
              </w:rPr>
              <w:t>Some cases also have more than one antibody identified.</w:t>
            </w:r>
          </w:p>
          <w:p w:rsidR="004549E1" w:rsidRPr="008272A8" w:rsidRDefault="004549E1" w:rsidP="004549E1">
            <w:pPr>
              <w:rPr>
                <w:rFonts w:asciiTheme="minorHAnsi" w:eastAsia="Times New Roman" w:hAnsiTheme="minorHAnsi" w:cs="Times New Roman"/>
                <w:color w:val="000000"/>
                <w:lang w:eastAsia="en-AU"/>
              </w:rPr>
            </w:pPr>
            <w:r w:rsidRPr="008272A8">
              <w:rPr>
                <w:rFonts w:asciiTheme="minorHAnsi" w:eastAsia="Times New Roman" w:hAnsiTheme="minorHAnsi" w:cs="Times New Roman"/>
                <w:color w:val="000000"/>
                <w:lang w:eastAsia="en-AU"/>
              </w:rPr>
              <w:t xml:space="preserve">Rare cases occur in which an infectious trigger is identified. In these cases it may be unclear if the antibody identified is associated with a clinically relevant undesirable response suggesting a need for immunotherapy, or a desirable immune response where immunotherapy may be undesirable. </w:t>
            </w:r>
          </w:p>
          <w:p w:rsidR="004549E1" w:rsidRPr="008272A8" w:rsidRDefault="004549E1" w:rsidP="004549E1">
            <w:pPr>
              <w:rPr>
                <w:rFonts w:asciiTheme="minorHAnsi" w:eastAsia="Times New Roman" w:hAnsiTheme="minorHAnsi" w:cs="Times New Roman"/>
                <w:color w:val="000000"/>
                <w:lang w:eastAsia="en-AU"/>
              </w:rPr>
            </w:pPr>
          </w:p>
          <w:p w:rsidR="004549E1" w:rsidRPr="008272A8" w:rsidRDefault="004549E1" w:rsidP="004549E1">
            <w:pPr>
              <w:rPr>
                <w:rFonts w:asciiTheme="minorHAnsi" w:eastAsia="Times New Roman" w:hAnsiTheme="minorHAnsi" w:cs="Times New Roman"/>
                <w:color w:val="000000"/>
                <w:lang w:eastAsia="en-AU"/>
              </w:rPr>
            </w:pPr>
            <w:r w:rsidRPr="008272A8">
              <w:rPr>
                <w:rFonts w:asciiTheme="minorHAnsi" w:eastAsia="Times New Roman" w:hAnsiTheme="minorHAnsi" w:cs="Times New Roman"/>
                <w:color w:val="000000"/>
                <w:lang w:eastAsia="en-AU"/>
              </w:rPr>
              <w:t xml:space="preserve">VGKC-Abs have been described in heterogeneous disorders such as Limbic encephalitis or Isaac and Morvan syndromes. The antibodies bind associated proteins such as Lgi1 (limbic </w:t>
            </w:r>
            <w:r w:rsidRPr="008272A8">
              <w:rPr>
                <w:rFonts w:asciiTheme="minorHAnsi" w:eastAsia="Times New Roman" w:hAnsiTheme="minorHAnsi" w:cs="Times New Roman"/>
                <w:color w:val="000000"/>
                <w:lang w:eastAsia="en-AU"/>
              </w:rPr>
              <w:lastRenderedPageBreak/>
              <w:t xml:space="preserve">encephalitis) and Caspr2 (neuromyotonia) rather than the VGKC itself in almost all cases. An associated tumor is observed rarely in patients with Lgi1 Ab and less than 30% patients with Caspr2 Ab. A different potassium channel associated protein DPPX has also been described. </w:t>
            </w:r>
          </w:p>
          <w:p w:rsidR="004549E1" w:rsidRPr="008272A8" w:rsidRDefault="004549E1" w:rsidP="004549E1">
            <w:pPr>
              <w:rPr>
                <w:rFonts w:asciiTheme="minorHAnsi" w:eastAsia="Times New Roman" w:hAnsiTheme="minorHAnsi" w:cs="Times New Roman"/>
                <w:color w:val="000000"/>
                <w:lang w:eastAsia="en-AU"/>
              </w:rPr>
            </w:pPr>
            <w:r w:rsidRPr="008272A8">
              <w:rPr>
                <w:rFonts w:asciiTheme="minorHAnsi" w:eastAsia="Times New Roman" w:hAnsiTheme="minorHAnsi" w:cs="Times New Roman"/>
                <w:color w:val="000000"/>
                <w:lang w:eastAsia="en-AU"/>
              </w:rPr>
              <w:t xml:space="preserve">Limbic encephalitis and other clinical encephalitis syndromes can occur with other antibodies directed against cell surface synaptic antigens (AMPAr, GABAa, GABAb, glycine). </w:t>
            </w:r>
          </w:p>
          <w:p w:rsidR="004549E1" w:rsidRPr="00282F66" w:rsidRDefault="004549E1" w:rsidP="004549E1">
            <w:pPr>
              <w:rPr>
                <w:rFonts w:asciiTheme="minorHAnsi" w:hAnsiTheme="minorHAnsi" w:cs="Lucida Grande"/>
                <w:color w:val="000000"/>
              </w:rPr>
            </w:pPr>
            <w:r w:rsidRPr="008272A8">
              <w:rPr>
                <w:rFonts w:asciiTheme="minorHAnsi" w:eastAsia="Times New Roman" w:hAnsiTheme="minorHAnsi" w:cs="Times New Roman"/>
                <w:color w:val="000000"/>
                <w:lang w:eastAsia="en-AU"/>
              </w:rPr>
              <w:t>At the time of writing testing is available in Australia for only some of these antibodies. For others samples will need to be sent for testing at international reference laboratories and this is not the role of NBA / ARCBS. Testing CSF in addition to serum has a higher yield than serum alone and should be performed ab initio on both serum and CSF unless there are strong reasons to avoid lumbar puncture.</w:t>
            </w:r>
          </w:p>
          <w:p w:rsidR="008515FF" w:rsidRPr="004A10A2" w:rsidRDefault="008515FF" w:rsidP="008515FF">
            <w:pPr>
              <w:spacing w:after="225" w:line="293" w:lineRule="atLeast"/>
              <w:rPr>
                <w:rFonts w:asciiTheme="minorHAnsi" w:eastAsiaTheme="minorHAnsi" w:hAnsiTheme="minorHAnsi" w:cs="Times New Roman"/>
                <w:color w:val="000000"/>
              </w:rPr>
            </w:pPr>
          </w:p>
          <w:p w:rsidR="00BA76E3" w:rsidRPr="00447869" w:rsidRDefault="00BA76E3" w:rsidP="008515FF">
            <w:pPr>
              <w:pStyle w:val="heading"/>
              <w:spacing w:before="0" w:beforeAutospacing="0" w:after="225" w:afterAutospacing="0" w:line="293" w:lineRule="atLeast"/>
              <w:rPr>
                <w:rFonts w:asciiTheme="minorHAnsi" w:hAnsiTheme="minorHAnsi"/>
              </w:rPr>
            </w:pPr>
          </w:p>
        </w:tc>
        <w:tc>
          <w:tcPr>
            <w:tcW w:w="5869" w:type="dxa"/>
            <w:gridSpan w:val="3"/>
          </w:tcPr>
          <w:p w:rsidR="004549E1" w:rsidRPr="00594C9D" w:rsidRDefault="004549E1" w:rsidP="004549E1">
            <w:pPr>
              <w:rPr>
                <w:rFonts w:asciiTheme="minorHAnsi" w:eastAsia="Times New Roman" w:hAnsiTheme="minorHAnsi" w:cs="Times New Roman"/>
                <w:color w:val="000000"/>
                <w:lang w:eastAsia="en-AU"/>
              </w:rPr>
            </w:pPr>
            <w:r w:rsidRPr="00594C9D">
              <w:rPr>
                <w:rFonts w:asciiTheme="minorHAnsi" w:eastAsia="Times New Roman" w:hAnsiTheme="minorHAnsi" w:cs="Times New Roman"/>
                <w:color w:val="000000"/>
                <w:lang w:eastAsia="en-AU"/>
              </w:rPr>
              <w:lastRenderedPageBreak/>
              <w:t>Anti-N-methyl-D-aspartate-receptor (NMDAR) encephalitis is an antibody mediated neurological disease initially described in 2005. It is the most common and best described of the encephalitides associated with antibodies to neuronal cell surface antigens. There is compelling evidence suggesting the role for IgG1 and IgG2 antibodies in binding to the GluN1 subunit of the NMDA-receptor. A proportion of cases are associated with underlying teratomas and tumour removal may be curative.</w:t>
            </w:r>
          </w:p>
          <w:p w:rsidR="00BA76E3" w:rsidRDefault="00BA76E3" w:rsidP="005960E7">
            <w:pPr>
              <w:rPr>
                <w:rFonts w:asciiTheme="minorHAnsi" w:hAnsiTheme="minorHAnsi"/>
              </w:rPr>
            </w:pPr>
          </w:p>
          <w:p w:rsidR="004549E1" w:rsidRDefault="004549E1" w:rsidP="004549E1">
            <w:pPr>
              <w:rPr>
                <w:rFonts w:asciiTheme="minorHAnsi" w:eastAsia="Times New Roman" w:hAnsiTheme="minorHAnsi" w:cs="Times New Roman"/>
                <w:color w:val="000000"/>
                <w:lang w:eastAsia="en-AU"/>
              </w:rPr>
            </w:pPr>
            <w:r w:rsidRPr="00594C9D">
              <w:rPr>
                <w:rFonts w:asciiTheme="minorHAnsi" w:eastAsia="Times New Roman" w:hAnsiTheme="minorHAnsi" w:cs="Times New Roman"/>
                <w:color w:val="000000"/>
                <w:lang w:eastAsia="en-AU"/>
              </w:rPr>
              <w:t>A probable diagnosis can be made (Graus et al</w:t>
            </w:r>
            <w:r w:rsidR="00CD299E">
              <w:rPr>
                <w:rFonts w:asciiTheme="minorHAnsi" w:eastAsia="Times New Roman" w:hAnsiTheme="minorHAnsi" w:cs="Times New Roman"/>
                <w:color w:val="000000"/>
                <w:lang w:eastAsia="en-AU"/>
              </w:rPr>
              <w:t>, 2016</w:t>
            </w:r>
            <w:r w:rsidRPr="00594C9D">
              <w:rPr>
                <w:rFonts w:asciiTheme="minorHAnsi" w:eastAsia="Times New Roman" w:hAnsiTheme="minorHAnsi" w:cs="Times New Roman"/>
                <w:color w:val="000000"/>
                <w:lang w:eastAsia="en-AU"/>
              </w:rPr>
              <w:t xml:space="preserve">) when all three of the following criteria have been met: </w:t>
            </w:r>
          </w:p>
          <w:p w:rsidR="00B70E50" w:rsidRPr="00594C9D" w:rsidRDefault="00B70E50" w:rsidP="004549E1">
            <w:pPr>
              <w:rPr>
                <w:rFonts w:asciiTheme="minorHAnsi" w:eastAsia="Times New Roman" w:hAnsiTheme="minorHAnsi" w:cs="Times New Roman"/>
                <w:color w:val="000000"/>
                <w:lang w:eastAsia="en-AU"/>
              </w:rPr>
            </w:pPr>
          </w:p>
          <w:p w:rsidR="004549E1" w:rsidRPr="00594C9D" w:rsidRDefault="004549E1" w:rsidP="00B70E50">
            <w:pPr>
              <w:ind w:left="794" w:hanging="794"/>
              <w:rPr>
                <w:rFonts w:asciiTheme="minorHAnsi" w:eastAsia="Times New Roman" w:hAnsiTheme="minorHAnsi" w:cs="Times New Roman"/>
                <w:color w:val="000000"/>
                <w:lang w:eastAsia="en-AU"/>
              </w:rPr>
            </w:pPr>
            <w:r w:rsidRPr="00594C9D">
              <w:rPr>
                <w:rFonts w:asciiTheme="minorHAnsi" w:eastAsia="Times New Roman" w:hAnsiTheme="minorHAnsi" w:cs="Times New Roman"/>
                <w:color w:val="000000"/>
                <w:lang w:eastAsia="en-AU"/>
              </w:rPr>
              <w:t>1.</w:t>
            </w:r>
            <w:r w:rsidRPr="00594C9D">
              <w:rPr>
                <w:rFonts w:asciiTheme="minorHAnsi" w:eastAsia="Times New Roman" w:hAnsiTheme="minorHAnsi" w:cs="Times New Roman"/>
                <w:color w:val="000000"/>
                <w:lang w:eastAsia="en-AU"/>
              </w:rPr>
              <w:tab/>
              <w:t xml:space="preserve">Rapid onset (less than three months) of at least four symptom groups including: </w:t>
            </w:r>
          </w:p>
          <w:p w:rsidR="004549E1" w:rsidRPr="00594C9D" w:rsidRDefault="004549E1" w:rsidP="004549E1">
            <w:pPr>
              <w:ind w:left="885" w:hanging="459"/>
              <w:rPr>
                <w:rFonts w:asciiTheme="minorHAnsi" w:eastAsia="Times New Roman" w:hAnsiTheme="minorHAnsi" w:cs="Times New Roman"/>
                <w:color w:val="000000"/>
                <w:lang w:eastAsia="en-AU"/>
              </w:rPr>
            </w:pPr>
            <w:r w:rsidRPr="00594C9D">
              <w:rPr>
                <w:rFonts w:asciiTheme="minorHAnsi" w:eastAsia="Times New Roman" w:hAnsiTheme="minorHAnsi" w:cs="Times New Roman"/>
                <w:color w:val="000000"/>
                <w:lang w:eastAsia="en-AU"/>
              </w:rPr>
              <w:t>•</w:t>
            </w:r>
            <w:r w:rsidRPr="00594C9D">
              <w:rPr>
                <w:rFonts w:asciiTheme="minorHAnsi" w:eastAsia="Times New Roman" w:hAnsiTheme="minorHAnsi" w:cs="Times New Roman"/>
                <w:color w:val="000000"/>
                <w:lang w:eastAsia="en-AU"/>
              </w:rPr>
              <w:tab/>
              <w:t>Abnormal (psychiatric) behaviour or cognitive dysfunction</w:t>
            </w:r>
          </w:p>
          <w:p w:rsidR="004549E1" w:rsidRPr="00594C9D" w:rsidRDefault="004549E1" w:rsidP="004549E1">
            <w:pPr>
              <w:ind w:left="885" w:hanging="459"/>
              <w:rPr>
                <w:rFonts w:asciiTheme="minorHAnsi" w:eastAsia="Times New Roman" w:hAnsiTheme="minorHAnsi" w:cs="Times New Roman"/>
                <w:color w:val="000000"/>
                <w:lang w:eastAsia="en-AU"/>
              </w:rPr>
            </w:pPr>
            <w:r w:rsidRPr="00594C9D">
              <w:rPr>
                <w:rFonts w:asciiTheme="minorHAnsi" w:eastAsia="Times New Roman" w:hAnsiTheme="minorHAnsi" w:cs="Times New Roman"/>
                <w:color w:val="000000"/>
                <w:lang w:eastAsia="en-AU"/>
              </w:rPr>
              <w:t>•</w:t>
            </w:r>
            <w:r w:rsidRPr="00594C9D">
              <w:rPr>
                <w:rFonts w:asciiTheme="minorHAnsi" w:eastAsia="Times New Roman" w:hAnsiTheme="minorHAnsi" w:cs="Times New Roman"/>
                <w:color w:val="000000"/>
                <w:lang w:eastAsia="en-AU"/>
              </w:rPr>
              <w:tab/>
              <w:t>Speech dysfunction (Pressured speech, verbal reduction, mutism)</w:t>
            </w:r>
          </w:p>
          <w:p w:rsidR="004549E1" w:rsidRPr="00594C9D" w:rsidRDefault="004549E1" w:rsidP="004549E1">
            <w:pPr>
              <w:ind w:left="885" w:hanging="459"/>
              <w:rPr>
                <w:rFonts w:asciiTheme="minorHAnsi" w:eastAsia="Times New Roman" w:hAnsiTheme="minorHAnsi" w:cs="Times New Roman"/>
                <w:color w:val="000000"/>
                <w:lang w:eastAsia="en-AU"/>
              </w:rPr>
            </w:pPr>
            <w:r w:rsidRPr="00594C9D">
              <w:rPr>
                <w:rFonts w:asciiTheme="minorHAnsi" w:eastAsia="Times New Roman" w:hAnsiTheme="minorHAnsi" w:cs="Times New Roman"/>
                <w:color w:val="000000"/>
                <w:lang w:eastAsia="en-AU"/>
              </w:rPr>
              <w:t>•</w:t>
            </w:r>
            <w:r w:rsidRPr="00594C9D">
              <w:rPr>
                <w:rFonts w:asciiTheme="minorHAnsi" w:eastAsia="Times New Roman" w:hAnsiTheme="minorHAnsi" w:cs="Times New Roman"/>
                <w:color w:val="000000"/>
                <w:lang w:eastAsia="en-AU"/>
              </w:rPr>
              <w:tab/>
              <w:t>Seizures</w:t>
            </w:r>
          </w:p>
          <w:p w:rsidR="004549E1" w:rsidRPr="00594C9D" w:rsidRDefault="004549E1" w:rsidP="004549E1">
            <w:pPr>
              <w:ind w:left="885" w:hanging="459"/>
              <w:rPr>
                <w:rFonts w:asciiTheme="minorHAnsi" w:eastAsia="Times New Roman" w:hAnsiTheme="minorHAnsi" w:cs="Times New Roman"/>
                <w:color w:val="000000"/>
                <w:lang w:eastAsia="en-AU"/>
              </w:rPr>
            </w:pPr>
            <w:r w:rsidRPr="00594C9D">
              <w:rPr>
                <w:rFonts w:asciiTheme="minorHAnsi" w:eastAsia="Times New Roman" w:hAnsiTheme="minorHAnsi" w:cs="Times New Roman"/>
                <w:color w:val="000000"/>
                <w:lang w:eastAsia="en-AU"/>
              </w:rPr>
              <w:t>•</w:t>
            </w:r>
            <w:r w:rsidRPr="00594C9D">
              <w:rPr>
                <w:rFonts w:asciiTheme="minorHAnsi" w:eastAsia="Times New Roman" w:hAnsiTheme="minorHAnsi" w:cs="Times New Roman"/>
                <w:color w:val="000000"/>
                <w:lang w:eastAsia="en-AU"/>
              </w:rPr>
              <w:tab/>
              <w:t>Movement disorder, dykinesias or rigidity/ abnormal postures</w:t>
            </w:r>
          </w:p>
          <w:p w:rsidR="004549E1" w:rsidRPr="00594C9D" w:rsidRDefault="004549E1" w:rsidP="004549E1">
            <w:pPr>
              <w:ind w:left="885" w:hanging="459"/>
              <w:rPr>
                <w:rFonts w:asciiTheme="minorHAnsi" w:eastAsia="Times New Roman" w:hAnsiTheme="minorHAnsi" w:cs="Times New Roman"/>
                <w:color w:val="000000"/>
                <w:lang w:eastAsia="en-AU"/>
              </w:rPr>
            </w:pPr>
            <w:r w:rsidRPr="00594C9D">
              <w:rPr>
                <w:rFonts w:asciiTheme="minorHAnsi" w:eastAsia="Times New Roman" w:hAnsiTheme="minorHAnsi" w:cs="Times New Roman"/>
                <w:color w:val="000000"/>
                <w:lang w:eastAsia="en-AU"/>
              </w:rPr>
              <w:t>•</w:t>
            </w:r>
            <w:r w:rsidRPr="00594C9D">
              <w:rPr>
                <w:rFonts w:asciiTheme="minorHAnsi" w:eastAsia="Times New Roman" w:hAnsiTheme="minorHAnsi" w:cs="Times New Roman"/>
                <w:color w:val="000000"/>
                <w:lang w:eastAsia="en-AU"/>
              </w:rPr>
              <w:tab/>
              <w:t>Decreased level of consciousness</w:t>
            </w:r>
          </w:p>
          <w:p w:rsidR="004549E1" w:rsidRDefault="004549E1" w:rsidP="004549E1">
            <w:pPr>
              <w:ind w:left="885" w:hanging="459"/>
              <w:rPr>
                <w:rFonts w:asciiTheme="minorHAnsi" w:eastAsia="Times New Roman" w:hAnsiTheme="minorHAnsi" w:cs="Times New Roman"/>
                <w:color w:val="000000"/>
                <w:lang w:eastAsia="en-AU"/>
              </w:rPr>
            </w:pPr>
            <w:r w:rsidRPr="00594C9D">
              <w:rPr>
                <w:rFonts w:asciiTheme="minorHAnsi" w:eastAsia="Times New Roman" w:hAnsiTheme="minorHAnsi" w:cs="Times New Roman"/>
                <w:color w:val="000000"/>
                <w:lang w:eastAsia="en-AU"/>
              </w:rPr>
              <w:t>•</w:t>
            </w:r>
            <w:r w:rsidRPr="00594C9D">
              <w:rPr>
                <w:rFonts w:asciiTheme="minorHAnsi" w:eastAsia="Times New Roman" w:hAnsiTheme="minorHAnsi" w:cs="Times New Roman"/>
                <w:color w:val="000000"/>
                <w:lang w:eastAsia="en-AU"/>
              </w:rPr>
              <w:tab/>
              <w:t>Autonomic dysfunction or central hypoventilation</w:t>
            </w:r>
          </w:p>
          <w:p w:rsidR="00B70E50" w:rsidRPr="00594C9D" w:rsidRDefault="00B70E50" w:rsidP="004549E1">
            <w:pPr>
              <w:ind w:left="885" w:hanging="459"/>
              <w:rPr>
                <w:rFonts w:asciiTheme="minorHAnsi" w:eastAsia="Times New Roman" w:hAnsiTheme="minorHAnsi" w:cs="Times New Roman"/>
                <w:color w:val="000000"/>
                <w:lang w:eastAsia="en-AU"/>
              </w:rPr>
            </w:pPr>
          </w:p>
          <w:p w:rsidR="004549E1" w:rsidRPr="00594C9D" w:rsidRDefault="004549E1" w:rsidP="004549E1">
            <w:pPr>
              <w:rPr>
                <w:rFonts w:asciiTheme="minorHAnsi" w:eastAsia="Times New Roman" w:hAnsiTheme="minorHAnsi" w:cs="Times New Roman"/>
                <w:color w:val="000000"/>
                <w:lang w:eastAsia="en-AU"/>
              </w:rPr>
            </w:pPr>
            <w:r w:rsidRPr="00594C9D">
              <w:rPr>
                <w:rFonts w:asciiTheme="minorHAnsi" w:eastAsia="Times New Roman" w:hAnsiTheme="minorHAnsi" w:cs="Times New Roman"/>
                <w:color w:val="000000"/>
                <w:lang w:eastAsia="en-AU"/>
              </w:rPr>
              <w:t>2.</w:t>
            </w:r>
            <w:r w:rsidRPr="00594C9D">
              <w:rPr>
                <w:rFonts w:asciiTheme="minorHAnsi" w:eastAsia="Times New Roman" w:hAnsiTheme="minorHAnsi" w:cs="Times New Roman"/>
                <w:color w:val="000000"/>
                <w:lang w:eastAsia="en-AU"/>
              </w:rPr>
              <w:tab/>
              <w:t xml:space="preserve">At least one of the following laboratory study results: </w:t>
            </w:r>
          </w:p>
          <w:p w:rsidR="004549E1" w:rsidRPr="00594C9D" w:rsidRDefault="004549E1" w:rsidP="004549E1">
            <w:pPr>
              <w:ind w:left="885" w:hanging="459"/>
              <w:rPr>
                <w:rFonts w:asciiTheme="minorHAnsi" w:eastAsia="Times New Roman" w:hAnsiTheme="minorHAnsi" w:cs="Times New Roman"/>
                <w:color w:val="000000"/>
                <w:lang w:eastAsia="en-AU"/>
              </w:rPr>
            </w:pPr>
            <w:r w:rsidRPr="00594C9D">
              <w:rPr>
                <w:rFonts w:asciiTheme="minorHAnsi" w:eastAsia="Times New Roman" w:hAnsiTheme="minorHAnsi" w:cs="Times New Roman"/>
                <w:color w:val="000000"/>
                <w:lang w:eastAsia="en-AU"/>
              </w:rPr>
              <w:t>•</w:t>
            </w:r>
            <w:r w:rsidRPr="00594C9D">
              <w:rPr>
                <w:rFonts w:asciiTheme="minorHAnsi" w:eastAsia="Times New Roman" w:hAnsiTheme="minorHAnsi" w:cs="Times New Roman"/>
                <w:color w:val="000000"/>
                <w:lang w:eastAsia="en-AU"/>
              </w:rPr>
              <w:tab/>
              <w:t xml:space="preserve">Abnormal EEG (focal or diffuse slow or disorganised activity, epileptic activity or extreme delta brush) </w:t>
            </w:r>
          </w:p>
          <w:p w:rsidR="004549E1" w:rsidRDefault="004549E1" w:rsidP="004549E1">
            <w:pPr>
              <w:ind w:left="885" w:hanging="459"/>
              <w:rPr>
                <w:rFonts w:asciiTheme="minorHAnsi" w:eastAsia="Times New Roman" w:hAnsiTheme="minorHAnsi" w:cs="Times New Roman"/>
                <w:color w:val="000000"/>
                <w:lang w:eastAsia="en-AU"/>
              </w:rPr>
            </w:pPr>
            <w:r w:rsidRPr="00594C9D">
              <w:rPr>
                <w:rFonts w:asciiTheme="minorHAnsi" w:eastAsia="Times New Roman" w:hAnsiTheme="minorHAnsi" w:cs="Times New Roman"/>
                <w:color w:val="000000"/>
                <w:lang w:eastAsia="en-AU"/>
              </w:rPr>
              <w:t>•</w:t>
            </w:r>
            <w:r w:rsidRPr="00594C9D">
              <w:rPr>
                <w:rFonts w:asciiTheme="minorHAnsi" w:eastAsia="Times New Roman" w:hAnsiTheme="minorHAnsi" w:cs="Times New Roman"/>
                <w:color w:val="000000"/>
                <w:lang w:eastAsia="en-AU"/>
              </w:rPr>
              <w:tab/>
              <w:t>CSF with pleocytosis or oligoclonal bands</w:t>
            </w:r>
          </w:p>
          <w:p w:rsidR="00B70E50" w:rsidRPr="00594C9D" w:rsidRDefault="00B70E50" w:rsidP="004549E1">
            <w:pPr>
              <w:ind w:left="885" w:hanging="459"/>
              <w:rPr>
                <w:rFonts w:asciiTheme="minorHAnsi" w:eastAsia="Times New Roman" w:hAnsiTheme="minorHAnsi" w:cs="Times New Roman"/>
                <w:color w:val="000000"/>
                <w:lang w:eastAsia="en-AU"/>
              </w:rPr>
            </w:pPr>
          </w:p>
          <w:p w:rsidR="004549E1" w:rsidRDefault="004549E1" w:rsidP="004549E1">
            <w:pPr>
              <w:rPr>
                <w:rFonts w:asciiTheme="minorHAnsi" w:eastAsia="Times New Roman" w:hAnsiTheme="minorHAnsi" w:cs="Times New Roman"/>
                <w:color w:val="000000"/>
                <w:lang w:eastAsia="en-AU"/>
              </w:rPr>
            </w:pPr>
            <w:r w:rsidRPr="00594C9D">
              <w:rPr>
                <w:rFonts w:asciiTheme="minorHAnsi" w:eastAsia="Times New Roman" w:hAnsiTheme="minorHAnsi" w:cs="Times New Roman"/>
                <w:color w:val="000000"/>
                <w:lang w:eastAsia="en-AU"/>
              </w:rPr>
              <w:t>3.</w:t>
            </w:r>
            <w:r w:rsidRPr="00594C9D">
              <w:rPr>
                <w:rFonts w:asciiTheme="minorHAnsi" w:eastAsia="Times New Roman" w:hAnsiTheme="minorHAnsi" w:cs="Times New Roman"/>
                <w:color w:val="000000"/>
                <w:lang w:eastAsia="en-AU"/>
              </w:rPr>
              <w:tab/>
              <w:t xml:space="preserve">Reasonable exclusion of other disorders. </w:t>
            </w:r>
          </w:p>
          <w:p w:rsidR="00B70E50" w:rsidRPr="00594C9D" w:rsidRDefault="00B70E50" w:rsidP="004549E1">
            <w:pPr>
              <w:rPr>
                <w:rFonts w:asciiTheme="minorHAnsi" w:eastAsia="Times New Roman" w:hAnsiTheme="minorHAnsi" w:cs="Times New Roman"/>
                <w:color w:val="000000"/>
                <w:lang w:eastAsia="en-AU"/>
              </w:rPr>
            </w:pPr>
          </w:p>
          <w:p w:rsidR="004549E1" w:rsidRPr="00594C9D" w:rsidRDefault="004549E1" w:rsidP="004549E1">
            <w:pPr>
              <w:rPr>
                <w:rFonts w:asciiTheme="minorHAnsi" w:eastAsia="Times New Roman" w:hAnsiTheme="minorHAnsi" w:cs="Times New Roman"/>
                <w:color w:val="000000"/>
                <w:lang w:eastAsia="en-AU"/>
              </w:rPr>
            </w:pPr>
            <w:r w:rsidRPr="00594C9D">
              <w:rPr>
                <w:rFonts w:asciiTheme="minorHAnsi" w:eastAsia="Times New Roman" w:hAnsiTheme="minorHAnsi" w:cs="Times New Roman"/>
                <w:color w:val="000000"/>
                <w:lang w:eastAsia="en-AU"/>
              </w:rPr>
              <w:t xml:space="preserve">Diagnosis can also be made in the presence of three of the above symptom groups accompanied by a systemic teratoma. A </w:t>
            </w:r>
            <w:r w:rsidR="00B44815" w:rsidRPr="00594C9D">
              <w:rPr>
                <w:rFonts w:asciiTheme="minorHAnsi" w:eastAsia="Times New Roman" w:hAnsiTheme="minorHAnsi" w:cs="Times New Roman"/>
                <w:color w:val="000000"/>
                <w:lang w:eastAsia="en-AU"/>
              </w:rPr>
              <w:t>definite</w:t>
            </w:r>
            <w:r w:rsidRPr="00594C9D">
              <w:rPr>
                <w:rFonts w:asciiTheme="minorHAnsi" w:eastAsia="Times New Roman" w:hAnsiTheme="minorHAnsi" w:cs="Times New Roman"/>
                <w:color w:val="000000"/>
                <w:lang w:eastAsia="en-AU"/>
              </w:rPr>
              <w:t xml:space="preserve"> diagnosis can be made in the presence of one or more of the six major symptom groups and IgG anti-GluN1 antibodies after reasonable exclusion of other disorders. </w:t>
            </w:r>
          </w:p>
          <w:p w:rsidR="004549E1" w:rsidRDefault="004549E1" w:rsidP="005960E7">
            <w:pPr>
              <w:rPr>
                <w:rFonts w:asciiTheme="minorHAnsi" w:hAnsiTheme="minorHAnsi"/>
              </w:rPr>
            </w:pPr>
          </w:p>
          <w:p w:rsidR="004549E1" w:rsidRPr="00594C9D" w:rsidRDefault="004549E1" w:rsidP="004549E1">
            <w:pPr>
              <w:rPr>
                <w:rFonts w:asciiTheme="minorHAnsi" w:eastAsia="Times New Roman" w:hAnsiTheme="minorHAnsi" w:cs="Times New Roman"/>
                <w:color w:val="000000"/>
                <w:lang w:eastAsia="en-AU"/>
              </w:rPr>
            </w:pPr>
            <w:r w:rsidRPr="00594C9D">
              <w:rPr>
                <w:rFonts w:asciiTheme="minorHAnsi" w:eastAsia="Times New Roman" w:hAnsiTheme="minorHAnsi" w:cs="Times New Roman"/>
                <w:color w:val="000000"/>
                <w:lang w:eastAsia="en-AU"/>
              </w:rPr>
              <w:t xml:space="preserve">Treatment thus consists of immunotherapy and tumour resection. First line immunotherapy typically includes intravenous methylprednisolone and </w:t>
            </w:r>
            <w:r w:rsidR="0015147E">
              <w:rPr>
                <w:rFonts w:asciiTheme="minorHAnsi" w:eastAsia="Times New Roman" w:hAnsiTheme="minorHAnsi" w:cs="Times New Roman"/>
                <w:color w:val="000000"/>
                <w:lang w:eastAsia="en-AU"/>
              </w:rPr>
              <w:t>IVIg</w:t>
            </w:r>
            <w:r w:rsidRPr="00594C9D">
              <w:rPr>
                <w:rFonts w:asciiTheme="minorHAnsi" w:eastAsia="Times New Roman" w:hAnsiTheme="minorHAnsi" w:cs="Times New Roman"/>
                <w:color w:val="000000"/>
                <w:lang w:eastAsia="en-AU"/>
              </w:rPr>
              <w:t xml:space="preserve"> or plasmapheresis. Due to the behavioural and/or autonomic manifestations of the disease, plasmapheresis, with large bore catheters may be clinically inappropriate. Second line treatment includes </w:t>
            </w:r>
            <w:r w:rsidRPr="00594C9D">
              <w:rPr>
                <w:rFonts w:asciiTheme="minorHAnsi" w:eastAsia="Times New Roman" w:hAnsiTheme="minorHAnsi" w:cs="Times New Roman"/>
                <w:color w:val="000000"/>
                <w:lang w:eastAsia="en-AU"/>
              </w:rPr>
              <w:lastRenderedPageBreak/>
              <w:t>rituximab and cyclophosphamide. The consensus opinion is that one would progress to the addition of second line treatment in a standard case if no clinical improvement is observed after approximately two weeks of first line therapy and no tumour is found.</w:t>
            </w:r>
          </w:p>
          <w:p w:rsidR="004549E1" w:rsidRDefault="004549E1" w:rsidP="005960E7">
            <w:pPr>
              <w:rPr>
                <w:rFonts w:asciiTheme="minorHAnsi" w:hAnsiTheme="minorHAnsi"/>
              </w:rPr>
            </w:pPr>
          </w:p>
          <w:p w:rsidR="004549E1" w:rsidRPr="00594C9D" w:rsidRDefault="004549E1" w:rsidP="004549E1">
            <w:pPr>
              <w:rPr>
                <w:rFonts w:asciiTheme="minorHAnsi" w:eastAsia="Times New Roman" w:hAnsiTheme="minorHAnsi" w:cs="Times New Roman"/>
                <w:color w:val="000000"/>
                <w:lang w:eastAsia="en-AU"/>
              </w:rPr>
            </w:pPr>
            <w:r w:rsidRPr="00594C9D">
              <w:rPr>
                <w:rFonts w:asciiTheme="minorHAnsi" w:eastAsia="Times New Roman" w:hAnsiTheme="minorHAnsi" w:cs="Times New Roman"/>
                <w:color w:val="000000"/>
                <w:lang w:eastAsia="en-AU"/>
              </w:rPr>
              <w:t>There are a variety of rarer neuroimmunological syndromes for which there is good evidence of antibodies binding physiologically relevant neuronal surface antigens with a case literature describing responses to im</w:t>
            </w:r>
            <w:r w:rsidR="00307163">
              <w:rPr>
                <w:rFonts w:asciiTheme="minorHAnsi" w:eastAsia="Times New Roman" w:hAnsiTheme="minorHAnsi" w:cs="Times New Roman"/>
                <w:color w:val="000000"/>
                <w:lang w:eastAsia="en-AU"/>
              </w:rPr>
              <w:t xml:space="preserve">munotherapy often including </w:t>
            </w:r>
            <w:r w:rsidR="0015147E">
              <w:rPr>
                <w:rFonts w:asciiTheme="minorHAnsi" w:eastAsia="Times New Roman" w:hAnsiTheme="minorHAnsi" w:cs="Times New Roman"/>
                <w:color w:val="000000"/>
                <w:lang w:eastAsia="en-AU"/>
              </w:rPr>
              <w:t>IVIg</w:t>
            </w:r>
            <w:r w:rsidRPr="00594C9D">
              <w:rPr>
                <w:rFonts w:asciiTheme="minorHAnsi" w:eastAsia="Times New Roman" w:hAnsiTheme="minorHAnsi" w:cs="Times New Roman"/>
                <w:color w:val="000000"/>
                <w:lang w:eastAsia="en-AU"/>
              </w:rPr>
              <w:t xml:space="preserve">. All these syndromes have both distinctive clinical </w:t>
            </w:r>
            <w:r w:rsidR="008E152E">
              <w:rPr>
                <w:rFonts w:asciiTheme="minorHAnsi" w:eastAsia="Times New Roman" w:hAnsiTheme="minorHAnsi" w:cs="Times New Roman"/>
                <w:color w:val="000000"/>
                <w:lang w:eastAsia="en-AU"/>
              </w:rPr>
              <w:t>features</w:t>
            </w:r>
            <w:r w:rsidR="008E152E" w:rsidRPr="00594C9D" w:rsidDel="008E152E">
              <w:rPr>
                <w:rFonts w:asciiTheme="minorHAnsi" w:eastAsia="Times New Roman" w:hAnsiTheme="minorHAnsi" w:cs="Times New Roman"/>
                <w:color w:val="000000"/>
                <w:lang w:eastAsia="en-AU"/>
              </w:rPr>
              <w:t xml:space="preserve"> </w:t>
            </w:r>
            <w:r w:rsidRPr="00594C9D">
              <w:rPr>
                <w:rFonts w:asciiTheme="minorHAnsi" w:eastAsia="Times New Roman" w:hAnsiTheme="minorHAnsi" w:cs="Times New Roman"/>
                <w:color w:val="000000"/>
                <w:lang w:eastAsia="en-AU"/>
              </w:rPr>
              <w:t xml:space="preserve">described matching particular antibodies but also have some cases described where there is clinical overlap with those </w:t>
            </w:r>
            <w:r w:rsidR="008E152E">
              <w:rPr>
                <w:rFonts w:asciiTheme="minorHAnsi" w:eastAsia="Times New Roman" w:hAnsiTheme="minorHAnsi" w:cs="Times New Roman"/>
                <w:color w:val="000000"/>
                <w:lang w:eastAsia="en-AU"/>
              </w:rPr>
              <w:t>associated</w:t>
            </w:r>
            <w:r w:rsidRPr="00594C9D">
              <w:rPr>
                <w:rFonts w:asciiTheme="minorHAnsi" w:eastAsia="Times New Roman" w:hAnsiTheme="minorHAnsi" w:cs="Times New Roman"/>
                <w:color w:val="000000"/>
                <w:lang w:eastAsia="en-AU"/>
              </w:rPr>
              <w:t xml:space="preserve"> with other </w:t>
            </w:r>
            <w:r w:rsidR="00B44815" w:rsidRPr="00594C9D">
              <w:rPr>
                <w:rFonts w:asciiTheme="minorHAnsi" w:eastAsia="Times New Roman" w:hAnsiTheme="minorHAnsi" w:cs="Times New Roman"/>
                <w:color w:val="000000"/>
                <w:lang w:eastAsia="en-AU"/>
              </w:rPr>
              <w:t>antibodies</w:t>
            </w:r>
            <w:r w:rsidRPr="00594C9D">
              <w:rPr>
                <w:rFonts w:asciiTheme="minorHAnsi" w:eastAsia="Times New Roman" w:hAnsiTheme="minorHAnsi" w:cs="Times New Roman"/>
                <w:color w:val="000000"/>
                <w:lang w:eastAsia="en-AU"/>
              </w:rPr>
              <w:t xml:space="preserve"> or other CNS inflammatory disorders. In many of these syndromes associations with malignancies have been identified and clinicians treating such cases should be familiar with the literature and investigate accordingly. </w:t>
            </w:r>
          </w:p>
          <w:p w:rsidR="004549E1" w:rsidRPr="00594C9D" w:rsidRDefault="004549E1" w:rsidP="004549E1">
            <w:pPr>
              <w:rPr>
                <w:rFonts w:asciiTheme="minorHAnsi" w:eastAsia="Times New Roman" w:hAnsiTheme="minorHAnsi" w:cs="Times New Roman"/>
                <w:color w:val="000000"/>
                <w:lang w:eastAsia="en-AU"/>
              </w:rPr>
            </w:pPr>
            <w:r w:rsidRPr="00594C9D">
              <w:rPr>
                <w:rFonts w:asciiTheme="minorHAnsi" w:eastAsia="Times New Roman" w:hAnsiTheme="minorHAnsi" w:cs="Times New Roman"/>
                <w:color w:val="000000"/>
                <w:lang w:eastAsia="en-AU"/>
              </w:rPr>
              <w:t>Some cases also have more than one antibody identified.</w:t>
            </w:r>
          </w:p>
          <w:p w:rsidR="004549E1" w:rsidRDefault="004549E1" w:rsidP="004549E1">
            <w:pPr>
              <w:rPr>
                <w:rFonts w:asciiTheme="minorHAnsi" w:eastAsia="Times New Roman" w:hAnsiTheme="minorHAnsi" w:cs="Times New Roman"/>
                <w:color w:val="000000"/>
                <w:lang w:eastAsia="en-AU"/>
              </w:rPr>
            </w:pPr>
            <w:r w:rsidRPr="00594C9D">
              <w:rPr>
                <w:rFonts w:asciiTheme="minorHAnsi" w:eastAsia="Times New Roman" w:hAnsiTheme="minorHAnsi" w:cs="Times New Roman"/>
                <w:color w:val="000000"/>
                <w:lang w:eastAsia="en-AU"/>
              </w:rPr>
              <w:t>Rare cases occur in which an infectious trigger is identified. Herpes simplex virus encephalitis induced anti-NMDAR encephalitis is an autoimmune process and immune responsive condition which has a 50% mortality in children and immune suppress</w:t>
            </w:r>
            <w:r w:rsidR="00CD299E">
              <w:rPr>
                <w:rFonts w:asciiTheme="minorHAnsi" w:eastAsia="Times New Roman" w:hAnsiTheme="minorHAnsi" w:cs="Times New Roman"/>
                <w:color w:val="000000"/>
                <w:lang w:eastAsia="en-AU"/>
              </w:rPr>
              <w:t xml:space="preserve">ion and modulation (steroid, </w:t>
            </w:r>
            <w:r w:rsidR="0015147E">
              <w:rPr>
                <w:rFonts w:asciiTheme="minorHAnsi" w:eastAsia="Times New Roman" w:hAnsiTheme="minorHAnsi" w:cs="Times New Roman"/>
                <w:color w:val="000000"/>
                <w:lang w:eastAsia="en-AU"/>
              </w:rPr>
              <w:t>IVIg</w:t>
            </w:r>
            <w:r w:rsidRPr="00594C9D">
              <w:rPr>
                <w:rFonts w:asciiTheme="minorHAnsi" w:eastAsia="Times New Roman" w:hAnsiTheme="minorHAnsi" w:cs="Times New Roman"/>
                <w:color w:val="000000"/>
                <w:lang w:eastAsia="en-AU"/>
              </w:rPr>
              <w:t>, rituximab) have a role (Armangue et al</w:t>
            </w:r>
            <w:r w:rsidR="00191734">
              <w:rPr>
                <w:rFonts w:asciiTheme="minorHAnsi" w:eastAsia="Times New Roman" w:hAnsiTheme="minorHAnsi" w:cs="Times New Roman"/>
                <w:color w:val="000000"/>
                <w:lang w:eastAsia="en-AU"/>
              </w:rPr>
              <w:t>, 2015</w:t>
            </w:r>
            <w:r w:rsidRPr="00594C9D">
              <w:rPr>
                <w:rFonts w:asciiTheme="minorHAnsi" w:eastAsia="Times New Roman" w:hAnsiTheme="minorHAnsi" w:cs="Times New Roman"/>
                <w:color w:val="000000"/>
                <w:lang w:eastAsia="en-AU"/>
              </w:rPr>
              <w:t xml:space="preserve">). </w:t>
            </w:r>
          </w:p>
          <w:p w:rsidR="00B70E50" w:rsidRPr="00594C9D" w:rsidRDefault="00B70E50" w:rsidP="004549E1">
            <w:pPr>
              <w:rPr>
                <w:rFonts w:asciiTheme="minorHAnsi" w:eastAsia="Times New Roman" w:hAnsiTheme="minorHAnsi" w:cs="Times New Roman"/>
                <w:color w:val="000000"/>
                <w:lang w:eastAsia="en-AU"/>
              </w:rPr>
            </w:pPr>
          </w:p>
          <w:p w:rsidR="004549E1" w:rsidRPr="00594C9D" w:rsidRDefault="004549E1" w:rsidP="004549E1">
            <w:pPr>
              <w:rPr>
                <w:rFonts w:asciiTheme="minorHAnsi" w:eastAsia="Times New Roman" w:hAnsiTheme="minorHAnsi" w:cs="Times New Roman"/>
                <w:color w:val="000000"/>
                <w:lang w:eastAsia="en-AU"/>
              </w:rPr>
            </w:pPr>
            <w:r w:rsidRPr="00594C9D">
              <w:rPr>
                <w:rFonts w:asciiTheme="minorHAnsi" w:eastAsia="Times New Roman" w:hAnsiTheme="minorHAnsi" w:cs="Times New Roman"/>
                <w:color w:val="000000"/>
                <w:lang w:eastAsia="en-AU"/>
              </w:rPr>
              <w:t xml:space="preserve">VGKC-Abs have been described in heterogeneous disorders such as </w:t>
            </w:r>
            <w:r w:rsidR="008E152E">
              <w:rPr>
                <w:rFonts w:asciiTheme="minorHAnsi" w:eastAsia="Times New Roman" w:hAnsiTheme="minorHAnsi" w:cs="Times New Roman"/>
                <w:color w:val="000000"/>
                <w:lang w:eastAsia="en-AU"/>
              </w:rPr>
              <w:t>l</w:t>
            </w:r>
            <w:r w:rsidRPr="00594C9D">
              <w:rPr>
                <w:rFonts w:asciiTheme="minorHAnsi" w:eastAsia="Times New Roman" w:hAnsiTheme="minorHAnsi" w:cs="Times New Roman"/>
                <w:color w:val="000000"/>
                <w:lang w:eastAsia="en-AU"/>
              </w:rPr>
              <w:t>imbic encephalitis or Isaac and Morvan</w:t>
            </w:r>
            <w:r w:rsidR="008E152E">
              <w:rPr>
                <w:rFonts w:asciiTheme="minorHAnsi" w:eastAsia="Times New Roman" w:hAnsiTheme="minorHAnsi" w:cs="Times New Roman"/>
                <w:color w:val="000000"/>
                <w:lang w:eastAsia="en-AU"/>
              </w:rPr>
              <w:t>’s</w:t>
            </w:r>
            <w:r w:rsidRPr="00594C9D">
              <w:rPr>
                <w:rFonts w:asciiTheme="minorHAnsi" w:eastAsia="Times New Roman" w:hAnsiTheme="minorHAnsi" w:cs="Times New Roman"/>
                <w:color w:val="000000"/>
                <w:lang w:eastAsia="en-AU"/>
              </w:rPr>
              <w:t xml:space="preserve"> syndromes. The antibodies bind associated proteins such as Lgi1 (limbic encephalitis) and Caspr2 (neuromyotonia) rather than the VGKC itself in almost all cases. An associated </w:t>
            </w:r>
            <w:r w:rsidR="00B44815" w:rsidRPr="00594C9D">
              <w:rPr>
                <w:rFonts w:asciiTheme="minorHAnsi" w:eastAsia="Times New Roman" w:hAnsiTheme="minorHAnsi" w:cs="Times New Roman"/>
                <w:color w:val="000000"/>
                <w:lang w:eastAsia="en-AU"/>
              </w:rPr>
              <w:t>tumour</w:t>
            </w:r>
            <w:r w:rsidRPr="00594C9D">
              <w:rPr>
                <w:rFonts w:asciiTheme="minorHAnsi" w:eastAsia="Times New Roman" w:hAnsiTheme="minorHAnsi" w:cs="Times New Roman"/>
                <w:color w:val="000000"/>
                <w:lang w:eastAsia="en-AU"/>
              </w:rPr>
              <w:t xml:space="preserve"> is observed rarely in patients with Lgi1 Ab and less than 30% </w:t>
            </w:r>
            <w:r w:rsidRPr="00594C9D">
              <w:rPr>
                <w:rFonts w:asciiTheme="minorHAnsi" w:eastAsia="Times New Roman" w:hAnsiTheme="minorHAnsi" w:cs="Times New Roman"/>
                <w:color w:val="000000"/>
                <w:lang w:eastAsia="en-AU"/>
              </w:rPr>
              <w:lastRenderedPageBreak/>
              <w:t xml:space="preserve">patients with Caspr2 Ab. A different potassium channel associated protein DPPX has also been described. </w:t>
            </w:r>
          </w:p>
          <w:p w:rsidR="004549E1" w:rsidRPr="00594C9D" w:rsidRDefault="004549E1" w:rsidP="004549E1">
            <w:pPr>
              <w:rPr>
                <w:rFonts w:asciiTheme="minorHAnsi" w:eastAsia="Times New Roman" w:hAnsiTheme="minorHAnsi" w:cs="Times New Roman"/>
                <w:color w:val="000000"/>
                <w:lang w:eastAsia="en-AU"/>
              </w:rPr>
            </w:pPr>
            <w:r w:rsidRPr="00594C9D">
              <w:rPr>
                <w:rFonts w:asciiTheme="minorHAnsi" w:eastAsia="Times New Roman" w:hAnsiTheme="minorHAnsi" w:cs="Times New Roman"/>
                <w:color w:val="000000"/>
                <w:lang w:eastAsia="en-AU"/>
              </w:rPr>
              <w:t xml:space="preserve">Limbic encephalitis and other clinical encephalitis syndromes can occur with </w:t>
            </w:r>
            <w:r w:rsidR="008E152E">
              <w:rPr>
                <w:rFonts w:asciiTheme="minorHAnsi" w:eastAsia="Times New Roman" w:hAnsiTheme="minorHAnsi" w:cs="Times New Roman"/>
                <w:color w:val="000000"/>
                <w:lang w:eastAsia="en-AU"/>
              </w:rPr>
              <w:t>alternate</w:t>
            </w:r>
            <w:r w:rsidR="008E152E" w:rsidRPr="00594C9D" w:rsidDel="008E152E">
              <w:rPr>
                <w:rFonts w:asciiTheme="minorHAnsi" w:eastAsia="Times New Roman" w:hAnsiTheme="minorHAnsi" w:cs="Times New Roman"/>
                <w:color w:val="000000"/>
                <w:lang w:eastAsia="en-AU"/>
              </w:rPr>
              <w:t xml:space="preserve"> </w:t>
            </w:r>
            <w:r w:rsidRPr="00594C9D">
              <w:rPr>
                <w:rFonts w:asciiTheme="minorHAnsi" w:eastAsia="Times New Roman" w:hAnsiTheme="minorHAnsi" w:cs="Times New Roman"/>
                <w:color w:val="000000"/>
                <w:lang w:eastAsia="en-AU"/>
              </w:rPr>
              <w:t xml:space="preserve">antibodies directed against cell surface synaptic antigens (AMPAr, GABAa, GABAb, glycine). </w:t>
            </w:r>
          </w:p>
          <w:p w:rsidR="004549E1" w:rsidRPr="00594C9D" w:rsidRDefault="004549E1" w:rsidP="004549E1">
            <w:pPr>
              <w:rPr>
                <w:rFonts w:asciiTheme="minorHAnsi" w:eastAsia="Times New Roman" w:hAnsiTheme="minorHAnsi" w:cs="Times New Roman"/>
                <w:color w:val="000000"/>
                <w:lang w:eastAsia="en-AU"/>
              </w:rPr>
            </w:pPr>
            <w:r w:rsidRPr="00594C9D">
              <w:rPr>
                <w:rFonts w:asciiTheme="minorHAnsi" w:eastAsia="Times New Roman" w:hAnsiTheme="minorHAnsi" w:cs="Times New Roman"/>
                <w:color w:val="000000"/>
                <w:lang w:eastAsia="en-AU"/>
              </w:rPr>
              <w:t xml:space="preserve">At the time of writing </w:t>
            </w:r>
            <w:r w:rsidR="008E152E">
              <w:rPr>
                <w:rFonts w:asciiTheme="minorHAnsi" w:eastAsia="Times New Roman" w:hAnsiTheme="minorHAnsi" w:cs="Times New Roman"/>
                <w:color w:val="000000"/>
                <w:lang w:eastAsia="en-AU"/>
              </w:rPr>
              <w:t>(Jan 2017)</w:t>
            </w:r>
            <w:r w:rsidR="008E152E" w:rsidRPr="00700139">
              <w:rPr>
                <w:rFonts w:asciiTheme="minorHAnsi" w:eastAsia="Times New Roman" w:hAnsiTheme="minorHAnsi" w:cs="Times New Roman"/>
                <w:color w:val="000000"/>
                <w:lang w:eastAsia="en-AU"/>
              </w:rPr>
              <w:t xml:space="preserve"> </w:t>
            </w:r>
            <w:r w:rsidRPr="00594C9D">
              <w:rPr>
                <w:rFonts w:asciiTheme="minorHAnsi" w:eastAsia="Times New Roman" w:hAnsiTheme="minorHAnsi" w:cs="Times New Roman"/>
                <w:color w:val="000000"/>
                <w:lang w:eastAsia="en-AU"/>
              </w:rPr>
              <w:t xml:space="preserve">testing is available in Australia for only some of these antibodies. For others samples will need to be sent for testing at international reference laboratories and this is not the role of NBA / ARCBS. Testing CSF in addition to serum has a higher yield than serum alone and should be performed ab initio on both serum and CSF unless there are strong reasons to avoid lumbar puncture. </w:t>
            </w:r>
          </w:p>
          <w:p w:rsidR="004549E1" w:rsidRDefault="004549E1" w:rsidP="005960E7">
            <w:pPr>
              <w:rPr>
                <w:rFonts w:asciiTheme="minorHAnsi" w:hAnsiTheme="minorHAnsi"/>
              </w:rPr>
            </w:pPr>
          </w:p>
          <w:p w:rsidR="004549E1" w:rsidRDefault="004549E1" w:rsidP="004549E1">
            <w:pPr>
              <w:rPr>
                <w:rFonts w:asciiTheme="minorHAnsi" w:eastAsia="Times New Roman" w:hAnsiTheme="minorHAnsi" w:cs="Times New Roman"/>
                <w:color w:val="000000"/>
                <w:lang w:eastAsia="en-AU"/>
              </w:rPr>
            </w:pPr>
            <w:r w:rsidRPr="00594C9D">
              <w:rPr>
                <w:rFonts w:asciiTheme="minorHAnsi" w:eastAsia="Times New Roman" w:hAnsiTheme="minorHAnsi" w:cs="Times New Roman"/>
                <w:color w:val="000000"/>
                <w:lang w:eastAsia="en-AU"/>
              </w:rPr>
              <w:t>The term Hashimoto</w:t>
            </w:r>
            <w:r w:rsidR="008E152E">
              <w:rPr>
                <w:rFonts w:asciiTheme="minorHAnsi" w:eastAsia="Times New Roman" w:hAnsiTheme="minorHAnsi" w:cs="Times New Roman"/>
                <w:color w:val="000000"/>
                <w:lang w:eastAsia="en-AU"/>
              </w:rPr>
              <w:t>’s</w:t>
            </w:r>
            <w:r w:rsidRPr="00594C9D">
              <w:rPr>
                <w:rFonts w:asciiTheme="minorHAnsi" w:eastAsia="Times New Roman" w:hAnsiTheme="minorHAnsi" w:cs="Times New Roman"/>
                <w:color w:val="000000"/>
                <w:lang w:eastAsia="en-AU"/>
              </w:rPr>
              <w:t xml:space="preserve"> encephalopathy has been previously used to describe acquired acute or subacute encephalopathy in patients with autoimmune thyroid disease. This syndrome is immune </w:t>
            </w:r>
            <w:r w:rsidR="00935BE4" w:rsidRPr="00594C9D">
              <w:rPr>
                <w:rFonts w:asciiTheme="minorHAnsi" w:eastAsia="Times New Roman" w:hAnsiTheme="minorHAnsi" w:cs="Times New Roman"/>
                <w:color w:val="000000"/>
                <w:lang w:eastAsia="en-AU"/>
              </w:rPr>
              <w:t>responsive</w:t>
            </w:r>
            <w:r w:rsidRPr="00594C9D">
              <w:rPr>
                <w:rFonts w:asciiTheme="minorHAnsi" w:eastAsia="Times New Roman" w:hAnsiTheme="minorHAnsi" w:cs="Times New Roman"/>
                <w:color w:val="000000"/>
                <w:lang w:eastAsia="en-AU"/>
              </w:rPr>
              <w:t xml:space="preserve"> and also called steroid responsive encephalopathy </w:t>
            </w:r>
            <w:r w:rsidR="00B44815" w:rsidRPr="00594C9D">
              <w:rPr>
                <w:rFonts w:asciiTheme="minorHAnsi" w:eastAsia="Times New Roman" w:hAnsiTheme="minorHAnsi" w:cs="Times New Roman"/>
                <w:color w:val="000000"/>
                <w:lang w:eastAsia="en-AU"/>
              </w:rPr>
              <w:t>associated</w:t>
            </w:r>
            <w:r w:rsidRPr="00594C9D">
              <w:rPr>
                <w:rFonts w:asciiTheme="minorHAnsi" w:eastAsia="Times New Roman" w:hAnsiTheme="minorHAnsi" w:cs="Times New Roman"/>
                <w:color w:val="000000"/>
                <w:lang w:eastAsia="en-AU"/>
              </w:rPr>
              <w:t xml:space="preserve"> with autoimmune thyroiditis (SREAT). It is generally agreed that the anti-thyroid antibodies do not cause the brain disease, but instead represent an ‘autoimmune predisposition’ in these individuals. It should also be noted that the presence of anti-thyroid antibodies alone is not diagnostic of autoimmune disease, as these antibodies are seen in well individuals with a family history of thyroid or related autoimmunity.</w:t>
            </w:r>
          </w:p>
          <w:p w:rsidR="00B70E50" w:rsidRPr="00594C9D" w:rsidRDefault="00B70E50" w:rsidP="004549E1">
            <w:pPr>
              <w:rPr>
                <w:rFonts w:asciiTheme="minorHAnsi" w:eastAsia="Times New Roman" w:hAnsiTheme="minorHAnsi" w:cs="Times New Roman"/>
                <w:color w:val="000000"/>
                <w:lang w:eastAsia="en-AU"/>
              </w:rPr>
            </w:pPr>
          </w:p>
          <w:p w:rsidR="004549E1" w:rsidRPr="00447869" w:rsidRDefault="004549E1" w:rsidP="004549E1">
            <w:pPr>
              <w:rPr>
                <w:rFonts w:asciiTheme="minorHAnsi" w:hAnsiTheme="minorHAnsi"/>
              </w:rPr>
            </w:pPr>
            <w:r w:rsidRPr="00594C9D">
              <w:rPr>
                <w:rFonts w:asciiTheme="minorHAnsi" w:eastAsia="Times New Roman" w:hAnsiTheme="minorHAnsi" w:cs="Times New Roman"/>
                <w:color w:val="000000"/>
                <w:lang w:eastAsia="en-AU"/>
              </w:rPr>
              <w:t>It is now considered likely that patients with Hashimoto</w:t>
            </w:r>
            <w:r w:rsidR="008E152E">
              <w:rPr>
                <w:rFonts w:asciiTheme="minorHAnsi" w:eastAsia="Times New Roman" w:hAnsiTheme="minorHAnsi" w:cs="Times New Roman"/>
                <w:color w:val="000000"/>
                <w:lang w:eastAsia="en-AU"/>
              </w:rPr>
              <w:t>’s</w:t>
            </w:r>
            <w:r w:rsidRPr="00594C9D">
              <w:rPr>
                <w:rFonts w:asciiTheme="minorHAnsi" w:eastAsia="Times New Roman" w:hAnsiTheme="minorHAnsi" w:cs="Times New Roman"/>
                <w:color w:val="000000"/>
                <w:lang w:eastAsia="en-AU"/>
              </w:rPr>
              <w:t xml:space="preserve"> encephalopathy have other autoantibodies which are more likely to be the pathogenic mediators of disease, such as anti-NMDAR antibodies (in the context of encephalitis), or anti-MOG antibodies (in the context of demyelination). Therefore patients with suspected ‘Hashimoto</w:t>
            </w:r>
            <w:r w:rsidR="008E152E">
              <w:rPr>
                <w:rFonts w:asciiTheme="minorHAnsi" w:eastAsia="Times New Roman" w:hAnsiTheme="minorHAnsi" w:cs="Times New Roman"/>
                <w:color w:val="000000"/>
                <w:lang w:eastAsia="en-AU"/>
              </w:rPr>
              <w:t>’s</w:t>
            </w:r>
            <w:r w:rsidRPr="00594C9D">
              <w:rPr>
                <w:rFonts w:asciiTheme="minorHAnsi" w:eastAsia="Times New Roman" w:hAnsiTheme="minorHAnsi" w:cs="Times New Roman"/>
                <w:color w:val="000000"/>
                <w:lang w:eastAsia="en-AU"/>
              </w:rPr>
              <w:t xml:space="preserve"> encephalopathy’ may be </w:t>
            </w:r>
            <w:r w:rsidRPr="00594C9D">
              <w:rPr>
                <w:rFonts w:asciiTheme="minorHAnsi" w:eastAsia="Times New Roman" w:hAnsiTheme="minorHAnsi" w:cs="Times New Roman"/>
                <w:color w:val="000000"/>
                <w:lang w:eastAsia="en-AU"/>
              </w:rPr>
              <w:lastRenderedPageBreak/>
              <w:t xml:space="preserve">better </w:t>
            </w:r>
            <w:r w:rsidR="00B70E50" w:rsidRPr="00594C9D">
              <w:rPr>
                <w:rFonts w:asciiTheme="minorHAnsi" w:eastAsia="Times New Roman" w:hAnsiTheme="minorHAnsi" w:cs="Times New Roman"/>
                <w:color w:val="000000"/>
                <w:lang w:eastAsia="en-AU"/>
              </w:rPr>
              <w:t>categorised</w:t>
            </w:r>
            <w:r w:rsidRPr="00594C9D">
              <w:rPr>
                <w:rFonts w:asciiTheme="minorHAnsi" w:eastAsia="Times New Roman" w:hAnsiTheme="minorHAnsi" w:cs="Times New Roman"/>
                <w:color w:val="000000"/>
                <w:lang w:eastAsia="en-AU"/>
              </w:rPr>
              <w:t xml:space="preserve"> under autoimmune encephalitis, either associated with known cell surface antibodies, or seronegative suspected autoimmune encephalitis (as described in this section).</w:t>
            </w:r>
          </w:p>
        </w:tc>
        <w:tc>
          <w:tcPr>
            <w:tcW w:w="3254" w:type="dxa"/>
          </w:tcPr>
          <w:p w:rsidR="00F34321" w:rsidRPr="002C0C53" w:rsidRDefault="00F34321" w:rsidP="00F34321">
            <w:pPr>
              <w:spacing w:after="120"/>
              <w:rPr>
                <w:rFonts w:asciiTheme="minorHAnsi" w:eastAsia="Times New Roman" w:hAnsiTheme="minorHAnsi" w:cs="Times New Roman"/>
                <w:color w:val="000000"/>
                <w:lang w:eastAsia="en-AU"/>
              </w:rPr>
            </w:pPr>
            <w:r w:rsidRPr="002C0C53">
              <w:rPr>
                <w:rFonts w:asciiTheme="minorHAnsi" w:eastAsia="Times New Roman" w:hAnsiTheme="minorHAnsi" w:cs="Times New Roman"/>
                <w:color w:val="000000"/>
                <w:lang w:eastAsia="en-AU"/>
              </w:rPr>
              <w:lastRenderedPageBreak/>
              <w:t xml:space="preserve">The previous version of criteria </w:t>
            </w:r>
            <w:r w:rsidR="00846B19">
              <w:rPr>
                <w:rFonts w:asciiTheme="minorHAnsi" w:eastAsia="Times New Roman" w:hAnsiTheme="minorHAnsi" w:cs="Times New Roman"/>
                <w:color w:val="000000"/>
                <w:lang w:eastAsia="en-AU"/>
              </w:rPr>
              <w:t>had been</w:t>
            </w:r>
            <w:r w:rsidRPr="002C0C53">
              <w:rPr>
                <w:rFonts w:asciiTheme="minorHAnsi" w:eastAsia="Times New Roman" w:hAnsiTheme="minorHAnsi" w:cs="Times New Roman"/>
                <w:color w:val="000000"/>
                <w:lang w:eastAsia="en-AU"/>
              </w:rPr>
              <w:t xml:space="preserve"> written from a</w:t>
            </w:r>
            <w:r w:rsidR="00846B19">
              <w:rPr>
                <w:rFonts w:asciiTheme="minorHAnsi" w:eastAsia="Times New Roman" w:hAnsiTheme="minorHAnsi" w:cs="Times New Roman"/>
                <w:color w:val="000000"/>
                <w:lang w:eastAsia="en-AU"/>
              </w:rPr>
              <w:t xml:space="preserve"> </w:t>
            </w:r>
            <w:r w:rsidRPr="002C0C53">
              <w:rPr>
                <w:rFonts w:asciiTheme="minorHAnsi" w:eastAsia="Times New Roman" w:hAnsiTheme="minorHAnsi" w:cs="Times New Roman"/>
                <w:color w:val="000000"/>
                <w:lang w:eastAsia="en-AU"/>
              </w:rPr>
              <w:t xml:space="preserve">perspective of </w:t>
            </w:r>
            <w:r>
              <w:rPr>
                <w:rFonts w:asciiTheme="minorHAnsi" w:eastAsia="Times New Roman" w:hAnsiTheme="minorHAnsi" w:cs="Times New Roman"/>
                <w:color w:val="000000"/>
                <w:lang w:eastAsia="en-AU"/>
              </w:rPr>
              <w:t>‘</w:t>
            </w:r>
            <w:r w:rsidRPr="002C0C53">
              <w:rPr>
                <w:rFonts w:asciiTheme="minorHAnsi" w:eastAsia="Times New Roman" w:hAnsiTheme="minorHAnsi" w:cs="Times New Roman"/>
                <w:color w:val="000000"/>
                <w:lang w:eastAsia="en-AU"/>
              </w:rPr>
              <w:t>antibody detection</w:t>
            </w:r>
            <w:r>
              <w:rPr>
                <w:rFonts w:asciiTheme="minorHAnsi" w:eastAsia="Times New Roman" w:hAnsiTheme="minorHAnsi" w:cs="Times New Roman"/>
                <w:color w:val="000000"/>
                <w:lang w:eastAsia="en-AU"/>
              </w:rPr>
              <w:t>’</w:t>
            </w:r>
            <w:r w:rsidRPr="002C0C53">
              <w:rPr>
                <w:rFonts w:asciiTheme="minorHAnsi" w:eastAsia="Times New Roman" w:hAnsiTheme="minorHAnsi" w:cs="Times New Roman"/>
                <w:color w:val="000000"/>
                <w:lang w:eastAsia="en-AU"/>
              </w:rPr>
              <w:t>, however some patients may never have antibodies identified, and there is strong evidence that they still demonstrate benefit</w:t>
            </w:r>
            <w:r w:rsidR="00CD299E">
              <w:rPr>
                <w:rFonts w:asciiTheme="minorHAnsi" w:eastAsia="Times New Roman" w:hAnsiTheme="minorHAnsi" w:cs="Times New Roman"/>
                <w:color w:val="000000"/>
                <w:vertAlign w:val="superscript"/>
                <w:lang w:eastAsia="en-AU"/>
              </w:rPr>
              <w:t xml:space="preserve"> </w:t>
            </w:r>
            <w:r w:rsidR="000B5187">
              <w:rPr>
                <w:rFonts w:asciiTheme="minorHAnsi" w:eastAsia="Times New Roman" w:hAnsiTheme="minorHAnsi" w:cs="Times New Roman"/>
                <w:color w:val="000000"/>
                <w:lang w:eastAsia="en-AU"/>
              </w:rPr>
              <w:t>(Hacohen et al</w:t>
            </w:r>
            <w:r w:rsidR="00CD299E">
              <w:rPr>
                <w:rFonts w:asciiTheme="minorHAnsi" w:eastAsia="Times New Roman" w:hAnsiTheme="minorHAnsi" w:cs="Times New Roman"/>
                <w:color w:val="000000"/>
                <w:lang w:eastAsia="en-AU"/>
              </w:rPr>
              <w:t>, 2013)</w:t>
            </w:r>
            <w:r>
              <w:rPr>
                <w:rFonts w:asciiTheme="minorHAnsi" w:eastAsia="Times New Roman" w:hAnsiTheme="minorHAnsi" w:cs="Times New Roman"/>
                <w:color w:val="000000"/>
                <w:lang w:eastAsia="en-AU"/>
              </w:rPr>
              <w:t xml:space="preserve">. </w:t>
            </w:r>
            <w:r w:rsidRPr="002C0C53">
              <w:rPr>
                <w:rFonts w:asciiTheme="minorHAnsi" w:eastAsia="Times New Roman" w:hAnsiTheme="minorHAnsi" w:cs="Times New Roman"/>
                <w:color w:val="000000"/>
                <w:lang w:eastAsia="en-AU"/>
              </w:rPr>
              <w:t>D</w:t>
            </w:r>
            <w:r w:rsidRPr="009B54C9">
              <w:rPr>
                <w:rFonts w:asciiTheme="minorHAnsi" w:eastAsia="Times New Roman" w:hAnsiTheme="minorHAnsi" w:cs="Times New Roman"/>
                <w:color w:val="000000"/>
                <w:lang w:eastAsia="en-AU"/>
              </w:rPr>
              <w:t>elaying therapy</w:t>
            </w:r>
            <w:r w:rsidRPr="002C0C53">
              <w:rPr>
                <w:rFonts w:asciiTheme="minorHAnsi" w:eastAsia="Times New Roman" w:hAnsiTheme="minorHAnsi" w:cs="Times New Roman"/>
                <w:color w:val="000000"/>
                <w:lang w:eastAsia="en-AU"/>
              </w:rPr>
              <w:t xml:space="preserve"> </w:t>
            </w:r>
            <w:r>
              <w:rPr>
                <w:rFonts w:asciiTheme="minorHAnsi" w:eastAsia="Times New Roman" w:hAnsiTheme="minorHAnsi" w:cs="Times New Roman"/>
                <w:color w:val="000000"/>
                <w:lang w:eastAsia="en-AU"/>
              </w:rPr>
              <w:t>until</w:t>
            </w:r>
            <w:r w:rsidRPr="009B54C9">
              <w:rPr>
                <w:rFonts w:asciiTheme="minorHAnsi" w:eastAsia="Times New Roman" w:hAnsiTheme="minorHAnsi" w:cs="Times New Roman"/>
                <w:color w:val="000000"/>
                <w:lang w:eastAsia="en-AU"/>
              </w:rPr>
              <w:t xml:space="preserve"> </w:t>
            </w:r>
            <w:r>
              <w:rPr>
                <w:rFonts w:asciiTheme="minorHAnsi" w:eastAsia="Times New Roman" w:hAnsiTheme="minorHAnsi" w:cs="Times New Roman"/>
                <w:color w:val="000000"/>
                <w:lang w:eastAsia="en-AU"/>
              </w:rPr>
              <w:t xml:space="preserve">antibody test </w:t>
            </w:r>
            <w:r w:rsidRPr="009B54C9">
              <w:rPr>
                <w:rFonts w:asciiTheme="minorHAnsi" w:eastAsia="Times New Roman" w:hAnsiTheme="minorHAnsi" w:cs="Times New Roman"/>
                <w:color w:val="000000"/>
                <w:lang w:eastAsia="en-AU"/>
              </w:rPr>
              <w:t>results</w:t>
            </w:r>
            <w:r w:rsidRPr="002C0C53">
              <w:rPr>
                <w:rFonts w:asciiTheme="minorHAnsi" w:eastAsia="Times New Roman" w:hAnsiTheme="minorHAnsi" w:cs="Times New Roman"/>
                <w:color w:val="000000"/>
                <w:lang w:eastAsia="en-AU"/>
              </w:rPr>
              <w:t xml:space="preserve"> </w:t>
            </w:r>
            <w:r>
              <w:rPr>
                <w:rFonts w:asciiTheme="minorHAnsi" w:eastAsia="Times New Roman" w:hAnsiTheme="minorHAnsi" w:cs="Times New Roman"/>
                <w:color w:val="000000"/>
                <w:lang w:eastAsia="en-AU"/>
              </w:rPr>
              <w:t>are</w:t>
            </w:r>
            <w:r w:rsidRPr="002C0C53">
              <w:rPr>
                <w:rFonts w:asciiTheme="minorHAnsi" w:eastAsia="Times New Roman" w:hAnsiTheme="minorHAnsi" w:cs="Times New Roman"/>
                <w:color w:val="000000"/>
                <w:lang w:eastAsia="en-AU"/>
              </w:rPr>
              <w:t xml:space="preserve"> available </w:t>
            </w:r>
            <w:r>
              <w:rPr>
                <w:rFonts w:asciiTheme="minorHAnsi" w:eastAsia="Times New Roman" w:hAnsiTheme="minorHAnsi" w:cs="Times New Roman"/>
                <w:color w:val="000000"/>
                <w:lang w:eastAsia="en-AU"/>
              </w:rPr>
              <w:t>would</w:t>
            </w:r>
            <w:r w:rsidRPr="002C0C53">
              <w:rPr>
                <w:rFonts w:asciiTheme="minorHAnsi" w:eastAsia="Times New Roman" w:hAnsiTheme="minorHAnsi" w:cs="Times New Roman"/>
                <w:color w:val="000000"/>
                <w:lang w:eastAsia="en-AU"/>
              </w:rPr>
              <w:t xml:space="preserve"> be </w:t>
            </w:r>
            <w:r w:rsidR="008E152E">
              <w:rPr>
                <w:rFonts w:asciiTheme="minorHAnsi" w:eastAsia="Times New Roman" w:hAnsiTheme="minorHAnsi" w:cs="Times New Roman"/>
                <w:color w:val="000000"/>
                <w:lang w:eastAsia="en-AU"/>
              </w:rPr>
              <w:t>inconsistent with</w:t>
            </w:r>
            <w:r w:rsidRPr="002C0C53">
              <w:rPr>
                <w:rFonts w:asciiTheme="minorHAnsi" w:eastAsia="Times New Roman" w:hAnsiTheme="minorHAnsi" w:cs="Times New Roman"/>
                <w:color w:val="000000"/>
                <w:lang w:eastAsia="en-AU"/>
              </w:rPr>
              <w:t xml:space="preserve"> best practice, supported by evidence</w:t>
            </w:r>
            <w:r>
              <w:rPr>
                <w:rFonts w:asciiTheme="minorHAnsi" w:eastAsia="Times New Roman" w:hAnsiTheme="minorHAnsi" w:cs="Times New Roman"/>
                <w:color w:val="000000"/>
                <w:lang w:eastAsia="en-AU"/>
              </w:rPr>
              <w:t>,</w:t>
            </w:r>
            <w:r w:rsidRPr="002C0C53">
              <w:rPr>
                <w:rFonts w:asciiTheme="minorHAnsi" w:eastAsia="Times New Roman" w:hAnsiTheme="minorHAnsi" w:cs="Times New Roman"/>
                <w:color w:val="000000"/>
                <w:lang w:eastAsia="en-AU"/>
              </w:rPr>
              <w:t xml:space="preserve"> </w:t>
            </w:r>
            <w:r w:rsidRPr="002C0C53">
              <w:rPr>
                <w:rFonts w:asciiTheme="minorHAnsi" w:eastAsia="Times New Roman" w:hAnsiTheme="minorHAnsi" w:cs="Times New Roman"/>
                <w:color w:val="000000"/>
                <w:lang w:eastAsia="en-AU"/>
              </w:rPr>
              <w:lastRenderedPageBreak/>
              <w:t>to start Ig treatment early.  A new publication (Graus et al</w:t>
            </w:r>
            <w:r w:rsidR="00CD299E">
              <w:rPr>
                <w:rFonts w:asciiTheme="minorHAnsi" w:eastAsia="Times New Roman" w:hAnsiTheme="minorHAnsi" w:cs="Times New Roman"/>
                <w:color w:val="000000"/>
                <w:lang w:eastAsia="en-AU"/>
              </w:rPr>
              <w:t>, 2016</w:t>
            </w:r>
            <w:r w:rsidRPr="002C0C53">
              <w:rPr>
                <w:rFonts w:asciiTheme="minorHAnsi" w:eastAsia="Times New Roman" w:hAnsiTheme="minorHAnsi" w:cs="Times New Roman"/>
                <w:color w:val="000000"/>
                <w:lang w:eastAsia="en-AU"/>
              </w:rPr>
              <w:t xml:space="preserve">) has proposed a more clinical approach and defines diagnostic criteria – </w:t>
            </w:r>
            <w:r>
              <w:rPr>
                <w:rFonts w:asciiTheme="minorHAnsi" w:eastAsia="Times New Roman" w:hAnsiTheme="minorHAnsi" w:cs="Times New Roman"/>
                <w:color w:val="000000"/>
                <w:lang w:eastAsia="en-AU"/>
              </w:rPr>
              <w:t>including</w:t>
            </w:r>
            <w:r w:rsidRPr="002C0C53">
              <w:rPr>
                <w:rFonts w:asciiTheme="minorHAnsi" w:eastAsia="Times New Roman" w:hAnsiTheme="minorHAnsi" w:cs="Times New Roman"/>
                <w:color w:val="000000"/>
                <w:lang w:eastAsia="en-AU"/>
              </w:rPr>
              <w:t xml:space="preserve"> ‘probab</w:t>
            </w:r>
            <w:r w:rsidRPr="009B54C9">
              <w:rPr>
                <w:rFonts w:asciiTheme="minorHAnsi" w:eastAsia="Times New Roman" w:hAnsiTheme="minorHAnsi" w:cs="Times New Roman"/>
                <w:color w:val="000000"/>
                <w:lang w:eastAsia="en-AU"/>
              </w:rPr>
              <w:t>le diagnose</w:t>
            </w:r>
            <w:r w:rsidRPr="002C0C53">
              <w:rPr>
                <w:rFonts w:asciiTheme="minorHAnsi" w:eastAsia="Times New Roman" w:hAnsiTheme="minorHAnsi" w:cs="Times New Roman"/>
                <w:color w:val="000000"/>
                <w:lang w:eastAsia="en-AU"/>
              </w:rPr>
              <w:t>s’</w:t>
            </w:r>
            <w:r>
              <w:rPr>
                <w:rFonts w:asciiTheme="minorHAnsi" w:eastAsia="Times New Roman" w:hAnsiTheme="minorHAnsi" w:cs="Times New Roman"/>
                <w:color w:val="000000"/>
                <w:lang w:eastAsia="en-AU"/>
              </w:rPr>
              <w:t>,</w:t>
            </w:r>
            <w:r w:rsidRPr="009B54C9">
              <w:rPr>
                <w:rFonts w:asciiTheme="minorHAnsi" w:eastAsia="Times New Roman" w:hAnsiTheme="minorHAnsi" w:cs="Times New Roman"/>
                <w:color w:val="000000"/>
                <w:lang w:eastAsia="en-AU"/>
              </w:rPr>
              <w:t xml:space="preserve"> </w:t>
            </w:r>
            <w:r>
              <w:rPr>
                <w:rFonts w:asciiTheme="minorHAnsi" w:eastAsia="Times New Roman" w:hAnsiTheme="minorHAnsi" w:cs="Times New Roman"/>
                <w:color w:val="000000"/>
                <w:lang w:eastAsia="en-AU"/>
              </w:rPr>
              <w:t>which</w:t>
            </w:r>
            <w:r w:rsidRPr="002C0C53">
              <w:rPr>
                <w:rFonts w:asciiTheme="minorHAnsi" w:eastAsia="Times New Roman" w:hAnsiTheme="minorHAnsi" w:cs="Times New Roman"/>
                <w:color w:val="000000"/>
                <w:lang w:eastAsia="en-AU"/>
              </w:rPr>
              <w:t xml:space="preserve"> have been </w:t>
            </w:r>
            <w:r>
              <w:rPr>
                <w:rFonts w:asciiTheme="minorHAnsi" w:eastAsia="Times New Roman" w:hAnsiTheme="minorHAnsi" w:cs="Times New Roman"/>
                <w:color w:val="000000"/>
                <w:lang w:eastAsia="en-AU"/>
              </w:rPr>
              <w:t>included</w:t>
            </w:r>
            <w:r w:rsidRPr="002C0C53">
              <w:rPr>
                <w:rFonts w:asciiTheme="minorHAnsi" w:eastAsia="Times New Roman" w:hAnsiTheme="minorHAnsi" w:cs="Times New Roman"/>
                <w:color w:val="000000"/>
                <w:lang w:eastAsia="en-AU"/>
              </w:rPr>
              <w:t xml:space="preserve"> to allow a more progressive approach </w:t>
            </w:r>
            <w:r w:rsidRPr="009B54C9">
              <w:rPr>
                <w:rFonts w:asciiTheme="minorHAnsi" w:eastAsia="Times New Roman" w:hAnsiTheme="minorHAnsi" w:cs="Times New Roman"/>
                <w:color w:val="000000"/>
                <w:lang w:eastAsia="en-AU"/>
              </w:rPr>
              <w:t>supporting</w:t>
            </w:r>
            <w:r w:rsidRPr="002C0C53">
              <w:rPr>
                <w:rFonts w:asciiTheme="minorHAnsi" w:eastAsia="Times New Roman" w:hAnsiTheme="minorHAnsi" w:cs="Times New Roman"/>
                <w:color w:val="000000"/>
                <w:lang w:eastAsia="en-AU"/>
              </w:rPr>
              <w:t xml:space="preserve"> an accurate diagnostic perspective with access to early treatment </w:t>
            </w:r>
            <w:r>
              <w:rPr>
                <w:rFonts w:asciiTheme="minorHAnsi" w:eastAsia="Times New Roman" w:hAnsiTheme="minorHAnsi" w:cs="Times New Roman"/>
                <w:color w:val="000000"/>
                <w:lang w:eastAsia="en-AU"/>
              </w:rPr>
              <w:t>and escalation</w:t>
            </w:r>
            <w:r w:rsidRPr="002C0C53">
              <w:rPr>
                <w:rFonts w:asciiTheme="minorHAnsi" w:eastAsia="Times New Roman" w:hAnsiTheme="minorHAnsi" w:cs="Times New Roman"/>
                <w:color w:val="000000"/>
                <w:lang w:eastAsia="en-AU"/>
              </w:rPr>
              <w:t xml:space="preserve"> to second line therapy where a clinical response is not demonstrated within a short period. Greater d</w:t>
            </w:r>
            <w:r>
              <w:rPr>
                <w:rFonts w:asciiTheme="minorHAnsi" w:eastAsia="Times New Roman" w:hAnsiTheme="minorHAnsi" w:cs="Times New Roman"/>
                <w:color w:val="000000"/>
                <w:lang w:eastAsia="en-AU"/>
              </w:rPr>
              <w:t>etail has been provided in this descriptive section</w:t>
            </w:r>
            <w:r w:rsidRPr="002C0C53">
              <w:rPr>
                <w:rFonts w:asciiTheme="minorHAnsi" w:eastAsia="Times New Roman" w:hAnsiTheme="minorHAnsi" w:cs="Times New Roman"/>
                <w:color w:val="000000"/>
                <w:lang w:eastAsia="en-AU"/>
              </w:rPr>
              <w:t xml:space="preserve"> in order to better support and educate prescribers regarding this emerging condition.  </w:t>
            </w: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846B19" w:rsidRDefault="00846B19" w:rsidP="00953A05">
            <w:pPr>
              <w:spacing w:before="120" w:after="120"/>
              <w:rPr>
                <w:rFonts w:asciiTheme="minorHAnsi" w:eastAsia="Times New Roman" w:hAnsiTheme="minorHAnsi" w:cs="Times New Roman"/>
                <w:color w:val="000000"/>
                <w:lang w:eastAsia="en-AU"/>
              </w:rPr>
            </w:pPr>
          </w:p>
          <w:p w:rsidR="00B70E50" w:rsidRDefault="00B70E50" w:rsidP="00846B19">
            <w:pPr>
              <w:spacing w:after="120"/>
              <w:rPr>
                <w:rFonts w:asciiTheme="minorHAnsi" w:hAnsiTheme="minorHAnsi" w:cs="Lucida Grande"/>
                <w:color w:val="000000"/>
              </w:rPr>
            </w:pPr>
          </w:p>
          <w:p w:rsidR="00B70E50" w:rsidRDefault="00B70E50" w:rsidP="00846B19">
            <w:pPr>
              <w:spacing w:after="120"/>
              <w:rPr>
                <w:rFonts w:asciiTheme="minorHAnsi" w:hAnsiTheme="minorHAnsi" w:cs="Lucida Grande"/>
                <w:color w:val="000000"/>
              </w:rPr>
            </w:pPr>
          </w:p>
          <w:p w:rsidR="00B70E50" w:rsidRDefault="00B70E50" w:rsidP="00846B19">
            <w:pPr>
              <w:spacing w:after="120"/>
              <w:rPr>
                <w:rFonts w:asciiTheme="minorHAnsi" w:hAnsiTheme="minorHAnsi" w:cs="Lucida Grande"/>
                <w:color w:val="000000"/>
              </w:rPr>
            </w:pPr>
          </w:p>
          <w:p w:rsidR="00BA76E3" w:rsidRPr="00C92149" w:rsidRDefault="00846B19" w:rsidP="00953A05">
            <w:pPr>
              <w:spacing w:before="120" w:after="120"/>
              <w:rPr>
                <w:rFonts w:asciiTheme="minorHAnsi" w:hAnsiTheme="minorHAnsi"/>
                <w:sz w:val="20"/>
                <w:szCs w:val="20"/>
              </w:rPr>
            </w:pPr>
            <w:r w:rsidRPr="00DC3758">
              <w:rPr>
                <w:rFonts w:asciiTheme="minorHAnsi" w:hAnsiTheme="minorHAnsi" w:cs="Lucida Grande"/>
                <w:color w:val="000000"/>
              </w:rPr>
              <w:t>Explanation has been provided regarding the pathogenesis of Hashimoto</w:t>
            </w:r>
            <w:r>
              <w:rPr>
                <w:rFonts w:asciiTheme="minorHAnsi" w:hAnsiTheme="minorHAnsi" w:cs="Lucida Grande"/>
                <w:color w:val="000000"/>
              </w:rPr>
              <w:t>’</w:t>
            </w:r>
            <w:r w:rsidRPr="00DC3758">
              <w:rPr>
                <w:rFonts w:asciiTheme="minorHAnsi" w:hAnsiTheme="minorHAnsi" w:cs="Lucida Grande"/>
                <w:color w:val="000000"/>
              </w:rPr>
              <w:t xml:space="preserve">s Encephalopathy (HE) and the role of autoantibodies (other than anti-thyroid) being more likely to be the pathogenic mediators of disease, such as anti-NMDAR antibodies (in the context of encephalitis), or anti-MOG antibodies (in the context of demyelination). Alternatively, </w:t>
            </w:r>
            <w:r w:rsidRPr="00DC3758">
              <w:rPr>
                <w:rFonts w:asciiTheme="minorHAnsi" w:hAnsiTheme="minorHAnsi" w:cs="Lucida Grande"/>
                <w:color w:val="000000"/>
              </w:rPr>
              <w:lastRenderedPageBreak/>
              <w:t>HE may be seronegative AMAE. As such, patients with Hashimoto</w:t>
            </w:r>
            <w:r>
              <w:rPr>
                <w:rFonts w:asciiTheme="minorHAnsi" w:hAnsiTheme="minorHAnsi" w:cs="Lucida Grande"/>
                <w:color w:val="000000"/>
              </w:rPr>
              <w:t>’</w:t>
            </w:r>
            <w:r w:rsidRPr="00DC3758">
              <w:rPr>
                <w:rFonts w:asciiTheme="minorHAnsi" w:hAnsiTheme="minorHAnsi" w:cs="Lucida Grande"/>
                <w:color w:val="000000"/>
              </w:rPr>
              <w:t>s Encephalopathy may be eligible for treatment under this condition provided they meet the qualifying (diagnostic) criteria. Hashimoto’s ence</w:t>
            </w:r>
            <w:r w:rsidRPr="00846B19">
              <w:rPr>
                <w:rFonts w:asciiTheme="minorHAnsi" w:hAnsiTheme="minorHAnsi" w:cs="Lucida Grande"/>
                <w:color w:val="000000"/>
              </w:rPr>
              <w:t>phalopathy is recommended to no longer</w:t>
            </w:r>
            <w:r w:rsidRPr="00DC3758">
              <w:rPr>
                <w:rFonts w:asciiTheme="minorHAnsi" w:hAnsiTheme="minorHAnsi" w:cs="Lucida Grande"/>
                <w:color w:val="000000"/>
              </w:rPr>
              <w:t xml:space="preserve"> exist as a standalone condition </w:t>
            </w:r>
            <w:r>
              <w:rPr>
                <w:rFonts w:asciiTheme="minorHAnsi" w:hAnsiTheme="minorHAnsi" w:cs="Lucida Grande"/>
                <w:color w:val="000000"/>
              </w:rPr>
              <w:t xml:space="preserve">in </w:t>
            </w:r>
            <w:r w:rsidRPr="00DC3758">
              <w:rPr>
                <w:rFonts w:asciiTheme="minorHAnsi" w:hAnsiTheme="minorHAnsi" w:cs="Lucida Grande"/>
                <w:i/>
                <w:color w:val="000000"/>
              </w:rPr>
              <w:t>the Criteria</w:t>
            </w:r>
            <w:r>
              <w:rPr>
                <w:rFonts w:asciiTheme="minorHAnsi" w:hAnsiTheme="minorHAnsi" w:cs="Lucida Grande"/>
                <w:color w:val="000000"/>
              </w:rPr>
              <w:t xml:space="preserve">, </w:t>
            </w:r>
            <w:r w:rsidRPr="00DC3758">
              <w:rPr>
                <w:rFonts w:asciiTheme="minorHAnsi" w:hAnsiTheme="minorHAnsi" w:cs="Lucida Grande"/>
                <w:color w:val="000000"/>
              </w:rPr>
              <w:t xml:space="preserve">and search words will refer prescribers to </w:t>
            </w:r>
            <w:r>
              <w:rPr>
                <w:rFonts w:asciiTheme="minorHAnsi" w:hAnsiTheme="minorHAnsi" w:cs="Lucida Grande"/>
                <w:color w:val="000000"/>
              </w:rPr>
              <w:t>AMAE</w:t>
            </w:r>
            <w:r w:rsidRPr="00DC3758">
              <w:rPr>
                <w:rFonts w:asciiTheme="minorHAnsi" w:hAnsiTheme="minorHAnsi" w:cs="Lucida Grande"/>
                <w:color w:val="000000"/>
              </w:rPr>
              <w:t xml:space="preserve">. </w:t>
            </w:r>
          </w:p>
        </w:tc>
      </w:tr>
      <w:tr w:rsidR="00846B19" w:rsidRPr="00853117" w:rsidTr="00B8398C">
        <w:tc>
          <w:tcPr>
            <w:tcW w:w="1540"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lastRenderedPageBreak/>
              <w:t>Diagnosis is required</w:t>
            </w:r>
          </w:p>
        </w:tc>
        <w:tc>
          <w:tcPr>
            <w:tcW w:w="3938" w:type="dxa"/>
            <w:vMerge w:val="restart"/>
          </w:tcPr>
          <w:p w:rsidR="00447869" w:rsidRPr="00447869" w:rsidRDefault="00282F66" w:rsidP="00021243">
            <w:pPr>
              <w:spacing w:before="120" w:after="120"/>
              <w:rPr>
                <w:rFonts w:asciiTheme="minorHAnsi" w:hAnsiTheme="minorHAnsi"/>
                <w:b/>
              </w:rPr>
            </w:pPr>
            <w:r>
              <w:t xml:space="preserve"> </w:t>
            </w:r>
            <w:r w:rsidR="0088600C">
              <w:t>Neurologist</w:t>
            </w:r>
          </w:p>
        </w:tc>
        <w:tc>
          <w:tcPr>
            <w:tcW w:w="1956" w:type="dxa"/>
          </w:tcPr>
          <w:p w:rsidR="00447869" w:rsidRPr="00447869" w:rsidRDefault="00341D20" w:rsidP="00021243">
            <w:pPr>
              <w:spacing w:before="120" w:after="120"/>
              <w:rPr>
                <w:rFonts w:asciiTheme="minorHAnsi" w:hAnsiTheme="minorHAnsi"/>
              </w:rPr>
            </w:pPr>
            <w:r>
              <w:rPr>
                <w:rFonts w:asciiTheme="minorHAnsi" w:hAnsiTheme="minorHAnsi"/>
              </w:rPr>
              <w:t>Yes</w:t>
            </w:r>
          </w:p>
        </w:tc>
        <w:tc>
          <w:tcPr>
            <w:tcW w:w="1956" w:type="dxa"/>
            <w:shd w:val="clear" w:color="auto" w:fill="BFBFBF" w:themeFill="background1" w:themeFillShade="BF"/>
          </w:tcPr>
          <w:p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957" w:type="dxa"/>
          </w:tcPr>
          <w:p w:rsidR="00447869" w:rsidRPr="00447869" w:rsidRDefault="00341D20" w:rsidP="004549E1">
            <w:pPr>
              <w:spacing w:before="120" w:after="120"/>
              <w:rPr>
                <w:rFonts w:asciiTheme="minorHAnsi" w:hAnsiTheme="minorHAnsi"/>
              </w:rPr>
            </w:pPr>
            <w:r>
              <w:rPr>
                <w:rFonts w:asciiTheme="minorHAnsi" w:hAnsiTheme="minorHAnsi"/>
              </w:rPr>
              <w:t xml:space="preserve">Neurologist </w:t>
            </w:r>
          </w:p>
        </w:tc>
        <w:tc>
          <w:tcPr>
            <w:tcW w:w="3254" w:type="dxa"/>
            <w:vMerge w:val="restart"/>
          </w:tcPr>
          <w:p w:rsidR="00447869" w:rsidRPr="00C92149" w:rsidRDefault="0088600C" w:rsidP="008515FF">
            <w:pPr>
              <w:spacing w:before="120" w:after="120"/>
              <w:ind w:right="90"/>
              <w:rPr>
                <w:rFonts w:asciiTheme="minorHAnsi" w:hAnsiTheme="minorHAnsi"/>
                <w:szCs w:val="20"/>
              </w:rPr>
            </w:pPr>
            <w:r w:rsidRPr="00156033">
              <w:rPr>
                <w:rFonts w:asciiTheme="minorHAnsi" w:hAnsiTheme="minorHAnsi" w:cs="Lucida Grande"/>
              </w:rPr>
              <w:t xml:space="preserve">No change. </w:t>
            </w:r>
            <w:r w:rsidR="00F34321" w:rsidRPr="00156033">
              <w:rPr>
                <w:rFonts w:asciiTheme="minorHAnsi" w:hAnsiTheme="minorHAnsi" w:cs="Lucida Grande"/>
              </w:rPr>
              <w:t>It is acknowledged that while clinical immunologists with specific experience may be part of the clinical team treating these patients, neurologists must make the diagnosis and be involved in patient management</w:t>
            </w:r>
            <w:r w:rsidR="00F34321" w:rsidRPr="00156033">
              <w:t xml:space="preserve"> and review.</w:t>
            </w:r>
          </w:p>
        </w:tc>
      </w:tr>
      <w:tr w:rsidR="00846B19" w:rsidRPr="00853117" w:rsidTr="00B8398C">
        <w:tc>
          <w:tcPr>
            <w:tcW w:w="1540"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t>Diagnosis must be verified</w:t>
            </w:r>
          </w:p>
        </w:tc>
        <w:tc>
          <w:tcPr>
            <w:tcW w:w="3938" w:type="dxa"/>
            <w:vMerge/>
          </w:tcPr>
          <w:p w:rsidR="00447869" w:rsidRPr="00447869" w:rsidRDefault="00447869" w:rsidP="00021243">
            <w:pPr>
              <w:spacing w:before="120" w:after="120"/>
              <w:rPr>
                <w:rFonts w:asciiTheme="minorHAnsi" w:hAnsiTheme="minorHAnsi"/>
              </w:rPr>
            </w:pPr>
          </w:p>
        </w:tc>
        <w:tc>
          <w:tcPr>
            <w:tcW w:w="1956" w:type="dxa"/>
          </w:tcPr>
          <w:p w:rsidR="00447869" w:rsidRPr="00447869" w:rsidRDefault="00341D20" w:rsidP="00021243">
            <w:pPr>
              <w:spacing w:before="120" w:after="120"/>
              <w:rPr>
                <w:rFonts w:asciiTheme="minorHAnsi" w:hAnsiTheme="minorHAnsi"/>
              </w:rPr>
            </w:pPr>
            <w:r>
              <w:rPr>
                <w:rFonts w:asciiTheme="minorHAnsi" w:hAnsiTheme="minorHAnsi"/>
              </w:rPr>
              <w:t>No</w:t>
            </w:r>
          </w:p>
        </w:tc>
        <w:tc>
          <w:tcPr>
            <w:tcW w:w="1956" w:type="dxa"/>
            <w:shd w:val="clear" w:color="auto" w:fill="BFBFBF" w:themeFill="background1" w:themeFillShade="BF"/>
          </w:tcPr>
          <w:p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957" w:type="dxa"/>
          </w:tcPr>
          <w:p w:rsidR="00447869" w:rsidRPr="00447869" w:rsidRDefault="00447869" w:rsidP="00021243">
            <w:pPr>
              <w:spacing w:before="120" w:after="120"/>
              <w:rPr>
                <w:rFonts w:asciiTheme="minorHAnsi" w:hAnsiTheme="minorHAnsi"/>
              </w:rPr>
            </w:pPr>
          </w:p>
        </w:tc>
        <w:tc>
          <w:tcPr>
            <w:tcW w:w="3254" w:type="dxa"/>
            <w:vMerge/>
          </w:tcPr>
          <w:p w:rsidR="00447869" w:rsidRPr="00C92149" w:rsidRDefault="00447869" w:rsidP="00021243">
            <w:pPr>
              <w:spacing w:before="120" w:after="120"/>
              <w:rPr>
                <w:rFonts w:asciiTheme="minorHAnsi" w:hAnsiTheme="minorHAnsi"/>
                <w:szCs w:val="20"/>
              </w:rPr>
            </w:pPr>
          </w:p>
        </w:tc>
      </w:tr>
      <w:tr w:rsidR="00846B19" w:rsidRPr="00853117" w:rsidTr="00B8398C">
        <w:tc>
          <w:tcPr>
            <w:tcW w:w="1540"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t>Exclusion Criteria</w:t>
            </w:r>
          </w:p>
          <w:p w:rsidR="00447869" w:rsidRPr="00447869" w:rsidRDefault="00447869" w:rsidP="00021243">
            <w:pPr>
              <w:spacing w:before="120" w:after="120"/>
              <w:rPr>
                <w:rFonts w:asciiTheme="minorHAnsi" w:hAnsiTheme="minorHAnsi"/>
              </w:rPr>
            </w:pPr>
          </w:p>
        </w:tc>
        <w:tc>
          <w:tcPr>
            <w:tcW w:w="3938" w:type="dxa"/>
          </w:tcPr>
          <w:p w:rsidR="00447869" w:rsidRPr="00447869" w:rsidRDefault="00282F66" w:rsidP="00021243">
            <w:pPr>
              <w:spacing w:before="120" w:after="120"/>
              <w:rPr>
                <w:rFonts w:asciiTheme="minorHAnsi" w:hAnsiTheme="minorHAnsi"/>
              </w:rPr>
            </w:pPr>
            <w:r>
              <w:rPr>
                <w:rFonts w:asciiTheme="minorHAnsi" w:hAnsiTheme="minorHAnsi"/>
              </w:rPr>
              <w:t xml:space="preserve"> </w:t>
            </w:r>
            <w:r w:rsidR="000D1DE1" w:rsidRPr="008272A8">
              <w:rPr>
                <w:rFonts w:asciiTheme="minorHAnsi" w:eastAsia="Times New Roman" w:hAnsiTheme="minorHAnsi" w:cs="Times New Roman"/>
                <w:color w:val="000000"/>
                <w:lang w:eastAsia="en-AU"/>
              </w:rPr>
              <w:t xml:space="preserve">Anti-GAD or thyroid antibody associated syndromes and the classical intracellular anti-neuronal antibodies are not considered under this condition.  </w:t>
            </w:r>
          </w:p>
        </w:tc>
        <w:tc>
          <w:tcPr>
            <w:tcW w:w="5869" w:type="dxa"/>
            <w:gridSpan w:val="3"/>
          </w:tcPr>
          <w:p w:rsidR="00447869" w:rsidRPr="00447869" w:rsidRDefault="00447869" w:rsidP="00021243">
            <w:pPr>
              <w:spacing w:before="120" w:after="120"/>
              <w:rPr>
                <w:rFonts w:asciiTheme="minorHAnsi" w:hAnsiTheme="minorHAnsi"/>
                <w:strike/>
              </w:rPr>
            </w:pPr>
          </w:p>
        </w:tc>
        <w:tc>
          <w:tcPr>
            <w:tcW w:w="3254" w:type="dxa"/>
          </w:tcPr>
          <w:p w:rsidR="00447869" w:rsidRPr="00C92149" w:rsidRDefault="00953A05" w:rsidP="00846B19">
            <w:pPr>
              <w:spacing w:before="120" w:after="120"/>
              <w:rPr>
                <w:rFonts w:asciiTheme="minorHAnsi" w:hAnsiTheme="minorHAnsi"/>
                <w:szCs w:val="20"/>
              </w:rPr>
            </w:pPr>
            <w:r>
              <w:rPr>
                <w:rFonts w:asciiTheme="minorHAnsi" w:hAnsiTheme="minorHAnsi"/>
                <w:szCs w:val="20"/>
              </w:rPr>
              <w:t>Th</w:t>
            </w:r>
            <w:r w:rsidR="00F34321">
              <w:rPr>
                <w:rFonts w:asciiTheme="minorHAnsi" w:hAnsiTheme="minorHAnsi"/>
                <w:szCs w:val="20"/>
              </w:rPr>
              <w:t>e previously excluded</w:t>
            </w:r>
            <w:r>
              <w:rPr>
                <w:rFonts w:asciiTheme="minorHAnsi" w:hAnsiTheme="minorHAnsi"/>
                <w:szCs w:val="20"/>
              </w:rPr>
              <w:t xml:space="preserve"> conditions </w:t>
            </w:r>
            <w:r w:rsidR="00846B19">
              <w:rPr>
                <w:rFonts w:asciiTheme="minorHAnsi" w:hAnsiTheme="minorHAnsi"/>
                <w:szCs w:val="20"/>
              </w:rPr>
              <w:t>may</w:t>
            </w:r>
            <w:r>
              <w:rPr>
                <w:rFonts w:asciiTheme="minorHAnsi" w:hAnsiTheme="minorHAnsi"/>
                <w:szCs w:val="20"/>
              </w:rPr>
              <w:t xml:space="preserve"> now be eligible under this condition, provided they meet the qualifying criteria, so the statement has been removed. </w:t>
            </w:r>
          </w:p>
        </w:tc>
      </w:tr>
      <w:tr w:rsidR="00846B19" w:rsidRPr="00853117" w:rsidTr="00B8398C">
        <w:tc>
          <w:tcPr>
            <w:tcW w:w="1540" w:type="dxa"/>
            <w:shd w:val="clear" w:color="auto" w:fill="D9D9D9" w:themeFill="background1" w:themeFillShade="D9"/>
          </w:tcPr>
          <w:p w:rsidR="00021243" w:rsidRPr="0044512A" w:rsidRDefault="00021243" w:rsidP="0044512A">
            <w:pPr>
              <w:spacing w:before="120" w:after="120"/>
              <w:rPr>
                <w:rFonts w:asciiTheme="minorHAnsi" w:hAnsiTheme="minorHAnsi"/>
                <w:b/>
                <w:bCs/>
              </w:rPr>
            </w:pPr>
            <w:r w:rsidRPr="0044512A">
              <w:rPr>
                <w:rFonts w:asciiTheme="minorHAnsi" w:hAnsiTheme="minorHAnsi"/>
                <w:b/>
              </w:rPr>
              <w:t>Qualifying Criteria</w:t>
            </w:r>
          </w:p>
        </w:tc>
        <w:tc>
          <w:tcPr>
            <w:tcW w:w="3938" w:type="dxa"/>
          </w:tcPr>
          <w:p w:rsidR="000D1DE1" w:rsidRDefault="000D1DE1" w:rsidP="000D1DE1">
            <w:pPr>
              <w:pStyle w:val="ListParagraph"/>
              <w:spacing w:before="100" w:beforeAutospacing="1"/>
              <w:ind w:left="41"/>
              <w:rPr>
                <w:rFonts w:asciiTheme="minorHAnsi" w:hAnsiTheme="minorHAnsi"/>
              </w:rPr>
            </w:pPr>
            <w:r w:rsidRPr="008272A8">
              <w:rPr>
                <w:rFonts w:asciiTheme="minorHAnsi" w:hAnsiTheme="minorHAnsi"/>
              </w:rPr>
              <w:t xml:space="preserve">Clinical features consistent with antibody mediated autoimmune encephalitis including seizures, cognitive </w:t>
            </w:r>
            <w:r w:rsidRPr="008272A8">
              <w:rPr>
                <w:rFonts w:asciiTheme="minorHAnsi" w:hAnsiTheme="minorHAnsi"/>
              </w:rPr>
              <w:lastRenderedPageBreak/>
              <w:t xml:space="preserve">impairment, psychiatric symptoms, dyskinesias, autonomic instability, encephalopathy, catatonia, central hypoventilation </w:t>
            </w:r>
          </w:p>
          <w:p w:rsidR="000D1DE1" w:rsidRPr="008272A8" w:rsidRDefault="000D1DE1" w:rsidP="000D1DE1">
            <w:pPr>
              <w:pStyle w:val="ListParagraph"/>
              <w:spacing w:before="100" w:beforeAutospacing="1"/>
              <w:ind w:left="41"/>
              <w:rPr>
                <w:rFonts w:asciiTheme="minorHAnsi" w:hAnsiTheme="minorHAnsi"/>
              </w:rPr>
            </w:pPr>
          </w:p>
          <w:p w:rsidR="000D1DE1" w:rsidRDefault="000D1DE1" w:rsidP="00935BE4">
            <w:pPr>
              <w:pStyle w:val="ListParagraph"/>
              <w:spacing w:before="100" w:beforeAutospacing="1"/>
              <w:ind w:left="41"/>
              <w:jc w:val="center"/>
              <w:rPr>
                <w:rFonts w:asciiTheme="minorHAnsi" w:hAnsiTheme="minorHAnsi"/>
              </w:rPr>
            </w:pPr>
            <w:r w:rsidRPr="008272A8">
              <w:rPr>
                <w:rFonts w:asciiTheme="minorHAnsi" w:hAnsiTheme="minorHAnsi"/>
              </w:rPr>
              <w:t>AND</w:t>
            </w:r>
          </w:p>
          <w:p w:rsidR="000D1DE1" w:rsidRPr="008272A8" w:rsidRDefault="000D1DE1" w:rsidP="000D1DE1">
            <w:pPr>
              <w:pStyle w:val="ListParagraph"/>
              <w:spacing w:before="100" w:beforeAutospacing="1"/>
              <w:ind w:left="41"/>
              <w:rPr>
                <w:rFonts w:asciiTheme="minorHAnsi" w:hAnsiTheme="minorHAnsi"/>
              </w:rPr>
            </w:pPr>
          </w:p>
          <w:p w:rsidR="000D1DE1" w:rsidRDefault="000D1DE1" w:rsidP="000D1DE1">
            <w:pPr>
              <w:pStyle w:val="ListParagraph"/>
              <w:spacing w:before="100" w:beforeAutospacing="1"/>
              <w:ind w:left="41"/>
              <w:rPr>
                <w:rFonts w:asciiTheme="minorHAnsi" w:hAnsiTheme="minorHAnsi"/>
              </w:rPr>
            </w:pPr>
            <w:r w:rsidRPr="008272A8">
              <w:rPr>
                <w:rFonts w:asciiTheme="minorHAnsi" w:hAnsiTheme="minorHAnsi"/>
              </w:rPr>
              <w:t>A baseline assessment of function is measured by the Modified Rankin Score</w:t>
            </w:r>
          </w:p>
          <w:p w:rsidR="000D1DE1" w:rsidRPr="008272A8" w:rsidRDefault="000D1DE1" w:rsidP="000D1DE1">
            <w:pPr>
              <w:pStyle w:val="ListParagraph"/>
              <w:spacing w:before="100" w:beforeAutospacing="1"/>
              <w:ind w:left="41"/>
              <w:rPr>
                <w:rFonts w:asciiTheme="minorHAnsi" w:hAnsiTheme="minorHAnsi"/>
              </w:rPr>
            </w:pPr>
          </w:p>
          <w:p w:rsidR="000D1DE1" w:rsidRDefault="000D1DE1" w:rsidP="00935BE4">
            <w:pPr>
              <w:pStyle w:val="ListParagraph"/>
              <w:spacing w:before="100" w:beforeAutospacing="1"/>
              <w:ind w:left="41"/>
              <w:jc w:val="center"/>
              <w:rPr>
                <w:rFonts w:asciiTheme="minorHAnsi" w:hAnsiTheme="minorHAnsi"/>
              </w:rPr>
            </w:pPr>
            <w:r w:rsidRPr="008272A8">
              <w:rPr>
                <w:rFonts w:asciiTheme="minorHAnsi" w:hAnsiTheme="minorHAnsi"/>
              </w:rPr>
              <w:t>AND</w:t>
            </w:r>
          </w:p>
          <w:p w:rsidR="000D1DE1" w:rsidRPr="008272A8" w:rsidRDefault="000D1DE1" w:rsidP="000D1DE1">
            <w:pPr>
              <w:pStyle w:val="ListParagraph"/>
              <w:spacing w:before="100" w:beforeAutospacing="1"/>
              <w:ind w:left="41"/>
              <w:rPr>
                <w:rFonts w:asciiTheme="minorHAnsi" w:hAnsiTheme="minorHAnsi"/>
              </w:rPr>
            </w:pPr>
          </w:p>
          <w:p w:rsidR="000D1DE1" w:rsidRDefault="000D1DE1" w:rsidP="000D1DE1">
            <w:pPr>
              <w:pStyle w:val="ListParagraph"/>
              <w:spacing w:before="100" w:beforeAutospacing="1"/>
              <w:ind w:left="41"/>
              <w:rPr>
                <w:rFonts w:asciiTheme="minorHAnsi" w:hAnsiTheme="minorHAnsi"/>
              </w:rPr>
            </w:pPr>
            <w:r w:rsidRPr="008272A8">
              <w:rPr>
                <w:rFonts w:asciiTheme="minorHAnsi" w:hAnsiTheme="minorHAnsi"/>
              </w:rPr>
              <w:t xml:space="preserve">Neuronal antibodies to cell surface antigens have been demonstrated, unless tests results are unavailable. </w:t>
            </w:r>
          </w:p>
          <w:p w:rsidR="000D1DE1" w:rsidRDefault="000D1DE1" w:rsidP="000D1DE1">
            <w:pPr>
              <w:pStyle w:val="ListParagraph"/>
              <w:spacing w:before="100" w:beforeAutospacing="1"/>
              <w:ind w:left="41"/>
              <w:rPr>
                <w:rFonts w:asciiTheme="minorHAnsi" w:hAnsiTheme="minorHAnsi"/>
              </w:rPr>
            </w:pPr>
          </w:p>
          <w:p w:rsidR="000D1DE1" w:rsidRDefault="000D1DE1" w:rsidP="000D1DE1">
            <w:pPr>
              <w:pStyle w:val="ListParagraph"/>
              <w:spacing w:before="100" w:beforeAutospacing="1"/>
              <w:ind w:left="0"/>
              <w:rPr>
                <w:rFonts w:asciiTheme="minorHAnsi" w:hAnsiTheme="minorHAnsi"/>
              </w:rPr>
            </w:pPr>
            <w:r w:rsidRPr="008272A8">
              <w:rPr>
                <w:rFonts w:asciiTheme="minorHAnsi" w:hAnsiTheme="minorHAnsi"/>
              </w:rPr>
              <w:t xml:space="preserve">Note anti-GAD or thyroid antibody associated syndromes and the classical intracellular antineuronal antibodies are not considered under this condition.  </w:t>
            </w:r>
          </w:p>
          <w:p w:rsidR="000D1DE1" w:rsidRPr="008272A8" w:rsidRDefault="000D1DE1" w:rsidP="000D1DE1">
            <w:pPr>
              <w:pStyle w:val="ListParagraph"/>
              <w:spacing w:before="100" w:beforeAutospacing="1"/>
              <w:rPr>
                <w:rFonts w:asciiTheme="minorHAnsi" w:hAnsiTheme="minorHAnsi"/>
              </w:rPr>
            </w:pPr>
          </w:p>
          <w:p w:rsidR="00021243" w:rsidRPr="00EB78FB" w:rsidRDefault="0015147E" w:rsidP="000D1DE1">
            <w:pPr>
              <w:pStyle w:val="Default"/>
              <w:spacing w:before="120" w:after="120"/>
              <w:rPr>
                <w:rFonts w:ascii="Calibri" w:hAnsi="Calibri"/>
                <w:b/>
                <w:sz w:val="22"/>
                <w:szCs w:val="22"/>
              </w:rPr>
            </w:pPr>
            <w:r>
              <w:rPr>
                <w:rFonts w:asciiTheme="minorHAnsi" w:hAnsiTheme="minorHAnsi"/>
              </w:rPr>
              <w:t>IVIg</w:t>
            </w:r>
            <w:r w:rsidR="000D1DE1" w:rsidRPr="008272A8">
              <w:rPr>
                <w:rFonts w:asciiTheme="minorHAnsi" w:hAnsiTheme="minorHAnsi"/>
              </w:rPr>
              <w:t xml:space="preserve"> is approved for one induction cycle (2g/kg over 5 days) in conjunction with systemic steroids (unless contraindicated). Two subsequent monthly doses (each up to 0.4g/kg) may be given at which stage the patient must be reviewed to determine whether there has been a clinical response prior to further Ig </w:t>
            </w:r>
            <w:r w:rsidR="000D1DE1" w:rsidRPr="008272A8">
              <w:rPr>
                <w:rFonts w:asciiTheme="minorHAnsi" w:hAnsiTheme="minorHAnsi"/>
              </w:rPr>
              <w:lastRenderedPageBreak/>
              <w:t>authorisation.</w:t>
            </w:r>
          </w:p>
          <w:p w:rsidR="00021243" w:rsidRPr="00447869" w:rsidRDefault="00021243" w:rsidP="00021243">
            <w:pPr>
              <w:spacing w:before="120" w:after="120"/>
              <w:rPr>
                <w:rFonts w:asciiTheme="minorHAnsi" w:hAnsiTheme="minorHAnsi"/>
              </w:rPr>
            </w:pPr>
          </w:p>
        </w:tc>
        <w:tc>
          <w:tcPr>
            <w:tcW w:w="5869" w:type="dxa"/>
            <w:gridSpan w:val="3"/>
          </w:tcPr>
          <w:p w:rsidR="000D1DE1" w:rsidRPr="000D1DE1" w:rsidRDefault="000D1DE1" w:rsidP="000D1DE1">
            <w:pPr>
              <w:pStyle w:val="ListParagraph"/>
              <w:spacing w:before="100" w:beforeAutospacing="1"/>
              <w:ind w:left="34"/>
              <w:rPr>
                <w:rFonts w:asciiTheme="minorHAnsi" w:hAnsiTheme="minorHAnsi"/>
                <w:b/>
              </w:rPr>
            </w:pPr>
            <w:r w:rsidRPr="000D1DE1">
              <w:rPr>
                <w:rFonts w:asciiTheme="minorHAnsi" w:hAnsiTheme="minorHAnsi"/>
                <w:b/>
              </w:rPr>
              <w:lastRenderedPageBreak/>
              <w:t xml:space="preserve">Cell surface antibody positive AMAE or </w:t>
            </w:r>
            <w:r w:rsidR="00A44D77">
              <w:rPr>
                <w:rFonts w:asciiTheme="minorHAnsi" w:hAnsiTheme="minorHAnsi"/>
                <w:b/>
              </w:rPr>
              <w:t>L</w:t>
            </w:r>
            <w:r w:rsidRPr="000D1DE1">
              <w:rPr>
                <w:rFonts w:asciiTheme="minorHAnsi" w:hAnsiTheme="minorHAnsi"/>
                <w:b/>
              </w:rPr>
              <w:t>imbic encephalitis</w:t>
            </w:r>
          </w:p>
          <w:p w:rsidR="000D1DE1" w:rsidRPr="000D1DE1" w:rsidRDefault="000D1DE1" w:rsidP="000D1DE1">
            <w:pPr>
              <w:pStyle w:val="ListParagraph"/>
              <w:spacing w:before="100" w:beforeAutospacing="1"/>
              <w:ind w:left="34"/>
              <w:rPr>
                <w:rFonts w:asciiTheme="minorHAnsi" w:hAnsiTheme="minorHAnsi"/>
              </w:rPr>
            </w:pPr>
          </w:p>
          <w:p w:rsidR="000D1DE1" w:rsidRDefault="000D1DE1" w:rsidP="00B70E50">
            <w:pPr>
              <w:pStyle w:val="ListParagraph"/>
              <w:spacing w:before="100" w:beforeAutospacing="1"/>
              <w:ind w:left="794" w:hanging="760"/>
              <w:rPr>
                <w:rFonts w:asciiTheme="minorHAnsi" w:hAnsiTheme="minorHAnsi"/>
              </w:rPr>
            </w:pPr>
            <w:r w:rsidRPr="000D1DE1">
              <w:rPr>
                <w:rFonts w:asciiTheme="minorHAnsi" w:hAnsiTheme="minorHAnsi"/>
              </w:rPr>
              <w:t>•</w:t>
            </w:r>
            <w:r w:rsidRPr="000D1DE1">
              <w:rPr>
                <w:rFonts w:asciiTheme="minorHAnsi" w:hAnsiTheme="minorHAnsi"/>
              </w:rPr>
              <w:tab/>
              <w:t xml:space="preserve">Rapid onset over less than three months of clinical </w:t>
            </w:r>
            <w:r w:rsidRPr="000D1DE1">
              <w:rPr>
                <w:rFonts w:asciiTheme="minorHAnsi" w:hAnsiTheme="minorHAnsi"/>
              </w:rPr>
              <w:lastRenderedPageBreak/>
              <w:t xml:space="preserve">features consistent with a diagnosis of Autoimmune antibody mediated encephalitis or </w:t>
            </w:r>
            <w:r w:rsidR="00A44D77">
              <w:rPr>
                <w:rFonts w:asciiTheme="minorHAnsi" w:hAnsiTheme="minorHAnsi"/>
              </w:rPr>
              <w:t>L</w:t>
            </w:r>
            <w:r w:rsidRPr="000D1DE1">
              <w:rPr>
                <w:rFonts w:asciiTheme="minorHAnsi" w:hAnsiTheme="minorHAnsi"/>
              </w:rPr>
              <w:t>imbic encephalitis</w:t>
            </w:r>
          </w:p>
          <w:p w:rsidR="000D1DE1" w:rsidRPr="000D1DE1" w:rsidRDefault="000D1DE1" w:rsidP="000D1DE1">
            <w:pPr>
              <w:pStyle w:val="ListParagraph"/>
              <w:spacing w:before="100" w:beforeAutospacing="1"/>
              <w:ind w:left="34"/>
              <w:rPr>
                <w:rFonts w:asciiTheme="minorHAnsi" w:hAnsiTheme="minorHAnsi"/>
              </w:rPr>
            </w:pPr>
            <w:r w:rsidRPr="000D1DE1">
              <w:rPr>
                <w:rFonts w:asciiTheme="minorHAnsi" w:hAnsiTheme="minorHAnsi"/>
              </w:rPr>
              <w:t>AND</w:t>
            </w:r>
          </w:p>
          <w:p w:rsidR="000D1DE1" w:rsidRPr="000D1DE1" w:rsidRDefault="000D1DE1" w:rsidP="00B70E50">
            <w:pPr>
              <w:pStyle w:val="ListParagraph"/>
              <w:spacing w:before="100" w:beforeAutospacing="1"/>
              <w:ind w:left="794" w:hanging="760"/>
              <w:rPr>
                <w:rFonts w:asciiTheme="minorHAnsi" w:hAnsiTheme="minorHAnsi"/>
              </w:rPr>
            </w:pPr>
            <w:r w:rsidRPr="000D1DE1">
              <w:rPr>
                <w:rFonts w:asciiTheme="minorHAnsi" w:hAnsiTheme="minorHAnsi"/>
              </w:rPr>
              <w:t>•</w:t>
            </w:r>
            <w:r w:rsidRPr="000D1DE1">
              <w:rPr>
                <w:rFonts w:asciiTheme="minorHAnsi" w:hAnsiTheme="minorHAnsi"/>
              </w:rPr>
              <w:tab/>
              <w:t xml:space="preserve">Testing confirms presence of cell surface neural antibody in CSF (or serum with confirmatory tests </w:t>
            </w:r>
            <w:r w:rsidR="00CD299E" w:rsidRPr="000D1DE1">
              <w:rPr>
                <w:rFonts w:asciiTheme="minorHAnsi" w:hAnsiTheme="minorHAnsi"/>
              </w:rPr>
              <w:t>e.g.</w:t>
            </w:r>
            <w:r w:rsidRPr="000D1DE1">
              <w:rPr>
                <w:rFonts w:asciiTheme="minorHAnsi" w:hAnsiTheme="minorHAnsi"/>
              </w:rPr>
              <w:t xml:space="preserve"> live neurons or tissue immunohistochemistry)</w:t>
            </w:r>
          </w:p>
          <w:p w:rsidR="000D1DE1" w:rsidRPr="000D1DE1" w:rsidRDefault="000D1DE1" w:rsidP="000D1DE1">
            <w:pPr>
              <w:pStyle w:val="ListParagraph"/>
              <w:spacing w:before="100" w:beforeAutospacing="1"/>
              <w:ind w:left="34"/>
              <w:rPr>
                <w:rFonts w:asciiTheme="minorHAnsi" w:hAnsiTheme="minorHAnsi"/>
              </w:rPr>
            </w:pPr>
          </w:p>
          <w:p w:rsidR="000D1DE1" w:rsidRPr="000D1DE1" w:rsidRDefault="000D1DE1" w:rsidP="000D1DE1">
            <w:pPr>
              <w:pStyle w:val="ListParagraph"/>
              <w:spacing w:before="100" w:beforeAutospacing="1"/>
              <w:ind w:left="34"/>
              <w:rPr>
                <w:rFonts w:asciiTheme="minorHAnsi" w:hAnsiTheme="minorHAnsi"/>
              </w:rPr>
            </w:pPr>
            <w:r w:rsidRPr="000D1DE1">
              <w:rPr>
                <w:rFonts w:asciiTheme="minorHAnsi" w:hAnsiTheme="minorHAnsi"/>
              </w:rPr>
              <w:t>AND</w:t>
            </w:r>
          </w:p>
          <w:p w:rsidR="0011109B" w:rsidRPr="00341D20" w:rsidRDefault="000D1DE1" w:rsidP="00B70E50">
            <w:pPr>
              <w:pStyle w:val="ListParagraph"/>
              <w:spacing w:before="100" w:beforeAutospacing="1"/>
              <w:ind w:left="652" w:hanging="618"/>
              <w:rPr>
                <w:rFonts w:asciiTheme="minorHAnsi" w:hAnsiTheme="minorHAnsi"/>
              </w:rPr>
            </w:pPr>
            <w:r w:rsidRPr="000D1DE1">
              <w:rPr>
                <w:rFonts w:asciiTheme="minorHAnsi" w:hAnsiTheme="minorHAnsi"/>
              </w:rPr>
              <w:t>•</w:t>
            </w:r>
            <w:r w:rsidRPr="000D1DE1">
              <w:rPr>
                <w:rFonts w:asciiTheme="minorHAnsi" w:hAnsiTheme="minorHAnsi"/>
              </w:rPr>
              <w:tab/>
              <w:t>Disability as measured by the Modified Rankin Score to a value of at least 2 points.</w:t>
            </w:r>
          </w:p>
          <w:p w:rsidR="00880ECB" w:rsidRDefault="00880ECB" w:rsidP="000D1DE1">
            <w:pPr>
              <w:pStyle w:val="ListParagraph"/>
              <w:spacing w:before="100" w:beforeAutospacing="1"/>
              <w:ind w:left="754"/>
              <w:rPr>
                <w:rFonts w:asciiTheme="minorHAnsi" w:hAnsiTheme="minorHAnsi"/>
              </w:rPr>
            </w:pPr>
          </w:p>
          <w:p w:rsidR="000D1DE1" w:rsidRDefault="000D1DE1" w:rsidP="000D1DE1">
            <w:pPr>
              <w:pStyle w:val="ListParagraph"/>
              <w:spacing w:before="100" w:beforeAutospacing="1"/>
              <w:ind w:left="176"/>
              <w:rPr>
                <w:rFonts w:asciiTheme="minorHAnsi" w:hAnsiTheme="minorHAnsi"/>
                <w:b/>
              </w:rPr>
            </w:pPr>
            <w:r w:rsidRPr="00594C9D">
              <w:rPr>
                <w:rFonts w:asciiTheme="minorHAnsi" w:hAnsiTheme="minorHAnsi"/>
                <w:b/>
              </w:rPr>
              <w:t xml:space="preserve">Suspected AMAE -  antibody results not available or sero-negative AMAE or sero negative limbic encephalitis </w:t>
            </w:r>
          </w:p>
          <w:p w:rsidR="000D1DE1" w:rsidRPr="00156033" w:rsidRDefault="006452D5" w:rsidP="00156033">
            <w:pPr>
              <w:spacing w:before="100" w:beforeAutospacing="1"/>
              <w:rPr>
                <w:rFonts w:asciiTheme="minorHAnsi" w:hAnsiTheme="minorHAnsi"/>
                <w:b/>
              </w:rPr>
            </w:pPr>
            <w:r w:rsidRPr="00156033">
              <w:rPr>
                <w:rFonts w:asciiTheme="minorHAnsi" w:hAnsiTheme="minorHAnsi"/>
              </w:rPr>
              <w:t>[Group1]</w:t>
            </w:r>
            <w:r w:rsidR="0089229C">
              <w:rPr>
                <w:rFonts w:asciiTheme="minorHAnsi" w:hAnsiTheme="minorHAnsi"/>
              </w:rPr>
              <w:t xml:space="preserve"> </w:t>
            </w:r>
          </w:p>
          <w:p w:rsidR="000D1DE1" w:rsidRDefault="000D1DE1" w:rsidP="000B5187">
            <w:pPr>
              <w:pStyle w:val="ListParagraph"/>
              <w:numPr>
                <w:ilvl w:val="0"/>
                <w:numId w:val="48"/>
              </w:numPr>
              <w:spacing w:before="100" w:beforeAutospacing="1"/>
              <w:rPr>
                <w:rFonts w:asciiTheme="minorHAnsi" w:hAnsiTheme="minorHAnsi"/>
              </w:rPr>
            </w:pPr>
            <w:r w:rsidRPr="00594C9D">
              <w:rPr>
                <w:rFonts w:asciiTheme="minorHAnsi" w:hAnsiTheme="minorHAnsi"/>
              </w:rPr>
              <w:t>Sero negative encephalitis or antibody results not yet available</w:t>
            </w:r>
          </w:p>
          <w:p w:rsidR="008777E9" w:rsidRPr="000B5187" w:rsidRDefault="008777E9" w:rsidP="00156033">
            <w:pPr>
              <w:pStyle w:val="ListParagraph"/>
              <w:spacing w:before="100" w:beforeAutospacing="1"/>
              <w:rPr>
                <w:rFonts w:asciiTheme="minorHAnsi" w:hAnsiTheme="minorHAnsi"/>
              </w:rPr>
            </w:pPr>
          </w:p>
          <w:p w:rsidR="000D1DE1" w:rsidRDefault="000D1DE1" w:rsidP="00156033">
            <w:pPr>
              <w:pStyle w:val="ListParagraph"/>
              <w:spacing w:before="100" w:beforeAutospacing="1"/>
              <w:ind w:left="0"/>
              <w:rPr>
                <w:rFonts w:asciiTheme="minorHAnsi" w:hAnsiTheme="minorHAnsi"/>
              </w:rPr>
            </w:pPr>
            <w:r w:rsidRPr="00156033">
              <w:rPr>
                <w:rFonts w:asciiTheme="minorHAnsi" w:hAnsiTheme="minorHAnsi"/>
                <w:b/>
                <w:u w:val="single"/>
              </w:rPr>
              <w:t>AND</w:t>
            </w:r>
            <w:r w:rsidR="0089229C">
              <w:rPr>
                <w:rFonts w:asciiTheme="minorHAnsi" w:hAnsiTheme="minorHAnsi"/>
              </w:rPr>
              <w:t xml:space="preserve"> [meets criteria in either 2a OR 2b OR 2c)</w:t>
            </w:r>
          </w:p>
          <w:p w:rsidR="006452D5" w:rsidRPr="00156033" w:rsidRDefault="006452D5" w:rsidP="00156033">
            <w:pPr>
              <w:spacing w:before="100" w:beforeAutospacing="1"/>
              <w:rPr>
                <w:rFonts w:asciiTheme="minorHAnsi" w:hAnsiTheme="minorHAnsi"/>
              </w:rPr>
            </w:pPr>
            <w:r w:rsidRPr="00156033">
              <w:rPr>
                <w:rFonts w:asciiTheme="minorHAnsi" w:hAnsiTheme="minorHAnsi"/>
              </w:rPr>
              <w:t>[Group 2]</w:t>
            </w:r>
          </w:p>
          <w:p w:rsidR="006452D5" w:rsidRDefault="0089229C" w:rsidP="000D1DE1">
            <w:pPr>
              <w:pStyle w:val="ListParagraph"/>
              <w:spacing w:before="100" w:beforeAutospacing="1"/>
              <w:ind w:left="176"/>
              <w:rPr>
                <w:rFonts w:asciiTheme="minorHAnsi" w:hAnsiTheme="minorHAnsi"/>
              </w:rPr>
            </w:pPr>
            <w:r>
              <w:rPr>
                <w:rFonts w:asciiTheme="minorHAnsi" w:hAnsiTheme="minorHAnsi"/>
              </w:rPr>
              <w:t xml:space="preserve">  </w:t>
            </w:r>
            <w:r w:rsidR="00793AB7">
              <w:rPr>
                <w:rFonts w:asciiTheme="minorHAnsi" w:hAnsiTheme="minorHAnsi"/>
              </w:rPr>
              <w:t>[Group 2a]</w:t>
            </w:r>
          </w:p>
          <w:p w:rsidR="000D1DE1" w:rsidRPr="00594C9D" w:rsidRDefault="000D1DE1" w:rsidP="000D1DE1">
            <w:pPr>
              <w:pStyle w:val="ListParagraph"/>
              <w:numPr>
                <w:ilvl w:val="0"/>
                <w:numId w:val="48"/>
              </w:numPr>
              <w:spacing w:before="100" w:beforeAutospacing="1"/>
              <w:rPr>
                <w:rFonts w:asciiTheme="minorHAnsi" w:hAnsiTheme="minorHAnsi"/>
              </w:rPr>
            </w:pPr>
            <w:r w:rsidRPr="00594C9D">
              <w:rPr>
                <w:rFonts w:asciiTheme="minorHAnsi" w:hAnsiTheme="minorHAnsi"/>
              </w:rPr>
              <w:t xml:space="preserve">Probable AMAE with a rapid onset over less than three months of at least four symptom groups from:  </w:t>
            </w:r>
          </w:p>
          <w:p w:rsidR="000D1DE1" w:rsidRPr="00594C9D" w:rsidRDefault="000D1DE1" w:rsidP="00CD733F">
            <w:pPr>
              <w:pStyle w:val="ListParagraph"/>
              <w:spacing w:before="100" w:beforeAutospacing="1"/>
              <w:ind w:left="672" w:hanging="496"/>
              <w:rPr>
                <w:rFonts w:asciiTheme="minorHAnsi" w:hAnsiTheme="minorHAnsi"/>
              </w:rPr>
            </w:pPr>
            <w:r w:rsidRPr="00594C9D">
              <w:rPr>
                <w:rFonts w:asciiTheme="minorHAnsi" w:hAnsiTheme="minorHAnsi"/>
              </w:rPr>
              <w:t>-</w:t>
            </w:r>
            <w:r w:rsidRPr="00594C9D">
              <w:rPr>
                <w:rFonts w:asciiTheme="minorHAnsi" w:hAnsiTheme="minorHAnsi"/>
              </w:rPr>
              <w:tab/>
              <w:t xml:space="preserve">abnormal (psychiatric) behaviour / cognitive dysfunction, </w:t>
            </w:r>
          </w:p>
          <w:p w:rsidR="000D1DE1" w:rsidRPr="00594C9D" w:rsidRDefault="000D1DE1" w:rsidP="000D1DE1">
            <w:pPr>
              <w:pStyle w:val="ListParagraph"/>
              <w:spacing w:before="100" w:beforeAutospacing="1"/>
              <w:ind w:left="176"/>
              <w:rPr>
                <w:rFonts w:asciiTheme="minorHAnsi" w:hAnsiTheme="minorHAnsi"/>
              </w:rPr>
            </w:pPr>
            <w:r w:rsidRPr="00594C9D">
              <w:rPr>
                <w:rFonts w:asciiTheme="minorHAnsi" w:hAnsiTheme="minorHAnsi"/>
              </w:rPr>
              <w:t>-</w:t>
            </w:r>
            <w:r w:rsidRPr="00594C9D">
              <w:rPr>
                <w:rFonts w:asciiTheme="minorHAnsi" w:hAnsiTheme="minorHAnsi"/>
              </w:rPr>
              <w:tab/>
              <w:t xml:space="preserve">speech dysfunction, </w:t>
            </w:r>
          </w:p>
          <w:p w:rsidR="000D1DE1" w:rsidRPr="00594C9D" w:rsidRDefault="000D1DE1" w:rsidP="000D1DE1">
            <w:pPr>
              <w:pStyle w:val="ListParagraph"/>
              <w:spacing w:before="100" w:beforeAutospacing="1"/>
              <w:ind w:left="176"/>
              <w:rPr>
                <w:rFonts w:asciiTheme="minorHAnsi" w:hAnsiTheme="minorHAnsi"/>
              </w:rPr>
            </w:pPr>
            <w:r w:rsidRPr="00594C9D">
              <w:rPr>
                <w:rFonts w:asciiTheme="minorHAnsi" w:hAnsiTheme="minorHAnsi"/>
              </w:rPr>
              <w:t>-</w:t>
            </w:r>
            <w:r w:rsidRPr="00594C9D">
              <w:rPr>
                <w:rFonts w:asciiTheme="minorHAnsi" w:hAnsiTheme="minorHAnsi"/>
              </w:rPr>
              <w:tab/>
              <w:t xml:space="preserve">seizures, </w:t>
            </w:r>
          </w:p>
          <w:p w:rsidR="000D1DE1" w:rsidRPr="00594C9D" w:rsidRDefault="000D1DE1" w:rsidP="000D1DE1">
            <w:pPr>
              <w:pStyle w:val="ListParagraph"/>
              <w:spacing w:before="100" w:beforeAutospacing="1"/>
              <w:ind w:left="176"/>
              <w:rPr>
                <w:rFonts w:asciiTheme="minorHAnsi" w:hAnsiTheme="minorHAnsi"/>
              </w:rPr>
            </w:pPr>
            <w:r w:rsidRPr="00594C9D">
              <w:rPr>
                <w:rFonts w:asciiTheme="minorHAnsi" w:hAnsiTheme="minorHAnsi"/>
              </w:rPr>
              <w:t>-</w:t>
            </w:r>
            <w:r w:rsidRPr="00594C9D">
              <w:rPr>
                <w:rFonts w:asciiTheme="minorHAnsi" w:hAnsiTheme="minorHAnsi"/>
              </w:rPr>
              <w:tab/>
              <w:t xml:space="preserve">movement disorders; </w:t>
            </w:r>
          </w:p>
          <w:p w:rsidR="000D1DE1" w:rsidRPr="00594C9D" w:rsidRDefault="000D1DE1" w:rsidP="000D1DE1">
            <w:pPr>
              <w:pStyle w:val="ListParagraph"/>
              <w:spacing w:before="100" w:beforeAutospacing="1"/>
              <w:ind w:left="176"/>
              <w:rPr>
                <w:rFonts w:asciiTheme="minorHAnsi" w:hAnsiTheme="minorHAnsi"/>
              </w:rPr>
            </w:pPr>
            <w:r w:rsidRPr="00594C9D">
              <w:rPr>
                <w:rFonts w:asciiTheme="minorHAnsi" w:hAnsiTheme="minorHAnsi"/>
              </w:rPr>
              <w:lastRenderedPageBreak/>
              <w:t>-</w:t>
            </w:r>
            <w:r w:rsidRPr="00594C9D">
              <w:rPr>
                <w:rFonts w:asciiTheme="minorHAnsi" w:hAnsiTheme="minorHAnsi"/>
              </w:rPr>
              <w:tab/>
              <w:t xml:space="preserve">a decreased level of consciousness  </w:t>
            </w:r>
          </w:p>
          <w:p w:rsidR="000D1DE1" w:rsidRPr="00594C9D" w:rsidRDefault="000D1DE1" w:rsidP="000D1DE1">
            <w:pPr>
              <w:pStyle w:val="ListParagraph"/>
              <w:spacing w:before="100" w:beforeAutospacing="1"/>
              <w:ind w:left="176"/>
              <w:rPr>
                <w:rFonts w:asciiTheme="minorHAnsi" w:hAnsiTheme="minorHAnsi"/>
              </w:rPr>
            </w:pPr>
            <w:r w:rsidRPr="00594C9D">
              <w:rPr>
                <w:rFonts w:asciiTheme="minorHAnsi" w:hAnsiTheme="minorHAnsi"/>
              </w:rPr>
              <w:t>-</w:t>
            </w:r>
            <w:r w:rsidRPr="00594C9D">
              <w:rPr>
                <w:rFonts w:asciiTheme="minorHAnsi" w:hAnsiTheme="minorHAnsi"/>
              </w:rPr>
              <w:tab/>
              <w:t xml:space="preserve">autonomic dysfunction / central hypoventilation </w:t>
            </w:r>
          </w:p>
          <w:p w:rsidR="000D1DE1" w:rsidRDefault="000D1DE1" w:rsidP="00156033">
            <w:pPr>
              <w:pStyle w:val="ListParagraph"/>
              <w:spacing w:before="100" w:beforeAutospacing="1" w:after="120"/>
              <w:ind w:left="176"/>
              <w:rPr>
                <w:rFonts w:asciiTheme="minorHAnsi" w:hAnsiTheme="minorHAnsi"/>
              </w:rPr>
            </w:pPr>
            <w:r w:rsidRPr="00594C9D">
              <w:rPr>
                <w:rFonts w:asciiTheme="minorHAnsi" w:hAnsiTheme="minorHAnsi"/>
              </w:rPr>
              <w:t>-</w:t>
            </w:r>
            <w:r w:rsidRPr="00594C9D">
              <w:rPr>
                <w:rFonts w:asciiTheme="minorHAnsi" w:hAnsiTheme="minorHAnsi"/>
              </w:rPr>
              <w:tab/>
              <w:t>presence of a systemic teratoma</w:t>
            </w:r>
          </w:p>
          <w:p w:rsidR="000D1DE1" w:rsidRPr="00594C9D" w:rsidRDefault="000D1DE1" w:rsidP="00156033">
            <w:pPr>
              <w:pStyle w:val="ListParagraph"/>
              <w:spacing w:before="100" w:beforeAutospacing="1"/>
              <w:ind w:left="794"/>
              <w:jc w:val="center"/>
              <w:rPr>
                <w:rFonts w:asciiTheme="minorHAnsi" w:hAnsiTheme="minorHAnsi"/>
              </w:rPr>
            </w:pPr>
            <w:r w:rsidRPr="00594C9D">
              <w:rPr>
                <w:rFonts w:asciiTheme="minorHAnsi" w:hAnsiTheme="minorHAnsi"/>
              </w:rPr>
              <w:t>AND</w:t>
            </w:r>
          </w:p>
          <w:p w:rsidR="000D1DE1" w:rsidRPr="000B5187" w:rsidRDefault="000D1DE1" w:rsidP="00156033">
            <w:pPr>
              <w:pStyle w:val="ListParagraph"/>
              <w:numPr>
                <w:ilvl w:val="0"/>
                <w:numId w:val="48"/>
              </w:numPr>
              <w:spacing w:before="120"/>
              <w:rPr>
                <w:rFonts w:asciiTheme="minorHAnsi" w:hAnsiTheme="minorHAnsi"/>
              </w:rPr>
            </w:pPr>
            <w:r w:rsidRPr="00594C9D">
              <w:rPr>
                <w:rFonts w:asciiTheme="minorHAnsi" w:hAnsiTheme="minorHAnsi"/>
              </w:rPr>
              <w:t xml:space="preserve">Abnormal EEG or MRI or CSF consistent with encephalitis  </w:t>
            </w:r>
          </w:p>
          <w:p w:rsidR="000D1DE1" w:rsidRDefault="000D1DE1" w:rsidP="00156033">
            <w:pPr>
              <w:pStyle w:val="ListParagraph"/>
              <w:spacing w:before="100" w:beforeAutospacing="1"/>
              <w:ind w:left="369"/>
              <w:rPr>
                <w:rFonts w:asciiTheme="minorHAnsi" w:hAnsiTheme="minorHAnsi"/>
              </w:rPr>
            </w:pPr>
            <w:r w:rsidRPr="00594C9D">
              <w:rPr>
                <w:rFonts w:asciiTheme="minorHAnsi" w:hAnsiTheme="minorHAnsi"/>
              </w:rPr>
              <w:t>OR</w:t>
            </w:r>
          </w:p>
          <w:p w:rsidR="0089229C" w:rsidRDefault="0089229C" w:rsidP="00913C76">
            <w:pPr>
              <w:pStyle w:val="ListParagraph"/>
              <w:spacing w:before="100" w:beforeAutospacing="1"/>
              <w:ind w:left="34"/>
              <w:rPr>
                <w:rFonts w:asciiTheme="minorHAnsi" w:hAnsiTheme="minorHAnsi"/>
              </w:rPr>
            </w:pPr>
          </w:p>
          <w:p w:rsidR="00793AB7" w:rsidRPr="00594C9D" w:rsidRDefault="0089229C" w:rsidP="000D1DE1">
            <w:pPr>
              <w:pStyle w:val="ListParagraph"/>
              <w:spacing w:before="100" w:beforeAutospacing="1"/>
              <w:ind w:left="34"/>
              <w:rPr>
                <w:rFonts w:asciiTheme="minorHAnsi" w:hAnsiTheme="minorHAnsi"/>
              </w:rPr>
            </w:pPr>
            <w:r>
              <w:rPr>
                <w:rFonts w:asciiTheme="minorHAnsi" w:hAnsiTheme="minorHAnsi"/>
              </w:rPr>
              <w:t xml:space="preserve">      </w:t>
            </w:r>
            <w:r w:rsidR="00793AB7">
              <w:rPr>
                <w:rFonts w:asciiTheme="minorHAnsi" w:hAnsiTheme="minorHAnsi"/>
              </w:rPr>
              <w:t>[Group 2b]</w:t>
            </w:r>
          </w:p>
          <w:p w:rsidR="000B5187" w:rsidRDefault="000D1DE1" w:rsidP="000B5187">
            <w:pPr>
              <w:pStyle w:val="ListParagraph"/>
              <w:numPr>
                <w:ilvl w:val="0"/>
                <w:numId w:val="48"/>
              </w:numPr>
              <w:spacing w:before="100" w:beforeAutospacing="1"/>
              <w:rPr>
                <w:rFonts w:asciiTheme="minorHAnsi" w:hAnsiTheme="minorHAnsi"/>
              </w:rPr>
            </w:pPr>
            <w:r w:rsidRPr="00594C9D">
              <w:rPr>
                <w:rFonts w:asciiTheme="minorHAnsi" w:hAnsiTheme="minorHAnsi"/>
              </w:rPr>
              <w:t>Probable limbic encephalitis with rapid onset over less than 3 months of working memory deficits (short term memory loss), altered mental status or psychiatric symptoms</w:t>
            </w:r>
          </w:p>
          <w:p w:rsidR="000D1DE1" w:rsidRPr="000B5187" w:rsidRDefault="000D1DE1" w:rsidP="00913C76">
            <w:pPr>
              <w:pStyle w:val="ListParagraph"/>
              <w:spacing w:before="100" w:beforeAutospacing="1"/>
              <w:jc w:val="center"/>
              <w:rPr>
                <w:rFonts w:asciiTheme="minorHAnsi" w:hAnsiTheme="minorHAnsi"/>
              </w:rPr>
            </w:pPr>
            <w:r w:rsidRPr="000B5187">
              <w:rPr>
                <w:rFonts w:asciiTheme="minorHAnsi" w:hAnsiTheme="minorHAnsi"/>
              </w:rPr>
              <w:t>AND</w:t>
            </w:r>
          </w:p>
          <w:p w:rsidR="000B5187" w:rsidRDefault="000D1DE1" w:rsidP="000B5187">
            <w:pPr>
              <w:pStyle w:val="ListParagraph"/>
              <w:numPr>
                <w:ilvl w:val="0"/>
                <w:numId w:val="48"/>
              </w:numPr>
              <w:spacing w:before="100" w:beforeAutospacing="1"/>
              <w:rPr>
                <w:rFonts w:asciiTheme="minorHAnsi" w:hAnsiTheme="minorHAnsi"/>
              </w:rPr>
            </w:pPr>
            <w:r w:rsidRPr="00594C9D">
              <w:rPr>
                <w:rFonts w:asciiTheme="minorHAnsi" w:hAnsiTheme="minorHAnsi"/>
              </w:rPr>
              <w:t>Bilateral brain abnormalities on MRI suggestive of encephalitis with CSF pleocytosis and/or EEG abnormalities</w:t>
            </w:r>
          </w:p>
          <w:p w:rsidR="0089229C" w:rsidRDefault="0089229C" w:rsidP="00913C76">
            <w:pPr>
              <w:pStyle w:val="ListParagraph"/>
              <w:spacing w:before="100" w:beforeAutospacing="1"/>
              <w:ind w:left="85"/>
              <w:rPr>
                <w:rFonts w:asciiTheme="minorHAnsi" w:hAnsiTheme="minorHAnsi"/>
              </w:rPr>
            </w:pPr>
            <w:r>
              <w:rPr>
                <w:rFonts w:asciiTheme="minorHAnsi" w:hAnsiTheme="minorHAnsi"/>
              </w:rPr>
              <w:t xml:space="preserve">     </w:t>
            </w:r>
          </w:p>
          <w:p w:rsidR="000D1DE1" w:rsidRDefault="000D1DE1" w:rsidP="00156033">
            <w:pPr>
              <w:pStyle w:val="ListParagraph"/>
              <w:spacing w:before="100" w:beforeAutospacing="1"/>
              <w:ind w:left="369"/>
              <w:rPr>
                <w:rFonts w:asciiTheme="minorHAnsi" w:hAnsiTheme="minorHAnsi"/>
              </w:rPr>
            </w:pPr>
            <w:r w:rsidRPr="000B5187">
              <w:rPr>
                <w:rFonts w:asciiTheme="minorHAnsi" w:hAnsiTheme="minorHAnsi"/>
              </w:rPr>
              <w:t>OR</w:t>
            </w:r>
          </w:p>
          <w:p w:rsidR="0089229C" w:rsidRDefault="0089229C" w:rsidP="000B5187">
            <w:pPr>
              <w:pStyle w:val="ListParagraph"/>
              <w:spacing w:before="100" w:beforeAutospacing="1"/>
              <w:ind w:left="85"/>
              <w:rPr>
                <w:rFonts w:asciiTheme="minorHAnsi" w:hAnsiTheme="minorHAnsi"/>
              </w:rPr>
            </w:pPr>
            <w:r>
              <w:rPr>
                <w:rFonts w:asciiTheme="minorHAnsi" w:hAnsiTheme="minorHAnsi"/>
              </w:rPr>
              <w:t xml:space="preserve">     </w:t>
            </w:r>
          </w:p>
          <w:p w:rsidR="00793AB7" w:rsidRPr="000B5187" w:rsidRDefault="00793AB7" w:rsidP="000B5187">
            <w:pPr>
              <w:pStyle w:val="ListParagraph"/>
              <w:spacing w:before="100" w:beforeAutospacing="1"/>
              <w:ind w:left="85"/>
              <w:rPr>
                <w:rFonts w:asciiTheme="minorHAnsi" w:hAnsiTheme="minorHAnsi"/>
              </w:rPr>
            </w:pPr>
            <w:r>
              <w:rPr>
                <w:rFonts w:asciiTheme="minorHAnsi" w:hAnsiTheme="minorHAnsi"/>
              </w:rPr>
              <w:t>[Group 2c]</w:t>
            </w:r>
          </w:p>
          <w:p w:rsidR="000D1DE1" w:rsidRPr="000B5187" w:rsidRDefault="000D1DE1" w:rsidP="000D1DE1">
            <w:pPr>
              <w:pStyle w:val="ListParagraph"/>
              <w:numPr>
                <w:ilvl w:val="0"/>
                <w:numId w:val="48"/>
              </w:numPr>
              <w:spacing w:before="100" w:beforeAutospacing="1"/>
              <w:rPr>
                <w:rFonts w:asciiTheme="minorHAnsi" w:hAnsiTheme="minorHAnsi"/>
              </w:rPr>
            </w:pPr>
            <w:r w:rsidRPr="00594C9D">
              <w:rPr>
                <w:rFonts w:asciiTheme="minorHAnsi" w:hAnsiTheme="minorHAnsi"/>
              </w:rPr>
              <w:t>Possible autoimmune encephalitis with rapid onset of less than three months of working memory deficits (short term memory loss), altered mental status  or psychiatric symptoms</w:t>
            </w:r>
          </w:p>
          <w:p w:rsidR="000D1DE1" w:rsidRPr="00594C9D" w:rsidRDefault="000D1DE1" w:rsidP="00156033">
            <w:pPr>
              <w:pStyle w:val="ListParagraph"/>
              <w:spacing w:before="100" w:beforeAutospacing="1"/>
              <w:ind w:left="652"/>
              <w:jc w:val="center"/>
              <w:rPr>
                <w:rFonts w:asciiTheme="minorHAnsi" w:hAnsiTheme="minorHAnsi"/>
              </w:rPr>
            </w:pPr>
            <w:r w:rsidRPr="00594C9D">
              <w:rPr>
                <w:rFonts w:asciiTheme="minorHAnsi" w:hAnsiTheme="minorHAnsi"/>
              </w:rPr>
              <w:t>AND</w:t>
            </w:r>
          </w:p>
          <w:p w:rsidR="000D1DE1" w:rsidRPr="000B5187" w:rsidRDefault="000D1DE1" w:rsidP="000D1DE1">
            <w:pPr>
              <w:pStyle w:val="ListParagraph"/>
              <w:numPr>
                <w:ilvl w:val="0"/>
                <w:numId w:val="48"/>
              </w:numPr>
              <w:spacing w:before="100" w:beforeAutospacing="1"/>
              <w:rPr>
                <w:rFonts w:asciiTheme="minorHAnsi" w:hAnsiTheme="minorHAnsi"/>
              </w:rPr>
            </w:pPr>
            <w:r w:rsidRPr="00594C9D">
              <w:rPr>
                <w:rFonts w:asciiTheme="minorHAnsi" w:hAnsiTheme="minorHAnsi"/>
              </w:rPr>
              <w:t>At least one of new focal CNS findings or seizures</w:t>
            </w:r>
          </w:p>
          <w:p w:rsidR="000D1DE1" w:rsidRDefault="000D1DE1" w:rsidP="00156033">
            <w:pPr>
              <w:pStyle w:val="ListParagraph"/>
              <w:spacing w:before="100" w:beforeAutospacing="1"/>
              <w:ind w:left="652"/>
              <w:jc w:val="center"/>
              <w:rPr>
                <w:rFonts w:asciiTheme="minorHAnsi" w:hAnsiTheme="minorHAnsi"/>
              </w:rPr>
            </w:pPr>
            <w:r w:rsidRPr="00594C9D">
              <w:rPr>
                <w:rFonts w:asciiTheme="minorHAnsi" w:hAnsiTheme="minorHAnsi"/>
              </w:rPr>
              <w:t>AND</w:t>
            </w:r>
          </w:p>
          <w:p w:rsidR="000D1DE1" w:rsidRDefault="000D1DE1" w:rsidP="000D1DE1">
            <w:pPr>
              <w:pStyle w:val="ListParagraph"/>
              <w:numPr>
                <w:ilvl w:val="0"/>
                <w:numId w:val="48"/>
              </w:numPr>
              <w:spacing w:before="100" w:beforeAutospacing="1"/>
              <w:rPr>
                <w:rFonts w:asciiTheme="minorHAnsi" w:hAnsiTheme="minorHAnsi"/>
              </w:rPr>
            </w:pPr>
            <w:r w:rsidRPr="00594C9D">
              <w:rPr>
                <w:rFonts w:asciiTheme="minorHAnsi" w:hAnsiTheme="minorHAnsi"/>
              </w:rPr>
              <w:t>At least one of abnormal CSF or MRI features suggestive of encephalitis</w:t>
            </w:r>
          </w:p>
          <w:p w:rsidR="00621F0A" w:rsidRDefault="00621F0A" w:rsidP="00621F0A">
            <w:pPr>
              <w:pStyle w:val="ListParagraph"/>
              <w:spacing w:before="100" w:beforeAutospacing="1"/>
              <w:rPr>
                <w:rFonts w:asciiTheme="minorHAnsi" w:hAnsiTheme="minorHAnsi"/>
              </w:rPr>
            </w:pPr>
          </w:p>
          <w:p w:rsidR="000D1DE1" w:rsidRDefault="000D1DE1" w:rsidP="00156033">
            <w:pPr>
              <w:pStyle w:val="ListParagraph"/>
              <w:spacing w:before="100" w:beforeAutospacing="1"/>
              <w:ind w:left="0"/>
              <w:rPr>
                <w:rFonts w:asciiTheme="minorHAnsi" w:hAnsiTheme="minorHAnsi"/>
              </w:rPr>
            </w:pPr>
            <w:r w:rsidRPr="00156033">
              <w:rPr>
                <w:rFonts w:asciiTheme="minorHAnsi" w:hAnsiTheme="minorHAnsi"/>
                <w:b/>
                <w:u w:val="single"/>
              </w:rPr>
              <w:lastRenderedPageBreak/>
              <w:t>AND</w:t>
            </w:r>
            <w:r w:rsidR="0089229C">
              <w:rPr>
                <w:rFonts w:asciiTheme="minorHAnsi" w:hAnsiTheme="minorHAnsi"/>
              </w:rPr>
              <w:t xml:space="preserve"> [meets all criteria in Group 3]</w:t>
            </w:r>
          </w:p>
          <w:p w:rsidR="0089229C" w:rsidRDefault="0089229C">
            <w:pPr>
              <w:pStyle w:val="ListParagraph"/>
              <w:spacing w:before="100" w:beforeAutospacing="1"/>
              <w:ind w:left="85"/>
              <w:rPr>
                <w:rFonts w:asciiTheme="minorHAnsi" w:hAnsiTheme="minorHAnsi"/>
              </w:rPr>
            </w:pPr>
          </w:p>
          <w:p w:rsidR="006452D5" w:rsidRPr="00700139" w:rsidRDefault="006452D5" w:rsidP="006452D5">
            <w:pPr>
              <w:pStyle w:val="ListParagraph"/>
              <w:spacing w:before="100" w:beforeAutospacing="1"/>
              <w:ind w:left="85"/>
              <w:rPr>
                <w:rFonts w:asciiTheme="minorHAnsi" w:hAnsiTheme="minorHAnsi"/>
              </w:rPr>
            </w:pPr>
            <w:r>
              <w:rPr>
                <w:rFonts w:asciiTheme="minorHAnsi" w:hAnsiTheme="minorHAnsi"/>
              </w:rPr>
              <w:t>[Group 3]</w:t>
            </w:r>
          </w:p>
          <w:p w:rsidR="006452D5" w:rsidRPr="00594C9D" w:rsidRDefault="006452D5" w:rsidP="000B5187">
            <w:pPr>
              <w:pStyle w:val="ListParagraph"/>
              <w:spacing w:before="100" w:beforeAutospacing="1"/>
              <w:ind w:left="85"/>
              <w:rPr>
                <w:rFonts w:asciiTheme="minorHAnsi" w:hAnsiTheme="minorHAnsi"/>
              </w:rPr>
            </w:pPr>
          </w:p>
          <w:p w:rsidR="000D1DE1" w:rsidRDefault="000D1DE1" w:rsidP="000D1DE1">
            <w:pPr>
              <w:pStyle w:val="ListParagraph"/>
              <w:numPr>
                <w:ilvl w:val="0"/>
                <w:numId w:val="48"/>
              </w:numPr>
              <w:spacing w:before="100" w:beforeAutospacing="1"/>
              <w:rPr>
                <w:rFonts w:asciiTheme="minorHAnsi" w:hAnsiTheme="minorHAnsi"/>
              </w:rPr>
            </w:pPr>
            <w:r w:rsidRPr="00594C9D">
              <w:rPr>
                <w:rFonts w:asciiTheme="minorHAnsi" w:hAnsiTheme="minorHAnsi"/>
              </w:rPr>
              <w:t>Alternative causes have been reasonably excluded</w:t>
            </w:r>
          </w:p>
          <w:p w:rsidR="00191734" w:rsidRPr="00594C9D" w:rsidRDefault="000D1DE1" w:rsidP="00156033">
            <w:pPr>
              <w:pStyle w:val="ListParagraph"/>
              <w:spacing w:before="100" w:beforeAutospacing="1"/>
              <w:ind w:left="652"/>
              <w:jc w:val="center"/>
              <w:rPr>
                <w:rFonts w:asciiTheme="minorHAnsi" w:hAnsiTheme="minorHAnsi"/>
              </w:rPr>
            </w:pPr>
            <w:r w:rsidRPr="00594C9D">
              <w:rPr>
                <w:rFonts w:asciiTheme="minorHAnsi" w:hAnsiTheme="minorHAnsi"/>
              </w:rPr>
              <w:t>AND</w:t>
            </w:r>
          </w:p>
          <w:p w:rsidR="00745A26" w:rsidRPr="000B5187" w:rsidRDefault="000D1DE1" w:rsidP="00DC3758">
            <w:pPr>
              <w:pStyle w:val="ListParagraph"/>
              <w:numPr>
                <w:ilvl w:val="0"/>
                <w:numId w:val="48"/>
              </w:numPr>
              <w:spacing w:before="100" w:beforeAutospacing="1"/>
              <w:rPr>
                <w:rFonts w:asciiTheme="minorHAnsi" w:hAnsiTheme="minorHAnsi"/>
              </w:rPr>
            </w:pPr>
            <w:r w:rsidRPr="00594C9D">
              <w:rPr>
                <w:rFonts w:asciiTheme="minorHAnsi" w:hAnsiTheme="minorHAnsi"/>
              </w:rPr>
              <w:t>Disability as measured by the Modified Rankin Score to a value of at least 2 points.</w:t>
            </w:r>
          </w:p>
        </w:tc>
        <w:tc>
          <w:tcPr>
            <w:tcW w:w="3254" w:type="dxa"/>
          </w:tcPr>
          <w:p w:rsidR="000D1DE1" w:rsidRPr="008272A8" w:rsidRDefault="000D1DE1" w:rsidP="00B44815">
            <w:pPr>
              <w:spacing w:after="120"/>
              <w:rPr>
                <w:szCs w:val="20"/>
              </w:rPr>
            </w:pPr>
            <w:r w:rsidRPr="008272A8">
              <w:rPr>
                <w:szCs w:val="20"/>
              </w:rPr>
              <w:lastRenderedPageBreak/>
              <w:t xml:space="preserve">Given that the symptoms vary with the antibody target, a description of the relevant </w:t>
            </w:r>
            <w:r w:rsidRPr="008272A8">
              <w:rPr>
                <w:szCs w:val="20"/>
              </w:rPr>
              <w:lastRenderedPageBreak/>
              <w:t>symptoms for each patient will be captured together with a baseline assessment using the Modified Rankin Score</w:t>
            </w:r>
            <w:r w:rsidR="0088600C">
              <w:rPr>
                <w:szCs w:val="20"/>
              </w:rPr>
              <w:t xml:space="preserve"> as the standard method across all patients. The rating scale being applied is</w:t>
            </w:r>
            <w:r w:rsidRPr="008272A8">
              <w:rPr>
                <w:szCs w:val="20"/>
              </w:rPr>
              <w:t xml:space="preserve">: </w:t>
            </w:r>
          </w:p>
          <w:p w:rsidR="000D1DE1" w:rsidRPr="008272A8" w:rsidRDefault="000D1DE1" w:rsidP="00DC3758">
            <w:pPr>
              <w:ind w:left="332"/>
              <w:rPr>
                <w:szCs w:val="20"/>
              </w:rPr>
            </w:pPr>
            <w:r w:rsidRPr="008272A8">
              <w:rPr>
                <w:szCs w:val="20"/>
              </w:rPr>
              <w:t>0 - No symptoms at all</w:t>
            </w:r>
          </w:p>
          <w:p w:rsidR="000D1DE1" w:rsidRPr="008272A8" w:rsidRDefault="000D1DE1" w:rsidP="00DC3758">
            <w:pPr>
              <w:ind w:left="332"/>
              <w:rPr>
                <w:szCs w:val="20"/>
              </w:rPr>
            </w:pPr>
            <w:r w:rsidRPr="008272A8">
              <w:rPr>
                <w:szCs w:val="20"/>
              </w:rPr>
              <w:t>1  - No significant disability despite symptoms; able to carry out all usual duties and activities</w:t>
            </w:r>
          </w:p>
          <w:p w:rsidR="000D1DE1" w:rsidRPr="008272A8" w:rsidRDefault="000D1DE1" w:rsidP="00DC3758">
            <w:pPr>
              <w:ind w:left="332"/>
              <w:rPr>
                <w:szCs w:val="20"/>
              </w:rPr>
            </w:pPr>
            <w:r w:rsidRPr="008272A8">
              <w:rPr>
                <w:szCs w:val="20"/>
              </w:rPr>
              <w:t>2  - Slight disability; unable to carry out all previous activities, but able to look after own affairs without assistance</w:t>
            </w:r>
          </w:p>
          <w:p w:rsidR="000D1DE1" w:rsidRPr="008272A8" w:rsidRDefault="000D1DE1" w:rsidP="00DC3758">
            <w:pPr>
              <w:ind w:left="332"/>
              <w:rPr>
                <w:szCs w:val="20"/>
              </w:rPr>
            </w:pPr>
            <w:r w:rsidRPr="008272A8">
              <w:rPr>
                <w:szCs w:val="20"/>
              </w:rPr>
              <w:t>3  - Moderate disability; requiring some help, but able to walk without assistance</w:t>
            </w:r>
          </w:p>
          <w:p w:rsidR="000D1DE1" w:rsidRPr="008272A8" w:rsidRDefault="000D1DE1" w:rsidP="00DC3758">
            <w:pPr>
              <w:ind w:left="332"/>
              <w:rPr>
                <w:szCs w:val="20"/>
              </w:rPr>
            </w:pPr>
            <w:r w:rsidRPr="008272A8">
              <w:rPr>
                <w:szCs w:val="20"/>
              </w:rPr>
              <w:t>4  - Moderately severe disability; unable to walk without assistance and unable to attend to own bodily</w:t>
            </w:r>
          </w:p>
          <w:p w:rsidR="000D1DE1" w:rsidRPr="008272A8" w:rsidRDefault="000D1DE1" w:rsidP="00DC3758">
            <w:pPr>
              <w:ind w:left="332"/>
              <w:rPr>
                <w:szCs w:val="20"/>
              </w:rPr>
            </w:pPr>
            <w:r w:rsidRPr="008272A8">
              <w:rPr>
                <w:szCs w:val="20"/>
              </w:rPr>
              <w:t>needs without assistance</w:t>
            </w:r>
          </w:p>
          <w:p w:rsidR="000D1DE1" w:rsidRPr="008272A8" w:rsidRDefault="000D1DE1" w:rsidP="00DC3758">
            <w:pPr>
              <w:ind w:left="332"/>
              <w:rPr>
                <w:szCs w:val="20"/>
              </w:rPr>
            </w:pPr>
            <w:r w:rsidRPr="008272A8">
              <w:rPr>
                <w:szCs w:val="20"/>
              </w:rPr>
              <w:t xml:space="preserve">5  - Severe disability; bedridden, incontinent and requiring constant nursing care and attention </w:t>
            </w:r>
          </w:p>
          <w:p w:rsidR="000D1DE1" w:rsidRPr="008272A8" w:rsidRDefault="000D1DE1" w:rsidP="00DC3758">
            <w:pPr>
              <w:ind w:left="332"/>
              <w:rPr>
                <w:szCs w:val="20"/>
              </w:rPr>
            </w:pPr>
            <w:r w:rsidRPr="008272A8">
              <w:rPr>
                <w:szCs w:val="20"/>
              </w:rPr>
              <w:t>6 Dead</w:t>
            </w:r>
          </w:p>
          <w:p w:rsidR="000D1DE1" w:rsidRDefault="000D1DE1" w:rsidP="000D1DE1">
            <w:pPr>
              <w:spacing w:before="120" w:after="120"/>
              <w:rPr>
                <w:szCs w:val="20"/>
              </w:rPr>
            </w:pPr>
            <w:r w:rsidRPr="008272A8">
              <w:rPr>
                <w:szCs w:val="20"/>
              </w:rPr>
              <w:lastRenderedPageBreak/>
              <w:t>A drop down menu listing the appropriate antibodies will be available.</w:t>
            </w:r>
          </w:p>
          <w:p w:rsidR="00953A05" w:rsidRDefault="00953A05" w:rsidP="000D1DE1">
            <w:pPr>
              <w:spacing w:before="120" w:after="120"/>
              <w:rPr>
                <w:szCs w:val="20"/>
              </w:rPr>
            </w:pPr>
          </w:p>
          <w:p w:rsidR="000D1DE1" w:rsidRDefault="000D1DE1" w:rsidP="000D1DE1">
            <w:pPr>
              <w:spacing w:before="120" w:after="120"/>
              <w:rPr>
                <w:szCs w:val="20"/>
              </w:rPr>
            </w:pPr>
          </w:p>
          <w:p w:rsidR="000D1DE1" w:rsidRDefault="000D1DE1" w:rsidP="00DC3758">
            <w:pPr>
              <w:rPr>
                <w:szCs w:val="20"/>
              </w:rPr>
            </w:pPr>
            <w:r>
              <w:rPr>
                <w:szCs w:val="20"/>
              </w:rPr>
              <w:t xml:space="preserve">The </w:t>
            </w:r>
            <w:r w:rsidR="00953A05">
              <w:rPr>
                <w:szCs w:val="20"/>
              </w:rPr>
              <w:t xml:space="preserve">qualifying </w:t>
            </w:r>
            <w:r>
              <w:rPr>
                <w:szCs w:val="20"/>
              </w:rPr>
              <w:t xml:space="preserve">criteria relating to </w:t>
            </w:r>
            <w:r w:rsidR="00953A05">
              <w:rPr>
                <w:szCs w:val="20"/>
              </w:rPr>
              <w:t xml:space="preserve">each indication for </w:t>
            </w:r>
            <w:r>
              <w:rPr>
                <w:szCs w:val="20"/>
              </w:rPr>
              <w:t xml:space="preserve">AMAE </w:t>
            </w:r>
            <w:r w:rsidR="00953A05">
              <w:rPr>
                <w:szCs w:val="20"/>
              </w:rPr>
              <w:t xml:space="preserve">have been </w:t>
            </w:r>
            <w:r>
              <w:rPr>
                <w:szCs w:val="20"/>
              </w:rPr>
              <w:t>adapted from</w:t>
            </w:r>
            <w:r w:rsidR="00953A05">
              <w:rPr>
                <w:szCs w:val="20"/>
              </w:rPr>
              <w:t xml:space="preserve"> the diagnostic criteria cited in</w:t>
            </w:r>
            <w:r>
              <w:rPr>
                <w:szCs w:val="20"/>
              </w:rPr>
              <w:t xml:space="preserve"> Graus et al (2016).</w:t>
            </w:r>
            <w:r w:rsidR="0097734E">
              <w:rPr>
                <w:szCs w:val="20"/>
              </w:rPr>
              <w:t xml:space="preserve"> In general, the </w:t>
            </w:r>
            <w:r w:rsidR="00846B19">
              <w:rPr>
                <w:szCs w:val="20"/>
              </w:rPr>
              <w:t>key</w:t>
            </w:r>
            <w:r w:rsidR="0097734E">
              <w:rPr>
                <w:szCs w:val="20"/>
              </w:rPr>
              <w:t xml:space="preserve"> clinical symptoms </w:t>
            </w:r>
            <w:r w:rsidR="00846B19">
              <w:rPr>
                <w:szCs w:val="20"/>
              </w:rPr>
              <w:t xml:space="preserve">and the outcome of the relevant </w:t>
            </w:r>
            <w:r w:rsidR="0097734E">
              <w:rPr>
                <w:szCs w:val="20"/>
              </w:rPr>
              <w:t xml:space="preserve">investigation are </w:t>
            </w:r>
            <w:r w:rsidR="00BA4990">
              <w:rPr>
                <w:szCs w:val="20"/>
              </w:rPr>
              <w:t>used</w:t>
            </w:r>
            <w:r w:rsidR="00F34321">
              <w:rPr>
                <w:szCs w:val="20"/>
              </w:rPr>
              <w:t xml:space="preserve">. Three paths </w:t>
            </w:r>
            <w:r w:rsidR="00745A26">
              <w:rPr>
                <w:szCs w:val="20"/>
              </w:rPr>
              <w:t>with different diag</w:t>
            </w:r>
            <w:r w:rsidR="00B140A4">
              <w:rPr>
                <w:szCs w:val="20"/>
              </w:rPr>
              <w:t>no</w:t>
            </w:r>
            <w:r w:rsidR="00745A26">
              <w:rPr>
                <w:szCs w:val="20"/>
              </w:rPr>
              <w:t>s</w:t>
            </w:r>
            <w:r w:rsidR="00B140A4">
              <w:rPr>
                <w:szCs w:val="20"/>
              </w:rPr>
              <w:t xml:space="preserve">tic and therefore qualifying criteria </w:t>
            </w:r>
            <w:r w:rsidR="00F34321">
              <w:rPr>
                <w:szCs w:val="20"/>
              </w:rPr>
              <w:t xml:space="preserve">for suspected AMAE are </w:t>
            </w:r>
            <w:r w:rsidR="00BA4990">
              <w:rPr>
                <w:szCs w:val="20"/>
              </w:rPr>
              <w:t xml:space="preserve">now </w:t>
            </w:r>
            <w:r w:rsidR="00F34321">
              <w:rPr>
                <w:szCs w:val="20"/>
              </w:rPr>
              <w:t xml:space="preserve">supported </w:t>
            </w:r>
            <w:r w:rsidR="00745A26">
              <w:rPr>
                <w:szCs w:val="20"/>
              </w:rPr>
              <w:t>when patients are sero-negati</w:t>
            </w:r>
            <w:r w:rsidR="00B140A4">
              <w:rPr>
                <w:szCs w:val="20"/>
              </w:rPr>
              <w:t xml:space="preserve">ve or results are not yet available: </w:t>
            </w:r>
          </w:p>
          <w:p w:rsidR="00B140A4" w:rsidRDefault="00B140A4" w:rsidP="00DC3758">
            <w:pPr>
              <w:pStyle w:val="ListParagraph"/>
              <w:numPr>
                <w:ilvl w:val="0"/>
                <w:numId w:val="52"/>
              </w:numPr>
              <w:rPr>
                <w:rFonts w:asciiTheme="minorHAnsi" w:hAnsiTheme="minorHAnsi"/>
                <w:szCs w:val="20"/>
              </w:rPr>
            </w:pPr>
            <w:r>
              <w:rPr>
                <w:rFonts w:asciiTheme="minorHAnsi" w:hAnsiTheme="minorHAnsi"/>
                <w:szCs w:val="20"/>
              </w:rPr>
              <w:t>Probable AMAE</w:t>
            </w:r>
          </w:p>
          <w:p w:rsidR="00B140A4" w:rsidRDefault="00B140A4" w:rsidP="00DC3758">
            <w:pPr>
              <w:pStyle w:val="ListParagraph"/>
              <w:numPr>
                <w:ilvl w:val="0"/>
                <w:numId w:val="52"/>
              </w:numPr>
              <w:spacing w:before="120" w:after="120"/>
              <w:rPr>
                <w:rFonts w:asciiTheme="minorHAnsi" w:hAnsiTheme="minorHAnsi"/>
                <w:szCs w:val="20"/>
              </w:rPr>
            </w:pPr>
            <w:r>
              <w:rPr>
                <w:rFonts w:asciiTheme="minorHAnsi" w:hAnsiTheme="minorHAnsi"/>
                <w:szCs w:val="20"/>
              </w:rPr>
              <w:t>Probable limbic encephalitis</w:t>
            </w:r>
          </w:p>
          <w:p w:rsidR="00B140A4" w:rsidRPr="00DC3758" w:rsidRDefault="00B140A4" w:rsidP="00DC3758">
            <w:pPr>
              <w:pStyle w:val="ListParagraph"/>
              <w:numPr>
                <w:ilvl w:val="0"/>
                <w:numId w:val="52"/>
              </w:numPr>
              <w:ind w:left="714" w:hanging="357"/>
              <w:rPr>
                <w:rFonts w:asciiTheme="minorHAnsi" w:hAnsiTheme="minorHAnsi"/>
                <w:szCs w:val="20"/>
              </w:rPr>
            </w:pPr>
            <w:r>
              <w:rPr>
                <w:rFonts w:asciiTheme="minorHAnsi" w:hAnsiTheme="minorHAnsi"/>
                <w:szCs w:val="20"/>
              </w:rPr>
              <w:t xml:space="preserve">Possible AMAE. </w:t>
            </w:r>
          </w:p>
          <w:p w:rsidR="00B140A4" w:rsidRPr="00DC3758" w:rsidRDefault="00B140A4" w:rsidP="00DC3758">
            <w:pPr>
              <w:rPr>
                <w:rFonts w:asciiTheme="minorHAnsi" w:hAnsiTheme="minorHAnsi"/>
              </w:rPr>
            </w:pPr>
            <w:r>
              <w:rPr>
                <w:rFonts w:asciiTheme="minorHAnsi" w:hAnsiTheme="minorHAnsi"/>
                <w:szCs w:val="20"/>
              </w:rPr>
              <w:t xml:space="preserve">Evidence items support each criteria and will support the analysis of Ig use in this emerging condition. </w:t>
            </w:r>
            <w:r>
              <w:rPr>
                <w:rFonts w:asciiTheme="minorHAnsi" w:hAnsiTheme="minorHAnsi"/>
              </w:rPr>
              <w:t>These include</w:t>
            </w:r>
            <w:r w:rsidRPr="00DC3758">
              <w:rPr>
                <w:rFonts w:asciiTheme="minorHAnsi" w:hAnsiTheme="minorHAnsi"/>
              </w:rPr>
              <w:t xml:space="preserve"> both specific clinical findings and abnormal investigations (CSF, MRI or EEG) and alternative diagnoses must have been </w:t>
            </w:r>
            <w:r w:rsidRPr="00DC3758">
              <w:rPr>
                <w:rFonts w:asciiTheme="minorHAnsi" w:hAnsiTheme="minorHAnsi"/>
              </w:rPr>
              <w:lastRenderedPageBreak/>
              <w:t xml:space="preserve">excluded. </w:t>
            </w:r>
          </w:p>
          <w:p w:rsidR="00880ECB" w:rsidRPr="0071470B" w:rsidRDefault="00B140A4" w:rsidP="0071470B">
            <w:pPr>
              <w:spacing w:before="100" w:beforeAutospacing="1"/>
              <w:rPr>
                <w:rFonts w:asciiTheme="minorHAnsi" w:hAnsiTheme="minorHAnsi"/>
              </w:rPr>
            </w:pPr>
            <w:r w:rsidRPr="00DC3758">
              <w:rPr>
                <w:rFonts w:asciiTheme="minorHAnsi" w:hAnsiTheme="minorHAnsi"/>
              </w:rPr>
              <w:t xml:space="preserve">By asking for a baseline description of symptoms and </w:t>
            </w:r>
            <w:r>
              <w:rPr>
                <w:rFonts w:asciiTheme="minorHAnsi" w:hAnsiTheme="minorHAnsi"/>
              </w:rPr>
              <w:t xml:space="preserve">an </w:t>
            </w:r>
            <w:r w:rsidRPr="00DC3758">
              <w:rPr>
                <w:rFonts w:asciiTheme="minorHAnsi" w:hAnsiTheme="minorHAnsi"/>
              </w:rPr>
              <w:t xml:space="preserve">assessment of disability using </w:t>
            </w:r>
            <w:r>
              <w:rPr>
                <w:rFonts w:asciiTheme="minorHAnsi" w:hAnsiTheme="minorHAnsi"/>
              </w:rPr>
              <w:t xml:space="preserve">the </w:t>
            </w:r>
            <w:r w:rsidRPr="00DC3758">
              <w:rPr>
                <w:rFonts w:asciiTheme="minorHAnsi" w:hAnsiTheme="minorHAnsi"/>
              </w:rPr>
              <w:t>Modified Rankin</w:t>
            </w:r>
            <w:r w:rsidRPr="00B140A4">
              <w:rPr>
                <w:rFonts w:asciiTheme="minorHAnsi" w:hAnsiTheme="minorHAnsi"/>
              </w:rPr>
              <w:t xml:space="preserve">, the authoriser can compare </w:t>
            </w:r>
            <w:r w:rsidRPr="00DC3758">
              <w:rPr>
                <w:rFonts w:asciiTheme="minorHAnsi" w:hAnsiTheme="minorHAnsi"/>
              </w:rPr>
              <w:t xml:space="preserve">the clinical response </w:t>
            </w:r>
            <w:r>
              <w:rPr>
                <w:rFonts w:asciiTheme="minorHAnsi" w:hAnsiTheme="minorHAnsi"/>
              </w:rPr>
              <w:t xml:space="preserve">to Ig therapy </w:t>
            </w:r>
            <w:r w:rsidRPr="00DC3758">
              <w:rPr>
                <w:rFonts w:asciiTheme="minorHAnsi" w:hAnsiTheme="minorHAnsi"/>
              </w:rPr>
              <w:t xml:space="preserve">at initial review to confirm that </w:t>
            </w:r>
            <w:r>
              <w:rPr>
                <w:rFonts w:asciiTheme="minorHAnsi" w:hAnsiTheme="minorHAnsi"/>
              </w:rPr>
              <w:t>improvement has been</w:t>
            </w:r>
            <w:r w:rsidRPr="00DC3758">
              <w:rPr>
                <w:rFonts w:asciiTheme="minorHAnsi" w:hAnsiTheme="minorHAnsi"/>
              </w:rPr>
              <w:t xml:space="preserve"> demonstrated. </w:t>
            </w:r>
          </w:p>
        </w:tc>
      </w:tr>
      <w:tr w:rsidR="00846B19" w:rsidRPr="00853117" w:rsidTr="00B8398C">
        <w:tc>
          <w:tcPr>
            <w:tcW w:w="1540" w:type="dxa"/>
            <w:shd w:val="clear" w:color="auto" w:fill="D9D9D9" w:themeFill="background1" w:themeFillShade="D9"/>
          </w:tcPr>
          <w:p w:rsidR="00021243" w:rsidRPr="00DC3758" w:rsidRDefault="00021243" w:rsidP="00DC3758">
            <w:pPr>
              <w:rPr>
                <w:b/>
              </w:rPr>
            </w:pPr>
            <w:r w:rsidRPr="00DC3758">
              <w:rPr>
                <w:b/>
              </w:rPr>
              <w:lastRenderedPageBreak/>
              <w:t>Review Criteria</w:t>
            </w:r>
          </w:p>
        </w:tc>
        <w:tc>
          <w:tcPr>
            <w:tcW w:w="3938" w:type="dxa"/>
          </w:tcPr>
          <w:p w:rsidR="000D1DE1" w:rsidRPr="00896241" w:rsidRDefault="0015147E" w:rsidP="000D1DE1">
            <w:pPr>
              <w:spacing w:before="120" w:after="120"/>
            </w:pPr>
            <w:r>
              <w:t>IVIg</w:t>
            </w:r>
            <w:r w:rsidR="000D1DE1" w:rsidRPr="00896241">
              <w:t xml:space="preserve"> should be used for </w:t>
            </w:r>
            <w:r w:rsidR="000D1DE1">
              <w:t>a maximum of three</w:t>
            </w:r>
            <w:r w:rsidR="000D1DE1" w:rsidRPr="00896241">
              <w:t xml:space="preserve"> months (induction plus </w:t>
            </w:r>
            <w:r w:rsidR="000D1DE1">
              <w:t>two</w:t>
            </w:r>
            <w:r w:rsidR="000D1DE1" w:rsidRPr="00896241">
              <w:t xml:space="preserve"> maintenance cycles) before determining whether the patient has responded. </w:t>
            </w:r>
            <w:r w:rsidR="000D1DE1" w:rsidRPr="00013C2F">
              <w:t xml:space="preserve">However if a patient has not responded within the first month, the addition of second line treatment should be considered well before the end of that three-month period.  </w:t>
            </w:r>
          </w:p>
          <w:p w:rsidR="000D1DE1" w:rsidRPr="00896241" w:rsidRDefault="000D1DE1" w:rsidP="000D1DE1">
            <w:pPr>
              <w:spacing w:before="120" w:after="120"/>
            </w:pPr>
            <w:r w:rsidRPr="00896241">
              <w:t xml:space="preserve">Review by a </w:t>
            </w:r>
            <w:r>
              <w:t>N</w:t>
            </w:r>
            <w:r w:rsidRPr="00896241">
              <w:t xml:space="preserve">eurologist is required within </w:t>
            </w:r>
            <w:r>
              <w:t>three</w:t>
            </w:r>
            <w:r w:rsidRPr="00896241">
              <w:t xml:space="preserve"> months of treatment</w:t>
            </w:r>
            <w:r w:rsidRPr="00013C2F">
              <w:t xml:space="preserve"> to determine whether the patient has responded</w:t>
            </w:r>
            <w:r w:rsidRPr="00896241">
              <w:t xml:space="preserve">. </w:t>
            </w:r>
            <w:r>
              <w:t xml:space="preserve">Thereafter, six monthly reviews are required. </w:t>
            </w:r>
          </w:p>
          <w:p w:rsidR="000D1DE1" w:rsidRPr="00432C25" w:rsidRDefault="000D1DE1" w:rsidP="000D1DE1">
            <w:pPr>
              <w:spacing w:before="120" w:after="120"/>
            </w:pPr>
            <w:r>
              <w:t>D</w:t>
            </w:r>
            <w:r w:rsidRPr="00896241">
              <w:t xml:space="preserve">ocumentation of </w:t>
            </w:r>
            <w:r>
              <w:t xml:space="preserve">clinical </w:t>
            </w:r>
            <w:r w:rsidRPr="00896241">
              <w:t xml:space="preserve">effectiveness is necessary for continuation of </w:t>
            </w:r>
            <w:r w:rsidR="0015147E">
              <w:t>IVIg</w:t>
            </w:r>
            <w:r w:rsidRPr="00896241">
              <w:t xml:space="preserve"> therapy.</w:t>
            </w:r>
          </w:p>
          <w:p w:rsidR="000D1DE1" w:rsidRPr="00CA4321" w:rsidRDefault="000D1DE1" w:rsidP="000D1DE1">
            <w:pPr>
              <w:spacing w:before="120" w:after="120" w:line="0" w:lineRule="atLeast"/>
              <w:rPr>
                <w:rFonts w:asciiTheme="minorHAnsi" w:eastAsia="Times New Roman" w:hAnsiTheme="minorHAnsi" w:cs="Times New Roman"/>
                <w:b/>
                <w:lang w:eastAsia="en-AU"/>
              </w:rPr>
            </w:pPr>
            <w:r w:rsidRPr="00CA4321">
              <w:rPr>
                <w:rFonts w:asciiTheme="minorHAnsi" w:eastAsia="Times New Roman" w:hAnsiTheme="minorHAnsi" w:cs="Times New Roman"/>
                <w:b/>
                <w:lang w:eastAsia="en-AU"/>
              </w:rPr>
              <w:t xml:space="preserve">On review of </w:t>
            </w:r>
            <w:r>
              <w:rPr>
                <w:rFonts w:asciiTheme="minorHAnsi" w:eastAsia="Times New Roman" w:hAnsiTheme="minorHAnsi" w:cs="Times New Roman"/>
                <w:b/>
                <w:lang w:eastAsia="en-AU"/>
              </w:rPr>
              <w:t>an</w:t>
            </w:r>
            <w:r w:rsidRPr="00CA4321">
              <w:rPr>
                <w:rFonts w:asciiTheme="minorHAnsi" w:eastAsia="Times New Roman" w:hAnsiTheme="minorHAnsi" w:cs="Times New Roman"/>
                <w:b/>
                <w:lang w:eastAsia="en-AU"/>
              </w:rPr>
              <w:t xml:space="preserve"> initial authorisation period</w:t>
            </w:r>
          </w:p>
          <w:p w:rsidR="000D1DE1" w:rsidRDefault="000D1DE1" w:rsidP="00745A26">
            <w:pPr>
              <w:pStyle w:val="ListParagraph"/>
              <w:numPr>
                <w:ilvl w:val="0"/>
                <w:numId w:val="49"/>
              </w:numPr>
              <w:spacing w:before="100" w:beforeAutospacing="1"/>
              <w:ind w:left="651"/>
            </w:pPr>
            <w:r w:rsidRPr="00013C2F">
              <w:lastRenderedPageBreak/>
              <w:t>Patient demonstrates a clinically signif</w:t>
            </w:r>
            <w:r>
              <w:t>i</w:t>
            </w:r>
            <w:r w:rsidRPr="00013C2F">
              <w:t>cant improvement in the severity of symptoms (including cessation of seizures, improved cognition or conscious state and/or improved psychosis) compared to the sev</w:t>
            </w:r>
            <w:r>
              <w:t>erity of symptoms at qualifying</w:t>
            </w:r>
          </w:p>
          <w:p w:rsidR="000D1DE1" w:rsidRPr="00013C2F" w:rsidRDefault="000D1DE1" w:rsidP="000D1DE1">
            <w:pPr>
              <w:spacing w:before="100" w:beforeAutospacing="1"/>
              <w:ind w:left="1440"/>
            </w:pPr>
            <w:r>
              <w:t xml:space="preserve">          AND</w:t>
            </w:r>
          </w:p>
          <w:p w:rsidR="000D1DE1" w:rsidRPr="00BD6C2D" w:rsidRDefault="000D1DE1" w:rsidP="00745A26">
            <w:pPr>
              <w:pStyle w:val="ListParagraph"/>
              <w:numPr>
                <w:ilvl w:val="0"/>
                <w:numId w:val="49"/>
              </w:numPr>
              <w:spacing w:before="100" w:beforeAutospacing="1"/>
              <w:ind w:left="509"/>
              <w:rPr>
                <w:rFonts w:asciiTheme="minorHAnsi" w:eastAsia="Times New Roman" w:hAnsiTheme="minorHAnsi" w:cs="Times New Roman"/>
                <w:color w:val="000000"/>
                <w:lang w:eastAsia="en-AU"/>
              </w:rPr>
            </w:pPr>
            <w:r w:rsidRPr="00013C2F">
              <w:t xml:space="preserve">There has been no further deterioration </w:t>
            </w:r>
            <w:r>
              <w:t>in function as assessed by the Modified R</w:t>
            </w:r>
            <w:r w:rsidRPr="00013C2F">
              <w:t xml:space="preserve">ankin Score compared to qualifying </w:t>
            </w:r>
            <w:r>
              <w:t xml:space="preserve">and </w:t>
            </w:r>
            <w:r w:rsidRPr="00BD6C2D">
              <w:rPr>
                <w:rFonts w:asciiTheme="minorHAnsi" w:eastAsia="Times New Roman" w:hAnsiTheme="minorHAnsi" w:cs="Times New Roman"/>
                <w:color w:val="000000"/>
                <w:lang w:eastAsia="en-AU"/>
              </w:rPr>
              <w:t>Testing confirms the presence of antibodies against neural cell surface antigens (if not already known)</w:t>
            </w:r>
          </w:p>
          <w:p w:rsidR="000D1DE1" w:rsidRDefault="000D1DE1" w:rsidP="00935BE4">
            <w:pPr>
              <w:spacing w:before="120" w:after="120"/>
              <w:jc w:val="cente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OR</w:t>
            </w:r>
          </w:p>
          <w:p w:rsidR="000D1DE1" w:rsidRDefault="000D1DE1" w:rsidP="00745A26">
            <w:pPr>
              <w:pStyle w:val="ListParagraph"/>
              <w:numPr>
                <w:ilvl w:val="0"/>
                <w:numId w:val="49"/>
              </w:numPr>
              <w:ind w:left="509"/>
              <w:rPr>
                <w:rFonts w:asciiTheme="minorHAnsi" w:eastAsia="Times New Roman" w:hAnsiTheme="minorHAnsi" w:cs="Times New Roman"/>
                <w:color w:val="000000"/>
                <w:lang w:eastAsia="en-AU"/>
              </w:rPr>
            </w:pPr>
            <w:r w:rsidRPr="00BD6C2D">
              <w:rPr>
                <w:rFonts w:asciiTheme="minorHAnsi" w:eastAsia="Times New Roman" w:hAnsiTheme="minorHAnsi" w:cs="Times New Roman"/>
                <w:color w:val="000000"/>
                <w:lang w:eastAsia="en-AU"/>
              </w:rPr>
              <w:t>Patient has failed to demonstrate a clinically signif</w:t>
            </w:r>
            <w:r>
              <w:rPr>
                <w:rFonts w:asciiTheme="minorHAnsi" w:eastAsia="Times New Roman" w:hAnsiTheme="minorHAnsi" w:cs="Times New Roman"/>
                <w:color w:val="000000"/>
                <w:lang w:eastAsia="en-AU"/>
              </w:rPr>
              <w:t>i</w:t>
            </w:r>
            <w:r w:rsidRPr="00BD6C2D">
              <w:rPr>
                <w:rFonts w:asciiTheme="minorHAnsi" w:eastAsia="Times New Roman" w:hAnsiTheme="minorHAnsi" w:cs="Times New Roman"/>
                <w:color w:val="000000"/>
                <w:lang w:eastAsia="en-AU"/>
              </w:rPr>
              <w:t>cant improvement in symptoms compared to the severity of symptoms at qualifying and as measured by the Modified Rankin Score compared to qualifying value</w:t>
            </w:r>
          </w:p>
          <w:p w:rsidR="000D1DE1" w:rsidRPr="00BD6C2D" w:rsidRDefault="000D1DE1" w:rsidP="000D1DE1">
            <w:pPr>
              <w:spacing w:before="120"/>
              <w:ind w:left="1440"/>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 xml:space="preserve">         AND</w:t>
            </w:r>
          </w:p>
          <w:p w:rsidR="000D1DE1" w:rsidRPr="00745A26" w:rsidRDefault="000D1DE1" w:rsidP="00DC3758">
            <w:pPr>
              <w:pStyle w:val="ListParagraph"/>
              <w:numPr>
                <w:ilvl w:val="0"/>
                <w:numId w:val="49"/>
              </w:numPr>
              <w:spacing w:before="120" w:after="120"/>
              <w:ind w:left="509"/>
              <w:rPr>
                <w:rFonts w:asciiTheme="minorHAnsi" w:eastAsia="Times New Roman" w:hAnsiTheme="minorHAnsi" w:cs="Times New Roman"/>
                <w:color w:val="000000"/>
                <w:lang w:eastAsia="en-AU"/>
              </w:rPr>
            </w:pPr>
            <w:r w:rsidRPr="00BD6C2D">
              <w:t xml:space="preserve">Second line treatment with </w:t>
            </w:r>
            <w:r w:rsidRPr="00BD6C2D">
              <w:lastRenderedPageBreak/>
              <w:t xml:space="preserve">immune-suppressant agents has been commenced </w:t>
            </w:r>
            <w:r w:rsidR="00745A26">
              <w:rPr>
                <w:rFonts w:asciiTheme="minorHAnsi" w:eastAsia="Times New Roman" w:hAnsiTheme="minorHAnsi" w:cs="Times New Roman"/>
                <w:color w:val="000000"/>
                <w:lang w:eastAsia="en-AU"/>
              </w:rPr>
              <w:t>a</w:t>
            </w:r>
            <w:r w:rsidRPr="00745A26">
              <w:rPr>
                <w:rFonts w:asciiTheme="minorHAnsi" w:eastAsia="Times New Roman" w:hAnsiTheme="minorHAnsi" w:cs="Times New Roman"/>
                <w:color w:val="000000"/>
                <w:lang w:eastAsia="en-AU"/>
              </w:rPr>
              <w:t xml:space="preserve">nd testing confirms the presence of antibodies against neural cell surface antigens. </w:t>
            </w:r>
          </w:p>
          <w:p w:rsidR="000D1DE1" w:rsidRPr="00BD6C2D" w:rsidRDefault="000D1DE1" w:rsidP="000D1DE1">
            <w:pPr>
              <w:pStyle w:val="ListParagraph"/>
              <w:spacing w:before="120" w:after="120"/>
              <w:rPr>
                <w:rFonts w:asciiTheme="minorHAnsi" w:eastAsia="Times New Roman" w:hAnsiTheme="minorHAnsi" w:cs="Times New Roman"/>
                <w:color w:val="000000"/>
                <w:lang w:eastAsia="en-AU"/>
              </w:rPr>
            </w:pPr>
          </w:p>
          <w:p w:rsidR="000D1DE1" w:rsidRPr="00CA4321" w:rsidRDefault="000D1DE1" w:rsidP="000D1DE1">
            <w:pPr>
              <w:spacing w:before="120" w:after="120" w:line="0" w:lineRule="atLeast"/>
              <w:rPr>
                <w:rFonts w:asciiTheme="minorHAnsi" w:eastAsia="Times New Roman" w:hAnsiTheme="minorHAnsi" w:cs="Times New Roman"/>
                <w:b/>
                <w:lang w:eastAsia="en-AU"/>
              </w:rPr>
            </w:pPr>
            <w:r w:rsidRPr="00896241">
              <w:rPr>
                <w:rFonts w:asciiTheme="minorHAnsi" w:eastAsia="Times New Roman" w:hAnsiTheme="minorHAnsi" w:cs="Times New Roman"/>
                <w:b/>
                <w:lang w:eastAsia="en-AU"/>
              </w:rPr>
              <w:t>On review of a continuing a</w:t>
            </w:r>
            <w:r w:rsidRPr="00CA4321">
              <w:rPr>
                <w:rFonts w:asciiTheme="minorHAnsi" w:eastAsia="Times New Roman" w:hAnsiTheme="minorHAnsi" w:cs="Times New Roman"/>
                <w:b/>
                <w:lang w:eastAsia="en-AU"/>
              </w:rPr>
              <w:t xml:space="preserve">uthorisation period </w:t>
            </w:r>
          </w:p>
          <w:p w:rsidR="000D1DE1" w:rsidRDefault="000D1DE1" w:rsidP="00745A26">
            <w:pPr>
              <w:pStyle w:val="ListParagraph"/>
              <w:numPr>
                <w:ilvl w:val="0"/>
                <w:numId w:val="49"/>
              </w:numPr>
              <w:spacing w:before="120" w:after="120" w:line="0" w:lineRule="atLeast"/>
              <w:ind w:left="509"/>
            </w:pPr>
            <w:r>
              <w:t>Re-a</w:t>
            </w:r>
            <w:r w:rsidRPr="00896241">
              <w:t>uthorisation may only be approved where there is</w:t>
            </w:r>
            <w:r>
              <w:t xml:space="preserve"> clinical improvement or stability in symptoms</w:t>
            </w:r>
          </w:p>
          <w:p w:rsidR="000D1DE1" w:rsidRPr="00896241" w:rsidRDefault="000D1DE1" w:rsidP="00935BE4">
            <w:pPr>
              <w:spacing w:before="120" w:after="120"/>
              <w:ind w:left="360"/>
              <w:jc w:val="center"/>
            </w:pPr>
            <w:r>
              <w:t>AND</w:t>
            </w:r>
          </w:p>
          <w:p w:rsidR="000D1DE1" w:rsidRPr="00313632" w:rsidRDefault="000D1DE1" w:rsidP="00745A26">
            <w:pPr>
              <w:pStyle w:val="ListParagraph"/>
              <w:numPr>
                <w:ilvl w:val="0"/>
                <w:numId w:val="49"/>
              </w:numPr>
              <w:spacing w:before="120" w:after="120"/>
              <w:ind w:left="509" w:hanging="283"/>
            </w:pPr>
            <w:r>
              <w:t xml:space="preserve">There has been no further deterioration as measured by a </w:t>
            </w:r>
            <w:r w:rsidRPr="00896241">
              <w:t>M</w:t>
            </w:r>
            <w:r>
              <w:t xml:space="preserve">odified Rankin </w:t>
            </w:r>
            <w:r w:rsidRPr="00896241">
              <w:t xml:space="preserve">Score that is greater than or equal to the previous review score </w:t>
            </w:r>
          </w:p>
          <w:p w:rsidR="000D1DE1" w:rsidRPr="002D2007" w:rsidRDefault="000D1DE1" w:rsidP="00935BE4">
            <w:pPr>
              <w:spacing w:before="120" w:after="120"/>
              <w:jc w:val="center"/>
            </w:pPr>
            <w:r w:rsidRPr="00313632">
              <w:t>AND</w:t>
            </w:r>
          </w:p>
          <w:p w:rsidR="000D1DE1" w:rsidRPr="00282F66" w:rsidRDefault="000D1DE1" w:rsidP="00745A26">
            <w:pPr>
              <w:pStyle w:val="ListParagraph"/>
              <w:numPr>
                <w:ilvl w:val="0"/>
                <w:numId w:val="49"/>
              </w:numPr>
              <w:spacing w:before="120" w:after="120" w:line="20" w:lineRule="atLeast"/>
              <w:ind w:left="509"/>
              <w:rPr>
                <w:rFonts w:asciiTheme="minorHAnsi" w:eastAsia="Times New Roman" w:hAnsiTheme="minorHAnsi" w:cs="Times New Roman"/>
                <w:color w:val="000000"/>
                <w:lang w:eastAsia="en-AU"/>
              </w:rPr>
            </w:pPr>
            <w:r w:rsidRPr="00282F66">
              <w:rPr>
                <w:rFonts w:asciiTheme="minorHAnsi" w:eastAsia="Times New Roman" w:hAnsiTheme="minorHAnsi" w:cs="Times New Roman"/>
                <w:color w:val="000000"/>
                <w:lang w:eastAsia="en-AU"/>
              </w:rPr>
              <w:t>A trial off Ig therapy is planned or a valid reason provided as to why a trial is not being planned or is contraindicated at this time.</w:t>
            </w:r>
          </w:p>
          <w:p w:rsidR="00021243" w:rsidRPr="00991850" w:rsidRDefault="00021243" w:rsidP="00021243">
            <w:pPr>
              <w:pStyle w:val="Default"/>
              <w:spacing w:before="120" w:after="120"/>
              <w:rPr>
                <w:rFonts w:asciiTheme="minorHAnsi" w:hAnsiTheme="minorHAnsi"/>
                <w:sz w:val="22"/>
                <w:szCs w:val="22"/>
              </w:rPr>
            </w:pPr>
          </w:p>
          <w:p w:rsidR="00021243" w:rsidRPr="00447869" w:rsidRDefault="00021243" w:rsidP="00021243">
            <w:pPr>
              <w:spacing w:before="120" w:after="120"/>
              <w:rPr>
                <w:rFonts w:asciiTheme="minorHAnsi" w:hAnsiTheme="minorHAnsi"/>
              </w:rPr>
            </w:pPr>
          </w:p>
        </w:tc>
        <w:tc>
          <w:tcPr>
            <w:tcW w:w="5869" w:type="dxa"/>
            <w:gridSpan w:val="3"/>
          </w:tcPr>
          <w:p w:rsidR="000D1DE1" w:rsidRPr="00594C9D" w:rsidRDefault="000D1DE1" w:rsidP="000D1DE1">
            <w:pPr>
              <w:spacing w:before="120" w:after="120"/>
              <w:rPr>
                <w:rFonts w:asciiTheme="minorHAnsi" w:eastAsia="Times New Roman" w:hAnsiTheme="minorHAnsi" w:cs="Times New Roman"/>
                <w:b/>
                <w:color w:val="000000"/>
                <w:lang w:eastAsia="en-AU"/>
              </w:rPr>
            </w:pPr>
            <w:r w:rsidRPr="00594C9D">
              <w:rPr>
                <w:rFonts w:asciiTheme="minorHAnsi" w:eastAsia="Times New Roman" w:hAnsiTheme="minorHAnsi" w:cs="Times New Roman"/>
                <w:b/>
                <w:color w:val="000000"/>
                <w:lang w:eastAsia="en-AU"/>
              </w:rPr>
              <w:lastRenderedPageBreak/>
              <w:t xml:space="preserve">Cell surface antibody positive AMAE or </w:t>
            </w:r>
            <w:r w:rsidR="00A44D77">
              <w:rPr>
                <w:rFonts w:asciiTheme="minorHAnsi" w:eastAsia="Times New Roman" w:hAnsiTheme="minorHAnsi" w:cs="Times New Roman"/>
                <w:b/>
                <w:color w:val="000000"/>
                <w:lang w:eastAsia="en-AU"/>
              </w:rPr>
              <w:t>L</w:t>
            </w:r>
            <w:r w:rsidR="00A44D77" w:rsidRPr="00594C9D">
              <w:rPr>
                <w:rFonts w:asciiTheme="minorHAnsi" w:eastAsia="Times New Roman" w:hAnsiTheme="minorHAnsi" w:cs="Times New Roman"/>
                <w:b/>
                <w:color w:val="000000"/>
                <w:lang w:eastAsia="en-AU"/>
              </w:rPr>
              <w:t xml:space="preserve">imbic </w:t>
            </w:r>
            <w:r w:rsidRPr="00594C9D">
              <w:rPr>
                <w:rFonts w:asciiTheme="minorHAnsi" w:eastAsia="Times New Roman" w:hAnsiTheme="minorHAnsi" w:cs="Times New Roman"/>
                <w:b/>
                <w:color w:val="000000"/>
                <w:lang w:eastAsia="en-AU"/>
              </w:rPr>
              <w:t>encephalitis</w:t>
            </w:r>
          </w:p>
          <w:p w:rsidR="000D1DE1" w:rsidRPr="00594C9D" w:rsidRDefault="0015147E" w:rsidP="000D1DE1">
            <w:pPr>
              <w:spacing w:before="120" w:after="120"/>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IVIg</w:t>
            </w:r>
            <w:r w:rsidR="000D1DE1" w:rsidRPr="00594C9D">
              <w:rPr>
                <w:rFonts w:asciiTheme="minorHAnsi" w:eastAsia="Times New Roman" w:hAnsiTheme="minorHAnsi" w:cs="Times New Roman"/>
                <w:color w:val="000000"/>
                <w:lang w:eastAsia="en-AU"/>
              </w:rPr>
              <w:t xml:space="preserve"> should be used for a maximum of three months (induction plus two maintenance cycles) before determining whether the patient has responded. However if a patient has not responded within the first month, the addition of second line treatment should be considered well before the end of that three month period.  </w:t>
            </w:r>
          </w:p>
          <w:p w:rsidR="000D1DE1" w:rsidRPr="00594C9D" w:rsidRDefault="000D1DE1" w:rsidP="000D1DE1">
            <w:pPr>
              <w:spacing w:before="120" w:after="120"/>
              <w:rPr>
                <w:rFonts w:asciiTheme="minorHAnsi" w:eastAsia="Times New Roman" w:hAnsiTheme="minorHAnsi" w:cs="Times New Roman"/>
                <w:color w:val="000000"/>
                <w:lang w:eastAsia="en-AU"/>
              </w:rPr>
            </w:pPr>
            <w:r w:rsidRPr="00594C9D">
              <w:rPr>
                <w:rFonts w:asciiTheme="minorHAnsi" w:eastAsia="Times New Roman" w:hAnsiTheme="minorHAnsi" w:cs="Times New Roman"/>
                <w:color w:val="000000"/>
                <w:lang w:eastAsia="en-AU"/>
              </w:rPr>
              <w:t xml:space="preserve">Review by a neurologist is required within 3 months of </w:t>
            </w:r>
            <w:r w:rsidR="00913C76">
              <w:rPr>
                <w:rFonts w:asciiTheme="minorHAnsi" w:eastAsia="Times New Roman" w:hAnsiTheme="minorHAnsi" w:cs="Times New Roman"/>
                <w:color w:val="000000"/>
                <w:lang w:eastAsia="en-AU"/>
              </w:rPr>
              <w:t xml:space="preserve">initiation of </w:t>
            </w:r>
            <w:r w:rsidRPr="00594C9D">
              <w:rPr>
                <w:rFonts w:asciiTheme="minorHAnsi" w:eastAsia="Times New Roman" w:hAnsiTheme="minorHAnsi" w:cs="Times New Roman"/>
                <w:color w:val="000000"/>
                <w:lang w:eastAsia="en-AU"/>
              </w:rPr>
              <w:t>treatment to determine whether the patient has responded</w:t>
            </w:r>
            <w:r w:rsidR="0082443A">
              <w:rPr>
                <w:rFonts w:asciiTheme="minorHAnsi" w:eastAsia="Times New Roman" w:hAnsiTheme="minorHAnsi" w:cs="Times New Roman"/>
                <w:color w:val="000000"/>
                <w:lang w:eastAsia="en-AU"/>
              </w:rPr>
              <w:t>, and six monthly thereafter</w:t>
            </w:r>
            <w:r w:rsidRPr="00594C9D">
              <w:rPr>
                <w:rFonts w:asciiTheme="minorHAnsi" w:eastAsia="Times New Roman" w:hAnsiTheme="minorHAnsi" w:cs="Times New Roman"/>
                <w:color w:val="000000"/>
                <w:lang w:eastAsia="en-AU"/>
              </w:rPr>
              <w:t xml:space="preserve">. </w:t>
            </w:r>
          </w:p>
          <w:p w:rsidR="000D1DE1" w:rsidRPr="00594C9D" w:rsidRDefault="000D1DE1" w:rsidP="000D1DE1">
            <w:pPr>
              <w:spacing w:before="120" w:after="120"/>
              <w:rPr>
                <w:rFonts w:asciiTheme="minorHAnsi" w:eastAsia="Times New Roman" w:hAnsiTheme="minorHAnsi" w:cs="Times New Roman"/>
                <w:color w:val="000000"/>
                <w:lang w:eastAsia="en-AU"/>
              </w:rPr>
            </w:pPr>
            <w:r w:rsidRPr="00594C9D">
              <w:rPr>
                <w:rFonts w:asciiTheme="minorHAnsi" w:eastAsia="Times New Roman" w:hAnsiTheme="minorHAnsi" w:cs="Times New Roman"/>
                <w:color w:val="000000"/>
                <w:lang w:eastAsia="en-AU"/>
              </w:rPr>
              <w:t xml:space="preserve">Documentation of clinical effectiveness is necessary for continuation of </w:t>
            </w:r>
            <w:r w:rsidR="0015147E">
              <w:rPr>
                <w:rFonts w:asciiTheme="minorHAnsi" w:eastAsia="Times New Roman" w:hAnsiTheme="minorHAnsi" w:cs="Times New Roman"/>
                <w:color w:val="000000"/>
                <w:lang w:eastAsia="en-AU"/>
              </w:rPr>
              <w:t>IVIg</w:t>
            </w:r>
            <w:r w:rsidRPr="00594C9D">
              <w:rPr>
                <w:rFonts w:asciiTheme="minorHAnsi" w:eastAsia="Times New Roman" w:hAnsiTheme="minorHAnsi" w:cs="Times New Roman"/>
                <w:color w:val="000000"/>
                <w:lang w:eastAsia="en-AU"/>
              </w:rPr>
              <w:t xml:space="preserve"> therapy.  </w:t>
            </w:r>
          </w:p>
          <w:p w:rsidR="000D1DE1" w:rsidRPr="00594C9D" w:rsidRDefault="000D1DE1" w:rsidP="000D1DE1">
            <w:pPr>
              <w:spacing w:before="120" w:after="120"/>
              <w:rPr>
                <w:rFonts w:asciiTheme="minorHAnsi" w:eastAsia="Times New Roman" w:hAnsiTheme="minorHAnsi" w:cs="Times New Roman"/>
                <w:color w:val="000000"/>
                <w:lang w:eastAsia="en-AU"/>
              </w:rPr>
            </w:pPr>
          </w:p>
          <w:p w:rsidR="000D1DE1" w:rsidRPr="00C05920" w:rsidRDefault="000D1DE1" w:rsidP="000D1DE1">
            <w:pPr>
              <w:spacing w:before="120" w:after="120"/>
              <w:rPr>
                <w:rFonts w:asciiTheme="minorHAnsi" w:eastAsia="Times New Roman" w:hAnsiTheme="minorHAnsi" w:cs="Times New Roman"/>
                <w:b/>
                <w:color w:val="000000"/>
                <w:lang w:eastAsia="en-AU"/>
              </w:rPr>
            </w:pPr>
            <w:r w:rsidRPr="00C05920">
              <w:rPr>
                <w:rFonts w:asciiTheme="minorHAnsi" w:eastAsia="Times New Roman" w:hAnsiTheme="minorHAnsi" w:cs="Times New Roman"/>
                <w:b/>
                <w:color w:val="000000"/>
                <w:lang w:eastAsia="en-AU"/>
              </w:rPr>
              <w:t>On review of the initial authorisation period</w:t>
            </w:r>
          </w:p>
          <w:p w:rsidR="000D1DE1" w:rsidRPr="00594C9D" w:rsidRDefault="000D1DE1" w:rsidP="000D1DE1">
            <w:pPr>
              <w:spacing w:before="120" w:after="120"/>
              <w:rPr>
                <w:rFonts w:asciiTheme="minorHAnsi" w:eastAsia="Times New Roman" w:hAnsiTheme="minorHAnsi" w:cs="Times New Roman"/>
                <w:color w:val="000000"/>
                <w:lang w:eastAsia="en-AU"/>
              </w:rPr>
            </w:pPr>
            <w:r w:rsidRPr="00C046CF">
              <w:rPr>
                <w:rFonts w:asciiTheme="minorHAnsi" w:eastAsia="Times New Roman" w:hAnsiTheme="minorHAnsi" w:cs="Times New Roman"/>
                <w:color w:val="000000"/>
                <w:lang w:eastAsia="en-AU"/>
              </w:rPr>
              <w:t>Clinical effectiveness of Ig therapy</w:t>
            </w:r>
            <w:r w:rsidR="00C046CF" w:rsidRPr="00C046CF">
              <w:rPr>
                <w:rFonts w:asciiTheme="minorHAnsi" w:eastAsia="Times New Roman" w:hAnsiTheme="minorHAnsi" w:cs="Times New Roman"/>
                <w:color w:val="000000"/>
                <w:lang w:eastAsia="en-AU"/>
              </w:rPr>
              <w:t>, or criteria for continued use</w:t>
            </w:r>
            <w:r w:rsidRPr="00C046CF">
              <w:rPr>
                <w:rFonts w:asciiTheme="minorHAnsi" w:eastAsia="Times New Roman" w:hAnsiTheme="minorHAnsi" w:cs="Times New Roman"/>
                <w:color w:val="000000"/>
                <w:lang w:eastAsia="en-AU"/>
              </w:rPr>
              <w:t xml:space="preserve"> may </w:t>
            </w:r>
            <w:r w:rsidR="00156033">
              <w:rPr>
                <w:rFonts w:asciiTheme="minorHAnsi" w:eastAsia="Times New Roman" w:hAnsiTheme="minorHAnsi" w:cs="Times New Roman"/>
                <w:color w:val="000000"/>
                <w:lang w:eastAsia="en-AU"/>
              </w:rPr>
              <w:t>include</w:t>
            </w:r>
            <w:r w:rsidRPr="00C046CF">
              <w:rPr>
                <w:rFonts w:asciiTheme="minorHAnsi" w:eastAsia="Times New Roman" w:hAnsiTheme="minorHAnsi" w:cs="Times New Roman"/>
                <w:color w:val="000000"/>
                <w:lang w:eastAsia="en-AU"/>
              </w:rPr>
              <w:t>:</w:t>
            </w:r>
          </w:p>
          <w:p w:rsidR="000D1DE1" w:rsidRPr="00F2331E" w:rsidRDefault="000D1DE1" w:rsidP="00F2331E">
            <w:pPr>
              <w:pStyle w:val="ListParagraph"/>
              <w:numPr>
                <w:ilvl w:val="0"/>
                <w:numId w:val="49"/>
              </w:numPr>
              <w:spacing w:before="120" w:after="120"/>
              <w:ind w:left="678"/>
              <w:rPr>
                <w:rFonts w:asciiTheme="minorHAnsi" w:eastAsia="Times New Roman" w:hAnsiTheme="minorHAnsi" w:cs="Times New Roman"/>
                <w:color w:val="000000"/>
                <w:lang w:eastAsia="en-AU"/>
              </w:rPr>
            </w:pPr>
            <w:r w:rsidRPr="00594C9D">
              <w:rPr>
                <w:rFonts w:asciiTheme="minorHAnsi" w:eastAsia="Times New Roman" w:hAnsiTheme="minorHAnsi" w:cs="Times New Roman"/>
                <w:color w:val="000000"/>
                <w:lang w:eastAsia="en-AU"/>
              </w:rPr>
              <w:t xml:space="preserve">Clinically significant improvement in the severity of symptoms (including cessation of seizures, improved </w:t>
            </w:r>
            <w:r w:rsidRPr="00594C9D">
              <w:rPr>
                <w:rFonts w:asciiTheme="minorHAnsi" w:eastAsia="Times New Roman" w:hAnsiTheme="minorHAnsi" w:cs="Times New Roman"/>
                <w:color w:val="000000"/>
                <w:lang w:eastAsia="en-AU"/>
              </w:rPr>
              <w:lastRenderedPageBreak/>
              <w:t>cognition or conscious state and/or improved psychosis) compared to qualifying.</w:t>
            </w:r>
          </w:p>
          <w:p w:rsidR="000D1DE1" w:rsidRPr="00594C9D" w:rsidRDefault="000D1DE1" w:rsidP="005C3C0C">
            <w:pPr>
              <w:pStyle w:val="ListParagraph"/>
              <w:spacing w:before="120" w:after="120"/>
              <w:ind w:left="34"/>
              <w:jc w:val="center"/>
              <w:rPr>
                <w:rFonts w:asciiTheme="minorHAnsi" w:eastAsia="Times New Roman" w:hAnsiTheme="minorHAnsi" w:cs="Times New Roman"/>
                <w:color w:val="000000"/>
                <w:lang w:eastAsia="en-AU"/>
              </w:rPr>
            </w:pPr>
            <w:r w:rsidRPr="00594C9D">
              <w:rPr>
                <w:rFonts w:asciiTheme="minorHAnsi" w:eastAsia="Times New Roman" w:hAnsiTheme="minorHAnsi" w:cs="Times New Roman"/>
                <w:color w:val="000000"/>
                <w:lang w:eastAsia="en-AU"/>
              </w:rPr>
              <w:t>AND</w:t>
            </w:r>
          </w:p>
          <w:p w:rsidR="000D1DE1" w:rsidRDefault="000D1DE1" w:rsidP="00282334">
            <w:pPr>
              <w:pStyle w:val="ListParagraph"/>
              <w:numPr>
                <w:ilvl w:val="0"/>
                <w:numId w:val="49"/>
              </w:numPr>
              <w:spacing w:before="120" w:after="120"/>
              <w:ind w:left="678"/>
              <w:rPr>
                <w:rFonts w:asciiTheme="minorHAnsi" w:eastAsia="Times New Roman" w:hAnsiTheme="minorHAnsi" w:cs="Times New Roman"/>
                <w:color w:val="000000"/>
                <w:lang w:eastAsia="en-AU"/>
              </w:rPr>
            </w:pPr>
            <w:r w:rsidRPr="00594C9D">
              <w:rPr>
                <w:rFonts w:asciiTheme="minorHAnsi" w:eastAsia="Times New Roman" w:hAnsiTheme="minorHAnsi" w:cs="Times New Roman"/>
                <w:color w:val="000000"/>
                <w:lang w:eastAsia="en-AU"/>
              </w:rPr>
              <w:t>No further deterioration in function as assessed by the Modified Rankin Score compared to the qualifying assessment</w:t>
            </w:r>
          </w:p>
          <w:p w:rsidR="000D1DE1" w:rsidRPr="00594C9D" w:rsidRDefault="000D1DE1" w:rsidP="000D1DE1">
            <w:pPr>
              <w:pStyle w:val="ListParagraph"/>
              <w:spacing w:before="120" w:after="120"/>
              <w:ind w:left="34"/>
              <w:rPr>
                <w:rFonts w:asciiTheme="minorHAnsi" w:eastAsia="Times New Roman" w:hAnsiTheme="minorHAnsi" w:cs="Times New Roman"/>
                <w:color w:val="000000"/>
                <w:lang w:eastAsia="en-AU"/>
              </w:rPr>
            </w:pPr>
            <w:r w:rsidRPr="00594C9D">
              <w:rPr>
                <w:rFonts w:asciiTheme="minorHAnsi" w:eastAsia="Times New Roman" w:hAnsiTheme="minorHAnsi" w:cs="Times New Roman"/>
                <w:color w:val="000000"/>
                <w:lang w:eastAsia="en-AU"/>
              </w:rPr>
              <w:t>OR</w:t>
            </w:r>
          </w:p>
          <w:p w:rsidR="000D1DE1" w:rsidRDefault="000D1DE1" w:rsidP="0021595B">
            <w:pPr>
              <w:pStyle w:val="ListParagraph"/>
              <w:numPr>
                <w:ilvl w:val="0"/>
                <w:numId w:val="49"/>
              </w:numPr>
              <w:spacing w:before="120" w:after="120"/>
              <w:ind w:left="678"/>
              <w:rPr>
                <w:rFonts w:asciiTheme="minorHAnsi" w:eastAsia="Times New Roman" w:hAnsiTheme="minorHAnsi" w:cs="Times New Roman"/>
                <w:color w:val="000000"/>
                <w:lang w:eastAsia="en-AU"/>
              </w:rPr>
            </w:pPr>
            <w:r w:rsidRPr="00594C9D">
              <w:rPr>
                <w:rFonts w:asciiTheme="minorHAnsi" w:eastAsia="Times New Roman" w:hAnsiTheme="minorHAnsi" w:cs="Times New Roman"/>
                <w:color w:val="000000"/>
                <w:lang w:eastAsia="en-AU"/>
              </w:rPr>
              <w:t>No significant improvement in symptoms (including psychiatric behaviour, cognitive dysfunction, seizures, movement disorders) or disability as measured by the Modified Rankin Score compared to the severity at the qualifying assessment</w:t>
            </w:r>
          </w:p>
          <w:p w:rsidR="000D1DE1" w:rsidRPr="00594C9D" w:rsidRDefault="000D1DE1" w:rsidP="00C10ED4">
            <w:pPr>
              <w:spacing w:before="120" w:after="120"/>
              <w:jc w:val="center"/>
              <w:rPr>
                <w:rFonts w:asciiTheme="minorHAnsi" w:eastAsia="Times New Roman" w:hAnsiTheme="minorHAnsi" w:cs="Times New Roman"/>
                <w:color w:val="000000"/>
                <w:lang w:eastAsia="en-AU"/>
              </w:rPr>
            </w:pPr>
            <w:r w:rsidRPr="00594C9D">
              <w:rPr>
                <w:rFonts w:asciiTheme="minorHAnsi" w:eastAsia="Times New Roman" w:hAnsiTheme="minorHAnsi" w:cs="Times New Roman"/>
                <w:color w:val="000000"/>
                <w:lang w:eastAsia="en-AU"/>
              </w:rPr>
              <w:t>AND</w:t>
            </w:r>
          </w:p>
          <w:p w:rsidR="000D1DE1" w:rsidRPr="00594C9D" w:rsidRDefault="000D1DE1" w:rsidP="0021595B">
            <w:pPr>
              <w:pStyle w:val="ListParagraph"/>
              <w:numPr>
                <w:ilvl w:val="0"/>
                <w:numId w:val="49"/>
              </w:numPr>
              <w:spacing w:before="120" w:after="120"/>
              <w:ind w:left="678"/>
              <w:rPr>
                <w:rFonts w:asciiTheme="minorHAnsi" w:eastAsia="Times New Roman" w:hAnsiTheme="minorHAnsi" w:cs="Times New Roman"/>
                <w:color w:val="000000"/>
                <w:lang w:eastAsia="en-AU"/>
              </w:rPr>
            </w:pPr>
            <w:r w:rsidRPr="00594C9D">
              <w:rPr>
                <w:rFonts w:asciiTheme="minorHAnsi" w:eastAsia="Times New Roman" w:hAnsiTheme="minorHAnsi" w:cs="Times New Roman"/>
                <w:color w:val="000000"/>
                <w:lang w:eastAsia="en-AU"/>
              </w:rPr>
              <w:t>Second line treatment with immune-suppressant agents has been commenced</w:t>
            </w:r>
          </w:p>
          <w:p w:rsidR="000D1DE1" w:rsidRPr="00C05920" w:rsidRDefault="000D1DE1" w:rsidP="000D1DE1">
            <w:pPr>
              <w:spacing w:before="120" w:after="120"/>
              <w:rPr>
                <w:b/>
              </w:rPr>
            </w:pPr>
            <w:r w:rsidRPr="00C05920">
              <w:rPr>
                <w:b/>
              </w:rPr>
              <w:t xml:space="preserve">On review of a continuing authorisation period </w:t>
            </w:r>
          </w:p>
          <w:p w:rsidR="000D1DE1" w:rsidRDefault="000D1DE1" w:rsidP="000D1DE1">
            <w:pPr>
              <w:spacing w:before="120" w:after="120"/>
            </w:pPr>
            <w:r>
              <w:t xml:space="preserve"> </w:t>
            </w:r>
          </w:p>
          <w:p w:rsidR="000D1DE1" w:rsidRDefault="000D1DE1" w:rsidP="000D1DE1">
            <w:pPr>
              <w:spacing w:before="120" w:after="120"/>
            </w:pPr>
            <w:r>
              <w:t xml:space="preserve">Clinical effectiveness of Ig therapy may be demonstrated by: </w:t>
            </w:r>
          </w:p>
          <w:p w:rsidR="000D1DE1" w:rsidRDefault="000D1DE1" w:rsidP="0021595B">
            <w:pPr>
              <w:pStyle w:val="ListParagraph"/>
              <w:numPr>
                <w:ilvl w:val="0"/>
                <w:numId w:val="49"/>
              </w:numPr>
              <w:spacing w:before="120" w:after="120"/>
              <w:ind w:left="678"/>
            </w:pPr>
            <w:r>
              <w:t>Definite clinical improvement or stability in symptoms (including psychiatric behaviour, cognitive dysfunction, seizures, movement disorders) compared to the previous review</w:t>
            </w:r>
          </w:p>
          <w:p w:rsidR="000D1DE1" w:rsidRDefault="000D1DE1" w:rsidP="00F2331E">
            <w:pPr>
              <w:spacing w:before="120" w:after="120"/>
            </w:pPr>
            <w:r>
              <w:t>AND</w:t>
            </w:r>
          </w:p>
          <w:p w:rsidR="000D1DE1" w:rsidRDefault="000D1DE1" w:rsidP="0021595B">
            <w:pPr>
              <w:pStyle w:val="ListParagraph"/>
              <w:numPr>
                <w:ilvl w:val="0"/>
                <w:numId w:val="49"/>
              </w:numPr>
              <w:spacing w:before="120" w:after="120"/>
              <w:ind w:left="678"/>
            </w:pPr>
            <w:r>
              <w:t>No further deterioration in disability as measured by a Modified Rankin Score that is greater than or equal to the previous review score</w:t>
            </w:r>
          </w:p>
          <w:p w:rsidR="000D1DE1" w:rsidRDefault="000D1DE1" w:rsidP="00F2331E">
            <w:pPr>
              <w:spacing w:before="120" w:after="120"/>
            </w:pPr>
            <w:r>
              <w:t>AND</w:t>
            </w:r>
          </w:p>
          <w:p w:rsidR="000D1DE1" w:rsidRDefault="000D1DE1" w:rsidP="0021595B">
            <w:pPr>
              <w:pStyle w:val="ListParagraph"/>
              <w:numPr>
                <w:ilvl w:val="0"/>
                <w:numId w:val="49"/>
              </w:numPr>
              <w:spacing w:before="120" w:after="120"/>
              <w:ind w:left="678"/>
            </w:pPr>
            <w:r>
              <w:lastRenderedPageBreak/>
              <w:t>A trial of weaning is planned or a valid reason provided as to why a trial is not being planned or is contraindicated at this time.</w:t>
            </w:r>
          </w:p>
          <w:p w:rsidR="000D1DE1" w:rsidRPr="00DC701C" w:rsidRDefault="000D1DE1" w:rsidP="000D1DE1">
            <w:pPr>
              <w:spacing w:before="120" w:after="120"/>
              <w:rPr>
                <w:rFonts w:asciiTheme="minorHAnsi" w:hAnsiTheme="minorHAnsi"/>
                <w:b/>
              </w:rPr>
            </w:pPr>
            <w:r w:rsidRPr="00DC701C">
              <w:rPr>
                <w:rFonts w:asciiTheme="minorHAnsi" w:hAnsiTheme="minorHAnsi"/>
                <w:b/>
              </w:rPr>
              <w:t xml:space="preserve">Suspected AMAE -  results not available or sero-negative AMAE or sero negative limbic encephalitis </w:t>
            </w:r>
          </w:p>
          <w:p w:rsidR="000D1DE1" w:rsidRPr="00DC701C" w:rsidRDefault="000D1DE1" w:rsidP="000D1DE1">
            <w:pPr>
              <w:spacing w:before="120" w:after="120"/>
              <w:rPr>
                <w:rFonts w:asciiTheme="minorHAnsi" w:hAnsiTheme="minorHAnsi"/>
              </w:rPr>
            </w:pPr>
          </w:p>
          <w:p w:rsidR="000D1DE1" w:rsidRPr="00DC701C" w:rsidRDefault="0015147E" w:rsidP="000D1DE1">
            <w:pPr>
              <w:spacing w:before="120" w:after="120"/>
              <w:rPr>
                <w:rFonts w:asciiTheme="minorHAnsi" w:hAnsiTheme="minorHAnsi"/>
              </w:rPr>
            </w:pPr>
            <w:r>
              <w:rPr>
                <w:rFonts w:asciiTheme="minorHAnsi" w:hAnsiTheme="minorHAnsi"/>
              </w:rPr>
              <w:t>IVIg</w:t>
            </w:r>
            <w:r w:rsidR="000D1DE1" w:rsidRPr="00DC701C">
              <w:rPr>
                <w:rFonts w:asciiTheme="minorHAnsi" w:hAnsiTheme="minorHAnsi"/>
              </w:rPr>
              <w:t xml:space="preserve"> should be used for a maximum of three months (induction plus two maintenance cycles) before determining whether the patient has responded. However if a patient has not responded within the first month, the addition of second line treatment should be considered well before the end of that three month period.  </w:t>
            </w:r>
          </w:p>
          <w:p w:rsidR="000D1DE1" w:rsidRPr="00DC701C" w:rsidRDefault="000D1DE1" w:rsidP="000D1DE1">
            <w:pPr>
              <w:spacing w:before="120" w:after="120"/>
              <w:rPr>
                <w:rFonts w:asciiTheme="minorHAnsi" w:hAnsiTheme="minorHAnsi"/>
              </w:rPr>
            </w:pPr>
            <w:r w:rsidRPr="00DC701C">
              <w:rPr>
                <w:rFonts w:asciiTheme="minorHAnsi" w:hAnsiTheme="minorHAnsi"/>
              </w:rPr>
              <w:t xml:space="preserve">Review by a </w:t>
            </w:r>
            <w:r w:rsidR="00A44D77">
              <w:rPr>
                <w:rFonts w:asciiTheme="minorHAnsi" w:hAnsiTheme="minorHAnsi"/>
              </w:rPr>
              <w:t>N</w:t>
            </w:r>
            <w:r w:rsidRPr="00DC701C">
              <w:rPr>
                <w:rFonts w:asciiTheme="minorHAnsi" w:hAnsiTheme="minorHAnsi"/>
              </w:rPr>
              <w:t>eurologist is required within 3 months of treatment to determine whether the patient has responded</w:t>
            </w:r>
            <w:r w:rsidR="0082443A">
              <w:rPr>
                <w:rFonts w:asciiTheme="minorHAnsi" w:hAnsiTheme="minorHAnsi"/>
              </w:rPr>
              <w:t>, and six monthly thereafter</w:t>
            </w:r>
            <w:r w:rsidRPr="00DC701C">
              <w:rPr>
                <w:rFonts w:asciiTheme="minorHAnsi" w:hAnsiTheme="minorHAnsi"/>
              </w:rPr>
              <w:t xml:space="preserve">. </w:t>
            </w:r>
          </w:p>
          <w:p w:rsidR="000D1DE1" w:rsidRPr="00DC701C" w:rsidRDefault="000D1DE1" w:rsidP="000D1DE1">
            <w:pPr>
              <w:spacing w:before="120" w:after="120"/>
              <w:rPr>
                <w:rFonts w:asciiTheme="minorHAnsi" w:hAnsiTheme="minorHAnsi"/>
              </w:rPr>
            </w:pPr>
            <w:r w:rsidRPr="00DC701C">
              <w:rPr>
                <w:rFonts w:asciiTheme="minorHAnsi" w:hAnsiTheme="minorHAnsi"/>
              </w:rPr>
              <w:t xml:space="preserve">Documentation of clinical effectiveness is necessary for continuation of </w:t>
            </w:r>
            <w:r w:rsidR="0015147E">
              <w:rPr>
                <w:rFonts w:asciiTheme="minorHAnsi" w:hAnsiTheme="minorHAnsi"/>
              </w:rPr>
              <w:t>IVIg</w:t>
            </w:r>
            <w:r w:rsidRPr="00DC701C">
              <w:rPr>
                <w:rFonts w:asciiTheme="minorHAnsi" w:hAnsiTheme="minorHAnsi"/>
              </w:rPr>
              <w:t xml:space="preserve"> therapy.  </w:t>
            </w:r>
          </w:p>
          <w:p w:rsidR="000D1DE1" w:rsidRPr="00DC701C" w:rsidRDefault="000D1DE1" w:rsidP="000D1DE1">
            <w:pPr>
              <w:spacing w:before="120" w:after="120"/>
              <w:rPr>
                <w:rFonts w:asciiTheme="minorHAnsi" w:hAnsiTheme="minorHAnsi"/>
              </w:rPr>
            </w:pPr>
          </w:p>
          <w:p w:rsidR="000D1DE1" w:rsidRPr="00DC3758" w:rsidRDefault="000D1DE1" w:rsidP="000D1DE1">
            <w:pPr>
              <w:spacing w:before="120" w:after="120"/>
              <w:rPr>
                <w:rFonts w:asciiTheme="minorHAnsi" w:hAnsiTheme="minorHAnsi"/>
                <w:b/>
              </w:rPr>
            </w:pPr>
            <w:r w:rsidRPr="00DC3758">
              <w:rPr>
                <w:rFonts w:asciiTheme="minorHAnsi" w:hAnsiTheme="minorHAnsi"/>
                <w:b/>
              </w:rPr>
              <w:t>On review of the initial authorisation period</w:t>
            </w:r>
          </w:p>
          <w:p w:rsidR="000D1DE1" w:rsidRDefault="000D1DE1" w:rsidP="000D1DE1">
            <w:pPr>
              <w:spacing w:before="120" w:after="120"/>
              <w:rPr>
                <w:rFonts w:asciiTheme="minorHAnsi" w:hAnsiTheme="minorHAnsi"/>
              </w:rPr>
            </w:pPr>
            <w:r w:rsidRPr="00DC701C">
              <w:rPr>
                <w:rFonts w:asciiTheme="minorHAnsi" w:hAnsiTheme="minorHAnsi"/>
              </w:rPr>
              <w:t>Clinical effectiveness of Ig therapy</w:t>
            </w:r>
            <w:r w:rsidR="00D3217D">
              <w:rPr>
                <w:rFonts w:asciiTheme="minorHAnsi" w:hAnsiTheme="minorHAnsi"/>
              </w:rPr>
              <w:t xml:space="preserve">, or criteria for continued </w:t>
            </w:r>
            <w:r w:rsidR="00B6336D">
              <w:rPr>
                <w:rFonts w:asciiTheme="minorHAnsi" w:hAnsiTheme="minorHAnsi"/>
              </w:rPr>
              <w:t>use</w:t>
            </w:r>
            <w:r w:rsidR="00B6336D" w:rsidRPr="00DC701C">
              <w:rPr>
                <w:rFonts w:asciiTheme="minorHAnsi" w:hAnsiTheme="minorHAnsi"/>
              </w:rPr>
              <w:t xml:space="preserve"> may</w:t>
            </w:r>
            <w:r w:rsidRPr="00DC701C">
              <w:rPr>
                <w:rFonts w:asciiTheme="minorHAnsi" w:hAnsiTheme="minorHAnsi"/>
              </w:rPr>
              <w:t xml:space="preserve"> </w:t>
            </w:r>
            <w:r w:rsidR="00156033">
              <w:rPr>
                <w:rFonts w:asciiTheme="minorHAnsi" w:hAnsiTheme="minorHAnsi"/>
              </w:rPr>
              <w:t>include</w:t>
            </w:r>
            <w:r w:rsidRPr="00DC701C">
              <w:rPr>
                <w:rFonts w:asciiTheme="minorHAnsi" w:hAnsiTheme="minorHAnsi"/>
              </w:rPr>
              <w:t>:</w:t>
            </w:r>
          </w:p>
          <w:p w:rsidR="006452D5" w:rsidRPr="00700139" w:rsidRDefault="006452D5" w:rsidP="006452D5">
            <w:pPr>
              <w:spacing w:before="120" w:after="120"/>
              <w:rPr>
                <w:rFonts w:asciiTheme="minorHAnsi" w:hAnsiTheme="minorHAnsi"/>
              </w:rPr>
            </w:pPr>
            <w:r>
              <w:rPr>
                <w:rFonts w:asciiTheme="minorHAnsi" w:hAnsiTheme="minorHAnsi"/>
              </w:rPr>
              <w:t>[Group 1]</w:t>
            </w:r>
          </w:p>
          <w:p w:rsidR="006452D5" w:rsidRPr="00DC701C" w:rsidRDefault="006452D5" w:rsidP="000D1DE1">
            <w:pPr>
              <w:spacing w:before="120" w:after="120"/>
              <w:rPr>
                <w:rFonts w:asciiTheme="minorHAnsi" w:hAnsiTheme="minorHAnsi"/>
              </w:rPr>
            </w:pPr>
          </w:p>
          <w:p w:rsidR="000D1DE1" w:rsidRDefault="000D1DE1" w:rsidP="00282334">
            <w:pPr>
              <w:pStyle w:val="ListParagraph"/>
              <w:numPr>
                <w:ilvl w:val="0"/>
                <w:numId w:val="49"/>
              </w:numPr>
              <w:spacing w:before="120" w:after="120"/>
              <w:ind w:left="369"/>
              <w:rPr>
                <w:rFonts w:asciiTheme="minorHAnsi" w:hAnsiTheme="minorHAnsi"/>
              </w:rPr>
            </w:pPr>
            <w:r w:rsidRPr="00DC701C">
              <w:rPr>
                <w:rFonts w:asciiTheme="minorHAnsi" w:hAnsiTheme="minorHAnsi"/>
              </w:rPr>
              <w:t xml:space="preserve">Clinically significant improvement in the severity of symptoms (including working memory deficit/ short term memory loss, altered memory status or psychiatric symptoms) compared to the severity of symptoms at </w:t>
            </w:r>
            <w:r w:rsidRPr="00DC701C">
              <w:rPr>
                <w:rFonts w:asciiTheme="minorHAnsi" w:hAnsiTheme="minorHAnsi"/>
              </w:rPr>
              <w:lastRenderedPageBreak/>
              <w:t>qualifying.</w:t>
            </w:r>
          </w:p>
          <w:p w:rsidR="000D1DE1" w:rsidRPr="00DC701C" w:rsidRDefault="000D1DE1" w:rsidP="005C3C0C">
            <w:pPr>
              <w:spacing w:before="120" w:after="120"/>
              <w:jc w:val="center"/>
              <w:rPr>
                <w:rFonts w:asciiTheme="minorHAnsi" w:hAnsiTheme="minorHAnsi"/>
              </w:rPr>
            </w:pPr>
            <w:r w:rsidRPr="00DC701C">
              <w:rPr>
                <w:rFonts w:asciiTheme="minorHAnsi" w:hAnsiTheme="minorHAnsi"/>
              </w:rPr>
              <w:t>AND</w:t>
            </w:r>
          </w:p>
          <w:p w:rsidR="000D1DE1" w:rsidRDefault="000D1DE1" w:rsidP="0021595B">
            <w:pPr>
              <w:pStyle w:val="ListParagraph"/>
              <w:numPr>
                <w:ilvl w:val="0"/>
                <w:numId w:val="49"/>
              </w:numPr>
              <w:spacing w:before="120" w:after="120"/>
              <w:ind w:left="395"/>
              <w:rPr>
                <w:rFonts w:asciiTheme="minorHAnsi" w:hAnsiTheme="minorHAnsi"/>
              </w:rPr>
            </w:pPr>
            <w:r w:rsidRPr="00DC701C">
              <w:rPr>
                <w:rFonts w:asciiTheme="minorHAnsi" w:hAnsiTheme="minorHAnsi"/>
              </w:rPr>
              <w:t>No further deterioration in function as assessed by the Modified Rankin Score compared to the qualifying assessment</w:t>
            </w:r>
          </w:p>
          <w:p w:rsidR="000D1DE1" w:rsidRPr="00DC701C" w:rsidRDefault="000D1DE1" w:rsidP="00F2331E">
            <w:pPr>
              <w:spacing w:before="120" w:after="120"/>
              <w:rPr>
                <w:rFonts w:asciiTheme="minorHAnsi" w:hAnsiTheme="minorHAnsi"/>
              </w:rPr>
            </w:pPr>
            <w:r w:rsidRPr="00DC701C">
              <w:rPr>
                <w:rFonts w:asciiTheme="minorHAnsi" w:hAnsiTheme="minorHAnsi"/>
              </w:rPr>
              <w:t>OR</w:t>
            </w:r>
          </w:p>
          <w:p w:rsidR="000D1DE1" w:rsidRDefault="000D1DE1" w:rsidP="0021595B">
            <w:pPr>
              <w:pStyle w:val="ListParagraph"/>
              <w:numPr>
                <w:ilvl w:val="0"/>
                <w:numId w:val="49"/>
              </w:numPr>
              <w:spacing w:before="120" w:after="120"/>
              <w:ind w:left="395"/>
              <w:rPr>
                <w:rFonts w:asciiTheme="minorHAnsi" w:hAnsiTheme="minorHAnsi"/>
              </w:rPr>
            </w:pPr>
            <w:r w:rsidRPr="00DC701C">
              <w:rPr>
                <w:rFonts w:asciiTheme="minorHAnsi" w:hAnsiTheme="minorHAnsi"/>
              </w:rPr>
              <w:t>No significant improvement in the severity of symptoms (including working memory deficit/ short term memory loss, altered memory status or psychiatric symptoms) or disability as measured by Modified Rankin Score compared to the qualifying assessment.</w:t>
            </w:r>
          </w:p>
          <w:p w:rsidR="000D1DE1" w:rsidRPr="00DC701C" w:rsidRDefault="000D1DE1" w:rsidP="005C3C0C">
            <w:pPr>
              <w:spacing w:before="120" w:after="120"/>
              <w:jc w:val="center"/>
              <w:rPr>
                <w:rFonts w:asciiTheme="minorHAnsi" w:hAnsiTheme="minorHAnsi"/>
              </w:rPr>
            </w:pPr>
            <w:r w:rsidRPr="00DC701C">
              <w:rPr>
                <w:rFonts w:asciiTheme="minorHAnsi" w:hAnsiTheme="minorHAnsi"/>
              </w:rPr>
              <w:t>AND</w:t>
            </w:r>
          </w:p>
          <w:p w:rsidR="000D1DE1" w:rsidRPr="00DC701C" w:rsidRDefault="000D1DE1" w:rsidP="0021595B">
            <w:pPr>
              <w:pStyle w:val="ListParagraph"/>
              <w:numPr>
                <w:ilvl w:val="0"/>
                <w:numId w:val="49"/>
              </w:numPr>
              <w:spacing w:before="120" w:after="120"/>
              <w:ind w:left="395"/>
              <w:rPr>
                <w:rFonts w:asciiTheme="minorHAnsi" w:hAnsiTheme="minorHAnsi"/>
              </w:rPr>
            </w:pPr>
            <w:r w:rsidRPr="00DC701C">
              <w:rPr>
                <w:rFonts w:asciiTheme="minorHAnsi" w:hAnsiTheme="minorHAnsi"/>
              </w:rPr>
              <w:t>Second line treatment with immuno-suppressant agents has been commenced</w:t>
            </w:r>
          </w:p>
          <w:p w:rsidR="000D1DE1" w:rsidRDefault="000D1DE1" w:rsidP="00F2331E">
            <w:pPr>
              <w:spacing w:before="120" w:after="120"/>
              <w:rPr>
                <w:rFonts w:asciiTheme="minorHAnsi" w:hAnsiTheme="minorHAnsi"/>
              </w:rPr>
            </w:pPr>
            <w:r w:rsidRPr="00DC701C">
              <w:rPr>
                <w:rFonts w:asciiTheme="minorHAnsi" w:hAnsiTheme="minorHAnsi"/>
              </w:rPr>
              <w:t>AND</w:t>
            </w:r>
          </w:p>
          <w:p w:rsidR="006452D5" w:rsidRPr="00700139" w:rsidRDefault="006452D5" w:rsidP="006452D5">
            <w:pPr>
              <w:spacing w:before="120" w:after="120"/>
              <w:rPr>
                <w:rFonts w:asciiTheme="minorHAnsi" w:hAnsiTheme="minorHAnsi"/>
              </w:rPr>
            </w:pPr>
            <w:r>
              <w:rPr>
                <w:rFonts w:asciiTheme="minorHAnsi" w:hAnsiTheme="minorHAnsi"/>
              </w:rPr>
              <w:t>[Group 2]</w:t>
            </w:r>
          </w:p>
          <w:p w:rsidR="006452D5" w:rsidRPr="00DC701C" w:rsidRDefault="006452D5" w:rsidP="00F2331E">
            <w:pPr>
              <w:spacing w:before="120" w:after="120"/>
              <w:rPr>
                <w:rFonts w:asciiTheme="minorHAnsi" w:hAnsiTheme="minorHAnsi"/>
              </w:rPr>
            </w:pPr>
          </w:p>
          <w:p w:rsidR="000D1DE1" w:rsidRDefault="000D1DE1" w:rsidP="0021595B">
            <w:pPr>
              <w:pStyle w:val="ListParagraph"/>
              <w:numPr>
                <w:ilvl w:val="0"/>
                <w:numId w:val="49"/>
              </w:numPr>
              <w:spacing w:before="120" w:after="120"/>
              <w:ind w:left="395"/>
              <w:rPr>
                <w:rFonts w:asciiTheme="minorHAnsi" w:hAnsiTheme="minorHAnsi"/>
              </w:rPr>
            </w:pPr>
            <w:r w:rsidRPr="00DC701C">
              <w:rPr>
                <w:rFonts w:asciiTheme="minorHAnsi" w:hAnsiTheme="minorHAnsi"/>
              </w:rPr>
              <w:t>Testing confirms the presence of antibodies against neural cell surface antigens</w:t>
            </w:r>
          </w:p>
          <w:p w:rsidR="000D1DE1" w:rsidRPr="00DC701C" w:rsidRDefault="000D1DE1" w:rsidP="00191734">
            <w:pPr>
              <w:spacing w:before="120" w:after="120"/>
              <w:jc w:val="center"/>
              <w:rPr>
                <w:rFonts w:asciiTheme="minorHAnsi" w:hAnsiTheme="minorHAnsi"/>
              </w:rPr>
            </w:pPr>
            <w:r w:rsidRPr="00DC701C">
              <w:rPr>
                <w:rFonts w:asciiTheme="minorHAnsi" w:hAnsiTheme="minorHAnsi"/>
              </w:rPr>
              <w:t>OR</w:t>
            </w:r>
          </w:p>
          <w:p w:rsidR="000D1DE1" w:rsidRDefault="000D1DE1" w:rsidP="0021595B">
            <w:pPr>
              <w:pStyle w:val="ListParagraph"/>
              <w:numPr>
                <w:ilvl w:val="0"/>
                <w:numId w:val="49"/>
              </w:numPr>
              <w:spacing w:before="120" w:after="120"/>
              <w:ind w:left="395"/>
              <w:rPr>
                <w:rFonts w:asciiTheme="minorHAnsi" w:hAnsiTheme="minorHAnsi"/>
              </w:rPr>
            </w:pPr>
            <w:r w:rsidRPr="00DC701C">
              <w:rPr>
                <w:rFonts w:asciiTheme="minorHAnsi" w:hAnsiTheme="minorHAnsi"/>
              </w:rPr>
              <w:t>Patient is seronegative to all antibody testing</w:t>
            </w:r>
          </w:p>
          <w:p w:rsidR="008777E9" w:rsidRDefault="008777E9" w:rsidP="00156033">
            <w:pPr>
              <w:pStyle w:val="ListParagraph"/>
              <w:spacing w:before="120" w:after="120"/>
              <w:ind w:left="395"/>
              <w:rPr>
                <w:rFonts w:asciiTheme="minorHAnsi" w:hAnsiTheme="minorHAnsi"/>
              </w:rPr>
            </w:pPr>
          </w:p>
          <w:p w:rsidR="000D1DE1" w:rsidRPr="00DC701C" w:rsidRDefault="000D1DE1" w:rsidP="0021595B">
            <w:pPr>
              <w:spacing w:before="120" w:after="120"/>
              <w:rPr>
                <w:rFonts w:asciiTheme="minorHAnsi" w:hAnsiTheme="minorHAnsi"/>
              </w:rPr>
            </w:pPr>
            <w:r w:rsidRPr="00DC3758">
              <w:rPr>
                <w:rFonts w:asciiTheme="minorHAnsi" w:hAnsiTheme="minorHAnsi"/>
                <w:b/>
              </w:rPr>
              <w:t xml:space="preserve">On review of a continuing authorisation period </w:t>
            </w:r>
          </w:p>
          <w:p w:rsidR="000D1DE1" w:rsidRPr="00DC701C" w:rsidRDefault="000D1DE1" w:rsidP="000D1DE1">
            <w:pPr>
              <w:spacing w:before="120" w:after="120"/>
              <w:rPr>
                <w:rFonts w:asciiTheme="minorHAnsi" w:hAnsiTheme="minorHAnsi"/>
              </w:rPr>
            </w:pPr>
            <w:r w:rsidRPr="00DC701C">
              <w:rPr>
                <w:rFonts w:asciiTheme="minorHAnsi" w:hAnsiTheme="minorHAnsi"/>
              </w:rPr>
              <w:t xml:space="preserve">Clinical effectiveness of Ig therapy may be demonstrated by: </w:t>
            </w:r>
          </w:p>
          <w:p w:rsidR="000D1DE1" w:rsidRDefault="000D1DE1" w:rsidP="0021595B">
            <w:pPr>
              <w:pStyle w:val="ListParagraph"/>
              <w:numPr>
                <w:ilvl w:val="0"/>
                <w:numId w:val="49"/>
              </w:numPr>
              <w:spacing w:before="120" w:after="120"/>
              <w:ind w:left="395"/>
              <w:rPr>
                <w:rFonts w:asciiTheme="minorHAnsi" w:hAnsiTheme="minorHAnsi"/>
              </w:rPr>
            </w:pPr>
            <w:r w:rsidRPr="00DC701C">
              <w:rPr>
                <w:rFonts w:asciiTheme="minorHAnsi" w:hAnsiTheme="minorHAnsi"/>
              </w:rPr>
              <w:t xml:space="preserve">Definite clinical improvement or stability in symptoms </w:t>
            </w:r>
            <w:r w:rsidRPr="00DC701C">
              <w:rPr>
                <w:rFonts w:asciiTheme="minorHAnsi" w:hAnsiTheme="minorHAnsi"/>
              </w:rPr>
              <w:lastRenderedPageBreak/>
              <w:t>compared to the previous review</w:t>
            </w:r>
          </w:p>
          <w:p w:rsidR="000D1DE1" w:rsidRPr="00DC701C" w:rsidRDefault="000D1DE1" w:rsidP="00F2331E">
            <w:pPr>
              <w:spacing w:before="120" w:after="120"/>
              <w:rPr>
                <w:rFonts w:asciiTheme="minorHAnsi" w:hAnsiTheme="minorHAnsi"/>
              </w:rPr>
            </w:pPr>
            <w:r w:rsidRPr="00DC701C">
              <w:rPr>
                <w:rFonts w:asciiTheme="minorHAnsi" w:hAnsiTheme="minorHAnsi"/>
              </w:rPr>
              <w:t>AND</w:t>
            </w:r>
          </w:p>
          <w:p w:rsidR="000D1DE1" w:rsidRDefault="000D1DE1" w:rsidP="00191734">
            <w:pPr>
              <w:pStyle w:val="ListParagraph"/>
              <w:numPr>
                <w:ilvl w:val="0"/>
                <w:numId w:val="49"/>
              </w:numPr>
              <w:spacing w:before="120" w:after="120"/>
              <w:ind w:left="369" w:hanging="284"/>
              <w:rPr>
                <w:rFonts w:asciiTheme="minorHAnsi" w:hAnsiTheme="minorHAnsi"/>
              </w:rPr>
            </w:pPr>
            <w:r w:rsidRPr="00DC701C">
              <w:rPr>
                <w:rFonts w:asciiTheme="minorHAnsi" w:hAnsiTheme="minorHAnsi"/>
              </w:rPr>
              <w:t>No further deterioration in disability as measured by a Modified Rankin Score that is greater than or equal to the previous review score</w:t>
            </w:r>
          </w:p>
          <w:p w:rsidR="000D1DE1" w:rsidRPr="00DC701C" w:rsidRDefault="000D1DE1" w:rsidP="00F2331E">
            <w:pPr>
              <w:spacing w:before="120" w:after="120"/>
              <w:rPr>
                <w:rFonts w:asciiTheme="minorHAnsi" w:hAnsiTheme="minorHAnsi"/>
              </w:rPr>
            </w:pPr>
            <w:r w:rsidRPr="00DC701C">
              <w:rPr>
                <w:rFonts w:asciiTheme="minorHAnsi" w:hAnsiTheme="minorHAnsi"/>
              </w:rPr>
              <w:t>AND</w:t>
            </w:r>
          </w:p>
          <w:p w:rsidR="00021243" w:rsidRPr="0011109B" w:rsidRDefault="000D1DE1" w:rsidP="00191734">
            <w:pPr>
              <w:pStyle w:val="ListParagraph"/>
              <w:numPr>
                <w:ilvl w:val="0"/>
                <w:numId w:val="49"/>
              </w:numPr>
              <w:spacing w:before="120" w:after="120"/>
              <w:ind w:left="369" w:hanging="284"/>
            </w:pPr>
            <w:r w:rsidRPr="00DC701C">
              <w:rPr>
                <w:rFonts w:asciiTheme="minorHAnsi" w:hAnsiTheme="minorHAnsi"/>
              </w:rPr>
              <w:t>A trial of weaning is planned or a valid reason provided as to why a trial is not being planned or is contraindicated at this time.</w:t>
            </w:r>
            <w:r w:rsidR="00341D20" w:rsidRPr="00544D71">
              <w:rPr>
                <w:b/>
              </w:rPr>
              <w:t xml:space="preserve"> </w:t>
            </w:r>
          </w:p>
        </w:tc>
        <w:tc>
          <w:tcPr>
            <w:tcW w:w="3254" w:type="dxa"/>
          </w:tcPr>
          <w:p w:rsidR="0021595B" w:rsidRDefault="00026B75" w:rsidP="00021243">
            <w:pPr>
              <w:spacing w:before="120" w:after="120"/>
              <w:rPr>
                <w:rFonts w:asciiTheme="minorHAnsi" w:hAnsiTheme="minorHAnsi"/>
              </w:rPr>
            </w:pPr>
            <w:r w:rsidRPr="00DC3758">
              <w:rPr>
                <w:rFonts w:asciiTheme="minorHAnsi" w:hAnsiTheme="minorHAnsi"/>
              </w:rPr>
              <w:lastRenderedPageBreak/>
              <w:t xml:space="preserve">If a significant improvement in symptoms has not been demonstrated after 3 months Ig therapy at the initial review, a second line immunosuppressant agent must have been added to the patient treatment. </w:t>
            </w:r>
          </w:p>
          <w:p w:rsidR="0021595B" w:rsidRDefault="0021595B" w:rsidP="00021243">
            <w:pPr>
              <w:spacing w:before="120" w:after="120"/>
              <w:rPr>
                <w:rFonts w:asciiTheme="minorHAnsi" w:hAnsiTheme="minorHAnsi"/>
              </w:rPr>
            </w:pPr>
          </w:p>
          <w:p w:rsidR="00BD6C2D" w:rsidRPr="00C92149" w:rsidRDefault="00026B75" w:rsidP="00021243">
            <w:pPr>
              <w:spacing w:before="120" w:after="120"/>
              <w:rPr>
                <w:szCs w:val="20"/>
              </w:rPr>
            </w:pPr>
            <w:r w:rsidRPr="00DC3758">
              <w:rPr>
                <w:rFonts w:asciiTheme="minorHAnsi" w:hAnsiTheme="minorHAnsi"/>
              </w:rPr>
              <w:t>At the continuing review, stable or improvement in symptoms</w:t>
            </w:r>
            <w:r w:rsidR="00BA4990">
              <w:rPr>
                <w:rFonts w:asciiTheme="minorHAnsi" w:hAnsiTheme="minorHAnsi"/>
              </w:rPr>
              <w:t xml:space="preserve"> must have been demonstrated with</w:t>
            </w:r>
            <w:r w:rsidRPr="00DC3758">
              <w:rPr>
                <w:rFonts w:asciiTheme="minorHAnsi" w:hAnsiTheme="minorHAnsi"/>
              </w:rPr>
              <w:t xml:space="preserve"> no deterioration in disability</w:t>
            </w:r>
            <w:r w:rsidR="005F3AB7">
              <w:rPr>
                <w:rFonts w:asciiTheme="minorHAnsi" w:hAnsiTheme="minorHAnsi"/>
              </w:rPr>
              <w:t>.</w:t>
            </w:r>
          </w:p>
          <w:p w:rsidR="00BD6C2D" w:rsidRPr="00C92149" w:rsidRDefault="00BD6C2D" w:rsidP="00021243">
            <w:pPr>
              <w:spacing w:before="120" w:after="120"/>
              <w:rPr>
                <w:rFonts w:asciiTheme="minorHAnsi" w:hAnsiTheme="minorHAnsi"/>
                <w:szCs w:val="20"/>
              </w:rPr>
            </w:pPr>
          </w:p>
        </w:tc>
      </w:tr>
      <w:tr w:rsidR="00846B19" w:rsidRPr="00853117" w:rsidTr="00B8398C">
        <w:tc>
          <w:tcPr>
            <w:tcW w:w="1540" w:type="dxa"/>
            <w:shd w:val="clear" w:color="auto" w:fill="D9D9D9" w:themeFill="background1" w:themeFillShade="D9"/>
          </w:tcPr>
          <w:p w:rsidR="00021243" w:rsidRPr="00447869" w:rsidRDefault="00021243" w:rsidP="0044512A">
            <w:pPr>
              <w:rPr>
                <w:rFonts w:asciiTheme="minorHAnsi" w:hAnsiTheme="minorHAnsi"/>
              </w:rPr>
            </w:pPr>
            <w:r w:rsidRPr="0044512A">
              <w:rPr>
                <w:b/>
              </w:rPr>
              <w:lastRenderedPageBreak/>
              <w:t>Dose</w:t>
            </w:r>
          </w:p>
        </w:tc>
        <w:tc>
          <w:tcPr>
            <w:tcW w:w="3938" w:type="dxa"/>
          </w:tcPr>
          <w:p w:rsidR="000D1DE1" w:rsidRPr="00202AAE" w:rsidRDefault="00021243" w:rsidP="000D1DE1">
            <w:pPr>
              <w:spacing w:before="120" w:after="120"/>
              <w:rPr>
                <w:rFonts w:asciiTheme="minorHAnsi" w:hAnsiTheme="minorHAnsi"/>
                <w:b/>
              </w:rPr>
            </w:pPr>
            <w:r>
              <w:rPr>
                <w:rFonts w:cs="DIN-Medium"/>
                <w:color w:val="000000"/>
                <w:sz w:val="18"/>
                <w:szCs w:val="18"/>
              </w:rPr>
              <w:t xml:space="preserve"> </w:t>
            </w:r>
            <w:r w:rsidR="000D1DE1" w:rsidRPr="00202AAE">
              <w:rPr>
                <w:rFonts w:asciiTheme="minorHAnsi" w:hAnsiTheme="minorHAnsi"/>
                <w:b/>
              </w:rPr>
              <w:t>Induction - 2 g/kg in 2 to 5 divided doses.</w:t>
            </w:r>
          </w:p>
          <w:p w:rsidR="000D1DE1" w:rsidRPr="00202AAE" w:rsidRDefault="0015147E" w:rsidP="000D1DE1">
            <w:pPr>
              <w:spacing w:before="120" w:after="120"/>
              <w:rPr>
                <w:rFonts w:asciiTheme="minorHAnsi" w:hAnsiTheme="minorHAnsi"/>
                <w:b/>
              </w:rPr>
            </w:pPr>
            <w:r>
              <w:rPr>
                <w:rFonts w:asciiTheme="minorHAnsi" w:hAnsiTheme="minorHAnsi"/>
                <w:b/>
              </w:rPr>
              <w:t>IVIg</w:t>
            </w:r>
            <w:r w:rsidR="000D1DE1" w:rsidRPr="00202AAE">
              <w:rPr>
                <w:rFonts w:asciiTheme="minorHAnsi" w:hAnsiTheme="minorHAnsi"/>
                <w:b/>
              </w:rPr>
              <w:t xml:space="preserve"> is approved for one induction cycle in conjunction with systemic steroids (unless contraindicated). Two subsequent monthly doses (each up to 0.4g/kg) may be given before initial review. </w:t>
            </w:r>
          </w:p>
          <w:p w:rsidR="000D1DE1" w:rsidRPr="00202AAE" w:rsidRDefault="000D1DE1" w:rsidP="000D1DE1">
            <w:pPr>
              <w:spacing w:before="120" w:after="120"/>
              <w:rPr>
                <w:rFonts w:asciiTheme="minorHAnsi" w:hAnsiTheme="minorHAnsi"/>
                <w:b/>
              </w:rPr>
            </w:pPr>
            <w:r w:rsidRPr="00202AAE">
              <w:rPr>
                <w:rFonts w:asciiTheme="minorHAnsi" w:hAnsiTheme="minorHAnsi"/>
                <w:b/>
              </w:rPr>
              <w:t>Maintenance - 0.4–1 g/kg, 4 weekly.</w:t>
            </w:r>
          </w:p>
          <w:p w:rsidR="000D1DE1" w:rsidRPr="00202AAE" w:rsidRDefault="000D1DE1" w:rsidP="000D1DE1">
            <w:pPr>
              <w:spacing w:before="120" w:after="120"/>
              <w:rPr>
                <w:rFonts w:asciiTheme="minorHAnsi" w:hAnsiTheme="minorHAnsi"/>
                <w:b/>
              </w:rPr>
            </w:pPr>
          </w:p>
          <w:p w:rsidR="000D1DE1" w:rsidRPr="00202AAE" w:rsidRDefault="000D1DE1" w:rsidP="000D1DE1">
            <w:pPr>
              <w:spacing w:before="120" w:after="120"/>
              <w:rPr>
                <w:rFonts w:asciiTheme="minorHAnsi" w:hAnsiTheme="minorHAnsi"/>
                <w:b/>
              </w:rPr>
            </w:pPr>
            <w:r w:rsidRPr="00202AAE">
              <w:rPr>
                <w:rFonts w:asciiTheme="minorHAnsi" w:hAnsiTheme="minorHAnsi"/>
                <w:b/>
              </w:rPr>
              <w:t>The aim should be to use the lowest dose possible that achieves the appropriate clinical outcome for each patient.</w:t>
            </w:r>
          </w:p>
          <w:p w:rsidR="00021243" w:rsidRPr="00447869" w:rsidRDefault="000D1DE1" w:rsidP="000D1DE1">
            <w:pPr>
              <w:spacing w:before="120" w:after="120"/>
              <w:rPr>
                <w:rFonts w:asciiTheme="minorHAnsi" w:hAnsiTheme="minorHAnsi"/>
                <w:b/>
              </w:rPr>
            </w:pPr>
            <w:r w:rsidRPr="00202AAE">
              <w:rPr>
                <w:rFonts w:asciiTheme="minorHAnsi" w:hAnsiTheme="minorHAnsi"/>
                <w:b/>
              </w:rPr>
              <w:t>Refer to the current product information sheet for further information.</w:t>
            </w:r>
          </w:p>
        </w:tc>
        <w:tc>
          <w:tcPr>
            <w:tcW w:w="5869" w:type="dxa"/>
            <w:gridSpan w:val="3"/>
          </w:tcPr>
          <w:p w:rsidR="000D1DE1" w:rsidRPr="00DC3758" w:rsidRDefault="000D1DE1" w:rsidP="000D1DE1">
            <w:pPr>
              <w:spacing w:before="120" w:after="120"/>
              <w:rPr>
                <w:rFonts w:asciiTheme="minorHAnsi" w:hAnsiTheme="minorHAnsi"/>
                <w:b/>
              </w:rPr>
            </w:pPr>
            <w:r w:rsidRPr="00DC3758">
              <w:rPr>
                <w:rFonts w:asciiTheme="minorHAnsi" w:hAnsiTheme="minorHAnsi"/>
                <w:b/>
              </w:rPr>
              <w:t xml:space="preserve">Cell surface antibody positive antibody mediated autoimmune encephalitis or </w:t>
            </w:r>
            <w:r w:rsidR="00A44D77">
              <w:rPr>
                <w:rFonts w:asciiTheme="minorHAnsi" w:hAnsiTheme="minorHAnsi"/>
                <w:b/>
              </w:rPr>
              <w:t>L</w:t>
            </w:r>
            <w:r w:rsidRPr="00DC3758">
              <w:rPr>
                <w:rFonts w:asciiTheme="minorHAnsi" w:hAnsiTheme="minorHAnsi"/>
                <w:b/>
              </w:rPr>
              <w:t>imbic encephalitis</w:t>
            </w:r>
          </w:p>
          <w:p w:rsidR="000D1DE1" w:rsidRPr="00F2331E" w:rsidRDefault="000D1DE1" w:rsidP="000D1DE1">
            <w:pPr>
              <w:spacing w:before="120" w:after="120"/>
              <w:rPr>
                <w:rFonts w:asciiTheme="minorHAnsi" w:hAnsiTheme="minorHAnsi"/>
                <w:b/>
              </w:rPr>
            </w:pPr>
            <w:r w:rsidRPr="00F2331E">
              <w:rPr>
                <w:rFonts w:asciiTheme="minorHAnsi" w:hAnsiTheme="minorHAnsi"/>
                <w:b/>
              </w:rPr>
              <w:t>Induction</w:t>
            </w:r>
            <w:r w:rsidR="00F2331E" w:rsidRPr="00F2331E">
              <w:rPr>
                <w:rFonts w:asciiTheme="minorHAnsi" w:hAnsiTheme="minorHAnsi"/>
                <w:b/>
              </w:rPr>
              <w:t xml:space="preserve"> D</w:t>
            </w:r>
            <w:r w:rsidR="00935BE4" w:rsidRPr="00F2331E">
              <w:rPr>
                <w:rFonts w:asciiTheme="minorHAnsi" w:hAnsiTheme="minorHAnsi"/>
                <w:b/>
              </w:rPr>
              <w:t>ose</w:t>
            </w:r>
            <w:r w:rsidRPr="00F2331E">
              <w:rPr>
                <w:rFonts w:asciiTheme="minorHAnsi" w:hAnsiTheme="minorHAnsi"/>
                <w:b/>
              </w:rPr>
              <w:t xml:space="preserve"> –2g/kg over 2 - 5 divided days</w:t>
            </w:r>
            <w:r w:rsidRPr="00F2331E">
              <w:rPr>
                <w:rFonts w:asciiTheme="minorHAnsi" w:hAnsiTheme="minorHAnsi"/>
              </w:rPr>
              <w:t xml:space="preserve">.  </w:t>
            </w:r>
            <w:r w:rsidR="0015147E">
              <w:rPr>
                <w:rFonts w:asciiTheme="minorHAnsi" w:hAnsiTheme="minorHAnsi"/>
              </w:rPr>
              <w:t>IVIg</w:t>
            </w:r>
            <w:r w:rsidRPr="00F2331E">
              <w:rPr>
                <w:rFonts w:asciiTheme="minorHAnsi" w:hAnsiTheme="minorHAnsi"/>
              </w:rPr>
              <w:t xml:space="preserve"> is approved for one induction cycle in conjunction with systemic steroids (unless contraindicated). Two subsequent monthly doses (each 0.4 – 1 g/kg) may be given before initial review.</w:t>
            </w:r>
            <w:r w:rsidRPr="00F2331E">
              <w:rPr>
                <w:rFonts w:asciiTheme="minorHAnsi" w:hAnsiTheme="minorHAnsi"/>
                <w:b/>
              </w:rPr>
              <w:t xml:space="preserve"> </w:t>
            </w:r>
          </w:p>
          <w:p w:rsidR="000D1DE1" w:rsidRPr="00F2331E" w:rsidRDefault="000D1DE1" w:rsidP="000D1DE1">
            <w:pPr>
              <w:spacing w:before="120" w:after="120"/>
              <w:rPr>
                <w:rFonts w:asciiTheme="minorHAnsi" w:hAnsiTheme="minorHAnsi"/>
                <w:b/>
              </w:rPr>
            </w:pPr>
          </w:p>
          <w:p w:rsidR="000D1DE1" w:rsidRPr="00F2331E" w:rsidRDefault="000D1DE1" w:rsidP="000D1DE1">
            <w:pPr>
              <w:spacing w:before="120" w:after="120"/>
              <w:rPr>
                <w:rFonts w:asciiTheme="minorHAnsi" w:hAnsiTheme="minorHAnsi"/>
                <w:b/>
              </w:rPr>
            </w:pPr>
            <w:r w:rsidRPr="00F2331E">
              <w:rPr>
                <w:rFonts w:asciiTheme="minorHAnsi" w:hAnsiTheme="minorHAnsi"/>
                <w:b/>
              </w:rPr>
              <w:t xml:space="preserve">Maintenance </w:t>
            </w:r>
            <w:r w:rsidR="00F2331E" w:rsidRPr="00F2331E">
              <w:rPr>
                <w:rFonts w:asciiTheme="minorHAnsi" w:hAnsiTheme="minorHAnsi"/>
                <w:b/>
              </w:rPr>
              <w:t>D</w:t>
            </w:r>
            <w:r w:rsidR="00935BE4" w:rsidRPr="00F2331E">
              <w:rPr>
                <w:rFonts w:asciiTheme="minorHAnsi" w:hAnsiTheme="minorHAnsi"/>
                <w:b/>
              </w:rPr>
              <w:t>ose</w:t>
            </w:r>
            <w:r w:rsidRPr="00F2331E">
              <w:rPr>
                <w:rFonts w:asciiTheme="minorHAnsi" w:hAnsiTheme="minorHAnsi"/>
                <w:b/>
              </w:rPr>
              <w:t>- 0.4–1 g/kg, 4 weekly.</w:t>
            </w:r>
          </w:p>
          <w:p w:rsidR="000D1DE1" w:rsidRPr="00DC701C" w:rsidRDefault="000D1DE1" w:rsidP="000D1DE1">
            <w:pPr>
              <w:spacing w:before="120" w:after="120"/>
              <w:rPr>
                <w:rFonts w:asciiTheme="minorHAnsi" w:hAnsiTheme="minorHAnsi"/>
              </w:rPr>
            </w:pPr>
          </w:p>
          <w:p w:rsidR="000D1DE1" w:rsidRPr="00DC3758" w:rsidRDefault="000D1DE1" w:rsidP="000D1DE1">
            <w:pPr>
              <w:spacing w:before="120" w:after="120"/>
              <w:rPr>
                <w:rFonts w:asciiTheme="minorHAnsi" w:hAnsiTheme="minorHAnsi"/>
                <w:b/>
              </w:rPr>
            </w:pPr>
            <w:r w:rsidRPr="00DC3758">
              <w:rPr>
                <w:rFonts w:asciiTheme="minorHAnsi" w:hAnsiTheme="minorHAnsi"/>
                <w:b/>
              </w:rPr>
              <w:t>The aim should be to use the lowest dose possible that achieves the appropriate clinical outcome for each patient.</w:t>
            </w:r>
          </w:p>
          <w:p w:rsidR="000D1DE1" w:rsidRPr="00DC3758" w:rsidRDefault="000D1DE1" w:rsidP="000D1DE1">
            <w:pPr>
              <w:spacing w:before="120" w:after="120"/>
              <w:rPr>
                <w:rFonts w:asciiTheme="minorHAnsi" w:hAnsiTheme="minorHAnsi"/>
                <w:b/>
              </w:rPr>
            </w:pPr>
            <w:r w:rsidRPr="00DC3758">
              <w:rPr>
                <w:rFonts w:asciiTheme="minorHAnsi" w:hAnsiTheme="minorHAnsi"/>
                <w:b/>
              </w:rPr>
              <w:t>Refer to the current product informatio</w:t>
            </w:r>
            <w:r w:rsidR="007D5CD2">
              <w:rPr>
                <w:rFonts w:asciiTheme="minorHAnsi" w:hAnsiTheme="minorHAnsi"/>
                <w:b/>
              </w:rPr>
              <w:t>n sheet for further information on dose, administration and contraindication</w:t>
            </w:r>
            <w:r w:rsidR="00A44D77">
              <w:rPr>
                <w:rFonts w:asciiTheme="minorHAnsi" w:hAnsiTheme="minorHAnsi"/>
                <w:b/>
              </w:rPr>
              <w:t>s</w:t>
            </w:r>
            <w:r w:rsidR="007D5CD2">
              <w:rPr>
                <w:rFonts w:asciiTheme="minorHAnsi" w:hAnsiTheme="minorHAnsi"/>
                <w:b/>
              </w:rPr>
              <w:t xml:space="preserve">. </w:t>
            </w:r>
          </w:p>
          <w:p w:rsidR="000D1DE1" w:rsidRPr="00DC701C" w:rsidRDefault="000D1DE1" w:rsidP="000D1DE1">
            <w:pPr>
              <w:spacing w:before="120" w:after="120"/>
              <w:rPr>
                <w:rFonts w:asciiTheme="minorHAnsi" w:hAnsiTheme="minorHAnsi"/>
              </w:rPr>
            </w:pPr>
          </w:p>
          <w:p w:rsidR="00282334" w:rsidRDefault="00282334" w:rsidP="000D1DE1">
            <w:pPr>
              <w:spacing w:before="120" w:after="120"/>
              <w:rPr>
                <w:rFonts w:asciiTheme="minorHAnsi" w:hAnsiTheme="minorHAnsi"/>
                <w:b/>
              </w:rPr>
            </w:pPr>
          </w:p>
          <w:p w:rsidR="00282334" w:rsidRDefault="00282334" w:rsidP="000D1DE1">
            <w:pPr>
              <w:spacing w:before="120" w:after="120"/>
              <w:rPr>
                <w:rFonts w:asciiTheme="minorHAnsi" w:hAnsiTheme="minorHAnsi"/>
                <w:b/>
              </w:rPr>
            </w:pPr>
          </w:p>
          <w:p w:rsidR="000D1DE1" w:rsidRPr="00DC3758" w:rsidRDefault="000D1DE1" w:rsidP="000D1DE1">
            <w:pPr>
              <w:spacing w:before="120" w:after="120"/>
              <w:rPr>
                <w:rFonts w:asciiTheme="minorHAnsi" w:hAnsiTheme="minorHAnsi"/>
                <w:b/>
              </w:rPr>
            </w:pPr>
            <w:r w:rsidRPr="00DC3758">
              <w:rPr>
                <w:rFonts w:asciiTheme="minorHAnsi" w:hAnsiTheme="minorHAnsi"/>
                <w:b/>
              </w:rPr>
              <w:t>Suspected AMAE – antibody results not available or sero-negative AMAE or seronegative limbic encephalitis</w:t>
            </w:r>
          </w:p>
          <w:p w:rsidR="000D1DE1" w:rsidRPr="00DC701C" w:rsidRDefault="000D1DE1" w:rsidP="000D1DE1">
            <w:pPr>
              <w:spacing w:before="120" w:after="120"/>
              <w:rPr>
                <w:rFonts w:asciiTheme="minorHAnsi" w:hAnsiTheme="minorHAnsi"/>
              </w:rPr>
            </w:pPr>
            <w:r w:rsidRPr="00935BE4">
              <w:rPr>
                <w:rFonts w:asciiTheme="minorHAnsi" w:hAnsiTheme="minorHAnsi"/>
                <w:b/>
              </w:rPr>
              <w:t xml:space="preserve">Induction </w:t>
            </w:r>
            <w:r w:rsidR="00F2331E">
              <w:rPr>
                <w:rFonts w:asciiTheme="minorHAnsi" w:hAnsiTheme="minorHAnsi"/>
                <w:b/>
              </w:rPr>
              <w:t>D</w:t>
            </w:r>
            <w:r w:rsidR="00935BE4" w:rsidRPr="00F2331E">
              <w:rPr>
                <w:rFonts w:asciiTheme="minorHAnsi" w:hAnsiTheme="minorHAnsi"/>
                <w:b/>
              </w:rPr>
              <w:t xml:space="preserve">ose </w:t>
            </w:r>
            <w:r w:rsidRPr="00F2331E">
              <w:rPr>
                <w:rFonts w:asciiTheme="minorHAnsi" w:hAnsiTheme="minorHAnsi"/>
                <w:b/>
              </w:rPr>
              <w:t>–2g/kg over 2 - 5 divided days.</w:t>
            </w:r>
            <w:r w:rsidRPr="00DC701C">
              <w:rPr>
                <w:rFonts w:asciiTheme="minorHAnsi" w:hAnsiTheme="minorHAnsi"/>
              </w:rPr>
              <w:t xml:space="preserve"> </w:t>
            </w:r>
            <w:r w:rsidR="0015147E">
              <w:rPr>
                <w:rFonts w:asciiTheme="minorHAnsi" w:hAnsiTheme="minorHAnsi"/>
              </w:rPr>
              <w:t>IVIg</w:t>
            </w:r>
            <w:r w:rsidRPr="00DC701C">
              <w:rPr>
                <w:rFonts w:asciiTheme="minorHAnsi" w:hAnsiTheme="minorHAnsi"/>
              </w:rPr>
              <w:t xml:space="preserve"> is approved for one induction cycle in conjunction with systemic steroids (unless contraindicated). Two subsequent monthly doses (each 0.4 – 1 g/kg) may be given before initial review. </w:t>
            </w:r>
          </w:p>
          <w:p w:rsidR="000D1DE1" w:rsidRPr="00DC701C" w:rsidRDefault="000D1DE1" w:rsidP="000D1DE1">
            <w:pPr>
              <w:spacing w:before="120" w:after="120"/>
              <w:rPr>
                <w:rFonts w:asciiTheme="minorHAnsi" w:hAnsiTheme="minorHAnsi"/>
              </w:rPr>
            </w:pPr>
            <w:r w:rsidRPr="00935BE4">
              <w:rPr>
                <w:rFonts w:asciiTheme="minorHAnsi" w:hAnsiTheme="minorHAnsi"/>
                <w:b/>
              </w:rPr>
              <w:t xml:space="preserve">Maintenance </w:t>
            </w:r>
            <w:r w:rsidR="00F2331E">
              <w:rPr>
                <w:rFonts w:asciiTheme="minorHAnsi" w:hAnsiTheme="minorHAnsi"/>
                <w:b/>
              </w:rPr>
              <w:t>D</w:t>
            </w:r>
            <w:r w:rsidR="00935BE4" w:rsidRPr="00F2331E">
              <w:rPr>
                <w:rFonts w:asciiTheme="minorHAnsi" w:hAnsiTheme="minorHAnsi"/>
                <w:b/>
              </w:rPr>
              <w:t>ose</w:t>
            </w:r>
            <w:r w:rsidRPr="00F2331E">
              <w:rPr>
                <w:rFonts w:asciiTheme="minorHAnsi" w:hAnsiTheme="minorHAnsi"/>
                <w:b/>
              </w:rPr>
              <w:t>- 0.4–1 g/kg, 4 weekly.</w:t>
            </w:r>
          </w:p>
          <w:p w:rsidR="000D1DE1" w:rsidRPr="00DC701C" w:rsidRDefault="000D1DE1" w:rsidP="000D1DE1">
            <w:pPr>
              <w:spacing w:before="120" w:after="120"/>
              <w:rPr>
                <w:rFonts w:asciiTheme="minorHAnsi" w:hAnsiTheme="minorHAnsi"/>
              </w:rPr>
            </w:pPr>
          </w:p>
          <w:p w:rsidR="000D1DE1" w:rsidRPr="00DC3758" w:rsidRDefault="000D1DE1" w:rsidP="000D1DE1">
            <w:pPr>
              <w:spacing w:before="120" w:after="120"/>
              <w:rPr>
                <w:rFonts w:asciiTheme="minorHAnsi" w:hAnsiTheme="minorHAnsi"/>
                <w:b/>
              </w:rPr>
            </w:pPr>
            <w:r w:rsidRPr="00DC3758">
              <w:rPr>
                <w:rFonts w:asciiTheme="minorHAnsi" w:hAnsiTheme="minorHAnsi"/>
                <w:b/>
              </w:rPr>
              <w:t>The aim should be to use the lowest dose possible that achieves the appropriate clinical outcome for each patient.</w:t>
            </w:r>
          </w:p>
          <w:p w:rsidR="00021243" w:rsidRPr="00447869" w:rsidRDefault="000D1DE1" w:rsidP="000D1DE1">
            <w:pPr>
              <w:spacing w:before="120" w:after="120"/>
              <w:rPr>
                <w:rFonts w:asciiTheme="minorHAnsi" w:hAnsiTheme="minorHAnsi"/>
              </w:rPr>
            </w:pPr>
            <w:r w:rsidRPr="00DC3758">
              <w:rPr>
                <w:rFonts w:asciiTheme="minorHAnsi" w:hAnsiTheme="minorHAnsi"/>
                <w:b/>
              </w:rPr>
              <w:t>Refer to the current product information sheet for further information</w:t>
            </w:r>
            <w:r w:rsidR="007D5CD2">
              <w:rPr>
                <w:rFonts w:asciiTheme="minorHAnsi" w:hAnsiTheme="minorHAnsi"/>
                <w:b/>
              </w:rPr>
              <w:t xml:space="preserve"> on dose, administration and contraindication</w:t>
            </w:r>
            <w:r w:rsidR="00A44D77">
              <w:rPr>
                <w:rFonts w:asciiTheme="minorHAnsi" w:hAnsiTheme="minorHAnsi"/>
                <w:b/>
              </w:rPr>
              <w:t>s</w:t>
            </w:r>
            <w:r w:rsidRPr="00DC3758">
              <w:rPr>
                <w:rFonts w:asciiTheme="minorHAnsi" w:hAnsiTheme="minorHAnsi"/>
                <w:b/>
              </w:rPr>
              <w:t>.</w:t>
            </w:r>
          </w:p>
        </w:tc>
        <w:tc>
          <w:tcPr>
            <w:tcW w:w="3254" w:type="dxa"/>
          </w:tcPr>
          <w:p w:rsidR="00021243" w:rsidRPr="00C92149" w:rsidRDefault="000D1DE1" w:rsidP="0021595B">
            <w:pPr>
              <w:spacing w:before="120" w:after="120"/>
              <w:rPr>
                <w:rFonts w:asciiTheme="minorHAnsi" w:hAnsiTheme="minorHAnsi"/>
                <w:szCs w:val="20"/>
              </w:rPr>
            </w:pPr>
            <w:r w:rsidRPr="008272A8">
              <w:rPr>
                <w:rFonts w:asciiTheme="minorHAnsi" w:hAnsiTheme="minorHAnsi"/>
                <w:szCs w:val="20"/>
              </w:rPr>
              <w:lastRenderedPageBreak/>
              <w:t xml:space="preserve">Dosing is </w:t>
            </w:r>
            <w:r w:rsidR="00935BE4">
              <w:rPr>
                <w:rFonts w:asciiTheme="minorHAnsi" w:hAnsiTheme="minorHAnsi"/>
                <w:szCs w:val="20"/>
              </w:rPr>
              <w:t>unchanged</w:t>
            </w:r>
            <w:r w:rsidRPr="008272A8">
              <w:rPr>
                <w:rFonts w:asciiTheme="minorHAnsi" w:hAnsiTheme="minorHAnsi"/>
                <w:szCs w:val="20"/>
              </w:rPr>
              <w:t xml:space="preserve">  </w:t>
            </w:r>
          </w:p>
        </w:tc>
      </w:tr>
    </w:tbl>
    <w:p w:rsidR="00447869" w:rsidRDefault="00447869" w:rsidP="00447869">
      <w:pPr>
        <w:spacing w:before="120" w:after="120"/>
        <w:rPr>
          <w:rFonts w:asciiTheme="minorHAnsi" w:hAnsiTheme="minorHAnsi"/>
        </w:rPr>
        <w:sectPr w:rsidR="00447869" w:rsidSect="005775D7">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993" w:right="1440" w:bottom="567" w:left="1440" w:header="708" w:footer="708" w:gutter="0"/>
          <w:cols w:space="708"/>
          <w:titlePg/>
          <w:docGrid w:linePitch="360"/>
        </w:sectPr>
      </w:pPr>
    </w:p>
    <w:tbl>
      <w:tblPr>
        <w:tblStyle w:val="TableGrid"/>
        <w:tblW w:w="14601" w:type="dxa"/>
        <w:tblInd w:w="-318" w:type="dxa"/>
        <w:tblLook w:val="04A0" w:firstRow="1" w:lastRow="0" w:firstColumn="1" w:lastColumn="0" w:noHBand="0" w:noVBand="1"/>
      </w:tblPr>
      <w:tblGrid>
        <w:gridCol w:w="14601"/>
      </w:tblGrid>
      <w:tr w:rsidR="008612AB" w:rsidRPr="00021243" w:rsidTr="008612AB">
        <w:tc>
          <w:tcPr>
            <w:tcW w:w="14601" w:type="dxa"/>
            <w:shd w:val="clear" w:color="auto" w:fill="B8CCE4" w:themeFill="accent1" w:themeFillTint="66"/>
          </w:tcPr>
          <w:p w:rsidR="00A80A19" w:rsidRDefault="00F42816" w:rsidP="00026961">
            <w:pPr>
              <w:spacing w:before="120" w:after="120"/>
              <w:jc w:val="center"/>
              <w:rPr>
                <w:rFonts w:asciiTheme="minorHAnsi" w:hAnsiTheme="minorHAnsi"/>
                <w:b/>
              </w:rPr>
            </w:pPr>
            <w:r>
              <w:rPr>
                <w:rFonts w:asciiTheme="minorHAnsi" w:hAnsiTheme="minorHAnsi"/>
                <w:b/>
              </w:rPr>
              <w:t>References</w:t>
            </w:r>
          </w:p>
          <w:p w:rsidR="00901F76" w:rsidRPr="00021243" w:rsidRDefault="00901F76" w:rsidP="00625AAF">
            <w:pPr>
              <w:spacing w:before="120" w:after="120"/>
              <w:jc w:val="center"/>
              <w:rPr>
                <w:rFonts w:asciiTheme="minorHAnsi" w:hAnsiTheme="minorHAnsi"/>
                <w:b/>
              </w:rPr>
            </w:pPr>
            <w:r>
              <w:rPr>
                <w:rFonts w:asciiTheme="minorHAnsi" w:hAnsiTheme="minorHAnsi"/>
                <w:b/>
              </w:rPr>
              <w:t>(</w:t>
            </w:r>
            <w:r w:rsidR="000D1DE1">
              <w:rPr>
                <w:rFonts w:asciiTheme="minorHAnsi" w:hAnsiTheme="minorHAnsi"/>
                <w:b/>
              </w:rPr>
              <w:t xml:space="preserve">most </w:t>
            </w:r>
            <w:r>
              <w:rPr>
                <w:rFonts w:asciiTheme="minorHAnsi" w:hAnsiTheme="minorHAnsi"/>
                <w:b/>
              </w:rPr>
              <w:t>recent update</w:t>
            </w:r>
            <w:r w:rsidR="000D1DE1">
              <w:rPr>
                <w:rFonts w:asciiTheme="minorHAnsi" w:hAnsiTheme="minorHAnsi"/>
                <w:b/>
              </w:rPr>
              <w:t>:</w:t>
            </w:r>
            <w:r>
              <w:rPr>
                <w:rFonts w:asciiTheme="minorHAnsi" w:hAnsiTheme="minorHAnsi"/>
                <w:b/>
              </w:rPr>
              <w:t xml:space="preserve"> </w:t>
            </w:r>
            <w:r w:rsidR="000D1DE1">
              <w:rPr>
                <w:rFonts w:asciiTheme="minorHAnsi" w:hAnsiTheme="minorHAnsi"/>
                <w:b/>
              </w:rPr>
              <w:t>A</w:t>
            </w:r>
            <w:r w:rsidR="00625AAF">
              <w:rPr>
                <w:rFonts w:asciiTheme="minorHAnsi" w:hAnsiTheme="minorHAnsi"/>
                <w:b/>
              </w:rPr>
              <w:t>pril</w:t>
            </w:r>
            <w:r w:rsidR="005D37EC">
              <w:rPr>
                <w:rFonts w:asciiTheme="minorHAnsi" w:hAnsiTheme="minorHAnsi"/>
                <w:b/>
              </w:rPr>
              <w:t xml:space="preserve"> 2016</w:t>
            </w:r>
            <w:r>
              <w:rPr>
                <w:rFonts w:asciiTheme="minorHAnsi" w:hAnsiTheme="minorHAnsi"/>
                <w:b/>
              </w:rPr>
              <w:t>)</w:t>
            </w:r>
          </w:p>
        </w:tc>
      </w:tr>
      <w:tr w:rsidR="008612AB" w:rsidRPr="00255740" w:rsidTr="008612AB">
        <w:tc>
          <w:tcPr>
            <w:tcW w:w="14601" w:type="dxa"/>
          </w:tcPr>
          <w:p w:rsidR="000D1DE1" w:rsidRDefault="00F2331E" w:rsidP="00BB57BD">
            <w:pPr>
              <w:pStyle w:val="ListParagraph"/>
              <w:spacing w:before="120" w:after="120"/>
              <w:ind w:left="34"/>
              <w:rPr>
                <w:rFonts w:asciiTheme="minorHAnsi" w:hAnsiTheme="minorHAnsi"/>
              </w:rPr>
            </w:pPr>
            <w:r w:rsidRPr="00F2331E">
              <w:rPr>
                <w:rFonts w:asciiTheme="minorHAnsi" w:hAnsiTheme="minorHAnsi"/>
              </w:rPr>
              <w:t>Armangue</w:t>
            </w:r>
            <w:r w:rsidR="000D1DE1" w:rsidRPr="00F2331E">
              <w:rPr>
                <w:rFonts w:asciiTheme="minorHAnsi" w:hAnsiTheme="minorHAnsi"/>
              </w:rPr>
              <w:t xml:space="preserve"> T</w:t>
            </w:r>
            <w:r w:rsidRPr="00F2331E">
              <w:rPr>
                <w:rFonts w:asciiTheme="minorHAnsi" w:hAnsiTheme="minorHAnsi"/>
              </w:rPr>
              <w:t>, Moris</w:t>
            </w:r>
            <w:r w:rsidR="000D1DE1" w:rsidRPr="00F2331E">
              <w:rPr>
                <w:rFonts w:asciiTheme="minorHAnsi" w:hAnsiTheme="minorHAnsi"/>
              </w:rPr>
              <w:t xml:space="preserve"> G</w:t>
            </w:r>
            <w:r w:rsidRPr="00F2331E">
              <w:rPr>
                <w:rFonts w:asciiTheme="minorHAnsi" w:hAnsiTheme="minorHAnsi"/>
              </w:rPr>
              <w:t>, Cantarin-Extremera</w:t>
            </w:r>
            <w:r w:rsidR="000D1DE1" w:rsidRPr="00F2331E">
              <w:rPr>
                <w:rFonts w:asciiTheme="minorHAnsi" w:hAnsiTheme="minorHAnsi"/>
              </w:rPr>
              <w:t xml:space="preserve"> V</w:t>
            </w:r>
            <w:r w:rsidRPr="00F2331E">
              <w:rPr>
                <w:rFonts w:asciiTheme="minorHAnsi" w:hAnsiTheme="minorHAnsi"/>
              </w:rPr>
              <w:t xml:space="preserve">, Conde CE, Rostasy K, Portilla-Cuenca JC </w:t>
            </w:r>
            <w:r w:rsidR="00D97F69" w:rsidRPr="00F2331E">
              <w:rPr>
                <w:rFonts w:asciiTheme="minorHAnsi" w:hAnsiTheme="minorHAnsi"/>
              </w:rPr>
              <w:t>(</w:t>
            </w:r>
            <w:r w:rsidR="000D1DE1" w:rsidRPr="00F2331E">
              <w:rPr>
                <w:rFonts w:asciiTheme="minorHAnsi" w:hAnsiTheme="minorHAnsi"/>
              </w:rPr>
              <w:t>2015</w:t>
            </w:r>
            <w:r w:rsidRPr="00F2331E">
              <w:rPr>
                <w:rFonts w:asciiTheme="minorHAnsi" w:hAnsiTheme="minorHAnsi"/>
              </w:rPr>
              <w:t>)</w:t>
            </w:r>
            <w:r w:rsidR="00D97F69" w:rsidRPr="00F2331E">
              <w:rPr>
                <w:rFonts w:asciiTheme="minorHAnsi" w:hAnsiTheme="minorHAnsi"/>
              </w:rPr>
              <w:t xml:space="preserve"> </w:t>
            </w:r>
            <w:r w:rsidR="000D1DE1" w:rsidRPr="00D97F69">
              <w:rPr>
                <w:rFonts w:asciiTheme="minorHAnsi" w:hAnsiTheme="minorHAnsi"/>
              </w:rPr>
              <w:t>Autoimmune post-herpes simplex encep</w:t>
            </w:r>
            <w:r w:rsidR="00D97F69">
              <w:rPr>
                <w:rFonts w:asciiTheme="minorHAnsi" w:hAnsiTheme="minorHAnsi"/>
              </w:rPr>
              <w:t xml:space="preserve">halitis of adults and teenagers. </w:t>
            </w:r>
            <w:r w:rsidR="000D1DE1" w:rsidRPr="00D97F69">
              <w:rPr>
                <w:rFonts w:asciiTheme="minorHAnsi" w:hAnsiTheme="minorHAnsi"/>
                <w:i/>
              </w:rPr>
              <w:t>Neurology</w:t>
            </w:r>
            <w:r w:rsidR="000D1DE1" w:rsidRPr="00D97F69">
              <w:rPr>
                <w:rFonts w:asciiTheme="minorHAnsi" w:hAnsiTheme="minorHAnsi"/>
              </w:rPr>
              <w:t>,</w:t>
            </w:r>
            <w:r w:rsidR="00D97F69">
              <w:rPr>
                <w:rFonts w:asciiTheme="minorHAnsi" w:hAnsiTheme="minorHAnsi"/>
              </w:rPr>
              <w:t xml:space="preserve"> </w:t>
            </w:r>
            <w:r w:rsidR="000D1DE1" w:rsidRPr="00D97F69">
              <w:rPr>
                <w:rFonts w:asciiTheme="minorHAnsi" w:hAnsiTheme="minorHAnsi"/>
              </w:rPr>
              <w:t>85</w:t>
            </w:r>
            <w:r>
              <w:rPr>
                <w:rFonts w:asciiTheme="minorHAnsi" w:hAnsiTheme="minorHAnsi"/>
              </w:rPr>
              <w:t>:</w:t>
            </w:r>
            <w:r w:rsidR="00D97F69">
              <w:rPr>
                <w:rFonts w:asciiTheme="minorHAnsi" w:hAnsiTheme="minorHAnsi"/>
              </w:rPr>
              <w:t xml:space="preserve"> </w:t>
            </w:r>
            <w:r w:rsidR="000D1DE1" w:rsidRPr="00D97F69">
              <w:rPr>
                <w:rFonts w:asciiTheme="minorHAnsi" w:hAnsiTheme="minorHAnsi"/>
              </w:rPr>
              <w:t>1736-1743.</w:t>
            </w:r>
          </w:p>
          <w:p w:rsidR="00B83D7A" w:rsidRDefault="009315C7" w:rsidP="00BB57BD">
            <w:pPr>
              <w:pStyle w:val="ListParagraph"/>
              <w:spacing w:before="120" w:after="120"/>
              <w:ind w:left="34"/>
              <w:rPr>
                <w:rFonts w:asciiTheme="minorHAnsi" w:hAnsiTheme="minorHAnsi"/>
              </w:rPr>
            </w:pPr>
            <w:hyperlink r:id="rId15" w:history="1">
              <w:r w:rsidR="00955518" w:rsidRPr="00955518">
                <w:rPr>
                  <w:rStyle w:val="Hyperlink"/>
                  <w:rFonts w:asciiTheme="minorHAnsi" w:hAnsiTheme="minorHAnsi"/>
                  <w:color w:val="808080" w:themeColor="background1" w:themeShade="80"/>
                </w:rPr>
                <w:t>https://www.ncbi.nlm.nih.gov/pubmed/26491084</w:t>
              </w:r>
            </w:hyperlink>
          </w:p>
          <w:p w:rsidR="00955518" w:rsidRPr="00D97F69" w:rsidRDefault="00955518" w:rsidP="00BB57BD">
            <w:pPr>
              <w:pStyle w:val="ListParagraph"/>
              <w:spacing w:before="120" w:after="120"/>
              <w:ind w:left="34"/>
              <w:rPr>
                <w:rFonts w:asciiTheme="minorHAnsi" w:hAnsiTheme="minorHAnsi"/>
              </w:rPr>
            </w:pPr>
          </w:p>
          <w:p w:rsidR="000D1DE1" w:rsidRDefault="00955518" w:rsidP="00BB57BD">
            <w:pPr>
              <w:pStyle w:val="ListParagraph"/>
              <w:spacing w:before="120" w:after="120"/>
              <w:ind w:left="34"/>
              <w:rPr>
                <w:rFonts w:asciiTheme="minorHAnsi" w:hAnsiTheme="minorHAnsi"/>
              </w:rPr>
            </w:pPr>
            <w:r w:rsidRPr="00955518">
              <w:rPr>
                <w:rFonts w:asciiTheme="minorHAnsi" w:hAnsiTheme="minorHAnsi"/>
              </w:rPr>
              <w:t>Graus F, Titulaer M, Balu R, Benseler S, Bien CG, Cellucci T</w:t>
            </w:r>
            <w:r w:rsidR="006E6E2A" w:rsidRPr="00955518">
              <w:rPr>
                <w:rFonts w:asciiTheme="minorHAnsi" w:hAnsiTheme="minorHAnsi"/>
              </w:rPr>
              <w:t xml:space="preserve">, </w:t>
            </w:r>
            <w:r>
              <w:rPr>
                <w:rFonts w:asciiTheme="minorHAnsi" w:hAnsiTheme="minorHAnsi"/>
              </w:rPr>
              <w:t xml:space="preserve">et al </w:t>
            </w:r>
            <w:r w:rsidRPr="00955518">
              <w:rPr>
                <w:rFonts w:asciiTheme="minorHAnsi" w:hAnsiTheme="minorHAnsi"/>
              </w:rPr>
              <w:t xml:space="preserve">(2016) </w:t>
            </w:r>
            <w:r w:rsidR="000D1DE1" w:rsidRPr="006E6E2A">
              <w:rPr>
                <w:rFonts w:asciiTheme="minorHAnsi" w:hAnsiTheme="minorHAnsi"/>
              </w:rPr>
              <w:t>A clinical approach to diagnos</w:t>
            </w:r>
            <w:r w:rsidR="006E6E2A">
              <w:rPr>
                <w:rFonts w:asciiTheme="minorHAnsi" w:hAnsiTheme="minorHAnsi"/>
              </w:rPr>
              <w:t xml:space="preserve">is of autoimmune encephalitis. </w:t>
            </w:r>
            <w:r w:rsidR="000D1DE1" w:rsidRPr="006E6E2A">
              <w:rPr>
                <w:rFonts w:asciiTheme="minorHAnsi" w:hAnsiTheme="minorHAnsi"/>
                <w:i/>
              </w:rPr>
              <w:t>Lancet Neurology</w:t>
            </w:r>
            <w:r w:rsidR="006E6E2A">
              <w:rPr>
                <w:rFonts w:asciiTheme="minorHAnsi" w:hAnsiTheme="minorHAnsi"/>
              </w:rPr>
              <w:t>,</w:t>
            </w:r>
            <w:r w:rsidR="000D1DE1" w:rsidRPr="006E6E2A">
              <w:rPr>
                <w:rFonts w:asciiTheme="minorHAnsi" w:hAnsiTheme="minorHAnsi"/>
              </w:rPr>
              <w:t xml:space="preserve"> 15</w:t>
            </w:r>
            <w:r>
              <w:rPr>
                <w:rFonts w:asciiTheme="minorHAnsi" w:hAnsiTheme="minorHAnsi"/>
              </w:rPr>
              <w:t>:</w:t>
            </w:r>
            <w:r w:rsidR="000D1DE1" w:rsidRPr="006E6E2A">
              <w:rPr>
                <w:rFonts w:asciiTheme="minorHAnsi" w:hAnsiTheme="minorHAnsi"/>
              </w:rPr>
              <w:t xml:space="preserve">391-404. </w:t>
            </w:r>
          </w:p>
          <w:p w:rsidR="00955518" w:rsidRPr="00955518" w:rsidRDefault="009315C7" w:rsidP="00BB57BD">
            <w:pPr>
              <w:pStyle w:val="ListParagraph"/>
              <w:spacing w:before="120" w:after="120"/>
              <w:ind w:left="34"/>
              <w:rPr>
                <w:rFonts w:asciiTheme="minorHAnsi" w:hAnsiTheme="minorHAnsi"/>
                <w:color w:val="808080" w:themeColor="background1" w:themeShade="80"/>
              </w:rPr>
            </w:pPr>
            <w:hyperlink r:id="rId16" w:history="1">
              <w:r w:rsidR="00955518" w:rsidRPr="00955518">
                <w:rPr>
                  <w:rStyle w:val="Hyperlink"/>
                  <w:rFonts w:asciiTheme="minorHAnsi" w:hAnsiTheme="minorHAnsi"/>
                  <w:color w:val="808080" w:themeColor="background1" w:themeShade="80"/>
                </w:rPr>
                <w:t>https://www.ncbi.nlm.nih.gov/pubmed/26906964</w:t>
              </w:r>
            </w:hyperlink>
          </w:p>
          <w:p w:rsidR="00955518" w:rsidRDefault="00955518" w:rsidP="00BB57BD">
            <w:pPr>
              <w:pStyle w:val="ListParagraph"/>
              <w:spacing w:before="120" w:after="120"/>
              <w:ind w:left="34"/>
              <w:rPr>
                <w:rFonts w:asciiTheme="minorHAnsi" w:hAnsiTheme="minorHAnsi"/>
              </w:rPr>
            </w:pPr>
          </w:p>
          <w:p w:rsidR="000D1DE1" w:rsidRDefault="00955518" w:rsidP="00BB57BD">
            <w:pPr>
              <w:pStyle w:val="ListParagraph"/>
              <w:spacing w:before="120" w:after="120"/>
              <w:ind w:left="34"/>
              <w:rPr>
                <w:rFonts w:asciiTheme="minorHAnsi" w:hAnsiTheme="minorHAnsi"/>
              </w:rPr>
            </w:pPr>
            <w:r>
              <w:rPr>
                <w:rFonts w:asciiTheme="minorHAnsi" w:hAnsiTheme="minorHAnsi"/>
              </w:rPr>
              <w:t>Hacohen</w:t>
            </w:r>
            <w:r w:rsidR="000D1DE1" w:rsidRPr="00DC3758">
              <w:rPr>
                <w:rFonts w:asciiTheme="minorHAnsi" w:hAnsiTheme="minorHAnsi"/>
              </w:rPr>
              <w:t xml:space="preserve"> Y</w:t>
            </w:r>
            <w:r>
              <w:rPr>
                <w:rFonts w:asciiTheme="minorHAnsi" w:hAnsiTheme="minorHAnsi"/>
              </w:rPr>
              <w:t>, Wright</w:t>
            </w:r>
            <w:r w:rsidR="000D1DE1" w:rsidRPr="00DC3758">
              <w:rPr>
                <w:rFonts w:asciiTheme="minorHAnsi" w:hAnsiTheme="minorHAnsi"/>
              </w:rPr>
              <w:t xml:space="preserve"> S</w:t>
            </w:r>
            <w:r>
              <w:rPr>
                <w:rFonts w:asciiTheme="minorHAnsi" w:hAnsiTheme="minorHAnsi"/>
              </w:rPr>
              <w:t>, Waters</w:t>
            </w:r>
            <w:r w:rsidR="000D1DE1" w:rsidRPr="00DC3758">
              <w:rPr>
                <w:rFonts w:asciiTheme="minorHAnsi" w:hAnsiTheme="minorHAnsi"/>
              </w:rPr>
              <w:t xml:space="preserve"> P</w:t>
            </w:r>
            <w:r>
              <w:rPr>
                <w:rFonts w:asciiTheme="minorHAnsi" w:hAnsiTheme="minorHAnsi"/>
              </w:rPr>
              <w:t>, Agrawal S, Carr L, Cross H</w:t>
            </w:r>
            <w:r w:rsidR="006E6E2A">
              <w:rPr>
                <w:rFonts w:asciiTheme="minorHAnsi" w:hAnsiTheme="minorHAnsi"/>
              </w:rPr>
              <w:t xml:space="preserve">, </w:t>
            </w:r>
            <w:r>
              <w:rPr>
                <w:rFonts w:asciiTheme="minorHAnsi" w:hAnsiTheme="minorHAnsi"/>
              </w:rPr>
              <w:t xml:space="preserve">et al </w:t>
            </w:r>
            <w:r w:rsidR="006E6E2A">
              <w:rPr>
                <w:rFonts w:asciiTheme="minorHAnsi" w:hAnsiTheme="minorHAnsi"/>
              </w:rPr>
              <w:t xml:space="preserve">(2013). </w:t>
            </w:r>
            <w:r w:rsidR="000D1DE1" w:rsidRPr="00DC3758">
              <w:rPr>
                <w:rFonts w:asciiTheme="minorHAnsi" w:hAnsiTheme="minorHAnsi"/>
              </w:rPr>
              <w:t>Paediatric autoimmune encephalopathies: clinical features, laboratory investigations and outcomes in patients with or without antibodies to known centra</w:t>
            </w:r>
            <w:r w:rsidR="006E6E2A">
              <w:rPr>
                <w:rFonts w:asciiTheme="minorHAnsi" w:hAnsiTheme="minorHAnsi"/>
              </w:rPr>
              <w:t xml:space="preserve">l nervous system autoantigens. </w:t>
            </w:r>
            <w:r w:rsidR="000D1DE1" w:rsidRPr="006E6E2A">
              <w:rPr>
                <w:rFonts w:asciiTheme="minorHAnsi" w:hAnsiTheme="minorHAnsi"/>
                <w:i/>
              </w:rPr>
              <w:t>J</w:t>
            </w:r>
            <w:r w:rsidR="006E6E2A" w:rsidRPr="006E6E2A">
              <w:rPr>
                <w:rFonts w:asciiTheme="minorHAnsi" w:hAnsiTheme="minorHAnsi"/>
                <w:i/>
              </w:rPr>
              <w:t>ournal of</w:t>
            </w:r>
            <w:r w:rsidR="000D1DE1" w:rsidRPr="006E6E2A">
              <w:rPr>
                <w:rFonts w:asciiTheme="minorHAnsi" w:hAnsiTheme="minorHAnsi"/>
                <w:i/>
              </w:rPr>
              <w:t xml:space="preserve"> Neurol</w:t>
            </w:r>
            <w:r w:rsidR="006E6E2A" w:rsidRPr="006E6E2A">
              <w:rPr>
                <w:rFonts w:asciiTheme="minorHAnsi" w:hAnsiTheme="minorHAnsi"/>
                <w:i/>
              </w:rPr>
              <w:t xml:space="preserve">ogy, </w:t>
            </w:r>
            <w:r w:rsidR="000D1DE1" w:rsidRPr="006E6E2A">
              <w:rPr>
                <w:rFonts w:asciiTheme="minorHAnsi" w:hAnsiTheme="minorHAnsi"/>
                <w:i/>
              </w:rPr>
              <w:t>Neurosurg</w:t>
            </w:r>
            <w:r w:rsidR="006E6E2A" w:rsidRPr="006E6E2A">
              <w:rPr>
                <w:rFonts w:asciiTheme="minorHAnsi" w:hAnsiTheme="minorHAnsi"/>
                <w:i/>
              </w:rPr>
              <w:t>ery &amp; Psychiatry</w:t>
            </w:r>
            <w:r w:rsidR="006E6E2A">
              <w:rPr>
                <w:rFonts w:asciiTheme="minorHAnsi" w:hAnsiTheme="minorHAnsi"/>
              </w:rPr>
              <w:t>,</w:t>
            </w:r>
            <w:r>
              <w:rPr>
                <w:rFonts w:asciiTheme="minorHAnsi" w:hAnsiTheme="minorHAnsi"/>
              </w:rPr>
              <w:t xml:space="preserve"> 84:</w:t>
            </w:r>
            <w:r w:rsidR="000D1DE1" w:rsidRPr="00DC3758">
              <w:rPr>
                <w:rFonts w:asciiTheme="minorHAnsi" w:hAnsiTheme="minorHAnsi"/>
              </w:rPr>
              <w:t xml:space="preserve">748-755. </w:t>
            </w:r>
          </w:p>
          <w:p w:rsidR="00BB57BD" w:rsidRPr="00955518" w:rsidRDefault="009315C7" w:rsidP="00BB57BD">
            <w:pPr>
              <w:pStyle w:val="ListParagraph"/>
              <w:spacing w:before="120" w:after="120"/>
              <w:ind w:left="34"/>
              <w:rPr>
                <w:rFonts w:asciiTheme="minorHAnsi" w:hAnsiTheme="minorHAnsi"/>
                <w:color w:val="808080" w:themeColor="background1" w:themeShade="80"/>
              </w:rPr>
            </w:pPr>
            <w:hyperlink r:id="rId17" w:history="1">
              <w:r w:rsidR="00955518" w:rsidRPr="00955518">
                <w:rPr>
                  <w:rStyle w:val="Hyperlink"/>
                  <w:rFonts w:asciiTheme="minorHAnsi" w:hAnsiTheme="minorHAnsi"/>
                  <w:color w:val="808080" w:themeColor="background1" w:themeShade="80"/>
                </w:rPr>
                <w:t>https://www.ncbi.nlm.nih.gov/pubmed/23175854</w:t>
              </w:r>
            </w:hyperlink>
          </w:p>
          <w:p w:rsidR="00955518" w:rsidRPr="00DC3758" w:rsidRDefault="00955518" w:rsidP="00BB57BD">
            <w:pPr>
              <w:pStyle w:val="ListParagraph"/>
              <w:spacing w:before="120" w:after="120"/>
              <w:ind w:left="34"/>
              <w:rPr>
                <w:rFonts w:asciiTheme="minorHAnsi" w:hAnsiTheme="minorHAnsi"/>
              </w:rPr>
            </w:pPr>
          </w:p>
          <w:p w:rsidR="00901F76" w:rsidRDefault="00955518" w:rsidP="00BB57BD">
            <w:pPr>
              <w:pStyle w:val="ListParagraph"/>
              <w:spacing w:before="120" w:after="120"/>
              <w:ind w:left="34"/>
              <w:rPr>
                <w:rFonts w:asciiTheme="minorHAnsi" w:hAnsiTheme="minorHAnsi"/>
              </w:rPr>
            </w:pPr>
            <w:r>
              <w:rPr>
                <w:rFonts w:asciiTheme="minorHAnsi" w:hAnsiTheme="minorHAnsi"/>
              </w:rPr>
              <w:t>Nosadini</w:t>
            </w:r>
            <w:r w:rsidR="000D1DE1" w:rsidRPr="00DC3758">
              <w:rPr>
                <w:rFonts w:asciiTheme="minorHAnsi" w:hAnsiTheme="minorHAnsi"/>
              </w:rPr>
              <w:t xml:space="preserve"> M</w:t>
            </w:r>
            <w:r>
              <w:rPr>
                <w:rFonts w:asciiTheme="minorHAnsi" w:hAnsiTheme="minorHAnsi"/>
              </w:rPr>
              <w:t>, Mohammad</w:t>
            </w:r>
            <w:r w:rsidR="000D1DE1" w:rsidRPr="00DC3758">
              <w:rPr>
                <w:rFonts w:asciiTheme="minorHAnsi" w:hAnsiTheme="minorHAnsi"/>
              </w:rPr>
              <w:t xml:space="preserve"> SS</w:t>
            </w:r>
            <w:r>
              <w:rPr>
                <w:rFonts w:asciiTheme="minorHAnsi" w:hAnsiTheme="minorHAnsi"/>
              </w:rPr>
              <w:t>, Ramanathan</w:t>
            </w:r>
            <w:r w:rsidR="000D1DE1" w:rsidRPr="00DC3758">
              <w:rPr>
                <w:rFonts w:asciiTheme="minorHAnsi" w:hAnsiTheme="minorHAnsi"/>
              </w:rPr>
              <w:t xml:space="preserve"> </w:t>
            </w:r>
            <w:r>
              <w:rPr>
                <w:rFonts w:asciiTheme="minorHAnsi" w:hAnsiTheme="minorHAnsi"/>
              </w:rPr>
              <w:t>S, Brilot F</w:t>
            </w:r>
            <w:r w:rsidR="00BB57BD">
              <w:rPr>
                <w:rFonts w:asciiTheme="minorHAnsi" w:hAnsiTheme="minorHAnsi"/>
              </w:rPr>
              <w:t xml:space="preserve"> and</w:t>
            </w:r>
            <w:r>
              <w:rPr>
                <w:rFonts w:asciiTheme="minorHAnsi" w:hAnsiTheme="minorHAnsi"/>
              </w:rPr>
              <w:t xml:space="preserve"> Dale</w:t>
            </w:r>
            <w:r w:rsidR="000D1DE1" w:rsidRPr="00DC3758">
              <w:rPr>
                <w:rFonts w:asciiTheme="minorHAnsi" w:hAnsiTheme="minorHAnsi"/>
              </w:rPr>
              <w:t xml:space="preserve"> RC</w:t>
            </w:r>
            <w:r w:rsidR="00BB57BD">
              <w:rPr>
                <w:rFonts w:asciiTheme="minorHAnsi" w:hAnsiTheme="minorHAnsi"/>
              </w:rPr>
              <w:t xml:space="preserve"> (2015</w:t>
            </w:r>
            <w:r>
              <w:rPr>
                <w:rFonts w:asciiTheme="minorHAnsi" w:hAnsiTheme="minorHAnsi"/>
              </w:rPr>
              <w:t>)</w:t>
            </w:r>
            <w:r w:rsidR="00BB57BD">
              <w:rPr>
                <w:rFonts w:asciiTheme="minorHAnsi" w:hAnsiTheme="minorHAnsi"/>
              </w:rPr>
              <w:t xml:space="preserve"> </w:t>
            </w:r>
            <w:r w:rsidR="000D1DE1" w:rsidRPr="00DC3758">
              <w:rPr>
                <w:rFonts w:asciiTheme="minorHAnsi" w:hAnsiTheme="minorHAnsi"/>
              </w:rPr>
              <w:t>Immune therapy in autoimmune ence</w:t>
            </w:r>
            <w:r w:rsidR="00BB57BD">
              <w:rPr>
                <w:rFonts w:asciiTheme="minorHAnsi" w:hAnsiTheme="minorHAnsi"/>
              </w:rPr>
              <w:t xml:space="preserve">phalitis: a systematic review. </w:t>
            </w:r>
            <w:r w:rsidR="000D1DE1" w:rsidRPr="00BB57BD">
              <w:rPr>
                <w:rFonts w:asciiTheme="minorHAnsi" w:hAnsiTheme="minorHAnsi"/>
                <w:i/>
              </w:rPr>
              <w:t>Expert Review of Neurotherapeutics</w:t>
            </w:r>
            <w:r>
              <w:rPr>
                <w:rFonts w:asciiTheme="minorHAnsi" w:hAnsiTheme="minorHAnsi"/>
              </w:rPr>
              <w:t>, 15:</w:t>
            </w:r>
            <w:r w:rsidR="000D1DE1" w:rsidRPr="00DC3758">
              <w:rPr>
                <w:rFonts w:asciiTheme="minorHAnsi" w:hAnsiTheme="minorHAnsi"/>
              </w:rPr>
              <w:t>1391-1419.</w:t>
            </w:r>
          </w:p>
          <w:p w:rsidR="00955518" w:rsidRPr="00955518" w:rsidRDefault="009315C7" w:rsidP="00BB57BD">
            <w:pPr>
              <w:pStyle w:val="ListParagraph"/>
              <w:spacing w:before="120" w:after="120"/>
              <w:ind w:left="34"/>
              <w:rPr>
                <w:rFonts w:asciiTheme="minorHAnsi" w:hAnsiTheme="minorHAnsi"/>
                <w:color w:val="808080" w:themeColor="background1" w:themeShade="80"/>
              </w:rPr>
            </w:pPr>
            <w:hyperlink r:id="rId18" w:history="1">
              <w:r w:rsidR="00955518" w:rsidRPr="00955518">
                <w:rPr>
                  <w:rStyle w:val="Hyperlink"/>
                  <w:rFonts w:asciiTheme="minorHAnsi" w:hAnsiTheme="minorHAnsi"/>
                  <w:color w:val="808080" w:themeColor="background1" w:themeShade="80"/>
                </w:rPr>
                <w:t>https://www.ncbi.nlm.nih.gov/pubmed/26559389</w:t>
              </w:r>
            </w:hyperlink>
          </w:p>
          <w:p w:rsidR="00955518" w:rsidRPr="00DC3758" w:rsidRDefault="00955518" w:rsidP="00BB57BD">
            <w:pPr>
              <w:pStyle w:val="ListParagraph"/>
              <w:spacing w:before="120" w:after="120"/>
              <w:ind w:left="34"/>
              <w:rPr>
                <w:rFonts w:asciiTheme="minorHAnsi" w:hAnsiTheme="minorHAnsi"/>
              </w:rPr>
            </w:pPr>
          </w:p>
          <w:p w:rsidR="00B83D7A" w:rsidRDefault="00935BE4" w:rsidP="00B83D7A">
            <w:pPr>
              <w:pStyle w:val="ListParagraph"/>
              <w:spacing w:before="120" w:after="120"/>
              <w:ind w:left="34"/>
              <w:rPr>
                <w:rFonts w:asciiTheme="minorHAnsi" w:hAnsiTheme="minorHAnsi"/>
              </w:rPr>
            </w:pPr>
            <w:r w:rsidRPr="00935BE4">
              <w:rPr>
                <w:rFonts w:asciiTheme="minorHAnsi" w:hAnsiTheme="minorHAnsi"/>
              </w:rPr>
              <w:t>Ontario Regional Blood Coordinating Network (2016). Ontario Intravenous Immune Globulin (</w:t>
            </w:r>
            <w:r w:rsidR="0015147E">
              <w:rPr>
                <w:rFonts w:asciiTheme="minorHAnsi" w:hAnsiTheme="minorHAnsi"/>
              </w:rPr>
              <w:t>IVIG</w:t>
            </w:r>
            <w:r w:rsidRPr="00935BE4">
              <w:rPr>
                <w:rFonts w:asciiTheme="minorHAnsi" w:hAnsiTheme="minorHAnsi"/>
              </w:rPr>
              <w:t xml:space="preserve">) Utilization Management Guidelines, Version 3.0. [online]. Available at: </w:t>
            </w:r>
            <w:r w:rsidRPr="00955518">
              <w:rPr>
                <w:rFonts w:asciiTheme="minorHAnsi" w:hAnsiTheme="minorHAnsi"/>
                <w:color w:val="808080" w:themeColor="background1" w:themeShade="80"/>
              </w:rPr>
              <w:t>http://transfusionontario.org/en/download/ontario-intravenous-immune-globulin-</w:t>
            </w:r>
            <w:r w:rsidR="0015147E">
              <w:rPr>
                <w:rFonts w:asciiTheme="minorHAnsi" w:hAnsiTheme="minorHAnsi"/>
                <w:color w:val="808080" w:themeColor="background1" w:themeShade="80"/>
              </w:rPr>
              <w:t>IVIg</w:t>
            </w:r>
            <w:r w:rsidRPr="00955518">
              <w:rPr>
                <w:rFonts w:asciiTheme="minorHAnsi" w:hAnsiTheme="minorHAnsi"/>
                <w:color w:val="808080" w:themeColor="background1" w:themeShade="80"/>
              </w:rPr>
              <w:t>-utilization-management-guidelines-2/.</w:t>
            </w:r>
          </w:p>
          <w:p w:rsidR="00935BE4" w:rsidRDefault="00935BE4" w:rsidP="00B83D7A">
            <w:pPr>
              <w:pStyle w:val="ListParagraph"/>
              <w:spacing w:before="120" w:after="120"/>
              <w:ind w:left="34"/>
              <w:rPr>
                <w:rFonts w:asciiTheme="minorHAnsi" w:hAnsiTheme="minorHAnsi"/>
              </w:rPr>
            </w:pPr>
          </w:p>
          <w:p w:rsidR="00B83D7A" w:rsidRDefault="00B83D7A" w:rsidP="00B83D7A">
            <w:pPr>
              <w:pStyle w:val="ListParagraph"/>
              <w:spacing w:before="120" w:after="120"/>
              <w:ind w:left="34"/>
              <w:rPr>
                <w:rFonts w:asciiTheme="minorHAnsi" w:hAnsiTheme="minorHAnsi"/>
              </w:rPr>
            </w:pPr>
            <w:r w:rsidRPr="00955518">
              <w:rPr>
                <w:rFonts w:asciiTheme="minorHAnsi" w:hAnsiTheme="minorHAnsi"/>
                <w:lang w:val="fr-FR"/>
              </w:rPr>
              <w:t>Titulaer</w:t>
            </w:r>
            <w:r w:rsidR="00955518" w:rsidRPr="00955518">
              <w:rPr>
                <w:rFonts w:asciiTheme="minorHAnsi" w:hAnsiTheme="minorHAnsi"/>
                <w:lang w:val="fr-FR"/>
              </w:rPr>
              <w:t xml:space="preserve"> M</w:t>
            </w:r>
            <w:r w:rsidRPr="00955518">
              <w:rPr>
                <w:rFonts w:asciiTheme="minorHAnsi" w:hAnsiTheme="minorHAnsi"/>
                <w:lang w:val="fr-FR"/>
              </w:rPr>
              <w:t xml:space="preserve">, Höftberger R, Iizuka T, Leypoldt F, McCracken L, Cellucci T, </w:t>
            </w:r>
            <w:r w:rsidR="00955518" w:rsidRPr="00955518">
              <w:rPr>
                <w:rFonts w:asciiTheme="minorHAnsi" w:hAnsiTheme="minorHAnsi"/>
                <w:lang w:val="fr-FR"/>
              </w:rPr>
              <w:t xml:space="preserve">et al </w:t>
            </w:r>
            <w:r w:rsidRPr="00955518">
              <w:rPr>
                <w:rFonts w:asciiTheme="minorHAnsi" w:hAnsiTheme="minorHAnsi"/>
                <w:lang w:val="fr-FR"/>
              </w:rPr>
              <w:t xml:space="preserve">(2014). </w:t>
            </w:r>
            <w:r w:rsidRPr="00DC3758">
              <w:rPr>
                <w:rFonts w:asciiTheme="minorHAnsi" w:hAnsiTheme="minorHAnsi"/>
              </w:rPr>
              <w:t>Overlapping Demyelinating Syndromes and Anti–N-Methyl-D-</w:t>
            </w:r>
            <w:r>
              <w:rPr>
                <w:rFonts w:asciiTheme="minorHAnsi" w:hAnsiTheme="minorHAnsi"/>
              </w:rPr>
              <w:t xml:space="preserve">Aspartate Receptor Encephalitis. </w:t>
            </w:r>
            <w:r w:rsidRPr="00BB57BD">
              <w:rPr>
                <w:rFonts w:asciiTheme="minorHAnsi" w:hAnsiTheme="minorHAnsi"/>
                <w:i/>
              </w:rPr>
              <w:t>Annals of Neurology</w:t>
            </w:r>
            <w:r>
              <w:rPr>
                <w:rFonts w:asciiTheme="minorHAnsi" w:hAnsiTheme="minorHAnsi"/>
              </w:rPr>
              <w:t xml:space="preserve">, </w:t>
            </w:r>
            <w:r w:rsidRPr="00DC3758">
              <w:rPr>
                <w:rFonts w:asciiTheme="minorHAnsi" w:hAnsiTheme="minorHAnsi"/>
              </w:rPr>
              <w:t>75</w:t>
            </w:r>
            <w:r w:rsidR="00955518">
              <w:rPr>
                <w:rFonts w:asciiTheme="minorHAnsi" w:hAnsiTheme="minorHAnsi"/>
              </w:rPr>
              <w:t>:</w:t>
            </w:r>
            <w:r w:rsidRPr="00DC3758">
              <w:rPr>
                <w:rFonts w:asciiTheme="minorHAnsi" w:hAnsiTheme="minorHAnsi"/>
              </w:rPr>
              <w:t>411–428</w:t>
            </w:r>
            <w:r>
              <w:rPr>
                <w:rFonts w:asciiTheme="minorHAnsi" w:hAnsiTheme="minorHAnsi"/>
              </w:rPr>
              <w:t>.</w:t>
            </w:r>
          </w:p>
          <w:p w:rsidR="00955518" w:rsidRPr="00955518" w:rsidRDefault="009315C7" w:rsidP="00B83D7A">
            <w:pPr>
              <w:pStyle w:val="ListParagraph"/>
              <w:spacing w:before="120" w:after="120"/>
              <w:ind w:left="34"/>
              <w:rPr>
                <w:rFonts w:asciiTheme="minorHAnsi" w:hAnsiTheme="minorHAnsi"/>
                <w:color w:val="808080" w:themeColor="background1" w:themeShade="80"/>
              </w:rPr>
            </w:pPr>
            <w:hyperlink r:id="rId19" w:history="1">
              <w:r w:rsidR="00955518" w:rsidRPr="00955518">
                <w:rPr>
                  <w:rStyle w:val="Hyperlink"/>
                  <w:rFonts w:asciiTheme="minorHAnsi" w:hAnsiTheme="minorHAnsi"/>
                  <w:color w:val="808080" w:themeColor="background1" w:themeShade="80"/>
                </w:rPr>
                <w:t>https://www.ncbi.nlm.nih.gov/pubmed/24700511</w:t>
              </w:r>
            </w:hyperlink>
          </w:p>
          <w:p w:rsidR="00955518" w:rsidRDefault="00955518" w:rsidP="00B83D7A">
            <w:pPr>
              <w:pStyle w:val="ListParagraph"/>
              <w:spacing w:before="120" w:after="120"/>
              <w:ind w:left="34"/>
              <w:rPr>
                <w:rFonts w:asciiTheme="minorHAnsi" w:hAnsiTheme="minorHAnsi"/>
              </w:rPr>
            </w:pPr>
          </w:p>
          <w:p w:rsidR="000B5187" w:rsidRPr="000B5187" w:rsidRDefault="000B5187" w:rsidP="000B5187">
            <w:pPr>
              <w:pStyle w:val="ListParagraph"/>
              <w:spacing w:before="120" w:after="120"/>
              <w:ind w:left="34"/>
              <w:rPr>
                <w:rFonts w:asciiTheme="minorHAnsi" w:hAnsiTheme="minorHAnsi"/>
              </w:rPr>
            </w:pPr>
            <w:r w:rsidRPr="000B5187">
              <w:rPr>
                <w:rFonts w:asciiTheme="minorHAnsi" w:hAnsiTheme="minorHAnsi"/>
              </w:rPr>
              <w:t xml:space="preserve">UK Department of Health (2011) Clinical Guidelines for Immunoglobulin Use: Second Edition Update. Available at: </w:t>
            </w:r>
            <w:r w:rsidRPr="00955518">
              <w:rPr>
                <w:rFonts w:asciiTheme="minorHAnsi" w:hAnsiTheme="minorHAnsi"/>
                <w:color w:val="808080" w:themeColor="background1" w:themeShade="80"/>
              </w:rPr>
              <w:t>https://www.gov.uk/government/uploads/system/uploads/attachment_data/file/216671/dh_131107.pdf</w:t>
            </w:r>
          </w:p>
          <w:p w:rsidR="000B5187" w:rsidRPr="000B5187" w:rsidRDefault="000B5187" w:rsidP="000B5187">
            <w:pPr>
              <w:pStyle w:val="ListParagraph"/>
              <w:spacing w:before="120" w:after="120"/>
              <w:ind w:left="34"/>
              <w:rPr>
                <w:rFonts w:asciiTheme="minorHAnsi" w:hAnsiTheme="minorHAnsi"/>
              </w:rPr>
            </w:pPr>
          </w:p>
          <w:p w:rsidR="000B5187" w:rsidRPr="00B83D7A" w:rsidRDefault="000B5187" w:rsidP="000B5187">
            <w:pPr>
              <w:pStyle w:val="ListParagraph"/>
              <w:spacing w:before="120" w:after="120"/>
              <w:ind w:left="34"/>
              <w:rPr>
                <w:rFonts w:asciiTheme="minorHAnsi" w:hAnsiTheme="minorHAnsi"/>
              </w:rPr>
            </w:pPr>
            <w:r w:rsidRPr="000B5187">
              <w:rPr>
                <w:rFonts w:asciiTheme="minorHAnsi" w:hAnsiTheme="minorHAnsi"/>
              </w:rPr>
              <w:t xml:space="preserve">UK Department of Health (2011) Clinical Guidelines for Immunoglobulin Use: Second Edition Update: Summary Poster. Available at: </w:t>
            </w:r>
            <w:r w:rsidRPr="00955518">
              <w:rPr>
                <w:rFonts w:asciiTheme="minorHAnsi" w:hAnsiTheme="minorHAnsi"/>
                <w:color w:val="808080" w:themeColor="background1" w:themeShade="80"/>
              </w:rPr>
              <w:t>https://www.igd.nhs.uk/wp-content/uploads/2016/04/DemandManagementPoster_v4_February2016.pdf</w:t>
            </w:r>
          </w:p>
        </w:tc>
      </w:tr>
    </w:tbl>
    <w:p w:rsidR="000E09C4" w:rsidRDefault="000E09C4">
      <w:pPr>
        <w:sectPr w:rsidR="000E09C4" w:rsidSect="00447869">
          <w:type w:val="continuous"/>
          <w:pgSz w:w="16839" w:h="11907" w:orient="landscape" w:code="9"/>
          <w:pgMar w:top="1440" w:right="1440" w:bottom="1133" w:left="1440" w:header="708" w:footer="708" w:gutter="0"/>
          <w:cols w:space="708"/>
          <w:titlePg/>
          <w:docGrid w:linePitch="360"/>
        </w:sectPr>
      </w:pPr>
    </w:p>
    <w:tbl>
      <w:tblPr>
        <w:tblStyle w:val="TableGrid1"/>
        <w:tblW w:w="14601" w:type="dxa"/>
        <w:tblInd w:w="-318" w:type="dxa"/>
        <w:tblLook w:val="0680" w:firstRow="0" w:lastRow="0" w:firstColumn="1" w:lastColumn="0" w:noHBand="1" w:noVBand="1"/>
      </w:tblPr>
      <w:tblGrid>
        <w:gridCol w:w="2161"/>
        <w:gridCol w:w="1384"/>
        <w:gridCol w:w="1593"/>
        <w:gridCol w:w="1667"/>
        <w:gridCol w:w="1701"/>
        <w:gridCol w:w="1701"/>
        <w:gridCol w:w="4394"/>
      </w:tblGrid>
      <w:tr w:rsidR="000D1DE1" w:rsidRPr="00021243" w:rsidTr="00026961">
        <w:tc>
          <w:tcPr>
            <w:tcW w:w="14601" w:type="dxa"/>
            <w:gridSpan w:val="7"/>
            <w:shd w:val="clear" w:color="auto" w:fill="F79646" w:themeFill="accent6"/>
          </w:tcPr>
          <w:p w:rsidR="000D1DE1" w:rsidRDefault="000D1DE1" w:rsidP="00026961">
            <w:pPr>
              <w:spacing w:before="120" w:after="120"/>
              <w:rPr>
                <w:rFonts w:asciiTheme="minorHAnsi" w:hAnsiTheme="minorHAnsi"/>
                <w:b/>
              </w:rPr>
            </w:pPr>
            <w:r w:rsidRPr="00BF6734">
              <w:rPr>
                <w:rFonts w:asciiTheme="minorHAnsi" w:hAnsiTheme="minorHAnsi"/>
                <w:b/>
              </w:rPr>
              <w:t>POTENTIAL OPERATIONAL IMPACT</w:t>
            </w:r>
          </w:p>
        </w:tc>
      </w:tr>
      <w:tr w:rsidR="000D1DE1" w:rsidRPr="00021243" w:rsidTr="00026961">
        <w:tc>
          <w:tcPr>
            <w:tcW w:w="14601" w:type="dxa"/>
            <w:gridSpan w:val="7"/>
            <w:shd w:val="clear" w:color="auto" w:fill="auto"/>
          </w:tcPr>
          <w:p w:rsidR="000D1DE1" w:rsidRPr="00EA2E82" w:rsidRDefault="000D1DE1" w:rsidP="00026961">
            <w:pPr>
              <w:spacing w:before="120" w:after="120"/>
              <w:rPr>
                <w:rFonts w:asciiTheme="minorHAnsi" w:hAnsiTheme="minorHAnsi"/>
              </w:rPr>
            </w:pPr>
            <w:r w:rsidRPr="00E33020">
              <w:rPr>
                <w:rFonts w:asciiTheme="minorHAnsi" w:hAnsiTheme="minorHAnsi"/>
              </w:rPr>
              <w:t xml:space="preserve">The revised criteria provide significantly greater guidance for access to Ig therapy and patient management and more data entry will be required </w:t>
            </w:r>
            <w:r w:rsidR="00745A26">
              <w:rPr>
                <w:rFonts w:asciiTheme="minorHAnsi" w:hAnsiTheme="minorHAnsi"/>
              </w:rPr>
              <w:t>during</w:t>
            </w:r>
            <w:r w:rsidRPr="00E33020">
              <w:rPr>
                <w:rFonts w:asciiTheme="minorHAnsi" w:hAnsiTheme="minorHAnsi"/>
              </w:rPr>
              <w:t xml:space="preserve"> the Ig request process. </w:t>
            </w:r>
            <w:r w:rsidR="00085367">
              <w:rPr>
                <w:rFonts w:asciiTheme="minorHAnsi" w:hAnsiTheme="minorHAnsi"/>
              </w:rPr>
              <w:t>A neurologist will be required to diagnose and manage patient treatment, although it is recognised that this may be as part of a broader clinical team.</w:t>
            </w:r>
            <w:r w:rsidR="00085367" w:rsidRPr="00E33020">
              <w:rPr>
                <w:rFonts w:asciiTheme="minorHAnsi" w:hAnsiTheme="minorHAnsi"/>
              </w:rPr>
              <w:t xml:space="preserve"> </w:t>
            </w:r>
            <w:r w:rsidRPr="00E33020">
              <w:rPr>
                <w:rFonts w:asciiTheme="minorHAnsi" w:hAnsiTheme="minorHAnsi"/>
              </w:rPr>
              <w:t xml:space="preserve">Patients will be required to be assessed at qualifying and review using a Modified Rankin Scale, however, the scale will be presented as ‘drop-down’ menu options within BloodSTAR </w:t>
            </w:r>
            <w:r w:rsidR="00A44D77">
              <w:rPr>
                <w:rFonts w:asciiTheme="minorHAnsi" w:hAnsiTheme="minorHAnsi"/>
              </w:rPr>
              <w:t>v</w:t>
            </w:r>
            <w:r w:rsidRPr="00E33020">
              <w:rPr>
                <w:rFonts w:asciiTheme="minorHAnsi" w:hAnsiTheme="minorHAnsi"/>
              </w:rPr>
              <w:t>3</w:t>
            </w:r>
            <w:r w:rsidR="003738D0">
              <w:rPr>
                <w:rFonts w:asciiTheme="minorHAnsi" w:hAnsiTheme="minorHAnsi"/>
              </w:rPr>
              <w:t>.0</w:t>
            </w:r>
            <w:r w:rsidRPr="00E33020">
              <w:rPr>
                <w:rFonts w:asciiTheme="minorHAnsi" w:hAnsiTheme="minorHAnsi"/>
              </w:rPr>
              <w:t xml:space="preserve"> and will be simple to apply. It is likely that a greater awareness of the condition and diagnostic criteria will develop and, as a result, requests for antibody testing may increase. There is limited testing currently available within Australia, however, availability is likely to improve over time.</w:t>
            </w:r>
          </w:p>
        </w:tc>
      </w:tr>
      <w:tr w:rsidR="000D1DE1" w:rsidRPr="00021243" w:rsidTr="00026961">
        <w:tc>
          <w:tcPr>
            <w:tcW w:w="14601" w:type="dxa"/>
            <w:gridSpan w:val="7"/>
            <w:shd w:val="clear" w:color="auto" w:fill="F79646" w:themeFill="accent6"/>
          </w:tcPr>
          <w:p w:rsidR="000D1DE1" w:rsidRDefault="000D1DE1" w:rsidP="00026961">
            <w:pPr>
              <w:spacing w:before="120" w:after="120"/>
              <w:rPr>
                <w:rFonts w:asciiTheme="minorHAnsi" w:hAnsiTheme="minorHAnsi"/>
                <w:b/>
              </w:rPr>
            </w:pPr>
            <w:r w:rsidRPr="00BF6734">
              <w:rPr>
                <w:rFonts w:asciiTheme="minorHAnsi" w:hAnsiTheme="minorHAnsi"/>
                <w:b/>
              </w:rPr>
              <w:t xml:space="preserve">POTENTIAL IMPACT ON </w:t>
            </w:r>
            <w:r>
              <w:rPr>
                <w:rFonts w:asciiTheme="minorHAnsi" w:hAnsiTheme="minorHAnsi"/>
                <w:b/>
              </w:rPr>
              <w:t xml:space="preserve">PATIENTS, </w:t>
            </w:r>
            <w:r w:rsidRPr="00BF6734">
              <w:rPr>
                <w:rFonts w:asciiTheme="minorHAnsi" w:hAnsiTheme="minorHAnsi"/>
                <w:b/>
              </w:rPr>
              <w:t>DEMAND</w:t>
            </w:r>
            <w:r>
              <w:rPr>
                <w:rFonts w:asciiTheme="minorHAnsi" w:hAnsiTheme="minorHAnsi"/>
                <w:b/>
              </w:rPr>
              <w:t xml:space="preserve"> AND EXPENDITURE</w:t>
            </w:r>
          </w:p>
        </w:tc>
      </w:tr>
      <w:tr w:rsidR="000D1DE1" w:rsidRPr="00021243" w:rsidTr="00026961">
        <w:tc>
          <w:tcPr>
            <w:tcW w:w="3545" w:type="dxa"/>
            <w:gridSpan w:val="2"/>
            <w:shd w:val="clear" w:color="auto" w:fill="auto"/>
          </w:tcPr>
          <w:p w:rsidR="000D1DE1" w:rsidRDefault="000D1DE1" w:rsidP="00026961">
            <w:pPr>
              <w:spacing w:before="120" w:after="120"/>
              <w:rPr>
                <w:rFonts w:asciiTheme="minorHAnsi" w:hAnsiTheme="minorHAnsi"/>
                <w:b/>
              </w:rPr>
            </w:pPr>
            <w:r>
              <w:rPr>
                <w:rFonts w:asciiTheme="minorHAnsi" w:hAnsiTheme="minorHAnsi"/>
                <w:b/>
              </w:rPr>
              <w:t>Description of impact on patients:</w:t>
            </w:r>
          </w:p>
        </w:tc>
        <w:tc>
          <w:tcPr>
            <w:tcW w:w="11056" w:type="dxa"/>
            <w:gridSpan w:val="5"/>
            <w:shd w:val="clear" w:color="auto" w:fill="auto"/>
          </w:tcPr>
          <w:p w:rsidR="000D1DE1" w:rsidRDefault="00680122" w:rsidP="00026961">
            <w:pPr>
              <w:spacing w:before="120" w:after="120"/>
              <w:rPr>
                <w:rFonts w:asciiTheme="minorHAnsi" w:hAnsiTheme="minorHAnsi"/>
              </w:rPr>
            </w:pPr>
            <w:r w:rsidRPr="00E33020">
              <w:rPr>
                <w:rFonts w:asciiTheme="minorHAnsi" w:hAnsiTheme="minorHAnsi"/>
              </w:rPr>
              <w:t>The</w:t>
            </w:r>
            <w:r>
              <w:rPr>
                <w:rFonts w:asciiTheme="minorHAnsi" w:hAnsiTheme="minorHAnsi"/>
              </w:rPr>
              <w:t>se criteria provide</w:t>
            </w:r>
            <w:r w:rsidRPr="00E33020">
              <w:rPr>
                <w:rFonts w:asciiTheme="minorHAnsi" w:hAnsiTheme="minorHAnsi"/>
              </w:rPr>
              <w:t xml:space="preserve"> greater guidance for prescribers by applying specific diagnostic criteria and </w:t>
            </w:r>
            <w:r w:rsidR="00CB0666">
              <w:rPr>
                <w:rFonts w:asciiTheme="minorHAnsi" w:hAnsiTheme="minorHAnsi"/>
              </w:rPr>
              <w:t>to ensure</w:t>
            </w:r>
            <w:r>
              <w:rPr>
                <w:rFonts w:asciiTheme="minorHAnsi" w:hAnsiTheme="minorHAnsi"/>
              </w:rPr>
              <w:t xml:space="preserve"> that</w:t>
            </w:r>
            <w:r w:rsidRPr="00E33020">
              <w:rPr>
                <w:rFonts w:asciiTheme="minorHAnsi" w:hAnsiTheme="minorHAnsi"/>
              </w:rPr>
              <w:t xml:space="preserve"> second line treatment </w:t>
            </w:r>
            <w:r>
              <w:rPr>
                <w:rFonts w:asciiTheme="minorHAnsi" w:hAnsiTheme="minorHAnsi"/>
              </w:rPr>
              <w:t xml:space="preserve">is started </w:t>
            </w:r>
            <w:r w:rsidRPr="00E33020">
              <w:rPr>
                <w:rFonts w:asciiTheme="minorHAnsi" w:hAnsiTheme="minorHAnsi"/>
              </w:rPr>
              <w:t xml:space="preserve">very early </w:t>
            </w:r>
            <w:r>
              <w:rPr>
                <w:rFonts w:asciiTheme="minorHAnsi" w:hAnsiTheme="minorHAnsi"/>
              </w:rPr>
              <w:t>if</w:t>
            </w:r>
            <w:r w:rsidRPr="00E33020">
              <w:rPr>
                <w:rFonts w:asciiTheme="minorHAnsi" w:hAnsiTheme="minorHAnsi"/>
              </w:rPr>
              <w:t xml:space="preserve"> patients do not respond to first line treatment</w:t>
            </w:r>
            <w:r>
              <w:rPr>
                <w:rFonts w:asciiTheme="minorHAnsi" w:hAnsiTheme="minorHAnsi"/>
              </w:rPr>
              <w:t>. This approach has been shown</w:t>
            </w:r>
            <w:r w:rsidRPr="00E33020">
              <w:rPr>
                <w:rFonts w:asciiTheme="minorHAnsi" w:hAnsiTheme="minorHAnsi"/>
              </w:rPr>
              <w:t xml:space="preserve"> to result in improved patient outcomes. </w:t>
            </w:r>
            <w:r>
              <w:rPr>
                <w:rFonts w:asciiTheme="minorHAnsi" w:hAnsiTheme="minorHAnsi"/>
              </w:rPr>
              <w:t>P</w:t>
            </w:r>
            <w:r w:rsidRPr="00E33020">
              <w:rPr>
                <w:rFonts w:asciiTheme="minorHAnsi" w:hAnsiTheme="minorHAnsi"/>
              </w:rPr>
              <w:t xml:space="preserve">atients </w:t>
            </w:r>
            <w:r>
              <w:rPr>
                <w:rFonts w:asciiTheme="minorHAnsi" w:hAnsiTheme="minorHAnsi"/>
              </w:rPr>
              <w:t>who</w:t>
            </w:r>
            <w:r w:rsidRPr="00E33020">
              <w:rPr>
                <w:rFonts w:asciiTheme="minorHAnsi" w:hAnsiTheme="minorHAnsi"/>
              </w:rPr>
              <w:t xml:space="preserve"> do not respon</w:t>
            </w:r>
            <w:r>
              <w:rPr>
                <w:rFonts w:asciiTheme="minorHAnsi" w:hAnsiTheme="minorHAnsi"/>
              </w:rPr>
              <w:t>d</w:t>
            </w:r>
            <w:r w:rsidRPr="00E33020">
              <w:rPr>
                <w:rFonts w:asciiTheme="minorHAnsi" w:hAnsiTheme="minorHAnsi"/>
              </w:rPr>
              <w:t xml:space="preserve"> to Ig therapy </w:t>
            </w:r>
            <w:r>
              <w:rPr>
                <w:rFonts w:asciiTheme="minorHAnsi" w:hAnsiTheme="minorHAnsi"/>
              </w:rPr>
              <w:t xml:space="preserve">after three months treatment </w:t>
            </w:r>
            <w:r w:rsidR="00167377">
              <w:rPr>
                <w:rFonts w:asciiTheme="minorHAnsi" w:hAnsiTheme="minorHAnsi"/>
              </w:rPr>
              <w:t>will</w:t>
            </w:r>
            <w:r w:rsidRPr="00E33020">
              <w:rPr>
                <w:rFonts w:asciiTheme="minorHAnsi" w:hAnsiTheme="minorHAnsi"/>
              </w:rPr>
              <w:t xml:space="preserve"> </w:t>
            </w:r>
            <w:r>
              <w:rPr>
                <w:rFonts w:asciiTheme="minorHAnsi" w:hAnsiTheme="minorHAnsi"/>
              </w:rPr>
              <w:t>be commenced on</w:t>
            </w:r>
            <w:r w:rsidRPr="00E33020">
              <w:rPr>
                <w:rFonts w:asciiTheme="minorHAnsi" w:hAnsiTheme="minorHAnsi"/>
              </w:rPr>
              <w:t xml:space="preserve"> </w:t>
            </w:r>
            <w:r>
              <w:rPr>
                <w:rFonts w:asciiTheme="minorHAnsi" w:hAnsiTheme="minorHAnsi"/>
              </w:rPr>
              <w:t xml:space="preserve">a </w:t>
            </w:r>
            <w:r w:rsidR="00167377">
              <w:rPr>
                <w:rFonts w:asciiTheme="minorHAnsi" w:hAnsiTheme="minorHAnsi"/>
              </w:rPr>
              <w:t>second</w:t>
            </w:r>
            <w:r>
              <w:rPr>
                <w:rFonts w:asciiTheme="minorHAnsi" w:hAnsiTheme="minorHAnsi"/>
              </w:rPr>
              <w:t xml:space="preserve"> </w:t>
            </w:r>
            <w:r w:rsidR="00167377">
              <w:rPr>
                <w:rFonts w:asciiTheme="minorHAnsi" w:hAnsiTheme="minorHAnsi"/>
              </w:rPr>
              <w:t>medication</w:t>
            </w:r>
            <w:r w:rsidRPr="00E33020">
              <w:rPr>
                <w:rFonts w:asciiTheme="minorHAnsi" w:hAnsiTheme="minorHAnsi"/>
              </w:rPr>
              <w:t xml:space="preserve"> </w:t>
            </w:r>
            <w:r w:rsidR="00CB0666">
              <w:rPr>
                <w:rFonts w:asciiTheme="minorHAnsi" w:hAnsiTheme="minorHAnsi"/>
              </w:rPr>
              <w:t>in addition</w:t>
            </w:r>
            <w:r>
              <w:rPr>
                <w:rFonts w:asciiTheme="minorHAnsi" w:hAnsiTheme="minorHAnsi"/>
              </w:rPr>
              <w:t xml:space="preserve"> to Ig therapy. </w:t>
            </w:r>
            <w:r w:rsidR="006B68B4">
              <w:rPr>
                <w:rFonts w:asciiTheme="minorHAnsi" w:hAnsiTheme="minorHAnsi"/>
              </w:rPr>
              <w:t>The formal access criteria proposed for this condition require that a neurologist</w:t>
            </w:r>
            <w:r w:rsidR="00884933">
              <w:rPr>
                <w:rFonts w:asciiTheme="minorHAnsi" w:hAnsiTheme="minorHAnsi"/>
              </w:rPr>
              <w:t>, who may be part of a wider clinical team including clinical immunologists,</w:t>
            </w:r>
            <w:r w:rsidR="006B68B4">
              <w:rPr>
                <w:rFonts w:asciiTheme="minorHAnsi" w:hAnsiTheme="minorHAnsi"/>
              </w:rPr>
              <w:t xml:space="preserve"> makes the diagnosis and manages the</w:t>
            </w:r>
            <w:r w:rsidR="00167377">
              <w:rPr>
                <w:rFonts w:asciiTheme="minorHAnsi" w:hAnsiTheme="minorHAnsi"/>
              </w:rPr>
              <w:t xml:space="preserve"> </w:t>
            </w:r>
            <w:r w:rsidR="006B68B4">
              <w:rPr>
                <w:rFonts w:asciiTheme="minorHAnsi" w:hAnsiTheme="minorHAnsi"/>
              </w:rPr>
              <w:t xml:space="preserve">treatment. </w:t>
            </w:r>
            <w:r w:rsidR="00B4371D">
              <w:rPr>
                <w:rFonts w:asciiTheme="minorHAnsi" w:hAnsiTheme="minorHAnsi"/>
              </w:rPr>
              <w:t>This is because the condition</w:t>
            </w:r>
            <w:r w:rsidR="006B68B4">
              <w:rPr>
                <w:rFonts w:asciiTheme="minorHAnsi" w:hAnsiTheme="minorHAnsi"/>
              </w:rPr>
              <w:t xml:space="preserve"> is uncommon, can be misdiagnosed and it is important that the correct</w:t>
            </w:r>
            <w:r w:rsidR="00CB0666">
              <w:rPr>
                <w:rFonts w:asciiTheme="minorHAnsi" w:hAnsiTheme="minorHAnsi"/>
              </w:rPr>
              <w:t>,</w:t>
            </w:r>
            <w:r w:rsidR="006B68B4">
              <w:rPr>
                <w:rFonts w:asciiTheme="minorHAnsi" w:hAnsiTheme="minorHAnsi"/>
              </w:rPr>
              <w:t xml:space="preserve"> early treatment is given</w:t>
            </w:r>
            <w:r w:rsidR="00B4371D">
              <w:rPr>
                <w:rFonts w:asciiTheme="minorHAnsi" w:hAnsiTheme="minorHAnsi"/>
              </w:rPr>
              <w:t xml:space="preserve"> to patients</w:t>
            </w:r>
            <w:r w:rsidR="006B68B4">
              <w:rPr>
                <w:rFonts w:asciiTheme="minorHAnsi" w:hAnsiTheme="minorHAnsi"/>
              </w:rPr>
              <w:t xml:space="preserve">. </w:t>
            </w:r>
            <w:r w:rsidR="00B4371D">
              <w:rPr>
                <w:rFonts w:asciiTheme="minorHAnsi" w:hAnsiTheme="minorHAnsi"/>
              </w:rPr>
              <w:t xml:space="preserve">Ig therapy is given at the same time as other treatments. </w:t>
            </w:r>
          </w:p>
          <w:p w:rsidR="00424B65" w:rsidRDefault="00680122" w:rsidP="009261C6">
            <w:pPr>
              <w:spacing w:before="120" w:after="120"/>
              <w:rPr>
                <w:rFonts w:asciiTheme="minorHAnsi" w:hAnsiTheme="minorHAnsi"/>
              </w:rPr>
            </w:pPr>
            <w:r>
              <w:rPr>
                <w:rFonts w:asciiTheme="minorHAnsi" w:hAnsiTheme="minorHAnsi"/>
              </w:rPr>
              <w:t xml:space="preserve">For existing patients on Ig maintenance therapy, six monthly reviews are required to assess the effectiveness of the treatment to improve or stabilise symptoms and </w:t>
            </w:r>
            <w:r w:rsidR="002958E3">
              <w:rPr>
                <w:rFonts w:asciiTheme="minorHAnsi" w:hAnsiTheme="minorHAnsi"/>
              </w:rPr>
              <w:t xml:space="preserve">the </w:t>
            </w:r>
            <w:r>
              <w:rPr>
                <w:rFonts w:asciiTheme="minorHAnsi" w:hAnsiTheme="minorHAnsi"/>
              </w:rPr>
              <w:t xml:space="preserve">degree of disability. Given that patients will already require </w:t>
            </w:r>
            <w:r w:rsidR="002958E3">
              <w:rPr>
                <w:rFonts w:asciiTheme="minorHAnsi" w:hAnsiTheme="minorHAnsi"/>
              </w:rPr>
              <w:t xml:space="preserve">very </w:t>
            </w:r>
            <w:r>
              <w:rPr>
                <w:rFonts w:asciiTheme="minorHAnsi" w:hAnsiTheme="minorHAnsi"/>
              </w:rPr>
              <w:t xml:space="preserve">regular review by their </w:t>
            </w:r>
            <w:r w:rsidR="002958E3">
              <w:rPr>
                <w:rFonts w:asciiTheme="minorHAnsi" w:hAnsiTheme="minorHAnsi"/>
              </w:rPr>
              <w:t>neurologist</w:t>
            </w:r>
            <w:r>
              <w:rPr>
                <w:rFonts w:asciiTheme="minorHAnsi" w:hAnsiTheme="minorHAnsi"/>
              </w:rPr>
              <w:t>, this requirement will not place an added burden on patients. If Ig therapy has not been effective</w:t>
            </w:r>
            <w:r w:rsidR="002958E3">
              <w:rPr>
                <w:rFonts w:asciiTheme="minorHAnsi" w:hAnsiTheme="minorHAnsi"/>
              </w:rPr>
              <w:t xml:space="preserve"> in stabilising symptoms</w:t>
            </w:r>
            <w:r>
              <w:rPr>
                <w:rFonts w:asciiTheme="minorHAnsi" w:hAnsiTheme="minorHAnsi"/>
              </w:rPr>
              <w:t xml:space="preserve">, it will be ceased as a different treatment should be used. </w:t>
            </w:r>
            <w:r w:rsidR="00B4371D">
              <w:rPr>
                <w:rFonts w:asciiTheme="minorHAnsi" w:hAnsiTheme="minorHAnsi"/>
              </w:rPr>
              <w:t xml:space="preserve">A trial of reducing dose and then stopping Ig therapy will be considered by doctors when patients are well and </w:t>
            </w:r>
            <w:r w:rsidR="00085367">
              <w:rPr>
                <w:rFonts w:asciiTheme="minorHAnsi" w:hAnsiTheme="minorHAnsi"/>
              </w:rPr>
              <w:t xml:space="preserve">symptoms are </w:t>
            </w:r>
            <w:r w:rsidR="00B4371D">
              <w:rPr>
                <w:rFonts w:asciiTheme="minorHAnsi" w:hAnsiTheme="minorHAnsi"/>
              </w:rPr>
              <w:t>stable</w:t>
            </w:r>
            <w:r w:rsidR="00424B65">
              <w:rPr>
                <w:rFonts w:asciiTheme="minorHAnsi" w:hAnsiTheme="minorHAnsi"/>
              </w:rPr>
              <w:t>.</w:t>
            </w:r>
            <w:r w:rsidR="00B4371D">
              <w:rPr>
                <w:rFonts w:asciiTheme="minorHAnsi" w:hAnsiTheme="minorHAnsi"/>
              </w:rPr>
              <w:t xml:space="preserve">  </w:t>
            </w:r>
          </w:p>
          <w:p w:rsidR="00B4371D" w:rsidRPr="00E33020" w:rsidRDefault="009261C6" w:rsidP="00026961">
            <w:pPr>
              <w:spacing w:before="120" w:after="120"/>
              <w:rPr>
                <w:rFonts w:asciiTheme="minorHAnsi" w:hAnsiTheme="minorHAnsi"/>
              </w:rPr>
            </w:pPr>
            <w:r>
              <w:rPr>
                <w:rFonts w:asciiTheme="minorHAnsi" w:hAnsiTheme="minorHAnsi"/>
              </w:rPr>
              <w:t>New patients authorised to receive Ig therapy will require an initial check after the first three</w:t>
            </w:r>
            <w:r w:rsidR="00424B65">
              <w:rPr>
                <w:rFonts w:asciiTheme="minorHAnsi" w:hAnsiTheme="minorHAnsi"/>
              </w:rPr>
              <w:t xml:space="preserve"> months of </w:t>
            </w:r>
            <w:r>
              <w:rPr>
                <w:rFonts w:asciiTheme="minorHAnsi" w:hAnsiTheme="minorHAnsi"/>
              </w:rPr>
              <w:t>treatm</w:t>
            </w:r>
            <w:r w:rsidR="002958E3">
              <w:rPr>
                <w:rFonts w:asciiTheme="minorHAnsi" w:hAnsiTheme="minorHAnsi"/>
              </w:rPr>
              <w:t>ent to confirm that Ig therapy ha</w:t>
            </w:r>
            <w:r>
              <w:rPr>
                <w:rFonts w:asciiTheme="minorHAnsi" w:hAnsiTheme="minorHAnsi"/>
              </w:rPr>
              <w:t>s</w:t>
            </w:r>
            <w:r w:rsidR="002958E3">
              <w:rPr>
                <w:rFonts w:asciiTheme="minorHAnsi" w:hAnsiTheme="minorHAnsi"/>
              </w:rPr>
              <w:t xml:space="preserve"> been</w:t>
            </w:r>
            <w:r w:rsidR="00424B65">
              <w:rPr>
                <w:rFonts w:asciiTheme="minorHAnsi" w:hAnsiTheme="minorHAnsi"/>
              </w:rPr>
              <w:t xml:space="preserve"> effective in</w:t>
            </w:r>
            <w:r>
              <w:rPr>
                <w:rFonts w:asciiTheme="minorHAnsi" w:hAnsiTheme="minorHAnsi"/>
              </w:rPr>
              <w:t xml:space="preserve"> improving the severity of symptoms </w:t>
            </w:r>
            <w:r w:rsidR="00085367">
              <w:rPr>
                <w:rFonts w:asciiTheme="minorHAnsi" w:hAnsiTheme="minorHAnsi"/>
              </w:rPr>
              <w:t>and that</w:t>
            </w:r>
            <w:r>
              <w:rPr>
                <w:rFonts w:asciiTheme="minorHAnsi" w:hAnsiTheme="minorHAnsi"/>
              </w:rPr>
              <w:t xml:space="preserve"> </w:t>
            </w:r>
            <w:r w:rsidR="00424B65">
              <w:rPr>
                <w:rFonts w:asciiTheme="minorHAnsi" w:hAnsiTheme="minorHAnsi"/>
              </w:rPr>
              <w:t xml:space="preserve">the level of </w:t>
            </w:r>
            <w:r>
              <w:rPr>
                <w:rFonts w:asciiTheme="minorHAnsi" w:hAnsiTheme="minorHAnsi"/>
              </w:rPr>
              <w:t>disability</w:t>
            </w:r>
            <w:r w:rsidR="00085367">
              <w:rPr>
                <w:rFonts w:asciiTheme="minorHAnsi" w:hAnsiTheme="minorHAnsi"/>
              </w:rPr>
              <w:t xml:space="preserve"> has not worsened</w:t>
            </w:r>
            <w:r>
              <w:rPr>
                <w:rFonts w:asciiTheme="minorHAnsi" w:hAnsiTheme="minorHAnsi"/>
              </w:rPr>
              <w:t xml:space="preserve">. If improvement has been demonstrated after four months treatment, Ig </w:t>
            </w:r>
            <w:r w:rsidR="002958E3">
              <w:rPr>
                <w:rFonts w:asciiTheme="minorHAnsi" w:hAnsiTheme="minorHAnsi"/>
              </w:rPr>
              <w:t xml:space="preserve">maintenance </w:t>
            </w:r>
            <w:r>
              <w:rPr>
                <w:rFonts w:asciiTheme="minorHAnsi" w:hAnsiTheme="minorHAnsi"/>
              </w:rPr>
              <w:t xml:space="preserve">therapy will be </w:t>
            </w:r>
            <w:r w:rsidR="00424B65">
              <w:rPr>
                <w:rFonts w:asciiTheme="minorHAnsi" w:hAnsiTheme="minorHAnsi"/>
              </w:rPr>
              <w:t>continued</w:t>
            </w:r>
            <w:r>
              <w:rPr>
                <w:rFonts w:asciiTheme="minorHAnsi" w:hAnsiTheme="minorHAnsi"/>
              </w:rPr>
              <w:t xml:space="preserve">. </w:t>
            </w:r>
            <w:r w:rsidR="00424B65">
              <w:rPr>
                <w:rFonts w:asciiTheme="minorHAnsi" w:hAnsiTheme="minorHAnsi"/>
              </w:rPr>
              <w:t xml:space="preserve">If a response has not been demonstrated, a second medication must have been started and a further six months Ig therapy will be given. </w:t>
            </w:r>
            <w:r w:rsidR="002958E3">
              <w:rPr>
                <w:rFonts w:asciiTheme="minorHAnsi" w:hAnsiTheme="minorHAnsi"/>
              </w:rPr>
              <w:t>Further</w:t>
            </w:r>
            <w:r w:rsidR="00424B65">
              <w:rPr>
                <w:rFonts w:asciiTheme="minorHAnsi" w:hAnsiTheme="minorHAnsi"/>
              </w:rPr>
              <w:t xml:space="preserve"> six monthly reviews will assess how effective the combination therapy has been to improve or stabilise the symptoms and ensure that no further worsening has occurred in disability. If the combination therapy has not been effective, Ig therapy will be stopped and a different treat</w:t>
            </w:r>
            <w:r w:rsidR="002958E3">
              <w:rPr>
                <w:rFonts w:asciiTheme="minorHAnsi" w:hAnsiTheme="minorHAnsi"/>
              </w:rPr>
              <w:t>ment approach will be required.</w:t>
            </w:r>
            <w:r w:rsidR="00424B65">
              <w:rPr>
                <w:rFonts w:asciiTheme="minorHAnsi" w:hAnsiTheme="minorHAnsi"/>
              </w:rPr>
              <w:t xml:space="preserve"> </w:t>
            </w:r>
            <w:r>
              <w:rPr>
                <w:rFonts w:asciiTheme="minorHAnsi" w:hAnsiTheme="minorHAnsi"/>
              </w:rPr>
              <w:t>The ongoing arrangements for maintenance therapy are as outlined above for existing patients.</w:t>
            </w:r>
          </w:p>
          <w:p w:rsidR="000D1DE1" w:rsidRPr="00832D0D" w:rsidRDefault="000D1DE1" w:rsidP="00B4371D">
            <w:pPr>
              <w:spacing w:before="120" w:after="120"/>
              <w:rPr>
                <w:rFonts w:asciiTheme="minorHAnsi" w:hAnsiTheme="minorHAnsi"/>
              </w:rPr>
            </w:pPr>
          </w:p>
        </w:tc>
      </w:tr>
      <w:tr w:rsidR="000D1DE1" w:rsidRPr="00021243" w:rsidTr="00026961">
        <w:tc>
          <w:tcPr>
            <w:tcW w:w="3545" w:type="dxa"/>
            <w:gridSpan w:val="2"/>
            <w:shd w:val="clear" w:color="auto" w:fill="auto"/>
          </w:tcPr>
          <w:p w:rsidR="000D1DE1" w:rsidRDefault="000D1DE1" w:rsidP="00026961">
            <w:pPr>
              <w:spacing w:before="120" w:after="120"/>
              <w:rPr>
                <w:rFonts w:asciiTheme="minorHAnsi" w:hAnsiTheme="minorHAnsi"/>
                <w:b/>
              </w:rPr>
            </w:pPr>
            <w:r>
              <w:rPr>
                <w:rFonts w:asciiTheme="minorHAnsi" w:hAnsiTheme="minorHAnsi"/>
                <w:b/>
              </w:rPr>
              <w:t>Impact on demand:</w:t>
            </w:r>
          </w:p>
        </w:tc>
        <w:tc>
          <w:tcPr>
            <w:tcW w:w="11056" w:type="dxa"/>
            <w:gridSpan w:val="5"/>
            <w:shd w:val="clear" w:color="auto" w:fill="auto"/>
          </w:tcPr>
          <w:p w:rsidR="000D1DE1" w:rsidRPr="00E33020" w:rsidRDefault="000D1DE1" w:rsidP="006B68B4">
            <w:pPr>
              <w:spacing w:before="120" w:after="120"/>
              <w:rPr>
                <w:rFonts w:asciiTheme="minorHAnsi" w:hAnsiTheme="minorHAnsi"/>
              </w:rPr>
            </w:pPr>
            <w:r w:rsidRPr="00E33020">
              <w:rPr>
                <w:rFonts w:asciiTheme="minorHAnsi" w:hAnsiTheme="minorHAnsi"/>
              </w:rPr>
              <w:t xml:space="preserve">AMAE has become increasingly recognised as a diagnosis responding to Ig treatment as demonstrated in the increasing usage data over the last 4 years for Potassium channel antibody-associated encephalopathy and both forms of limbic encephalitis. </w:t>
            </w:r>
            <w:r w:rsidR="006B68B4">
              <w:rPr>
                <w:rFonts w:asciiTheme="minorHAnsi" w:hAnsiTheme="minorHAnsi"/>
              </w:rPr>
              <w:t>More specific</w:t>
            </w:r>
            <w:r w:rsidR="006B68B4" w:rsidRPr="00E33020">
              <w:rPr>
                <w:rFonts w:asciiTheme="minorHAnsi" w:hAnsiTheme="minorHAnsi"/>
              </w:rPr>
              <w:t xml:space="preserve"> </w:t>
            </w:r>
            <w:r w:rsidRPr="00E33020">
              <w:rPr>
                <w:rFonts w:asciiTheme="minorHAnsi" w:hAnsiTheme="minorHAnsi"/>
              </w:rPr>
              <w:t xml:space="preserve">access criteria and a requirement for a trial of weaning will be applied to all patients previously treated under the four relevant conditions now covered under AMAE, and while fewer patients may be eligible for Ig therapy than are currently receiving treatment, it is expected that demand over all will continue to rise for this condition as it is increasingly being diagnosed and Ig therapy </w:t>
            </w:r>
            <w:r w:rsidR="006B68B4">
              <w:rPr>
                <w:rFonts w:asciiTheme="minorHAnsi" w:hAnsiTheme="minorHAnsi"/>
              </w:rPr>
              <w:t xml:space="preserve">is </w:t>
            </w:r>
            <w:r w:rsidRPr="00E33020">
              <w:rPr>
                <w:rFonts w:asciiTheme="minorHAnsi" w:hAnsiTheme="minorHAnsi"/>
              </w:rPr>
              <w:t>provided as first line treatment.</w:t>
            </w:r>
          </w:p>
        </w:tc>
      </w:tr>
      <w:tr w:rsidR="000D1DE1" w:rsidRPr="00853117" w:rsidTr="00026961">
        <w:tc>
          <w:tcPr>
            <w:tcW w:w="2161" w:type="dxa"/>
            <w:shd w:val="clear" w:color="auto" w:fill="auto"/>
          </w:tcPr>
          <w:p w:rsidR="000D1DE1" w:rsidRPr="00C92149" w:rsidRDefault="000D1DE1" w:rsidP="00026961">
            <w:pPr>
              <w:spacing w:before="120" w:after="120"/>
              <w:rPr>
                <w:rFonts w:asciiTheme="minorHAnsi" w:hAnsiTheme="minorHAnsi"/>
                <w:b/>
                <w:sz w:val="18"/>
                <w:szCs w:val="18"/>
              </w:rPr>
            </w:pPr>
          </w:p>
        </w:tc>
        <w:tc>
          <w:tcPr>
            <w:tcW w:w="1384" w:type="dxa"/>
            <w:shd w:val="clear" w:color="auto" w:fill="auto"/>
          </w:tcPr>
          <w:p w:rsidR="000D1DE1" w:rsidRPr="00C92149" w:rsidRDefault="000D1DE1" w:rsidP="00026961">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2011-12</w:t>
            </w:r>
          </w:p>
        </w:tc>
        <w:tc>
          <w:tcPr>
            <w:tcW w:w="1593" w:type="dxa"/>
            <w:shd w:val="clear" w:color="auto" w:fill="auto"/>
          </w:tcPr>
          <w:p w:rsidR="000D1DE1" w:rsidRPr="00C92149" w:rsidRDefault="000D1DE1" w:rsidP="00026961">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2012-13</w:t>
            </w:r>
          </w:p>
        </w:tc>
        <w:tc>
          <w:tcPr>
            <w:tcW w:w="1667" w:type="dxa"/>
            <w:shd w:val="clear" w:color="auto" w:fill="auto"/>
          </w:tcPr>
          <w:p w:rsidR="000D1DE1" w:rsidRPr="00C92149" w:rsidRDefault="000D1DE1" w:rsidP="00026961">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2013-14</w:t>
            </w:r>
          </w:p>
        </w:tc>
        <w:tc>
          <w:tcPr>
            <w:tcW w:w="1701" w:type="dxa"/>
            <w:shd w:val="clear" w:color="auto" w:fill="auto"/>
          </w:tcPr>
          <w:p w:rsidR="000D1DE1" w:rsidRPr="00C92149" w:rsidRDefault="000D1DE1" w:rsidP="00026961">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2014-15</w:t>
            </w:r>
          </w:p>
        </w:tc>
        <w:tc>
          <w:tcPr>
            <w:tcW w:w="1701" w:type="dxa"/>
            <w:shd w:val="clear" w:color="auto" w:fill="auto"/>
          </w:tcPr>
          <w:p w:rsidR="000D1DE1" w:rsidRPr="003B14F9" w:rsidRDefault="000D1DE1" w:rsidP="00026961">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2015-16</w:t>
            </w:r>
          </w:p>
        </w:tc>
        <w:tc>
          <w:tcPr>
            <w:tcW w:w="4394" w:type="dxa"/>
            <w:vMerge w:val="restart"/>
            <w:shd w:val="clear" w:color="auto" w:fill="auto"/>
          </w:tcPr>
          <w:p w:rsidR="000D1DE1" w:rsidRPr="00762061" w:rsidRDefault="000D1DE1" w:rsidP="00026961">
            <w:pPr>
              <w:rPr>
                <w:rFonts w:asciiTheme="minorHAnsi" w:hAnsiTheme="minorHAnsi"/>
                <w:sz w:val="18"/>
                <w:szCs w:val="18"/>
              </w:rPr>
            </w:pPr>
            <w:r w:rsidRPr="00762061">
              <w:rPr>
                <w:rFonts w:asciiTheme="minorHAnsi" w:hAnsiTheme="minorHAnsi"/>
                <w:sz w:val="18"/>
                <w:szCs w:val="18"/>
              </w:rPr>
              <w:t xml:space="preserve">*Data has been generated for this purpose by including patients with Potassium channel, Limbic encephalitis, and Hashimoto’s encephalopathy as an indicative baseline for this condition. </w:t>
            </w:r>
          </w:p>
          <w:p w:rsidR="000D1DE1" w:rsidRPr="00762061" w:rsidRDefault="000D1DE1" w:rsidP="00026961">
            <w:pPr>
              <w:rPr>
                <w:rFonts w:asciiTheme="minorHAnsi" w:hAnsiTheme="minorHAnsi"/>
                <w:sz w:val="18"/>
                <w:szCs w:val="18"/>
              </w:rPr>
            </w:pPr>
          </w:p>
          <w:p w:rsidR="000D1DE1" w:rsidRPr="00E33020" w:rsidRDefault="000D1DE1" w:rsidP="006B68B4">
            <w:pPr>
              <w:rPr>
                <w:rFonts w:ascii="Gill Sans MT" w:hAnsi="Gill Sans MT"/>
                <w:sz w:val="18"/>
                <w:szCs w:val="18"/>
              </w:rPr>
            </w:pPr>
            <w:r w:rsidRPr="00762061">
              <w:rPr>
                <w:rFonts w:asciiTheme="minorHAnsi" w:hAnsiTheme="minorHAnsi"/>
                <w:sz w:val="18"/>
                <w:szCs w:val="18"/>
              </w:rPr>
              <w:t xml:space="preserve">The </w:t>
            </w:r>
            <w:r w:rsidR="00A44D77">
              <w:rPr>
                <w:rFonts w:asciiTheme="minorHAnsi" w:hAnsiTheme="minorHAnsi"/>
                <w:sz w:val="18"/>
                <w:szCs w:val="18"/>
              </w:rPr>
              <w:t>Specialist Working Group</w:t>
            </w:r>
            <w:r w:rsidR="00A44D77" w:rsidRPr="00762061">
              <w:rPr>
                <w:rFonts w:asciiTheme="minorHAnsi" w:hAnsiTheme="minorHAnsi"/>
                <w:sz w:val="18"/>
                <w:szCs w:val="18"/>
              </w:rPr>
              <w:t xml:space="preserve"> </w:t>
            </w:r>
            <w:r w:rsidRPr="00762061">
              <w:rPr>
                <w:rFonts w:asciiTheme="minorHAnsi" w:hAnsiTheme="minorHAnsi"/>
                <w:sz w:val="18"/>
                <w:szCs w:val="18"/>
              </w:rPr>
              <w:t>estimated magnitude of effect: See individual conditions for potential impact</w:t>
            </w:r>
            <w:r w:rsidR="00550AA4">
              <w:rPr>
                <w:rFonts w:asciiTheme="minorHAnsi" w:hAnsiTheme="minorHAnsi"/>
                <w:sz w:val="18"/>
                <w:szCs w:val="18"/>
              </w:rPr>
              <w:t xml:space="preserve"> against projected demand</w:t>
            </w:r>
            <w:r w:rsidRPr="00762061">
              <w:rPr>
                <w:rFonts w:ascii="Gill Sans MT" w:hAnsi="Gill Sans MT"/>
                <w:sz w:val="18"/>
                <w:szCs w:val="18"/>
              </w:rPr>
              <w:t xml:space="preserve"> </w:t>
            </w:r>
          </w:p>
        </w:tc>
      </w:tr>
      <w:tr w:rsidR="000D1DE1" w:rsidRPr="00853117" w:rsidTr="00026961">
        <w:tc>
          <w:tcPr>
            <w:tcW w:w="2161" w:type="dxa"/>
            <w:shd w:val="clear" w:color="auto" w:fill="auto"/>
          </w:tcPr>
          <w:p w:rsidR="000D1DE1" w:rsidRPr="00C92149" w:rsidRDefault="000D1DE1" w:rsidP="00026961">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tcPr>
          <w:p w:rsidR="000D1DE1" w:rsidRPr="002B3D56" w:rsidRDefault="000D1DE1" w:rsidP="00026961">
            <w:pPr>
              <w:spacing w:before="120" w:after="120"/>
              <w:jc w:val="right"/>
              <w:rPr>
                <w:rFonts w:asciiTheme="minorHAnsi" w:hAnsiTheme="minorHAnsi" w:cs="Helvetica"/>
                <w:b/>
                <w:color w:val="333333"/>
                <w:sz w:val="18"/>
                <w:szCs w:val="18"/>
              </w:rPr>
            </w:pPr>
            <w:r w:rsidRPr="002B3D56">
              <w:rPr>
                <w:rFonts w:asciiTheme="minorHAnsi" w:hAnsiTheme="minorHAnsi" w:cs="Helvetica"/>
                <w:b/>
                <w:color w:val="333333"/>
                <w:sz w:val="18"/>
                <w:szCs w:val="18"/>
              </w:rPr>
              <w:t>75</w:t>
            </w:r>
          </w:p>
        </w:tc>
        <w:tc>
          <w:tcPr>
            <w:tcW w:w="1593" w:type="dxa"/>
            <w:shd w:val="clear" w:color="auto" w:fill="auto"/>
          </w:tcPr>
          <w:p w:rsidR="000D1DE1" w:rsidRPr="002B3D56" w:rsidRDefault="000D1DE1" w:rsidP="00026961">
            <w:pPr>
              <w:spacing w:before="120" w:after="120"/>
              <w:jc w:val="right"/>
              <w:rPr>
                <w:rFonts w:asciiTheme="minorHAnsi" w:hAnsiTheme="minorHAnsi" w:cs="Helvetica"/>
                <w:b/>
                <w:color w:val="333333"/>
                <w:sz w:val="18"/>
                <w:szCs w:val="18"/>
              </w:rPr>
            </w:pPr>
            <w:r w:rsidRPr="002B3D56">
              <w:rPr>
                <w:rFonts w:asciiTheme="minorHAnsi" w:hAnsiTheme="minorHAnsi" w:cs="Helvetica"/>
                <w:b/>
                <w:color w:val="333333"/>
                <w:sz w:val="18"/>
                <w:szCs w:val="18"/>
              </w:rPr>
              <w:t>123</w:t>
            </w:r>
          </w:p>
        </w:tc>
        <w:tc>
          <w:tcPr>
            <w:tcW w:w="1667" w:type="dxa"/>
            <w:shd w:val="clear" w:color="auto" w:fill="auto"/>
          </w:tcPr>
          <w:p w:rsidR="000D1DE1" w:rsidRPr="002B3D56" w:rsidRDefault="000D1DE1" w:rsidP="00026961">
            <w:pPr>
              <w:spacing w:before="120" w:after="120"/>
              <w:jc w:val="right"/>
              <w:rPr>
                <w:rFonts w:asciiTheme="minorHAnsi" w:hAnsiTheme="minorHAnsi" w:cs="Helvetica"/>
                <w:b/>
                <w:color w:val="333333"/>
                <w:sz w:val="18"/>
                <w:szCs w:val="18"/>
              </w:rPr>
            </w:pPr>
            <w:r w:rsidRPr="002B3D56">
              <w:rPr>
                <w:rFonts w:asciiTheme="minorHAnsi" w:hAnsiTheme="minorHAnsi" w:cs="Helvetica"/>
                <w:b/>
                <w:color w:val="333333"/>
                <w:sz w:val="18"/>
                <w:szCs w:val="18"/>
              </w:rPr>
              <w:t>182</w:t>
            </w:r>
          </w:p>
        </w:tc>
        <w:tc>
          <w:tcPr>
            <w:tcW w:w="1701" w:type="dxa"/>
            <w:shd w:val="clear" w:color="auto" w:fill="auto"/>
          </w:tcPr>
          <w:p w:rsidR="000D1DE1" w:rsidRPr="002B3D56" w:rsidRDefault="000D1DE1" w:rsidP="00026961">
            <w:pPr>
              <w:spacing w:before="120" w:after="120"/>
              <w:jc w:val="right"/>
              <w:rPr>
                <w:rFonts w:asciiTheme="minorHAnsi" w:hAnsiTheme="minorHAnsi" w:cs="Helvetica"/>
                <w:b/>
                <w:color w:val="333333"/>
                <w:sz w:val="18"/>
                <w:szCs w:val="18"/>
              </w:rPr>
            </w:pPr>
            <w:r w:rsidRPr="002B3D56">
              <w:rPr>
                <w:rFonts w:asciiTheme="minorHAnsi" w:hAnsiTheme="minorHAnsi" w:cs="Helvetica"/>
                <w:b/>
                <w:color w:val="333333"/>
                <w:sz w:val="18"/>
                <w:szCs w:val="18"/>
              </w:rPr>
              <w:t>210</w:t>
            </w:r>
          </w:p>
        </w:tc>
        <w:tc>
          <w:tcPr>
            <w:tcW w:w="1701" w:type="dxa"/>
            <w:shd w:val="clear" w:color="auto" w:fill="auto"/>
          </w:tcPr>
          <w:p w:rsidR="000D1DE1" w:rsidRPr="003B14F9" w:rsidRDefault="000D1DE1" w:rsidP="00026961">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269</w:t>
            </w:r>
          </w:p>
        </w:tc>
        <w:tc>
          <w:tcPr>
            <w:tcW w:w="4394" w:type="dxa"/>
            <w:vMerge/>
            <w:shd w:val="clear" w:color="auto" w:fill="auto"/>
          </w:tcPr>
          <w:p w:rsidR="000D1DE1" w:rsidRPr="00C92149" w:rsidRDefault="000D1DE1" w:rsidP="00026961">
            <w:pPr>
              <w:spacing w:before="120" w:after="120"/>
              <w:rPr>
                <w:rFonts w:asciiTheme="minorHAnsi" w:hAnsiTheme="minorHAnsi"/>
                <w:b/>
                <w:sz w:val="18"/>
                <w:szCs w:val="18"/>
              </w:rPr>
            </w:pPr>
          </w:p>
        </w:tc>
      </w:tr>
      <w:tr w:rsidR="000D1DE1" w:rsidRPr="00853117" w:rsidTr="00026961">
        <w:trPr>
          <w:trHeight w:val="535"/>
        </w:trPr>
        <w:tc>
          <w:tcPr>
            <w:tcW w:w="2161" w:type="dxa"/>
            <w:shd w:val="clear" w:color="auto" w:fill="auto"/>
          </w:tcPr>
          <w:p w:rsidR="000D1DE1" w:rsidRPr="00C92149" w:rsidRDefault="000D1DE1" w:rsidP="00026961">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tcPr>
          <w:p w:rsidR="000D1DE1" w:rsidRPr="002B3D56" w:rsidRDefault="000D1DE1" w:rsidP="00026961">
            <w:pPr>
              <w:spacing w:before="120" w:after="120"/>
              <w:jc w:val="right"/>
              <w:rPr>
                <w:rFonts w:asciiTheme="minorHAnsi" w:hAnsiTheme="minorHAnsi" w:cs="Helvetica"/>
                <w:b/>
                <w:color w:val="333333"/>
                <w:sz w:val="18"/>
                <w:szCs w:val="18"/>
              </w:rPr>
            </w:pPr>
            <w:r w:rsidRPr="002B3D56">
              <w:rPr>
                <w:rFonts w:asciiTheme="minorHAnsi" w:hAnsiTheme="minorHAnsi" w:cs="Helvetica"/>
                <w:b/>
                <w:color w:val="333333"/>
                <w:sz w:val="18"/>
                <w:szCs w:val="18"/>
              </w:rPr>
              <w:t>20,068</w:t>
            </w:r>
          </w:p>
        </w:tc>
        <w:tc>
          <w:tcPr>
            <w:tcW w:w="1593" w:type="dxa"/>
            <w:shd w:val="clear" w:color="auto" w:fill="auto"/>
          </w:tcPr>
          <w:p w:rsidR="000D1DE1" w:rsidRPr="002B3D56" w:rsidRDefault="000D1DE1" w:rsidP="00026961">
            <w:pPr>
              <w:spacing w:before="120" w:after="120"/>
              <w:jc w:val="right"/>
              <w:rPr>
                <w:rFonts w:asciiTheme="minorHAnsi" w:hAnsiTheme="minorHAnsi" w:cs="Helvetica"/>
                <w:b/>
                <w:color w:val="333333"/>
                <w:sz w:val="18"/>
                <w:szCs w:val="18"/>
              </w:rPr>
            </w:pPr>
            <w:r w:rsidRPr="002B3D56">
              <w:rPr>
                <w:rFonts w:asciiTheme="minorHAnsi" w:hAnsiTheme="minorHAnsi" w:cs="Helvetica"/>
                <w:b/>
                <w:color w:val="333333"/>
                <w:sz w:val="18"/>
                <w:szCs w:val="18"/>
              </w:rPr>
              <w:t>27,588</w:t>
            </w:r>
          </w:p>
        </w:tc>
        <w:tc>
          <w:tcPr>
            <w:tcW w:w="1667" w:type="dxa"/>
            <w:shd w:val="clear" w:color="auto" w:fill="auto"/>
          </w:tcPr>
          <w:p w:rsidR="000D1DE1" w:rsidRPr="002B3D56" w:rsidRDefault="000D1DE1" w:rsidP="00026961">
            <w:pPr>
              <w:spacing w:before="120" w:after="120"/>
              <w:jc w:val="right"/>
              <w:rPr>
                <w:rFonts w:asciiTheme="minorHAnsi" w:hAnsiTheme="minorHAnsi" w:cs="Helvetica"/>
                <w:b/>
                <w:color w:val="333333"/>
                <w:sz w:val="18"/>
                <w:szCs w:val="18"/>
              </w:rPr>
            </w:pPr>
            <w:r w:rsidRPr="002B3D56">
              <w:rPr>
                <w:rFonts w:asciiTheme="minorHAnsi" w:hAnsiTheme="minorHAnsi" w:cs="Helvetica"/>
                <w:b/>
                <w:color w:val="333333"/>
                <w:sz w:val="18"/>
                <w:szCs w:val="18"/>
              </w:rPr>
              <w:t>46,363</w:t>
            </w:r>
          </w:p>
        </w:tc>
        <w:tc>
          <w:tcPr>
            <w:tcW w:w="1701" w:type="dxa"/>
            <w:shd w:val="clear" w:color="auto" w:fill="auto"/>
          </w:tcPr>
          <w:p w:rsidR="000D1DE1" w:rsidRPr="002B3D56" w:rsidRDefault="000D1DE1" w:rsidP="00026961">
            <w:pPr>
              <w:spacing w:before="120" w:after="120"/>
              <w:jc w:val="right"/>
              <w:rPr>
                <w:rFonts w:asciiTheme="minorHAnsi" w:hAnsiTheme="minorHAnsi" w:cs="Helvetica"/>
                <w:b/>
                <w:color w:val="333333"/>
                <w:sz w:val="18"/>
                <w:szCs w:val="18"/>
              </w:rPr>
            </w:pPr>
            <w:r w:rsidRPr="002B3D56">
              <w:rPr>
                <w:rFonts w:asciiTheme="minorHAnsi" w:hAnsiTheme="minorHAnsi" w:cs="Helvetica"/>
                <w:b/>
                <w:color w:val="333333"/>
                <w:sz w:val="18"/>
                <w:szCs w:val="18"/>
              </w:rPr>
              <w:t>55,082</w:t>
            </w:r>
          </w:p>
        </w:tc>
        <w:tc>
          <w:tcPr>
            <w:tcW w:w="1701" w:type="dxa"/>
            <w:shd w:val="clear" w:color="auto" w:fill="auto"/>
          </w:tcPr>
          <w:p w:rsidR="000D1DE1" w:rsidRPr="003B14F9" w:rsidRDefault="000D1DE1" w:rsidP="00026961">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69,901</w:t>
            </w:r>
          </w:p>
        </w:tc>
        <w:tc>
          <w:tcPr>
            <w:tcW w:w="4394" w:type="dxa"/>
            <w:vMerge/>
            <w:shd w:val="clear" w:color="auto" w:fill="auto"/>
          </w:tcPr>
          <w:p w:rsidR="000D1DE1" w:rsidRPr="00C92149" w:rsidRDefault="000D1DE1" w:rsidP="00026961">
            <w:pPr>
              <w:spacing w:before="120" w:after="120"/>
              <w:rPr>
                <w:rFonts w:asciiTheme="minorHAnsi" w:hAnsiTheme="minorHAnsi"/>
                <w:b/>
                <w:sz w:val="18"/>
                <w:szCs w:val="18"/>
              </w:rPr>
            </w:pPr>
          </w:p>
        </w:tc>
      </w:tr>
      <w:tr w:rsidR="002B3D56" w:rsidRPr="00853117" w:rsidTr="00424B65">
        <w:tc>
          <w:tcPr>
            <w:tcW w:w="2161" w:type="dxa"/>
            <w:shd w:val="clear" w:color="auto" w:fill="auto"/>
          </w:tcPr>
          <w:p w:rsidR="002B3D56" w:rsidRPr="00C92149" w:rsidRDefault="002B3D56" w:rsidP="00026961">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vAlign w:val="bottom"/>
          </w:tcPr>
          <w:p w:rsidR="002B3D56" w:rsidRPr="002B3D56" w:rsidRDefault="002B3D56" w:rsidP="002B3D56">
            <w:pPr>
              <w:spacing w:before="120" w:after="120"/>
              <w:jc w:val="right"/>
              <w:rPr>
                <w:rFonts w:asciiTheme="minorHAnsi" w:hAnsiTheme="minorHAnsi" w:cs="Helvetica"/>
                <w:b/>
                <w:color w:val="333333"/>
                <w:sz w:val="18"/>
                <w:szCs w:val="18"/>
              </w:rPr>
            </w:pPr>
            <w:r w:rsidRPr="002B3D56">
              <w:rPr>
                <w:rFonts w:asciiTheme="minorHAnsi" w:hAnsiTheme="minorHAnsi" w:cs="Helvetica"/>
                <w:b/>
                <w:color w:val="333333"/>
                <w:sz w:val="18"/>
                <w:szCs w:val="18"/>
              </w:rPr>
              <w:t>0.61%</w:t>
            </w:r>
          </w:p>
        </w:tc>
        <w:tc>
          <w:tcPr>
            <w:tcW w:w="1593" w:type="dxa"/>
            <w:shd w:val="clear" w:color="auto" w:fill="auto"/>
            <w:vAlign w:val="bottom"/>
          </w:tcPr>
          <w:p w:rsidR="002B3D56" w:rsidRPr="002B3D56" w:rsidRDefault="002B3D56" w:rsidP="002B3D56">
            <w:pPr>
              <w:spacing w:before="120" w:after="120"/>
              <w:jc w:val="right"/>
              <w:rPr>
                <w:rFonts w:asciiTheme="minorHAnsi" w:hAnsiTheme="minorHAnsi" w:cs="Helvetica"/>
                <w:b/>
                <w:color w:val="333333"/>
                <w:sz w:val="18"/>
                <w:szCs w:val="18"/>
              </w:rPr>
            </w:pPr>
            <w:r w:rsidRPr="002B3D56">
              <w:rPr>
                <w:rFonts w:asciiTheme="minorHAnsi" w:hAnsiTheme="minorHAnsi" w:cs="Helvetica"/>
                <w:b/>
                <w:color w:val="333333"/>
                <w:sz w:val="18"/>
                <w:szCs w:val="18"/>
              </w:rPr>
              <w:t>0.77%</w:t>
            </w:r>
          </w:p>
        </w:tc>
        <w:tc>
          <w:tcPr>
            <w:tcW w:w="1667" w:type="dxa"/>
            <w:shd w:val="clear" w:color="auto" w:fill="auto"/>
            <w:vAlign w:val="bottom"/>
          </w:tcPr>
          <w:p w:rsidR="002B3D56" w:rsidRPr="002B3D56" w:rsidRDefault="002B3D56" w:rsidP="002B3D56">
            <w:pPr>
              <w:spacing w:before="120" w:after="120"/>
              <w:jc w:val="right"/>
              <w:rPr>
                <w:rFonts w:asciiTheme="minorHAnsi" w:hAnsiTheme="minorHAnsi" w:cs="Helvetica"/>
                <w:b/>
                <w:color w:val="333333"/>
                <w:sz w:val="18"/>
                <w:szCs w:val="18"/>
              </w:rPr>
            </w:pPr>
            <w:r w:rsidRPr="002B3D56">
              <w:rPr>
                <w:rFonts w:asciiTheme="minorHAnsi" w:hAnsiTheme="minorHAnsi" w:cs="Helvetica"/>
                <w:b/>
                <w:color w:val="333333"/>
                <w:sz w:val="18"/>
                <w:szCs w:val="18"/>
              </w:rPr>
              <w:t>1.15%</w:t>
            </w:r>
          </w:p>
        </w:tc>
        <w:tc>
          <w:tcPr>
            <w:tcW w:w="1701" w:type="dxa"/>
            <w:shd w:val="clear" w:color="auto" w:fill="auto"/>
            <w:vAlign w:val="bottom"/>
          </w:tcPr>
          <w:p w:rsidR="002B3D56" w:rsidRPr="002B3D56" w:rsidRDefault="002B3D56" w:rsidP="002B3D56">
            <w:pPr>
              <w:spacing w:before="120" w:after="120"/>
              <w:jc w:val="right"/>
              <w:rPr>
                <w:rFonts w:asciiTheme="minorHAnsi" w:hAnsiTheme="minorHAnsi" w:cs="Helvetica"/>
                <w:b/>
                <w:color w:val="333333"/>
                <w:sz w:val="18"/>
                <w:szCs w:val="18"/>
              </w:rPr>
            </w:pPr>
            <w:r w:rsidRPr="002B3D56">
              <w:rPr>
                <w:rFonts w:asciiTheme="minorHAnsi" w:hAnsiTheme="minorHAnsi" w:cs="Helvetica"/>
                <w:b/>
                <w:color w:val="333333"/>
                <w:sz w:val="18"/>
                <w:szCs w:val="18"/>
              </w:rPr>
              <w:t>1.24%</w:t>
            </w:r>
          </w:p>
        </w:tc>
        <w:tc>
          <w:tcPr>
            <w:tcW w:w="1701" w:type="dxa"/>
            <w:shd w:val="clear" w:color="auto" w:fill="auto"/>
            <w:vAlign w:val="bottom"/>
          </w:tcPr>
          <w:p w:rsidR="002B3D56" w:rsidRPr="002B3D56" w:rsidRDefault="002B3D56" w:rsidP="002B3D56">
            <w:pPr>
              <w:spacing w:before="120" w:after="120"/>
              <w:jc w:val="right"/>
              <w:rPr>
                <w:rFonts w:asciiTheme="minorHAnsi" w:hAnsiTheme="minorHAnsi" w:cs="Helvetica"/>
                <w:b/>
                <w:color w:val="333333"/>
                <w:sz w:val="18"/>
                <w:szCs w:val="18"/>
              </w:rPr>
            </w:pPr>
            <w:r w:rsidRPr="002B3D56">
              <w:rPr>
                <w:rFonts w:asciiTheme="minorHAnsi" w:hAnsiTheme="minorHAnsi" w:cs="Helvetica"/>
                <w:b/>
                <w:color w:val="333333"/>
                <w:sz w:val="18"/>
                <w:szCs w:val="18"/>
              </w:rPr>
              <w:t>1.4%</w:t>
            </w:r>
          </w:p>
        </w:tc>
        <w:tc>
          <w:tcPr>
            <w:tcW w:w="4394" w:type="dxa"/>
            <w:vMerge/>
            <w:shd w:val="clear" w:color="auto" w:fill="auto"/>
          </w:tcPr>
          <w:p w:rsidR="002B3D56" w:rsidRPr="00C92149" w:rsidRDefault="002B3D56" w:rsidP="00026961">
            <w:pPr>
              <w:spacing w:before="120" w:after="120"/>
              <w:rPr>
                <w:rFonts w:asciiTheme="minorHAnsi" w:hAnsiTheme="minorHAnsi"/>
                <w:b/>
                <w:sz w:val="18"/>
                <w:szCs w:val="18"/>
              </w:rPr>
            </w:pPr>
          </w:p>
        </w:tc>
      </w:tr>
      <w:tr w:rsidR="000D1DE1" w:rsidRPr="00853117" w:rsidTr="00026961">
        <w:tc>
          <w:tcPr>
            <w:tcW w:w="2161" w:type="dxa"/>
            <w:shd w:val="clear" w:color="auto" w:fill="auto"/>
          </w:tcPr>
          <w:p w:rsidR="000D1DE1" w:rsidRPr="00C92149" w:rsidRDefault="000D1DE1" w:rsidP="00026961">
            <w:pPr>
              <w:spacing w:before="120" w:after="120"/>
              <w:rPr>
                <w:rFonts w:asciiTheme="minorHAnsi" w:hAnsiTheme="minorHAnsi"/>
                <w:b/>
                <w:sz w:val="18"/>
                <w:szCs w:val="18"/>
              </w:rPr>
            </w:pPr>
          </w:p>
        </w:tc>
        <w:tc>
          <w:tcPr>
            <w:tcW w:w="1384" w:type="dxa"/>
            <w:shd w:val="clear" w:color="auto" w:fill="auto"/>
          </w:tcPr>
          <w:p w:rsidR="000D1DE1" w:rsidRPr="002B3D56" w:rsidRDefault="000D1DE1" w:rsidP="00026961">
            <w:pPr>
              <w:spacing w:before="120" w:after="120"/>
              <w:jc w:val="right"/>
              <w:rPr>
                <w:rFonts w:asciiTheme="minorHAnsi" w:hAnsiTheme="minorHAnsi" w:cs="Helvetica"/>
                <w:b/>
                <w:color w:val="333333"/>
                <w:sz w:val="18"/>
                <w:szCs w:val="18"/>
              </w:rPr>
            </w:pPr>
          </w:p>
        </w:tc>
        <w:tc>
          <w:tcPr>
            <w:tcW w:w="1593" w:type="dxa"/>
            <w:shd w:val="clear" w:color="auto" w:fill="auto"/>
          </w:tcPr>
          <w:p w:rsidR="000D1DE1" w:rsidRPr="002B3D56" w:rsidRDefault="000D1DE1" w:rsidP="00026961">
            <w:pPr>
              <w:spacing w:before="120" w:after="120"/>
              <w:jc w:val="right"/>
              <w:rPr>
                <w:rFonts w:asciiTheme="minorHAnsi" w:hAnsiTheme="minorHAnsi" w:cs="Helvetica"/>
                <w:b/>
                <w:color w:val="333333"/>
                <w:sz w:val="18"/>
                <w:szCs w:val="18"/>
              </w:rPr>
            </w:pPr>
          </w:p>
        </w:tc>
        <w:tc>
          <w:tcPr>
            <w:tcW w:w="1667" w:type="dxa"/>
            <w:shd w:val="clear" w:color="auto" w:fill="auto"/>
          </w:tcPr>
          <w:p w:rsidR="000D1DE1" w:rsidRPr="002B3D56" w:rsidRDefault="000D1DE1" w:rsidP="00026961">
            <w:pPr>
              <w:spacing w:before="120" w:after="120"/>
              <w:jc w:val="right"/>
              <w:rPr>
                <w:rFonts w:asciiTheme="minorHAnsi" w:hAnsiTheme="minorHAnsi" w:cs="Helvetica"/>
                <w:b/>
                <w:color w:val="333333"/>
                <w:sz w:val="18"/>
                <w:szCs w:val="18"/>
              </w:rPr>
            </w:pPr>
          </w:p>
        </w:tc>
        <w:tc>
          <w:tcPr>
            <w:tcW w:w="1701" w:type="dxa"/>
            <w:shd w:val="clear" w:color="auto" w:fill="auto"/>
          </w:tcPr>
          <w:p w:rsidR="000D1DE1" w:rsidRPr="002B3D56" w:rsidRDefault="000D1DE1" w:rsidP="00026961">
            <w:pPr>
              <w:spacing w:before="120" w:after="120"/>
              <w:jc w:val="right"/>
              <w:rPr>
                <w:rFonts w:asciiTheme="minorHAnsi" w:hAnsiTheme="minorHAnsi" w:cs="Helvetica"/>
                <w:b/>
                <w:color w:val="333333"/>
                <w:sz w:val="18"/>
                <w:szCs w:val="18"/>
              </w:rPr>
            </w:pPr>
          </w:p>
        </w:tc>
        <w:tc>
          <w:tcPr>
            <w:tcW w:w="1701" w:type="dxa"/>
            <w:shd w:val="clear" w:color="auto" w:fill="auto"/>
          </w:tcPr>
          <w:p w:rsidR="000D1DE1" w:rsidRDefault="000D1DE1" w:rsidP="00026961">
            <w:pPr>
              <w:spacing w:before="120" w:after="120"/>
              <w:jc w:val="right"/>
              <w:rPr>
                <w:rFonts w:asciiTheme="minorHAnsi" w:hAnsiTheme="minorHAnsi" w:cs="Helvetica"/>
                <w:b/>
                <w:color w:val="333333"/>
                <w:sz w:val="18"/>
                <w:szCs w:val="18"/>
              </w:rPr>
            </w:pPr>
          </w:p>
        </w:tc>
        <w:tc>
          <w:tcPr>
            <w:tcW w:w="4394" w:type="dxa"/>
            <w:vMerge/>
            <w:shd w:val="clear" w:color="auto" w:fill="auto"/>
          </w:tcPr>
          <w:p w:rsidR="000D1DE1" w:rsidRPr="00C92149" w:rsidRDefault="000D1DE1" w:rsidP="00026961">
            <w:pPr>
              <w:spacing w:before="120" w:after="120"/>
              <w:rPr>
                <w:rFonts w:asciiTheme="minorHAnsi" w:hAnsiTheme="minorHAnsi"/>
                <w:b/>
                <w:sz w:val="18"/>
                <w:szCs w:val="18"/>
              </w:rPr>
            </w:pPr>
          </w:p>
        </w:tc>
      </w:tr>
      <w:tr w:rsidR="000D1DE1" w:rsidRPr="00021243" w:rsidTr="00026961">
        <w:tc>
          <w:tcPr>
            <w:tcW w:w="14601" w:type="dxa"/>
            <w:gridSpan w:val="7"/>
            <w:shd w:val="clear" w:color="auto" w:fill="F79646" w:themeFill="accent6"/>
          </w:tcPr>
          <w:p w:rsidR="000D1DE1" w:rsidRDefault="00A44D77" w:rsidP="00026961">
            <w:pPr>
              <w:spacing w:before="120" w:after="120"/>
              <w:rPr>
                <w:rFonts w:asciiTheme="minorHAnsi" w:hAnsiTheme="minorHAnsi"/>
                <w:b/>
              </w:rPr>
            </w:pPr>
            <w:r>
              <w:rPr>
                <w:rFonts w:asciiTheme="minorHAnsi" w:hAnsiTheme="minorHAnsi"/>
                <w:b/>
              </w:rPr>
              <w:t xml:space="preserve">Specialist Working Group </w:t>
            </w:r>
            <w:r w:rsidR="000D1DE1" w:rsidRPr="00E33020">
              <w:rPr>
                <w:rFonts w:asciiTheme="minorHAnsi" w:hAnsiTheme="minorHAnsi"/>
                <w:b/>
              </w:rPr>
              <w:t xml:space="preserve">knowledge development opportunities and recommendations relevant to the transition to </w:t>
            </w:r>
            <w:r>
              <w:rPr>
                <w:rFonts w:asciiTheme="minorHAnsi" w:hAnsiTheme="minorHAnsi"/>
                <w:b/>
              </w:rPr>
              <w:t>v</w:t>
            </w:r>
            <w:r w:rsidR="000D1DE1" w:rsidRPr="00E33020">
              <w:rPr>
                <w:rFonts w:asciiTheme="minorHAnsi" w:hAnsiTheme="minorHAnsi"/>
                <w:b/>
              </w:rPr>
              <w:t>3</w:t>
            </w:r>
            <w:r w:rsidR="003738D0">
              <w:rPr>
                <w:rFonts w:asciiTheme="minorHAnsi" w:hAnsiTheme="minorHAnsi"/>
                <w:b/>
              </w:rPr>
              <w:t>.0</w:t>
            </w:r>
          </w:p>
        </w:tc>
      </w:tr>
      <w:tr w:rsidR="000D1DE1" w:rsidRPr="00021243" w:rsidTr="00026961">
        <w:tc>
          <w:tcPr>
            <w:tcW w:w="14601" w:type="dxa"/>
            <w:gridSpan w:val="7"/>
            <w:shd w:val="clear" w:color="auto" w:fill="auto"/>
          </w:tcPr>
          <w:p w:rsidR="000D1DE1" w:rsidRPr="002506FF" w:rsidRDefault="00FE194A" w:rsidP="00B30BF4">
            <w:pPr>
              <w:spacing w:before="120" w:after="120"/>
              <w:rPr>
                <w:rFonts w:asciiTheme="minorHAnsi" w:hAnsiTheme="minorHAnsi"/>
              </w:rPr>
            </w:pPr>
            <w:r>
              <w:rPr>
                <w:rFonts w:asciiTheme="minorHAnsi" w:eastAsia="Times New Roman" w:hAnsiTheme="minorHAnsi" w:cs="Times New Roman"/>
                <w:bCs/>
                <w:lang w:eastAsia="en-AU"/>
              </w:rPr>
              <w:t>None identified at this stage.</w:t>
            </w:r>
            <w:r w:rsidR="00B30BF4">
              <w:rPr>
                <w:rFonts w:asciiTheme="minorHAnsi" w:eastAsia="Times New Roman" w:hAnsiTheme="minorHAnsi" w:cs="Times New Roman"/>
                <w:bCs/>
                <w:lang w:eastAsia="en-AU"/>
              </w:rPr>
              <w:t xml:space="preserve"> </w:t>
            </w:r>
          </w:p>
        </w:tc>
      </w:tr>
    </w:tbl>
    <w:tbl>
      <w:tblPr>
        <w:tblStyle w:val="TableGrid"/>
        <w:tblW w:w="14601" w:type="dxa"/>
        <w:tblInd w:w="-318" w:type="dxa"/>
        <w:tblLook w:val="04A0" w:firstRow="1" w:lastRow="0" w:firstColumn="1" w:lastColumn="0" w:noHBand="0" w:noVBand="1"/>
      </w:tblPr>
      <w:tblGrid>
        <w:gridCol w:w="14601"/>
      </w:tblGrid>
      <w:tr w:rsidR="002506FF" w:rsidRPr="00021243" w:rsidTr="00026961">
        <w:tc>
          <w:tcPr>
            <w:tcW w:w="14601" w:type="dxa"/>
          </w:tcPr>
          <w:p w:rsidR="002506FF" w:rsidRDefault="002506FF" w:rsidP="002506FF">
            <w:pPr>
              <w:spacing w:before="120" w:after="120"/>
              <w:jc w:val="center"/>
              <w:rPr>
                <w:rFonts w:asciiTheme="minorHAnsi" w:hAnsiTheme="minorHAnsi"/>
                <w:b/>
              </w:rPr>
            </w:pPr>
            <w:r w:rsidRPr="00021243">
              <w:rPr>
                <w:rFonts w:asciiTheme="minorHAnsi" w:hAnsiTheme="minorHAnsi"/>
                <w:b/>
              </w:rPr>
              <w:t xml:space="preserve">END OF </w:t>
            </w:r>
            <w:r w:rsidR="0015147E">
              <w:rPr>
                <w:rFonts w:asciiTheme="minorHAnsi" w:hAnsiTheme="minorHAnsi"/>
                <w:b/>
              </w:rPr>
              <w:t>PUBLIC CONSULTATION</w:t>
            </w:r>
            <w:r>
              <w:rPr>
                <w:rFonts w:asciiTheme="minorHAnsi" w:hAnsiTheme="minorHAnsi"/>
                <w:b/>
              </w:rPr>
              <w:t xml:space="preserve"> DOCUMENT</w:t>
            </w:r>
          </w:p>
          <w:p w:rsidR="000E09C4" w:rsidRPr="00021243" w:rsidRDefault="0015147E" w:rsidP="000D1DE1">
            <w:pPr>
              <w:spacing w:before="120" w:after="120"/>
              <w:jc w:val="center"/>
              <w:rPr>
                <w:rFonts w:asciiTheme="minorHAnsi" w:hAnsiTheme="minorHAnsi"/>
                <w:b/>
              </w:rPr>
            </w:pPr>
            <w:r>
              <w:rPr>
                <w:rFonts w:asciiTheme="minorHAnsi" w:hAnsiTheme="minorHAnsi"/>
                <w:b/>
              </w:rPr>
              <w:t>Next review</w:t>
            </w:r>
            <w:r w:rsidR="000D1DE1">
              <w:rPr>
                <w:rFonts w:asciiTheme="minorHAnsi" w:hAnsiTheme="minorHAnsi"/>
                <w:b/>
              </w:rPr>
              <w:t>:  T</w:t>
            </w:r>
            <w:r w:rsidR="00674CEF">
              <w:rPr>
                <w:rFonts w:asciiTheme="minorHAnsi" w:hAnsiTheme="minorHAnsi"/>
                <w:b/>
              </w:rPr>
              <w:t xml:space="preserve">welve to eighteen months </w:t>
            </w:r>
            <w:r w:rsidR="000D1DE1">
              <w:rPr>
                <w:rFonts w:asciiTheme="minorHAnsi" w:hAnsiTheme="minorHAnsi"/>
                <w:b/>
              </w:rPr>
              <w:t>after</w:t>
            </w:r>
            <w:r w:rsidR="00674CEF">
              <w:rPr>
                <w:rFonts w:asciiTheme="minorHAnsi" w:hAnsiTheme="minorHAnsi"/>
                <w:b/>
              </w:rPr>
              <w:t xml:space="preserve"> BloodSTAR </w:t>
            </w:r>
            <w:r w:rsidR="00A44D77">
              <w:rPr>
                <w:rFonts w:asciiTheme="minorHAnsi" w:hAnsiTheme="minorHAnsi"/>
                <w:b/>
              </w:rPr>
              <w:t>v</w:t>
            </w:r>
            <w:r w:rsidR="00674CEF">
              <w:rPr>
                <w:rFonts w:asciiTheme="minorHAnsi" w:hAnsiTheme="minorHAnsi"/>
                <w:b/>
              </w:rPr>
              <w:t>3</w:t>
            </w:r>
            <w:r w:rsidR="003738D0">
              <w:rPr>
                <w:rFonts w:asciiTheme="minorHAnsi" w:hAnsiTheme="minorHAnsi"/>
                <w:b/>
              </w:rPr>
              <w:t>.0</w:t>
            </w:r>
            <w:r w:rsidR="00674CEF">
              <w:rPr>
                <w:rFonts w:asciiTheme="minorHAnsi" w:hAnsiTheme="minorHAnsi"/>
                <w:b/>
              </w:rPr>
              <w:t xml:space="preserve"> implementation</w:t>
            </w:r>
          </w:p>
        </w:tc>
      </w:tr>
    </w:tbl>
    <w:p w:rsidR="009C1E09" w:rsidRDefault="009C1E09" w:rsidP="002506FF">
      <w:pPr>
        <w:jc w:val="center"/>
      </w:pPr>
    </w:p>
    <w:p w:rsidR="006627B5" w:rsidRPr="00FD2CCD" w:rsidRDefault="006627B5">
      <w:pPr>
        <w:spacing w:line="276" w:lineRule="auto"/>
      </w:pPr>
    </w:p>
    <w:sectPr w:rsidR="006627B5" w:rsidRPr="00FD2CCD" w:rsidSect="000E09C4">
      <w:headerReference w:type="first" r:id="rId20"/>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B65" w:rsidRDefault="00424B65" w:rsidP="00856708">
      <w:pPr>
        <w:spacing w:after="0"/>
      </w:pPr>
      <w:r>
        <w:separator/>
      </w:r>
    </w:p>
  </w:endnote>
  <w:endnote w:type="continuationSeparator" w:id="0">
    <w:p w:rsidR="00424B65" w:rsidRDefault="00424B65"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688" w:rsidRDefault="006E26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089596"/>
      <w:docPartObj>
        <w:docPartGallery w:val="Page Numbers (Bottom of Page)"/>
        <w:docPartUnique/>
      </w:docPartObj>
    </w:sdtPr>
    <w:sdtEndPr>
      <w:rPr>
        <w:noProof/>
      </w:rPr>
    </w:sdtEndPr>
    <w:sdtContent>
      <w:p w:rsidR="00424B65" w:rsidRDefault="00424B65">
        <w:pPr>
          <w:pStyle w:val="Footer"/>
          <w:jc w:val="right"/>
        </w:pPr>
        <w:r>
          <w:fldChar w:fldCharType="begin"/>
        </w:r>
        <w:r>
          <w:instrText xml:space="preserve"> PAGE   \* MERGEFORMAT </w:instrText>
        </w:r>
        <w:r>
          <w:fldChar w:fldCharType="separate"/>
        </w:r>
        <w:r w:rsidR="009315C7">
          <w:rPr>
            <w:noProof/>
          </w:rPr>
          <w:t>2</w:t>
        </w:r>
        <w:r>
          <w:rPr>
            <w:noProof/>
          </w:rPr>
          <w:fldChar w:fldCharType="end"/>
        </w:r>
      </w:p>
    </w:sdtContent>
  </w:sdt>
  <w:p w:rsidR="00424B65" w:rsidRPr="00F10761" w:rsidRDefault="00424B65" w:rsidP="00F10761">
    <w:pPr>
      <w:pStyle w:val="Footer"/>
      <w:tabs>
        <w:tab w:val="clear" w:pos="9026"/>
        <w:tab w:val="right" w:pos="13608"/>
      </w:tabs>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15933"/>
      <w:docPartObj>
        <w:docPartGallery w:val="Page Numbers (Bottom of Page)"/>
        <w:docPartUnique/>
      </w:docPartObj>
    </w:sdtPr>
    <w:sdtEndPr>
      <w:rPr>
        <w:noProof/>
      </w:rPr>
    </w:sdtEndPr>
    <w:sdtContent>
      <w:p w:rsidR="00424B65" w:rsidRDefault="00424B65">
        <w:pPr>
          <w:pStyle w:val="Footer"/>
          <w:jc w:val="right"/>
        </w:pPr>
        <w:r>
          <w:fldChar w:fldCharType="begin"/>
        </w:r>
        <w:r>
          <w:instrText xml:space="preserve"> PAGE   \* MERGEFORMAT </w:instrText>
        </w:r>
        <w:r>
          <w:fldChar w:fldCharType="separate"/>
        </w:r>
        <w:r w:rsidR="009315C7">
          <w:rPr>
            <w:noProof/>
          </w:rPr>
          <w:t>1</w:t>
        </w:r>
        <w:r>
          <w:rPr>
            <w:noProof/>
          </w:rPr>
          <w:fldChar w:fldCharType="end"/>
        </w:r>
      </w:p>
    </w:sdtContent>
  </w:sdt>
  <w:p w:rsidR="00424B65" w:rsidRDefault="00424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B65" w:rsidRDefault="00424B65" w:rsidP="00856708">
      <w:pPr>
        <w:spacing w:after="0"/>
      </w:pPr>
      <w:r>
        <w:separator/>
      </w:r>
    </w:p>
  </w:footnote>
  <w:footnote w:type="continuationSeparator" w:id="0">
    <w:p w:rsidR="00424B65" w:rsidRDefault="00424B65"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688" w:rsidRDefault="006E26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65" w:rsidRDefault="00424B65">
    <w:pPr>
      <w:pStyle w:val="Header"/>
    </w:pPr>
    <w:r>
      <w:rPr>
        <w:sz w:val="20"/>
        <w:szCs w:val="20"/>
      </w:rPr>
      <w:t xml:space="preserve">PUBLIC CONSULTATION 2017 - </w:t>
    </w:r>
    <w:r w:rsidRPr="00F10761">
      <w:rPr>
        <w:sz w:val="20"/>
        <w:szCs w:val="20"/>
      </w:rPr>
      <w:t>Antibody Mediated Autoimmune Encephalitis (AMAE)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65" w:rsidRDefault="00424B65">
    <w:pPr>
      <w:pStyle w:val="Header"/>
    </w:pPr>
    <w:r>
      <w:rPr>
        <w:sz w:val="20"/>
        <w:szCs w:val="20"/>
      </w:rPr>
      <w:t xml:space="preserve">PUBLIC CONSULTATION 2017 - </w:t>
    </w:r>
    <w:r w:rsidRPr="00F10761">
      <w:rPr>
        <w:sz w:val="20"/>
        <w:szCs w:val="20"/>
      </w:rPr>
      <w:t>Antibody Mediated Autoimmune Encephalitis (AMAE)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65" w:rsidRDefault="006E2688" w:rsidP="005775D7">
    <w:pPr>
      <w:pStyle w:val="Header"/>
    </w:pPr>
    <w:r>
      <w:rPr>
        <w:sz w:val="20"/>
        <w:szCs w:val="20"/>
      </w:rPr>
      <w:t>PUBLIC CONSULTATION 2017</w:t>
    </w:r>
    <w:r w:rsidR="00424B65">
      <w:rPr>
        <w:sz w:val="20"/>
        <w:szCs w:val="20"/>
      </w:rPr>
      <w:t xml:space="preserve"> - </w:t>
    </w:r>
    <w:r w:rsidR="00424B65" w:rsidRPr="00F10761">
      <w:rPr>
        <w:sz w:val="20"/>
        <w:szCs w:val="20"/>
      </w:rPr>
      <w:t>Antibody Mediated Autoimmune Encephalitis (AMAE)</w:t>
    </w:r>
  </w:p>
  <w:p w:rsidR="00424B65" w:rsidRDefault="00424B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F10B1"/>
    <w:multiLevelType w:val="hybridMultilevel"/>
    <w:tmpl w:val="6DFCF990"/>
    <w:lvl w:ilvl="0" w:tplc="0409001B">
      <w:start w:val="1"/>
      <w:numFmt w:val="lowerRoman"/>
      <w:lvlText w:val="%1."/>
      <w:lvlJc w:val="right"/>
      <w:pPr>
        <w:ind w:left="1795" w:hanging="360"/>
      </w:pPr>
      <w:rPr>
        <w:rFonts w:hint="default"/>
      </w:rPr>
    </w:lvl>
    <w:lvl w:ilvl="1" w:tplc="0C090003">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B46AC5"/>
    <w:multiLevelType w:val="hybridMultilevel"/>
    <w:tmpl w:val="C4E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E7F16"/>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E3A09A6"/>
    <w:multiLevelType w:val="hybridMultilevel"/>
    <w:tmpl w:val="7922B40C"/>
    <w:lvl w:ilvl="0" w:tplc="4E126DC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2130C25"/>
    <w:multiLevelType w:val="hybridMultilevel"/>
    <w:tmpl w:val="3D7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47667A"/>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2947A29"/>
    <w:multiLevelType w:val="multilevel"/>
    <w:tmpl w:val="8A0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C82DC6"/>
    <w:multiLevelType w:val="hybridMultilevel"/>
    <w:tmpl w:val="79F40D0A"/>
    <w:lvl w:ilvl="0" w:tplc="0C090001">
      <w:start w:val="1"/>
      <w:numFmt w:val="bullet"/>
      <w:lvlText w:val=""/>
      <w:lvlJc w:val="left"/>
      <w:pPr>
        <w:ind w:left="1080" w:hanging="360"/>
      </w:pPr>
      <w:rPr>
        <w:rFonts w:ascii="Symbol" w:hAnsi="Symbol" w:hint="default"/>
        <w:b w:val="0"/>
        <w:sz w:val="18"/>
        <w:szCs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1F925D73"/>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11670AD"/>
    <w:multiLevelType w:val="hybridMultilevel"/>
    <w:tmpl w:val="F790FD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5F08BA"/>
    <w:multiLevelType w:val="hybridMultilevel"/>
    <w:tmpl w:val="EBD8718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5">
    <w:nsid w:val="289D5865"/>
    <w:multiLevelType w:val="hybridMultilevel"/>
    <w:tmpl w:val="41B400A2"/>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6">
    <w:nsid w:val="294567CD"/>
    <w:multiLevelType w:val="hybridMultilevel"/>
    <w:tmpl w:val="E06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D06027A"/>
    <w:multiLevelType w:val="hybridMultilevel"/>
    <w:tmpl w:val="54FCB9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2D12550D"/>
    <w:multiLevelType w:val="hybridMultilevel"/>
    <w:tmpl w:val="42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338A7547"/>
    <w:multiLevelType w:val="hybridMultilevel"/>
    <w:tmpl w:val="E40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3F1334"/>
    <w:multiLevelType w:val="hybridMultilevel"/>
    <w:tmpl w:val="0E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FE219A"/>
    <w:multiLevelType w:val="hybridMultilevel"/>
    <w:tmpl w:val="6CAEC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8D0155"/>
    <w:multiLevelType w:val="hybridMultilevel"/>
    <w:tmpl w:val="D15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B3636FC"/>
    <w:multiLevelType w:val="hybridMultilevel"/>
    <w:tmpl w:val="3B440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BDF283D"/>
    <w:multiLevelType w:val="hybridMultilevel"/>
    <w:tmpl w:val="4B02111A"/>
    <w:lvl w:ilvl="0" w:tplc="676AE308">
      <w:start w:val="1"/>
      <w:numFmt w:val="decimal"/>
      <w:lvlText w:val="%1."/>
      <w:lvlJc w:val="left"/>
      <w:pPr>
        <w:ind w:left="357" w:hanging="360"/>
      </w:pPr>
      <w:rPr>
        <w:b w:val="0"/>
        <w:sz w:val="20"/>
      </w:rPr>
    </w:lvl>
    <w:lvl w:ilvl="1" w:tplc="0C090001">
      <w:start w:val="1"/>
      <w:numFmt w:val="bullet"/>
      <w:lvlText w:val=""/>
      <w:lvlJc w:val="left"/>
      <w:pPr>
        <w:ind w:left="1077" w:hanging="360"/>
      </w:pPr>
      <w:rPr>
        <w:rFonts w:ascii="Symbol" w:hAnsi="Symbol" w:hint="default"/>
      </w:rPr>
    </w:lvl>
    <w:lvl w:ilvl="2" w:tplc="0409001B">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8">
    <w:nsid w:val="42171BD4"/>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nsid w:val="43DA4202"/>
    <w:multiLevelType w:val="hybridMultilevel"/>
    <w:tmpl w:val="518E3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5701C86"/>
    <w:multiLevelType w:val="hybridMultilevel"/>
    <w:tmpl w:val="5D24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8D01261"/>
    <w:multiLevelType w:val="hybridMultilevel"/>
    <w:tmpl w:val="94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1D10A28"/>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6872E6B"/>
    <w:multiLevelType w:val="hybridMultilevel"/>
    <w:tmpl w:val="D93A3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8567D5"/>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5BA50922"/>
    <w:multiLevelType w:val="hybridMultilevel"/>
    <w:tmpl w:val="FDFC768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D961A14"/>
    <w:multiLevelType w:val="hybridMultilevel"/>
    <w:tmpl w:val="3A2C206E"/>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232582F"/>
    <w:multiLevelType w:val="hybridMultilevel"/>
    <w:tmpl w:val="67BE836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6243016">
      <w:start w:val="1"/>
      <w:numFmt w:val="decimal"/>
      <w:lvlText w:val="%4)"/>
      <w:lvlJc w:val="left"/>
      <w:pPr>
        <w:ind w:left="2520" w:hanging="360"/>
      </w:pPr>
      <w:rPr>
        <w:rFonts w:hint="default"/>
        <w:b w:val="0"/>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38245E1"/>
    <w:multiLevelType w:val="hybridMultilevel"/>
    <w:tmpl w:val="63669720"/>
    <w:lvl w:ilvl="0" w:tplc="0C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1B6EAB62">
      <w:numFmt w:val="bullet"/>
      <w:lvlText w:val=""/>
      <w:lvlJc w:val="left"/>
      <w:pPr>
        <w:ind w:left="2340" w:hanging="360"/>
      </w:pPr>
      <w:rPr>
        <w:rFonts w:ascii="Wingdings" w:eastAsia="Dotum"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522B98"/>
    <w:multiLevelType w:val="hybridMultilevel"/>
    <w:tmpl w:val="5D980E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6E73143E"/>
    <w:multiLevelType w:val="hybridMultilevel"/>
    <w:tmpl w:val="77D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37A67CE"/>
    <w:multiLevelType w:val="hybridMultilevel"/>
    <w:tmpl w:val="4218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3FC5097"/>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5">
    <w:nsid w:val="75C83CF2"/>
    <w:multiLevelType w:val="hybridMultilevel"/>
    <w:tmpl w:val="9BB4E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6B972DD"/>
    <w:multiLevelType w:val="hybridMultilevel"/>
    <w:tmpl w:val="BF3C1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79D70665"/>
    <w:multiLevelType w:val="hybridMultilevel"/>
    <w:tmpl w:val="42C00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BEE31E7"/>
    <w:multiLevelType w:val="hybridMultilevel"/>
    <w:tmpl w:val="5CBE7584"/>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nsid w:val="7E1F2D9B"/>
    <w:multiLevelType w:val="hybridMultilevel"/>
    <w:tmpl w:val="ACA24BA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0"/>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5"/>
  </w:num>
  <w:num w:numId="4">
    <w:abstractNumId w:val="42"/>
  </w:num>
  <w:num w:numId="5">
    <w:abstractNumId w:val="17"/>
  </w:num>
  <w:num w:numId="6">
    <w:abstractNumId w:val="2"/>
  </w:num>
  <w:num w:numId="7">
    <w:abstractNumId w:val="1"/>
  </w:num>
  <w:num w:numId="8">
    <w:abstractNumId w:val="4"/>
  </w:num>
  <w:num w:numId="9">
    <w:abstractNumId w:val="0"/>
  </w:num>
  <w:num w:numId="10">
    <w:abstractNumId w:val="47"/>
  </w:num>
  <w:num w:numId="11">
    <w:abstractNumId w:val="32"/>
  </w:num>
  <w:num w:numId="12">
    <w:abstractNumId w:val="39"/>
  </w:num>
  <w:num w:numId="13">
    <w:abstractNumId w:val="13"/>
  </w:num>
  <w:num w:numId="14">
    <w:abstractNumId w:val="24"/>
  </w:num>
  <w:num w:numId="15">
    <w:abstractNumId w:val="12"/>
  </w:num>
  <w:num w:numId="16">
    <w:abstractNumId w:val="41"/>
  </w:num>
  <w:num w:numId="17">
    <w:abstractNumId w:val="6"/>
  </w:num>
  <w:num w:numId="18">
    <w:abstractNumId w:val="19"/>
  </w:num>
  <w:num w:numId="19">
    <w:abstractNumId w:val="37"/>
  </w:num>
  <w:num w:numId="20">
    <w:abstractNumId w:val="49"/>
  </w:num>
  <w:num w:numId="21">
    <w:abstractNumId w:val="14"/>
  </w:num>
  <w:num w:numId="22">
    <w:abstractNumId w:val="38"/>
  </w:num>
  <w:num w:numId="23">
    <w:abstractNumId w:val="11"/>
  </w:num>
  <w:num w:numId="24">
    <w:abstractNumId w:val="3"/>
  </w:num>
  <w:num w:numId="25">
    <w:abstractNumId w:val="40"/>
  </w:num>
  <w:num w:numId="26">
    <w:abstractNumId w:val="28"/>
  </w:num>
  <w:num w:numId="27">
    <w:abstractNumId w:val="44"/>
  </w:num>
  <w:num w:numId="28">
    <w:abstractNumId w:val="33"/>
  </w:num>
  <w:num w:numId="29">
    <w:abstractNumId w:val="35"/>
  </w:num>
  <w:num w:numId="30">
    <w:abstractNumId w:val="9"/>
  </w:num>
  <w:num w:numId="31">
    <w:abstractNumId w:val="10"/>
  </w:num>
  <w:num w:numId="32">
    <w:abstractNumId w:val="31"/>
  </w:num>
  <w:num w:numId="33">
    <w:abstractNumId w:val="48"/>
  </w:num>
  <w:num w:numId="34">
    <w:abstractNumId w:val="22"/>
  </w:num>
  <w:num w:numId="35">
    <w:abstractNumId w:val="36"/>
  </w:num>
  <w:num w:numId="36">
    <w:abstractNumId w:val="21"/>
  </w:num>
  <w:num w:numId="37">
    <w:abstractNumId w:val="16"/>
  </w:num>
  <w:num w:numId="38">
    <w:abstractNumId w:val="27"/>
  </w:num>
  <w:num w:numId="39">
    <w:abstractNumId w:val="30"/>
  </w:num>
  <w:num w:numId="40">
    <w:abstractNumId w:val="8"/>
  </w:num>
  <w:num w:numId="41">
    <w:abstractNumId w:val="43"/>
  </w:num>
  <w:num w:numId="42">
    <w:abstractNumId w:val="45"/>
  </w:num>
  <w:num w:numId="43">
    <w:abstractNumId w:val="29"/>
  </w:num>
  <w:num w:numId="44">
    <w:abstractNumId w:val="7"/>
  </w:num>
  <w:num w:numId="45">
    <w:abstractNumId w:val="50"/>
  </w:num>
  <w:num w:numId="46">
    <w:abstractNumId w:val="15"/>
  </w:num>
  <w:num w:numId="47">
    <w:abstractNumId w:val="46"/>
  </w:num>
  <w:num w:numId="48">
    <w:abstractNumId w:val="26"/>
  </w:num>
  <w:num w:numId="49">
    <w:abstractNumId w:val="18"/>
  </w:num>
  <w:num w:numId="50">
    <w:abstractNumId w:val="5"/>
  </w:num>
  <w:num w:numId="51">
    <w:abstractNumId w:val="34"/>
  </w:num>
  <w:num w:numId="52">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3C2F"/>
    <w:rsid w:val="00021243"/>
    <w:rsid w:val="00022A4A"/>
    <w:rsid w:val="00026961"/>
    <w:rsid w:val="00026B75"/>
    <w:rsid w:val="00036EDC"/>
    <w:rsid w:val="00060C88"/>
    <w:rsid w:val="0007639A"/>
    <w:rsid w:val="000800B1"/>
    <w:rsid w:val="00085367"/>
    <w:rsid w:val="000A3A69"/>
    <w:rsid w:val="000A65C9"/>
    <w:rsid w:val="000B27A7"/>
    <w:rsid w:val="000B4F24"/>
    <w:rsid w:val="000B5187"/>
    <w:rsid w:val="000B7852"/>
    <w:rsid w:val="000D1DE1"/>
    <w:rsid w:val="000E09C4"/>
    <w:rsid w:val="000E0F0A"/>
    <w:rsid w:val="000E4D1E"/>
    <w:rsid w:val="00106632"/>
    <w:rsid w:val="0011109B"/>
    <w:rsid w:val="00122683"/>
    <w:rsid w:val="0015147E"/>
    <w:rsid w:val="00153753"/>
    <w:rsid w:val="00156033"/>
    <w:rsid w:val="00165F48"/>
    <w:rsid w:val="00167377"/>
    <w:rsid w:val="0017270F"/>
    <w:rsid w:val="001849B2"/>
    <w:rsid w:val="00184E12"/>
    <w:rsid w:val="00186CF7"/>
    <w:rsid w:val="00191734"/>
    <w:rsid w:val="001A2460"/>
    <w:rsid w:val="001C45B4"/>
    <w:rsid w:val="001E102B"/>
    <w:rsid w:val="001F7BFE"/>
    <w:rsid w:val="0021213D"/>
    <w:rsid w:val="0021595B"/>
    <w:rsid w:val="00216823"/>
    <w:rsid w:val="002306B2"/>
    <w:rsid w:val="00236B19"/>
    <w:rsid w:val="00240825"/>
    <w:rsid w:val="002506FF"/>
    <w:rsid w:val="002537F2"/>
    <w:rsid w:val="00255740"/>
    <w:rsid w:val="00275679"/>
    <w:rsid w:val="00282334"/>
    <w:rsid w:val="00282F66"/>
    <w:rsid w:val="002936DD"/>
    <w:rsid w:val="002958E3"/>
    <w:rsid w:val="00295CD3"/>
    <w:rsid w:val="002B3D56"/>
    <w:rsid w:val="002B49C1"/>
    <w:rsid w:val="002D2007"/>
    <w:rsid w:val="002F3325"/>
    <w:rsid w:val="00307163"/>
    <w:rsid w:val="00307379"/>
    <w:rsid w:val="00311C36"/>
    <w:rsid w:val="00320BEB"/>
    <w:rsid w:val="00320C9D"/>
    <w:rsid w:val="00324887"/>
    <w:rsid w:val="00327526"/>
    <w:rsid w:val="0033060E"/>
    <w:rsid w:val="00341D20"/>
    <w:rsid w:val="003738D0"/>
    <w:rsid w:val="0038007C"/>
    <w:rsid w:val="00386ED2"/>
    <w:rsid w:val="003908FA"/>
    <w:rsid w:val="00395032"/>
    <w:rsid w:val="003A1F9D"/>
    <w:rsid w:val="003C3480"/>
    <w:rsid w:val="003D1795"/>
    <w:rsid w:val="003D27F1"/>
    <w:rsid w:val="003E3235"/>
    <w:rsid w:val="003F11F8"/>
    <w:rsid w:val="00403201"/>
    <w:rsid w:val="00424B65"/>
    <w:rsid w:val="00433C78"/>
    <w:rsid w:val="00440AB8"/>
    <w:rsid w:val="0044512A"/>
    <w:rsid w:val="00445EDE"/>
    <w:rsid w:val="00447869"/>
    <w:rsid w:val="004549E1"/>
    <w:rsid w:val="00454FA8"/>
    <w:rsid w:val="00460325"/>
    <w:rsid w:val="004603D6"/>
    <w:rsid w:val="00461F36"/>
    <w:rsid w:val="00463B0C"/>
    <w:rsid w:val="0047615E"/>
    <w:rsid w:val="004802BF"/>
    <w:rsid w:val="004856E4"/>
    <w:rsid w:val="004A10A2"/>
    <w:rsid w:val="004B14F4"/>
    <w:rsid w:val="004C173A"/>
    <w:rsid w:val="004C70F2"/>
    <w:rsid w:val="004D4636"/>
    <w:rsid w:val="004E4A52"/>
    <w:rsid w:val="005023CE"/>
    <w:rsid w:val="00525C51"/>
    <w:rsid w:val="00527DE2"/>
    <w:rsid w:val="00531E6D"/>
    <w:rsid w:val="00540020"/>
    <w:rsid w:val="00543C69"/>
    <w:rsid w:val="00544D71"/>
    <w:rsid w:val="00550AA4"/>
    <w:rsid w:val="005546AE"/>
    <w:rsid w:val="005629EE"/>
    <w:rsid w:val="005775D7"/>
    <w:rsid w:val="00584BEC"/>
    <w:rsid w:val="005851ED"/>
    <w:rsid w:val="005960E7"/>
    <w:rsid w:val="005B4859"/>
    <w:rsid w:val="005C3C0C"/>
    <w:rsid w:val="005D2C3D"/>
    <w:rsid w:val="005D37EC"/>
    <w:rsid w:val="005E04F6"/>
    <w:rsid w:val="005F3AB7"/>
    <w:rsid w:val="00602D7D"/>
    <w:rsid w:val="006201B1"/>
    <w:rsid w:val="00621F0A"/>
    <w:rsid w:val="00625AAF"/>
    <w:rsid w:val="00631EAB"/>
    <w:rsid w:val="006427C2"/>
    <w:rsid w:val="00642A5C"/>
    <w:rsid w:val="00644285"/>
    <w:rsid w:val="006452D5"/>
    <w:rsid w:val="00657F36"/>
    <w:rsid w:val="006627B5"/>
    <w:rsid w:val="006631E9"/>
    <w:rsid w:val="00666AA5"/>
    <w:rsid w:val="00670D34"/>
    <w:rsid w:val="00674CEF"/>
    <w:rsid w:val="00676835"/>
    <w:rsid w:val="00680122"/>
    <w:rsid w:val="006855AF"/>
    <w:rsid w:val="00695219"/>
    <w:rsid w:val="006B0323"/>
    <w:rsid w:val="006B4C33"/>
    <w:rsid w:val="006B65FB"/>
    <w:rsid w:val="006B68B4"/>
    <w:rsid w:val="006D2521"/>
    <w:rsid w:val="006D2FA8"/>
    <w:rsid w:val="006D36A9"/>
    <w:rsid w:val="006E185E"/>
    <w:rsid w:val="006E2688"/>
    <w:rsid w:val="006E6E2A"/>
    <w:rsid w:val="006F1FA7"/>
    <w:rsid w:val="006F485E"/>
    <w:rsid w:val="00702EB0"/>
    <w:rsid w:val="00713991"/>
    <w:rsid w:val="0071470B"/>
    <w:rsid w:val="00720037"/>
    <w:rsid w:val="00745A26"/>
    <w:rsid w:val="0074768C"/>
    <w:rsid w:val="00751E70"/>
    <w:rsid w:val="0075469F"/>
    <w:rsid w:val="007559C5"/>
    <w:rsid w:val="00762061"/>
    <w:rsid w:val="00787242"/>
    <w:rsid w:val="00793AB7"/>
    <w:rsid w:val="007A6577"/>
    <w:rsid w:val="007B0C7B"/>
    <w:rsid w:val="007B2100"/>
    <w:rsid w:val="007C7B0F"/>
    <w:rsid w:val="007D5CD2"/>
    <w:rsid w:val="007F3022"/>
    <w:rsid w:val="00801CD2"/>
    <w:rsid w:val="008041F6"/>
    <w:rsid w:val="0082443A"/>
    <w:rsid w:val="00832D0D"/>
    <w:rsid w:val="00846B19"/>
    <w:rsid w:val="00847EC8"/>
    <w:rsid w:val="008515FF"/>
    <w:rsid w:val="00853117"/>
    <w:rsid w:val="00856708"/>
    <w:rsid w:val="008612AB"/>
    <w:rsid w:val="00870A64"/>
    <w:rsid w:val="00876933"/>
    <w:rsid w:val="008777E9"/>
    <w:rsid w:val="00880ECB"/>
    <w:rsid w:val="00884933"/>
    <w:rsid w:val="0088600C"/>
    <w:rsid w:val="0089229C"/>
    <w:rsid w:val="00893E0A"/>
    <w:rsid w:val="00896241"/>
    <w:rsid w:val="008B1889"/>
    <w:rsid w:val="008E152E"/>
    <w:rsid w:val="00901446"/>
    <w:rsid w:val="00901F76"/>
    <w:rsid w:val="009025B7"/>
    <w:rsid w:val="00913C76"/>
    <w:rsid w:val="009171CD"/>
    <w:rsid w:val="009208EC"/>
    <w:rsid w:val="009261C6"/>
    <w:rsid w:val="0092742B"/>
    <w:rsid w:val="009315C7"/>
    <w:rsid w:val="00933536"/>
    <w:rsid w:val="009347BC"/>
    <w:rsid w:val="0093594E"/>
    <w:rsid w:val="00935BE4"/>
    <w:rsid w:val="00943859"/>
    <w:rsid w:val="00946B2D"/>
    <w:rsid w:val="00951B85"/>
    <w:rsid w:val="00953A05"/>
    <w:rsid w:val="00955518"/>
    <w:rsid w:val="0097734E"/>
    <w:rsid w:val="00980B6A"/>
    <w:rsid w:val="00982D63"/>
    <w:rsid w:val="009B04BD"/>
    <w:rsid w:val="009B54C9"/>
    <w:rsid w:val="009B6C03"/>
    <w:rsid w:val="009C1E09"/>
    <w:rsid w:val="009E38CC"/>
    <w:rsid w:val="009F4509"/>
    <w:rsid w:val="00A0276B"/>
    <w:rsid w:val="00A0352E"/>
    <w:rsid w:val="00A05745"/>
    <w:rsid w:val="00A23D1D"/>
    <w:rsid w:val="00A31C82"/>
    <w:rsid w:val="00A32DED"/>
    <w:rsid w:val="00A35701"/>
    <w:rsid w:val="00A357C4"/>
    <w:rsid w:val="00A44D77"/>
    <w:rsid w:val="00A4799C"/>
    <w:rsid w:val="00A53780"/>
    <w:rsid w:val="00A57D60"/>
    <w:rsid w:val="00A7510F"/>
    <w:rsid w:val="00A80A19"/>
    <w:rsid w:val="00A81C38"/>
    <w:rsid w:val="00A81CEE"/>
    <w:rsid w:val="00A83178"/>
    <w:rsid w:val="00A93A55"/>
    <w:rsid w:val="00AA19C1"/>
    <w:rsid w:val="00AA48C6"/>
    <w:rsid w:val="00AB120F"/>
    <w:rsid w:val="00AC65B7"/>
    <w:rsid w:val="00AD086B"/>
    <w:rsid w:val="00AD4362"/>
    <w:rsid w:val="00AD703D"/>
    <w:rsid w:val="00AE212F"/>
    <w:rsid w:val="00AE5015"/>
    <w:rsid w:val="00AE63FA"/>
    <w:rsid w:val="00AE71F6"/>
    <w:rsid w:val="00B140A4"/>
    <w:rsid w:val="00B27930"/>
    <w:rsid w:val="00B30BF4"/>
    <w:rsid w:val="00B35BD7"/>
    <w:rsid w:val="00B3726E"/>
    <w:rsid w:val="00B4371D"/>
    <w:rsid w:val="00B44815"/>
    <w:rsid w:val="00B47021"/>
    <w:rsid w:val="00B57945"/>
    <w:rsid w:val="00B6336D"/>
    <w:rsid w:val="00B70E50"/>
    <w:rsid w:val="00B8398C"/>
    <w:rsid w:val="00B83D7A"/>
    <w:rsid w:val="00BA4990"/>
    <w:rsid w:val="00BA71F2"/>
    <w:rsid w:val="00BA76E3"/>
    <w:rsid w:val="00BB57BD"/>
    <w:rsid w:val="00BB749A"/>
    <w:rsid w:val="00BD3865"/>
    <w:rsid w:val="00BD6C2D"/>
    <w:rsid w:val="00BD7111"/>
    <w:rsid w:val="00BD735D"/>
    <w:rsid w:val="00C046CF"/>
    <w:rsid w:val="00C05920"/>
    <w:rsid w:val="00C10ED4"/>
    <w:rsid w:val="00C21002"/>
    <w:rsid w:val="00C24E0B"/>
    <w:rsid w:val="00C30FD5"/>
    <w:rsid w:val="00C32695"/>
    <w:rsid w:val="00C34D27"/>
    <w:rsid w:val="00C364CA"/>
    <w:rsid w:val="00C413ED"/>
    <w:rsid w:val="00C51E04"/>
    <w:rsid w:val="00C6346E"/>
    <w:rsid w:val="00C73C6D"/>
    <w:rsid w:val="00C87707"/>
    <w:rsid w:val="00C92149"/>
    <w:rsid w:val="00CA4321"/>
    <w:rsid w:val="00CB0666"/>
    <w:rsid w:val="00CB47C1"/>
    <w:rsid w:val="00CB50C5"/>
    <w:rsid w:val="00CB6A4A"/>
    <w:rsid w:val="00CC12B9"/>
    <w:rsid w:val="00CC346F"/>
    <w:rsid w:val="00CD299E"/>
    <w:rsid w:val="00CD5856"/>
    <w:rsid w:val="00CD733F"/>
    <w:rsid w:val="00CD7B8A"/>
    <w:rsid w:val="00D16B82"/>
    <w:rsid w:val="00D17E7A"/>
    <w:rsid w:val="00D17FEC"/>
    <w:rsid w:val="00D2180C"/>
    <w:rsid w:val="00D24193"/>
    <w:rsid w:val="00D3217D"/>
    <w:rsid w:val="00D61FF4"/>
    <w:rsid w:val="00D67CFD"/>
    <w:rsid w:val="00D874FD"/>
    <w:rsid w:val="00D96987"/>
    <w:rsid w:val="00D97F69"/>
    <w:rsid w:val="00DB0FB6"/>
    <w:rsid w:val="00DB17C2"/>
    <w:rsid w:val="00DB1925"/>
    <w:rsid w:val="00DC3758"/>
    <w:rsid w:val="00DD166F"/>
    <w:rsid w:val="00E337E6"/>
    <w:rsid w:val="00E5043D"/>
    <w:rsid w:val="00E62E16"/>
    <w:rsid w:val="00E672AA"/>
    <w:rsid w:val="00E712B5"/>
    <w:rsid w:val="00EA0848"/>
    <w:rsid w:val="00EA2E82"/>
    <w:rsid w:val="00EB78FB"/>
    <w:rsid w:val="00EC0889"/>
    <w:rsid w:val="00EC3B15"/>
    <w:rsid w:val="00EC6EE8"/>
    <w:rsid w:val="00F10761"/>
    <w:rsid w:val="00F16498"/>
    <w:rsid w:val="00F2331E"/>
    <w:rsid w:val="00F337B4"/>
    <w:rsid w:val="00F34321"/>
    <w:rsid w:val="00F42816"/>
    <w:rsid w:val="00F66136"/>
    <w:rsid w:val="00F70578"/>
    <w:rsid w:val="00F834D0"/>
    <w:rsid w:val="00F94274"/>
    <w:rsid w:val="00FB6C7F"/>
    <w:rsid w:val="00FC0E9B"/>
    <w:rsid w:val="00FC5CB0"/>
    <w:rsid w:val="00FD1A03"/>
    <w:rsid w:val="00FD2CCD"/>
    <w:rsid w:val="00FE194A"/>
    <w:rsid w:val="00FE1B13"/>
    <w:rsid w:val="00FE1EE0"/>
    <w:rsid w:val="00FE5B66"/>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table" w:customStyle="1" w:styleId="TableGrid1">
    <w:name w:val="Table Grid1"/>
    <w:basedOn w:val="TableNormal"/>
    <w:next w:val="TableGrid"/>
    <w:uiPriority w:val="59"/>
    <w:rsid w:val="000D1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7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table" w:customStyle="1" w:styleId="TableGrid1">
    <w:name w:val="Table Grid1"/>
    <w:basedOn w:val="TableNormal"/>
    <w:next w:val="TableGrid"/>
    <w:uiPriority w:val="59"/>
    <w:rsid w:val="000D1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7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63338800">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ncbi.nlm.nih.gov/pubmed/2655938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cbi.nlm.nih.gov/pubmed/23175854" TargetMode="External"/><Relationship Id="rId2" Type="http://schemas.openxmlformats.org/officeDocument/2006/relationships/numbering" Target="numbering.xml"/><Relationship Id="rId16" Type="http://schemas.openxmlformats.org/officeDocument/2006/relationships/hyperlink" Target="https://www.ncbi.nlm.nih.gov/pubmed/26906964"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ncbi.nlm.nih.gov/pubmed/26491084" TargetMode="External"/><Relationship Id="rId10" Type="http://schemas.openxmlformats.org/officeDocument/2006/relationships/header" Target="header2.xml"/><Relationship Id="rId19" Type="http://schemas.openxmlformats.org/officeDocument/2006/relationships/hyperlink" Target="https://www.ncbi.nlm.nih.gov/pubmed/2470051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1750F-C33E-4214-AC23-8A083171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6637</Words>
  <Characters>37835</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2</cp:revision>
  <cp:lastPrinted>2017-04-10T23:17:00Z</cp:lastPrinted>
  <dcterms:created xsi:type="dcterms:W3CDTF">2017-09-07T03:41:00Z</dcterms:created>
  <dcterms:modified xsi:type="dcterms:W3CDTF">2017-09-07T03:41:00Z</dcterms:modified>
</cp:coreProperties>
</file>