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A4FB" w14:textId="1BD37E6D" w:rsidR="00A9778A" w:rsidRPr="00AB72EC" w:rsidRDefault="003D624C" w:rsidP="00AB72EC">
      <w:pPr>
        <w:pStyle w:val="Heading3"/>
        <w:ind w:left="-284"/>
        <w:rPr>
          <w:color w:val="auto"/>
        </w:rPr>
      </w:pPr>
      <w:bookmarkStart w:id="0" w:name="_GoBack"/>
      <w:bookmarkEnd w:id="0"/>
      <w:r w:rsidRPr="00AB72EC">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7300"/>
        <w:gridCol w:w="7301"/>
      </w:tblGrid>
      <w:tr w:rsidR="008612AB" w:rsidRPr="00447869" w14:paraId="192F75C9" w14:textId="77777777" w:rsidTr="00832D0D">
        <w:trPr>
          <w:tblHeader/>
        </w:trPr>
        <w:tc>
          <w:tcPr>
            <w:tcW w:w="14601" w:type="dxa"/>
            <w:gridSpan w:val="2"/>
            <w:shd w:val="clear" w:color="auto" w:fill="DBE5F1" w:themeFill="accent1" w:themeFillTint="33"/>
          </w:tcPr>
          <w:p w14:paraId="65376520" w14:textId="0F062FDC" w:rsidR="008612AB" w:rsidRPr="00447869" w:rsidRDefault="003D624C" w:rsidP="00E235D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E235D1">
              <w:rPr>
                <w:rFonts w:asciiTheme="minorHAnsi" w:eastAsia="Times New Roman" w:hAnsiTheme="minorHAnsi" w:cs="Times New Roman"/>
                <w:b/>
                <w:bCs/>
                <w:lang w:eastAsia="en-AU"/>
              </w:rPr>
              <w:tab/>
            </w:r>
            <w:r w:rsidR="00A35C63" w:rsidRPr="00A35C63">
              <w:rPr>
                <w:rFonts w:asciiTheme="minorHAnsi" w:eastAsia="Times New Roman" w:hAnsiTheme="minorHAnsi" w:cs="Times New Roman"/>
                <w:b/>
                <w:bCs/>
                <w:lang w:eastAsia="en-AU"/>
              </w:rPr>
              <w:t>Catastrophic anti-phospholipid syndrome</w:t>
            </w:r>
          </w:p>
        </w:tc>
      </w:tr>
      <w:tr w:rsidR="00642A5C" w:rsidRPr="00447869" w14:paraId="230DE110" w14:textId="77777777" w:rsidTr="00E743A1">
        <w:trPr>
          <w:tblHeader/>
        </w:trPr>
        <w:tc>
          <w:tcPr>
            <w:tcW w:w="7300" w:type="dxa"/>
            <w:shd w:val="clear" w:color="auto" w:fill="auto"/>
          </w:tcPr>
          <w:p w14:paraId="1F327373" w14:textId="77777777" w:rsidR="003E3235" w:rsidRPr="00353F94" w:rsidRDefault="003D624C" w:rsidP="003D624C">
            <w:pPr>
              <w:spacing w:before="120" w:after="120"/>
              <w:rPr>
                <w:rFonts w:asciiTheme="minorHAnsi" w:eastAsia="Times New Roman" w:hAnsiTheme="minorHAnsi" w:cs="Times New Roman"/>
                <w:b/>
                <w:bCs/>
                <w:lang w:eastAsia="en-AU"/>
              </w:rPr>
            </w:pPr>
            <w:r w:rsidRPr="00353F94">
              <w:rPr>
                <w:rFonts w:asciiTheme="minorHAnsi" w:eastAsia="Times New Roman" w:hAnsiTheme="minorHAnsi" w:cs="Times New Roman"/>
                <w:b/>
                <w:bCs/>
                <w:lang w:eastAsia="en-AU"/>
              </w:rPr>
              <w:t>PROPOSED APPROACH:</w:t>
            </w:r>
          </w:p>
          <w:p w14:paraId="0A56D8AF" w14:textId="519C467A" w:rsidR="003D624C" w:rsidRPr="00C92149" w:rsidRDefault="003D624C" w:rsidP="003D624C">
            <w:pPr>
              <w:spacing w:before="120" w:after="120"/>
              <w:rPr>
                <w:rFonts w:asciiTheme="minorHAnsi" w:eastAsia="Times New Roman" w:hAnsiTheme="minorHAnsi" w:cs="Times New Roman"/>
                <w:bCs/>
                <w:lang w:eastAsia="en-AU"/>
              </w:rPr>
            </w:pPr>
            <w:r w:rsidRPr="00353F94">
              <w:rPr>
                <w:rFonts w:asciiTheme="minorHAnsi" w:eastAsia="Times New Roman" w:hAnsiTheme="minorHAnsi" w:cs="Times New Roman"/>
                <w:b/>
                <w:bCs/>
                <w:lang w:eastAsia="en-AU"/>
              </w:rPr>
              <w:t xml:space="preserve">To retain </w:t>
            </w:r>
            <w:r w:rsidRPr="003D624C">
              <w:rPr>
                <w:rFonts w:asciiTheme="minorHAnsi" w:eastAsia="Times New Roman" w:hAnsiTheme="minorHAnsi" w:cs="Times New Roman"/>
                <w:b/>
                <w:bCs/>
                <w:lang w:eastAsia="en-AU"/>
              </w:rPr>
              <w:t xml:space="preserve">Catastrophic anti-phospholipid syndrome in </w:t>
            </w:r>
            <w:r w:rsidRPr="00353F94">
              <w:rPr>
                <w:rFonts w:asciiTheme="minorHAnsi" w:eastAsia="Times New Roman" w:hAnsiTheme="minorHAnsi" w:cs="Times New Roman"/>
                <w:b/>
                <w:bCs/>
                <w:i/>
                <w:lang w:eastAsia="en-AU"/>
              </w:rPr>
              <w:t xml:space="preserve">Exceptional circumstances only </w:t>
            </w:r>
            <w:r w:rsidRPr="003D624C">
              <w:rPr>
                <w:rFonts w:asciiTheme="minorHAnsi" w:eastAsia="Times New Roman" w:hAnsiTheme="minorHAnsi" w:cs="Times New Roman"/>
                <w:b/>
                <w:bCs/>
                <w:lang w:eastAsia="en-AU"/>
              </w:rPr>
              <w:t xml:space="preserve">with the changes </w:t>
            </w:r>
            <w:r w:rsidR="00353F94">
              <w:rPr>
                <w:rFonts w:asciiTheme="minorHAnsi" w:eastAsia="Times New Roman" w:hAnsiTheme="minorHAnsi" w:cs="Times New Roman"/>
                <w:b/>
                <w:bCs/>
                <w:lang w:eastAsia="en-AU"/>
              </w:rPr>
              <w:t xml:space="preserve">as </w:t>
            </w:r>
            <w:r w:rsidRPr="003D624C">
              <w:rPr>
                <w:rFonts w:asciiTheme="minorHAnsi" w:eastAsia="Times New Roman" w:hAnsiTheme="minorHAnsi" w:cs="Times New Roman"/>
                <w:b/>
                <w:bCs/>
                <w:lang w:eastAsia="en-AU"/>
              </w:rPr>
              <w:t>outlined.</w:t>
            </w:r>
            <w:r>
              <w:rPr>
                <w:rFonts w:asciiTheme="minorHAnsi" w:eastAsia="Times New Roman" w:hAnsiTheme="minorHAnsi" w:cs="Times New Roman"/>
                <w:b/>
                <w:bCs/>
                <w:lang w:eastAsia="en-AU"/>
              </w:rPr>
              <w:t xml:space="preserve"> </w:t>
            </w:r>
          </w:p>
        </w:tc>
        <w:tc>
          <w:tcPr>
            <w:tcW w:w="7301" w:type="dxa"/>
            <w:shd w:val="clear" w:color="auto" w:fill="auto"/>
          </w:tcPr>
          <w:p w14:paraId="40C36F3E"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248F63CF" w14:textId="77777777" w:rsidR="001B058B" w:rsidRPr="00C92149" w:rsidRDefault="001B058B" w:rsidP="001B058B">
            <w:pPr>
              <w:spacing w:before="120" w:after="120"/>
              <w:rPr>
                <w:rFonts w:asciiTheme="minorHAnsi" w:eastAsia="Times New Roman" w:hAnsiTheme="minorHAnsi" w:cs="Times New Roman"/>
                <w:bCs/>
                <w:i/>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14:paraId="5D9B513A" w14:textId="0035374D" w:rsidR="00D2774C" w:rsidRPr="004F7E3C" w:rsidRDefault="003D624C" w:rsidP="00FE7967">
            <w:pPr>
              <w:pStyle w:val="ListParagraph"/>
              <w:numPr>
                <w:ilvl w:val="0"/>
                <w:numId w:val="44"/>
              </w:numPr>
              <w:spacing w:before="120" w:after="120"/>
              <w:rPr>
                <w:rFonts w:asciiTheme="minorHAnsi" w:eastAsia="Times New Roman" w:hAnsiTheme="minorHAnsi" w:cs="Times New Roman"/>
                <w:b/>
                <w:bCs/>
                <w:lang w:eastAsia="en-AU"/>
              </w:rPr>
            </w:pPr>
            <w:r w:rsidRPr="00A35C63">
              <w:rPr>
                <w:rFonts w:asciiTheme="minorHAnsi" w:eastAsia="Times New Roman" w:hAnsiTheme="minorHAnsi" w:cs="Times New Roman"/>
                <w:b/>
                <w:bCs/>
                <w:lang w:eastAsia="en-AU"/>
              </w:rPr>
              <w:t>Catastrophic anti-phospholipid syndrome</w:t>
            </w:r>
            <w:r w:rsidR="00D2774C" w:rsidRPr="004F7E3C">
              <w:rPr>
                <w:rFonts w:asciiTheme="minorHAnsi" w:hAnsiTheme="minorHAnsi"/>
              </w:rPr>
              <w:t xml:space="preserve"> is a very rare </w:t>
            </w:r>
            <w:r w:rsidR="00D2774C">
              <w:rPr>
                <w:rFonts w:asciiTheme="minorHAnsi" w:hAnsiTheme="minorHAnsi"/>
              </w:rPr>
              <w:t xml:space="preserve">and life-threatening condition with 40% mortality and Ig therapy </w:t>
            </w:r>
            <w:r w:rsidR="00F1782E">
              <w:rPr>
                <w:rFonts w:asciiTheme="minorHAnsi" w:hAnsiTheme="minorHAnsi"/>
              </w:rPr>
              <w:t>becomes part of</w:t>
            </w:r>
            <w:r w:rsidR="00D2774C">
              <w:rPr>
                <w:rFonts w:asciiTheme="minorHAnsi" w:hAnsiTheme="minorHAnsi"/>
              </w:rPr>
              <w:t xml:space="preserve"> first line therapy (in combination with steroids and anti-coagulation</w:t>
            </w:r>
            <w:r w:rsidR="00F6430E">
              <w:rPr>
                <w:rFonts w:asciiTheme="minorHAnsi" w:hAnsiTheme="minorHAnsi"/>
              </w:rPr>
              <w:t>) when plasmapheresis may be</w:t>
            </w:r>
            <w:r w:rsidR="00D2774C">
              <w:rPr>
                <w:rFonts w:asciiTheme="minorHAnsi" w:hAnsiTheme="minorHAnsi"/>
              </w:rPr>
              <w:t xml:space="preserve"> unavailable</w:t>
            </w:r>
            <w:r w:rsidR="00A72B00">
              <w:rPr>
                <w:rFonts w:asciiTheme="minorHAnsi" w:hAnsiTheme="minorHAnsi"/>
              </w:rPr>
              <w:t xml:space="preserve"> (e.g. rural hospitals</w:t>
            </w:r>
            <w:r w:rsidR="00F6430E">
              <w:rPr>
                <w:rFonts w:asciiTheme="minorHAnsi" w:hAnsiTheme="minorHAnsi"/>
              </w:rPr>
              <w:t>, after hours</w:t>
            </w:r>
            <w:r w:rsidR="00A72B00">
              <w:rPr>
                <w:rFonts w:asciiTheme="minorHAnsi" w:hAnsiTheme="minorHAnsi"/>
              </w:rPr>
              <w:t>)</w:t>
            </w:r>
            <w:r w:rsidR="00D2774C">
              <w:rPr>
                <w:rFonts w:asciiTheme="minorHAnsi" w:hAnsiTheme="minorHAnsi"/>
              </w:rPr>
              <w:t xml:space="preserve">, contraindicated or </w:t>
            </w:r>
            <w:r w:rsidR="00F1782E">
              <w:rPr>
                <w:rFonts w:asciiTheme="minorHAnsi" w:hAnsiTheme="minorHAnsi"/>
              </w:rPr>
              <w:t xml:space="preserve">is </w:t>
            </w:r>
            <w:r w:rsidR="00D2774C">
              <w:rPr>
                <w:rFonts w:asciiTheme="minorHAnsi" w:hAnsiTheme="minorHAnsi"/>
              </w:rPr>
              <w:t>unsuccessful</w:t>
            </w:r>
            <w:r w:rsidR="00A72B00">
              <w:rPr>
                <w:rFonts w:asciiTheme="minorHAnsi" w:hAnsiTheme="minorHAnsi"/>
              </w:rPr>
              <w:t xml:space="preserve"> in achieving a response</w:t>
            </w:r>
            <w:r w:rsidR="00D2774C">
              <w:rPr>
                <w:rFonts w:asciiTheme="minorHAnsi" w:hAnsiTheme="minorHAnsi"/>
              </w:rPr>
              <w:t xml:space="preserve">. </w:t>
            </w:r>
          </w:p>
          <w:p w14:paraId="438617F5" w14:textId="77777777" w:rsidR="002A24D3" w:rsidRDefault="007241EF" w:rsidP="004F7E3C">
            <w:pPr>
              <w:pStyle w:val="ListParagraph"/>
              <w:numPr>
                <w:ilvl w:val="0"/>
                <w:numId w:val="44"/>
              </w:numPr>
              <w:spacing w:before="120" w:after="120"/>
              <w:rPr>
                <w:rFonts w:asciiTheme="minorHAnsi" w:hAnsiTheme="minorHAnsi"/>
              </w:rPr>
            </w:pPr>
            <w:r w:rsidRPr="004F7E3C">
              <w:rPr>
                <w:rFonts w:asciiTheme="minorHAnsi" w:hAnsiTheme="minorHAnsi"/>
              </w:rPr>
              <w:t xml:space="preserve">Given the rarity of this condition, the evidence level is unlikely to </w:t>
            </w:r>
            <w:r w:rsidR="00CD1B3A">
              <w:rPr>
                <w:rFonts w:asciiTheme="minorHAnsi" w:hAnsiTheme="minorHAnsi"/>
              </w:rPr>
              <w:t xml:space="preserve">ever </w:t>
            </w:r>
            <w:r w:rsidRPr="004F7E3C">
              <w:rPr>
                <w:rFonts w:asciiTheme="minorHAnsi" w:hAnsiTheme="minorHAnsi"/>
              </w:rPr>
              <w:t>extend beyond case reports and series</w:t>
            </w:r>
            <w:r>
              <w:rPr>
                <w:rFonts w:asciiTheme="minorHAnsi" w:hAnsiTheme="minorHAnsi"/>
              </w:rPr>
              <w:t>, however a mechanism of action for Ig therapy is reported to have been proven</w:t>
            </w:r>
            <w:r w:rsidR="00CD1B3A">
              <w:rPr>
                <w:rFonts w:asciiTheme="minorHAnsi" w:hAnsiTheme="minorHAnsi"/>
              </w:rPr>
              <w:t xml:space="preserve"> (Cervera et al, 2016)</w:t>
            </w:r>
            <w:r w:rsidRPr="004F7E3C">
              <w:rPr>
                <w:rFonts w:asciiTheme="minorHAnsi" w:hAnsiTheme="minorHAnsi"/>
              </w:rPr>
              <w:t xml:space="preserve">. </w:t>
            </w:r>
          </w:p>
          <w:p w14:paraId="2F81D67A" w14:textId="01C49ED0" w:rsidR="00FF4718" w:rsidRPr="009C24A8" w:rsidRDefault="009C24A8" w:rsidP="009C24A8">
            <w:pPr>
              <w:pStyle w:val="ListParagraph"/>
              <w:numPr>
                <w:ilvl w:val="0"/>
                <w:numId w:val="44"/>
              </w:numPr>
              <w:rPr>
                <w:lang w:eastAsia="en-AU"/>
              </w:rPr>
            </w:pPr>
            <w:r w:rsidRPr="009C24A8">
              <w:rPr>
                <w:lang w:eastAsia="en-AU"/>
              </w:rPr>
              <w:t xml:space="preserve">This condition is listed as low priority in times of shortage or a ‘grey’ condition in the UK NHS immunoglobulin guidelines </w:t>
            </w:r>
            <w:r>
              <w:rPr>
                <w:lang w:eastAsia="en-AU"/>
              </w:rPr>
              <w:t xml:space="preserve">(UK Department of Health, 2011) </w:t>
            </w:r>
            <w:r w:rsidRPr="009C24A8">
              <w:rPr>
                <w:lang w:eastAsia="en-AU"/>
              </w:rPr>
              <w:t xml:space="preserve">which is equivalent to conditions for exceptional use in Australia. It is not listed in the national Canadian </w:t>
            </w:r>
            <w:r w:rsidR="00C82DA6">
              <w:rPr>
                <w:lang w:eastAsia="en-AU"/>
              </w:rPr>
              <w:t>IVIg</w:t>
            </w:r>
            <w:r w:rsidRPr="009C24A8">
              <w:rPr>
                <w:lang w:eastAsia="en-AU"/>
              </w:rPr>
              <w:t xml:space="preserve"> Utilisation Management guidelines</w:t>
            </w:r>
            <w:r>
              <w:rPr>
                <w:lang w:eastAsia="en-AU"/>
              </w:rPr>
              <w:t xml:space="preserve"> (</w:t>
            </w:r>
            <w:r w:rsidRPr="009C24A8">
              <w:rPr>
                <w:rFonts w:asciiTheme="minorHAnsi" w:eastAsia="Times New Roman" w:hAnsiTheme="minorHAnsi" w:cstheme="minorHAnsi"/>
                <w:color w:val="000000"/>
              </w:rPr>
              <w:t>Ontario Regio</w:t>
            </w:r>
            <w:r>
              <w:rPr>
                <w:rFonts w:asciiTheme="minorHAnsi" w:eastAsia="Times New Roman" w:hAnsiTheme="minorHAnsi" w:cstheme="minorHAnsi"/>
                <w:color w:val="000000"/>
              </w:rPr>
              <w:t>nal Blood Coordinating Network, 2016)</w:t>
            </w:r>
            <w:r w:rsidRPr="009C24A8">
              <w:rPr>
                <w:lang w:eastAsia="en-AU"/>
              </w:rPr>
              <w:t>, however, it is understood that in both countries, that rare conditions may still be funded at the local (province or trust) level.</w:t>
            </w:r>
          </w:p>
        </w:tc>
      </w:tr>
      <w:tr w:rsidR="00631EAB" w:rsidRPr="00447869" w14:paraId="511BC8C1" w14:textId="77777777" w:rsidTr="008612AB">
        <w:trPr>
          <w:tblHeader/>
        </w:trPr>
        <w:tc>
          <w:tcPr>
            <w:tcW w:w="14601" w:type="dxa"/>
            <w:gridSpan w:val="2"/>
            <w:shd w:val="clear" w:color="auto" w:fill="auto"/>
          </w:tcPr>
          <w:p w14:paraId="143A9164" w14:textId="77777777" w:rsidR="00631EAB" w:rsidRDefault="003D624C" w:rsidP="00E235D1">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1B5FA6">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Pr>
                <w:rFonts w:asciiTheme="minorHAnsi" w:eastAsia="Times New Roman" w:hAnsiTheme="minorHAnsi" w:cs="Times New Roman"/>
                <w:b/>
                <w:bCs/>
                <w:lang w:eastAsia="en-AU"/>
              </w:rPr>
              <w:t xml:space="preserve">Condition for which Ig use is in </w:t>
            </w:r>
            <w:r>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14:paraId="492AACA6" w14:textId="24B42A3E" w:rsidR="00BC5672" w:rsidRPr="00C41527" w:rsidRDefault="00BC5672" w:rsidP="00C41527">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v3.0 CONDITION CATEGORY: Condition for which Ig use is in </w:t>
            </w:r>
            <w:r>
              <w:rPr>
                <w:rFonts w:asciiTheme="minorHAnsi" w:eastAsia="Times New Roman" w:hAnsiTheme="minorHAnsi" w:cs="Times New Roman"/>
                <w:bCs/>
                <w:lang w:eastAsia="en-AU"/>
              </w:rPr>
              <w:t>exceptional circumstances only (Chapter 7)</w:t>
            </w:r>
          </w:p>
        </w:tc>
      </w:tr>
      <w:tr w:rsidR="008612AB" w:rsidRPr="00447869" w14:paraId="1502E79A" w14:textId="77777777" w:rsidTr="008612AB">
        <w:trPr>
          <w:tblHeader/>
        </w:trPr>
        <w:tc>
          <w:tcPr>
            <w:tcW w:w="14601" w:type="dxa"/>
            <w:gridSpan w:val="2"/>
            <w:shd w:val="clear" w:color="auto" w:fill="auto"/>
          </w:tcPr>
          <w:p w14:paraId="35B3AAE0" w14:textId="0841F176" w:rsidR="00A72B00" w:rsidRDefault="008612AB" w:rsidP="004F7E3C">
            <w:pPr>
              <w:rPr>
                <w:rFonts w:asciiTheme="minorHAnsi" w:hAnsiTheme="minorHAnsi"/>
              </w:rPr>
            </w:pPr>
            <w:r>
              <w:rPr>
                <w:rFonts w:asciiTheme="minorHAnsi" w:eastAsia="Times New Roman" w:hAnsiTheme="minorHAnsi" w:cs="Times New Roman"/>
                <w:b/>
                <w:bCs/>
                <w:lang w:eastAsia="en-AU"/>
              </w:rPr>
              <w:lastRenderedPageBreak/>
              <w:t>Role of Ig therapy:</w:t>
            </w:r>
            <w:r w:rsidR="00D2774C" w:rsidRPr="00D2774C">
              <w:rPr>
                <w:rFonts w:asciiTheme="minorHAnsi" w:eastAsia="Times New Roman" w:hAnsiTheme="minorHAnsi" w:cs="Times New Roman"/>
                <w:b/>
                <w:bCs/>
                <w:lang w:eastAsia="en-AU"/>
              </w:rPr>
              <w:t xml:space="preserve"> </w:t>
            </w:r>
            <w:r w:rsidR="00D2774C" w:rsidRPr="004F7E3C">
              <w:rPr>
                <w:rFonts w:asciiTheme="minorHAnsi" w:eastAsia="Times New Roman" w:hAnsiTheme="minorHAnsi" w:cs="Arial"/>
                <w:color w:val="000000"/>
                <w:shd w:val="clear" w:color="auto" w:fill="FFFFFF"/>
              </w:rPr>
              <w:t xml:space="preserve">Although patients with </w:t>
            </w:r>
            <w:r w:rsidR="003D624C" w:rsidRPr="00A35C63">
              <w:rPr>
                <w:rFonts w:asciiTheme="minorHAnsi" w:eastAsia="Times New Roman" w:hAnsiTheme="minorHAnsi" w:cs="Times New Roman"/>
                <w:b/>
                <w:bCs/>
                <w:lang w:eastAsia="en-AU"/>
              </w:rPr>
              <w:t>Catastrophic anti-phospholipid syndrome</w:t>
            </w:r>
            <w:r w:rsidR="00D2774C" w:rsidRPr="004F7E3C">
              <w:rPr>
                <w:rFonts w:asciiTheme="minorHAnsi" w:eastAsia="Times New Roman" w:hAnsiTheme="minorHAnsi" w:cs="Arial"/>
                <w:color w:val="000000"/>
                <w:shd w:val="clear" w:color="auto" w:fill="FFFFFF"/>
              </w:rPr>
              <w:t xml:space="preserve"> represent less than 1% of all patients with A</w:t>
            </w:r>
            <w:r w:rsidR="00CD1B3A">
              <w:rPr>
                <w:rFonts w:asciiTheme="minorHAnsi" w:eastAsia="Times New Roman" w:hAnsiTheme="minorHAnsi" w:cs="Arial"/>
                <w:color w:val="000000"/>
                <w:shd w:val="clear" w:color="auto" w:fill="FFFFFF"/>
              </w:rPr>
              <w:t>nti-</w:t>
            </w:r>
            <w:r w:rsidR="00CD1B3A" w:rsidRPr="00CD1B3A">
              <w:rPr>
                <w:rFonts w:asciiTheme="minorHAnsi" w:eastAsia="Times New Roman" w:hAnsiTheme="minorHAnsi" w:cs="Arial"/>
                <w:color w:val="000000"/>
                <w:shd w:val="clear" w:color="auto" w:fill="FFFFFF"/>
              </w:rPr>
              <w:t>phospholipid syndrome</w:t>
            </w:r>
            <w:r w:rsidR="00D2774C" w:rsidRPr="004F7E3C">
              <w:rPr>
                <w:rFonts w:asciiTheme="minorHAnsi" w:eastAsia="Times New Roman" w:hAnsiTheme="minorHAnsi" w:cs="Arial"/>
                <w:color w:val="000000"/>
                <w:shd w:val="clear" w:color="auto" w:fill="FFFFFF"/>
              </w:rPr>
              <w:t xml:space="preserve">, the situation is usually life-threatening with mortality </w:t>
            </w:r>
            <w:r w:rsidR="007241EF">
              <w:rPr>
                <w:rFonts w:asciiTheme="minorHAnsi" w:eastAsia="Times New Roman" w:hAnsiTheme="minorHAnsi" w:cs="Arial"/>
                <w:color w:val="000000"/>
                <w:shd w:val="clear" w:color="auto" w:fill="FFFFFF"/>
              </w:rPr>
              <w:t xml:space="preserve">of </w:t>
            </w:r>
            <w:r w:rsidR="00D2774C" w:rsidRPr="004F7E3C">
              <w:rPr>
                <w:rFonts w:asciiTheme="minorHAnsi" w:eastAsia="Times New Roman" w:hAnsiTheme="minorHAnsi" w:cs="Arial"/>
                <w:color w:val="000000"/>
                <w:shd w:val="clear" w:color="auto" w:fill="FFFFFF"/>
              </w:rPr>
              <w:t xml:space="preserve">up to 40%. </w:t>
            </w:r>
            <w:r w:rsidR="00D2774C">
              <w:rPr>
                <w:rFonts w:asciiTheme="minorHAnsi" w:eastAsia="Times New Roman" w:hAnsiTheme="minorHAnsi" w:cs="Arial"/>
                <w:color w:val="000000"/>
                <w:shd w:val="clear" w:color="auto" w:fill="FFFFFF"/>
              </w:rPr>
              <w:t>First line</w:t>
            </w:r>
            <w:r w:rsidR="00D2774C" w:rsidRPr="004F7E3C">
              <w:rPr>
                <w:rFonts w:asciiTheme="minorHAnsi" w:eastAsia="Times New Roman" w:hAnsiTheme="minorHAnsi" w:cs="Arial"/>
                <w:color w:val="000000"/>
                <w:shd w:val="clear" w:color="auto" w:fill="FFFFFF"/>
              </w:rPr>
              <w:t xml:space="preserve"> treatment </w:t>
            </w:r>
            <w:r w:rsidR="00D2774C">
              <w:rPr>
                <w:rFonts w:asciiTheme="minorHAnsi" w:eastAsia="Times New Roman" w:hAnsiTheme="minorHAnsi" w:cs="Arial"/>
                <w:color w:val="000000"/>
                <w:shd w:val="clear" w:color="auto" w:fill="FFFFFF"/>
              </w:rPr>
              <w:t>in acute presentation includes</w:t>
            </w:r>
            <w:r w:rsidR="00D2774C" w:rsidRPr="004F7E3C">
              <w:rPr>
                <w:rFonts w:asciiTheme="minorHAnsi" w:eastAsia="Times New Roman" w:hAnsiTheme="minorHAnsi" w:cs="Arial"/>
                <w:color w:val="000000"/>
                <w:shd w:val="clear" w:color="auto" w:fill="FFFFFF"/>
              </w:rPr>
              <w:t xml:space="preserve"> steroids</w:t>
            </w:r>
            <w:r w:rsidR="00D2774C" w:rsidRPr="004F7E3C">
              <w:rPr>
                <w:rFonts w:asciiTheme="minorHAnsi" w:hAnsiTheme="minorHAnsi"/>
              </w:rPr>
              <w:t xml:space="preserve">, </w:t>
            </w:r>
            <w:r w:rsidR="00D2774C" w:rsidRPr="00D2774C">
              <w:rPr>
                <w:rFonts w:asciiTheme="minorHAnsi" w:hAnsiTheme="minorHAnsi"/>
              </w:rPr>
              <w:t>plasmapheresis</w:t>
            </w:r>
            <w:r w:rsidR="00D2774C" w:rsidRPr="004F7E3C">
              <w:rPr>
                <w:rFonts w:asciiTheme="minorHAnsi" w:hAnsiTheme="minorHAnsi"/>
              </w:rPr>
              <w:t xml:space="preserve"> and anti-coagulation, however where </w:t>
            </w:r>
            <w:r w:rsidR="00D2774C" w:rsidRPr="00D2774C">
              <w:rPr>
                <w:rFonts w:asciiTheme="minorHAnsi" w:hAnsiTheme="minorHAnsi"/>
              </w:rPr>
              <w:t>plasmapheresis</w:t>
            </w:r>
            <w:r w:rsidR="00D2774C" w:rsidRPr="004F7E3C">
              <w:rPr>
                <w:rFonts w:asciiTheme="minorHAnsi" w:hAnsiTheme="minorHAnsi"/>
              </w:rPr>
              <w:t xml:space="preserve"> in not available or is contraindicated or where there is a deterioration after </w:t>
            </w:r>
            <w:r w:rsidR="00CD1B3A">
              <w:rPr>
                <w:rFonts w:asciiTheme="minorHAnsi" w:hAnsiTheme="minorHAnsi"/>
              </w:rPr>
              <w:t xml:space="preserve">treatment with </w:t>
            </w:r>
            <w:r w:rsidR="00D2774C" w:rsidRPr="004F7E3C">
              <w:rPr>
                <w:rFonts w:asciiTheme="minorHAnsi" w:hAnsiTheme="minorHAnsi"/>
              </w:rPr>
              <w:t xml:space="preserve">plasmapheresis, </w:t>
            </w:r>
            <w:r w:rsidR="00D2774C">
              <w:rPr>
                <w:rFonts w:asciiTheme="minorHAnsi" w:hAnsiTheme="minorHAnsi"/>
              </w:rPr>
              <w:t xml:space="preserve">Ig therapy </w:t>
            </w:r>
            <w:r w:rsidR="00D2774C" w:rsidRPr="004F7E3C">
              <w:rPr>
                <w:rFonts w:asciiTheme="minorHAnsi" w:hAnsiTheme="minorHAnsi"/>
              </w:rPr>
              <w:t>is indicated.</w:t>
            </w:r>
            <w:r w:rsidR="00A72B00">
              <w:rPr>
                <w:rFonts w:asciiTheme="minorHAnsi" w:hAnsiTheme="minorHAnsi"/>
              </w:rPr>
              <w:t xml:space="preserve"> </w:t>
            </w:r>
            <w:r w:rsidR="00F6430E">
              <w:rPr>
                <w:rFonts w:asciiTheme="minorHAnsi" w:hAnsiTheme="minorHAnsi"/>
              </w:rPr>
              <w:t>It is acknowledged that p</w:t>
            </w:r>
            <w:r w:rsidR="00A72B00" w:rsidRPr="004F7E3C">
              <w:rPr>
                <w:rFonts w:asciiTheme="minorHAnsi" w:hAnsiTheme="minorHAnsi"/>
              </w:rPr>
              <w:t xml:space="preserve">lasmapheresis may not always be accessible in rural hospitals and other problems may arise </w:t>
            </w:r>
            <w:r w:rsidR="00CD1B3A">
              <w:rPr>
                <w:rFonts w:asciiTheme="minorHAnsi" w:hAnsiTheme="minorHAnsi"/>
              </w:rPr>
              <w:t xml:space="preserve">in more populated locations </w:t>
            </w:r>
            <w:r w:rsidR="00A72B00" w:rsidRPr="004F7E3C">
              <w:rPr>
                <w:rFonts w:asciiTheme="minorHAnsi" w:hAnsiTheme="minorHAnsi"/>
              </w:rPr>
              <w:t xml:space="preserve">such as </w:t>
            </w:r>
            <w:r w:rsidR="00A72B00">
              <w:rPr>
                <w:rFonts w:asciiTheme="minorHAnsi" w:hAnsiTheme="minorHAnsi"/>
              </w:rPr>
              <w:t xml:space="preserve">a </w:t>
            </w:r>
            <w:r w:rsidR="00A72B00" w:rsidRPr="004F7E3C">
              <w:rPr>
                <w:rFonts w:asciiTheme="minorHAnsi" w:hAnsiTheme="minorHAnsi"/>
              </w:rPr>
              <w:t>lack o</w:t>
            </w:r>
            <w:r w:rsidR="00A72B00" w:rsidRPr="00A72B00">
              <w:rPr>
                <w:rFonts w:asciiTheme="minorHAnsi" w:hAnsiTheme="minorHAnsi"/>
              </w:rPr>
              <w:t>f trained staff or access after-</w:t>
            </w:r>
            <w:r w:rsidR="00A72B00" w:rsidRPr="004F7E3C">
              <w:rPr>
                <w:rFonts w:asciiTheme="minorHAnsi" w:hAnsiTheme="minorHAnsi"/>
              </w:rPr>
              <w:t>hours.</w:t>
            </w:r>
          </w:p>
          <w:p w14:paraId="324CCA2F" w14:textId="70E5724E" w:rsidR="00EC2593" w:rsidRDefault="00EC2593" w:rsidP="004F7E3C">
            <w:pPr>
              <w:rPr>
                <w:rFonts w:asciiTheme="minorHAnsi" w:hAnsiTheme="minorHAnsi"/>
              </w:rPr>
            </w:pPr>
            <w:r>
              <w:rPr>
                <w:rFonts w:asciiTheme="minorHAnsi" w:hAnsiTheme="minorHAnsi"/>
              </w:rPr>
              <w:t xml:space="preserve">The mechanism of action </w:t>
            </w:r>
            <w:r w:rsidR="004A0832">
              <w:rPr>
                <w:rFonts w:asciiTheme="minorHAnsi" w:hAnsiTheme="minorHAnsi"/>
              </w:rPr>
              <w:t xml:space="preserve">of Ig </w:t>
            </w:r>
            <w:r w:rsidR="00CD1B3A">
              <w:rPr>
                <w:rFonts w:asciiTheme="minorHAnsi" w:hAnsiTheme="minorHAnsi"/>
              </w:rPr>
              <w:t>therapy in this condition is reported to have been</w:t>
            </w:r>
            <w:r w:rsidR="006E651C">
              <w:rPr>
                <w:rFonts w:asciiTheme="minorHAnsi" w:hAnsiTheme="minorHAnsi"/>
              </w:rPr>
              <w:t xml:space="preserve"> proven rec</w:t>
            </w:r>
            <w:r w:rsidR="004A0832">
              <w:rPr>
                <w:rFonts w:asciiTheme="minorHAnsi" w:hAnsiTheme="minorHAnsi"/>
              </w:rPr>
              <w:t xml:space="preserve">ently </w:t>
            </w:r>
            <w:r w:rsidR="00CD1B3A">
              <w:rPr>
                <w:rFonts w:asciiTheme="minorHAnsi" w:hAnsiTheme="minorHAnsi"/>
              </w:rPr>
              <w:t>as acting to</w:t>
            </w:r>
            <w:r w:rsidR="004951B1">
              <w:rPr>
                <w:rFonts w:asciiTheme="minorHAnsi" w:hAnsiTheme="minorHAnsi"/>
              </w:rPr>
              <w:t xml:space="preserve"> </w:t>
            </w:r>
            <w:r w:rsidR="00CD1B3A">
              <w:rPr>
                <w:rFonts w:asciiTheme="minorHAnsi" w:hAnsiTheme="minorHAnsi"/>
              </w:rPr>
              <w:t>decrease</w:t>
            </w:r>
            <w:r w:rsidR="004A0832">
              <w:rPr>
                <w:rFonts w:asciiTheme="minorHAnsi" w:hAnsiTheme="minorHAnsi"/>
              </w:rPr>
              <w:t xml:space="preserve"> anti-phosp</w:t>
            </w:r>
            <w:r w:rsidR="006E651C">
              <w:rPr>
                <w:rFonts w:asciiTheme="minorHAnsi" w:hAnsiTheme="minorHAnsi"/>
              </w:rPr>
              <w:t>h</w:t>
            </w:r>
            <w:r w:rsidR="004A0832">
              <w:rPr>
                <w:rFonts w:asciiTheme="minorHAnsi" w:hAnsiTheme="minorHAnsi"/>
              </w:rPr>
              <w:t>o</w:t>
            </w:r>
            <w:r w:rsidR="006E651C">
              <w:rPr>
                <w:rFonts w:asciiTheme="minorHAnsi" w:hAnsiTheme="minorHAnsi"/>
              </w:rPr>
              <w:t xml:space="preserve">lipid antibody levels </w:t>
            </w:r>
            <w:r w:rsidR="006B7056">
              <w:rPr>
                <w:rFonts w:asciiTheme="minorHAnsi" w:hAnsiTheme="minorHAnsi"/>
              </w:rPr>
              <w:t xml:space="preserve">and therefore reducing the thrombotic risk by reducing pro-inflammatory levels in these patients. </w:t>
            </w:r>
            <w:r w:rsidR="004A0832">
              <w:rPr>
                <w:rFonts w:asciiTheme="minorHAnsi" w:hAnsiTheme="minorHAnsi"/>
              </w:rPr>
              <w:t>(Cervera et al, 2016)</w:t>
            </w:r>
            <w:r w:rsidR="006B7056">
              <w:rPr>
                <w:rFonts w:asciiTheme="minorHAnsi" w:hAnsiTheme="minorHAnsi"/>
              </w:rPr>
              <w:t xml:space="preserve"> </w:t>
            </w:r>
          </w:p>
          <w:p w14:paraId="4CA1606F" w14:textId="22D20B07" w:rsidR="008612AB" w:rsidRDefault="00D2774C" w:rsidP="004F7E3C">
            <w:pPr>
              <w:rPr>
                <w:rFonts w:asciiTheme="minorHAnsi" w:hAnsiTheme="minorHAnsi"/>
              </w:rPr>
            </w:pPr>
            <w:r w:rsidRPr="004F7E3C">
              <w:rPr>
                <w:rFonts w:asciiTheme="minorHAnsi" w:hAnsiTheme="minorHAnsi"/>
              </w:rPr>
              <w:t xml:space="preserve"> Ig therapy is not indicated for chronic recurrent thrombosis, </w:t>
            </w:r>
            <w:r w:rsidR="005350D7">
              <w:rPr>
                <w:rFonts w:asciiTheme="minorHAnsi" w:hAnsiTheme="minorHAnsi"/>
              </w:rPr>
              <w:t>and</w:t>
            </w:r>
            <w:r w:rsidR="006A1B40">
              <w:rPr>
                <w:rFonts w:asciiTheme="minorHAnsi" w:hAnsiTheme="minorHAnsi"/>
              </w:rPr>
              <w:t xml:space="preserve"> </w:t>
            </w:r>
            <w:r w:rsidR="00CD1B3A">
              <w:rPr>
                <w:rFonts w:asciiTheme="minorHAnsi" w:hAnsiTheme="minorHAnsi"/>
              </w:rPr>
              <w:t xml:space="preserve">this </w:t>
            </w:r>
            <w:r w:rsidR="006A1B40">
              <w:rPr>
                <w:rFonts w:asciiTheme="minorHAnsi" w:hAnsiTheme="minorHAnsi"/>
              </w:rPr>
              <w:t xml:space="preserve">has been added as an exclusion </w:t>
            </w:r>
            <w:r w:rsidR="005350D7">
              <w:rPr>
                <w:rFonts w:asciiTheme="minorHAnsi" w:hAnsiTheme="minorHAnsi"/>
              </w:rPr>
              <w:t>c</w:t>
            </w:r>
            <w:r w:rsidR="006A1B40">
              <w:rPr>
                <w:rFonts w:asciiTheme="minorHAnsi" w:hAnsiTheme="minorHAnsi"/>
              </w:rPr>
              <w:t>riterion.</w:t>
            </w:r>
          </w:p>
          <w:p w14:paraId="31F166D6" w14:textId="1A0BAABA" w:rsidR="00D2774C" w:rsidRPr="00447869" w:rsidRDefault="00D2774C" w:rsidP="004F7E3C">
            <w:pPr>
              <w:rPr>
                <w:rFonts w:asciiTheme="minorHAnsi" w:eastAsia="Times New Roman" w:hAnsiTheme="minorHAnsi" w:cs="Times New Roman"/>
                <w:b/>
                <w:bCs/>
                <w:lang w:eastAsia="en-AU"/>
              </w:rPr>
            </w:pPr>
          </w:p>
        </w:tc>
      </w:tr>
    </w:tbl>
    <w:p w14:paraId="2B7BB9D7" w14:textId="77777777" w:rsidR="005851ED" w:rsidRDefault="005851ED"/>
    <w:tbl>
      <w:tblPr>
        <w:tblStyle w:val="TableGrid"/>
        <w:tblW w:w="14601" w:type="dxa"/>
        <w:tblInd w:w="-318" w:type="dxa"/>
        <w:tblLook w:val="0680" w:firstRow="0" w:lastRow="0" w:firstColumn="1" w:lastColumn="0" w:noHBand="1" w:noVBand="1"/>
      </w:tblPr>
      <w:tblGrid>
        <w:gridCol w:w="1560"/>
        <w:gridCol w:w="3686"/>
        <w:gridCol w:w="1275"/>
        <w:gridCol w:w="1843"/>
        <w:gridCol w:w="1843"/>
        <w:gridCol w:w="4394"/>
      </w:tblGrid>
      <w:tr w:rsidR="00447869" w:rsidRPr="00853117" w14:paraId="26DB52BA" w14:textId="77777777" w:rsidTr="00E42B11">
        <w:trPr>
          <w:trHeight w:val="406"/>
          <w:tblHeader/>
        </w:trPr>
        <w:tc>
          <w:tcPr>
            <w:tcW w:w="1560" w:type="dxa"/>
            <w:shd w:val="clear" w:color="auto" w:fill="DBE5F1" w:themeFill="accent1" w:themeFillTint="33"/>
          </w:tcPr>
          <w:p w14:paraId="44953E1A"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686" w:type="dxa"/>
            <w:shd w:val="clear" w:color="auto" w:fill="DBE5F1" w:themeFill="accent1" w:themeFillTint="33"/>
          </w:tcPr>
          <w:p w14:paraId="2C7C52D9" w14:textId="1A848F32" w:rsidR="004A10A2" w:rsidRPr="00C92149" w:rsidRDefault="003D624C" w:rsidP="00631EAB">
            <w:pPr>
              <w:spacing w:before="120" w:after="120"/>
              <w:jc w:val="center"/>
              <w:rPr>
                <w:rFonts w:asciiTheme="minorHAnsi" w:hAnsiTheme="minorHAnsi"/>
                <w:b/>
                <w:sz w:val="20"/>
                <w:szCs w:val="18"/>
              </w:rPr>
            </w:pPr>
            <w:r>
              <w:rPr>
                <w:rFonts w:asciiTheme="minorHAnsi" w:hAnsiTheme="minorHAnsi"/>
                <w:b/>
                <w:sz w:val="20"/>
                <w:szCs w:val="18"/>
              </w:rPr>
              <w:t>CRITERIA</w:t>
            </w:r>
            <w:r w:rsidR="001E102B">
              <w:rPr>
                <w:rFonts w:asciiTheme="minorHAnsi" w:hAnsiTheme="minorHAnsi"/>
                <w:b/>
                <w:sz w:val="20"/>
                <w:szCs w:val="18"/>
              </w:rPr>
              <w:t xml:space="preserve">v2.1 </w:t>
            </w:r>
          </w:p>
        </w:tc>
        <w:tc>
          <w:tcPr>
            <w:tcW w:w="4961" w:type="dxa"/>
            <w:gridSpan w:val="3"/>
            <w:shd w:val="clear" w:color="auto" w:fill="DBE5F1" w:themeFill="accent1" w:themeFillTint="33"/>
          </w:tcPr>
          <w:p w14:paraId="38831BC9"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14:paraId="18CDB667" w14:textId="6A7641EF" w:rsidR="00447869" w:rsidRPr="00C92149" w:rsidRDefault="003D624C">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5E4ECD">
              <w:rPr>
                <w:rFonts w:asciiTheme="minorHAnsi" w:eastAsia="Times New Roman" w:hAnsiTheme="minorHAnsi" w:cs="Times New Roman"/>
                <w:b/>
                <w:bCs/>
                <w:sz w:val="20"/>
                <w:szCs w:val="20"/>
                <w:lang w:eastAsia="en-AU"/>
              </w:rPr>
              <w:t xml:space="preserve"> </w:t>
            </w:r>
            <w:r w:rsidR="005E4ECD" w:rsidRPr="005E4ECD">
              <w:rPr>
                <w:rFonts w:asciiTheme="minorHAnsi" w:eastAsia="Times New Roman" w:hAnsiTheme="minorHAnsi" w:cs="Times New Roman"/>
                <w:b/>
                <w:bCs/>
                <w:sz w:val="20"/>
                <w:szCs w:val="20"/>
                <w:lang w:eastAsia="en-AU"/>
              </w:rPr>
              <w:t>RATIONALE FOR ADDITIONS/CLARIFICATIONS</w:t>
            </w:r>
          </w:p>
        </w:tc>
      </w:tr>
      <w:tr w:rsidR="00021243" w:rsidRPr="00447869" w14:paraId="69B768BD" w14:textId="77777777" w:rsidTr="00E42B11">
        <w:tc>
          <w:tcPr>
            <w:tcW w:w="1560" w:type="dxa"/>
            <w:shd w:val="clear" w:color="auto" w:fill="D9D9D9" w:themeFill="background1" w:themeFillShade="D9"/>
          </w:tcPr>
          <w:p w14:paraId="47018415"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3686" w:type="dxa"/>
          </w:tcPr>
          <w:p w14:paraId="203503A8" w14:textId="77777777" w:rsidR="00021243" w:rsidRPr="00A35C63" w:rsidRDefault="00A35C63" w:rsidP="00A35C63">
            <w:pPr>
              <w:pStyle w:val="heading"/>
              <w:spacing w:before="0" w:beforeAutospacing="0" w:after="225" w:afterAutospacing="0" w:line="293" w:lineRule="atLeast"/>
              <w:rPr>
                <w:rFonts w:asciiTheme="minorHAnsi" w:hAnsiTheme="minorHAnsi" w:cs="Times New Roman"/>
                <w:b/>
                <w:bCs/>
                <w:color w:val="000000"/>
                <w:sz w:val="22"/>
                <w:szCs w:val="22"/>
              </w:rPr>
            </w:pPr>
            <w:r w:rsidRPr="00A35C63">
              <w:rPr>
                <w:rFonts w:asciiTheme="minorHAnsi" w:eastAsia="Dotum" w:hAnsiTheme="minorHAnsi" w:cs="Calibri"/>
                <w:sz w:val="22"/>
                <w:szCs w:val="22"/>
              </w:rPr>
              <w:t>Catastrophic antiphospholipid syndrome</w:t>
            </w:r>
          </w:p>
        </w:tc>
        <w:tc>
          <w:tcPr>
            <w:tcW w:w="4961" w:type="dxa"/>
            <w:gridSpan w:val="3"/>
          </w:tcPr>
          <w:p w14:paraId="2CD9F855" w14:textId="77777777" w:rsidR="00021243" w:rsidRPr="000D7C2A" w:rsidRDefault="000D7C2A" w:rsidP="00F26DBE">
            <w:pPr>
              <w:spacing w:after="120"/>
              <w:rPr>
                <w:rFonts w:asciiTheme="minorHAnsi" w:hAnsiTheme="minorHAnsi"/>
              </w:rPr>
            </w:pPr>
            <w:r w:rsidRPr="000D7C2A">
              <w:rPr>
                <w:rFonts w:asciiTheme="minorHAnsi" w:hAnsiTheme="minorHAnsi"/>
              </w:rPr>
              <w:t>Catastrophic anti-phospholipid syndrome</w:t>
            </w:r>
          </w:p>
        </w:tc>
        <w:tc>
          <w:tcPr>
            <w:tcW w:w="4394" w:type="dxa"/>
          </w:tcPr>
          <w:p w14:paraId="4118A67A" w14:textId="77777777" w:rsidR="005960E7" w:rsidRPr="00C92149" w:rsidRDefault="00CE3594"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No change</w:t>
            </w:r>
          </w:p>
        </w:tc>
      </w:tr>
      <w:tr w:rsidR="00447869" w:rsidRPr="00447869" w14:paraId="17DF073A" w14:textId="77777777" w:rsidTr="00E42B11">
        <w:tc>
          <w:tcPr>
            <w:tcW w:w="1560" w:type="dxa"/>
            <w:shd w:val="clear" w:color="auto" w:fill="D9D9D9" w:themeFill="background1" w:themeFillShade="D9"/>
          </w:tcPr>
          <w:p w14:paraId="3C3A135F" w14:textId="77777777"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3686" w:type="dxa"/>
          </w:tcPr>
          <w:p w14:paraId="1B05EEE4" w14:textId="77777777" w:rsidR="00447869" w:rsidRPr="00447869" w:rsidRDefault="00A35C63" w:rsidP="00021243">
            <w:pPr>
              <w:spacing w:before="120" w:after="120"/>
              <w:rPr>
                <w:rFonts w:asciiTheme="minorHAnsi" w:hAnsiTheme="minorHAnsi"/>
              </w:rPr>
            </w:pPr>
            <w:r>
              <w:rPr>
                <w:rFonts w:asciiTheme="minorHAnsi" w:hAnsiTheme="minorHAnsi"/>
              </w:rPr>
              <w:t>Immunology</w:t>
            </w:r>
          </w:p>
        </w:tc>
        <w:tc>
          <w:tcPr>
            <w:tcW w:w="4961" w:type="dxa"/>
            <w:gridSpan w:val="3"/>
          </w:tcPr>
          <w:p w14:paraId="4DAA7054" w14:textId="77777777" w:rsidR="00447869" w:rsidRPr="00447869" w:rsidRDefault="000D7C2A" w:rsidP="00021243">
            <w:pPr>
              <w:spacing w:before="120" w:after="120"/>
              <w:rPr>
                <w:rFonts w:asciiTheme="minorHAnsi" w:hAnsiTheme="minorHAnsi"/>
              </w:rPr>
            </w:pPr>
            <w:r>
              <w:rPr>
                <w:rFonts w:asciiTheme="minorHAnsi" w:hAnsiTheme="minorHAnsi"/>
              </w:rPr>
              <w:t xml:space="preserve">Immunology </w:t>
            </w:r>
          </w:p>
        </w:tc>
        <w:tc>
          <w:tcPr>
            <w:tcW w:w="4394" w:type="dxa"/>
          </w:tcPr>
          <w:p w14:paraId="1EA415A4" w14:textId="77777777" w:rsidR="00447869" w:rsidRPr="009208EC" w:rsidRDefault="00CE3594" w:rsidP="00021243">
            <w:pPr>
              <w:spacing w:before="120" w:after="120"/>
              <w:rPr>
                <w:rFonts w:asciiTheme="minorHAnsi" w:hAnsiTheme="minorHAnsi"/>
                <w:szCs w:val="20"/>
              </w:rPr>
            </w:pPr>
            <w:r>
              <w:rPr>
                <w:rFonts w:asciiTheme="minorHAnsi" w:hAnsiTheme="minorHAnsi"/>
                <w:szCs w:val="20"/>
              </w:rPr>
              <w:t>No change</w:t>
            </w:r>
          </w:p>
        </w:tc>
      </w:tr>
      <w:tr w:rsidR="00021243" w:rsidRPr="00447869" w14:paraId="16D3CB0C" w14:textId="77777777" w:rsidTr="00E42B11">
        <w:tc>
          <w:tcPr>
            <w:tcW w:w="1560" w:type="dxa"/>
            <w:shd w:val="clear" w:color="auto" w:fill="D9D9D9" w:themeFill="background1" w:themeFillShade="D9"/>
          </w:tcPr>
          <w:p w14:paraId="6224FCF5" w14:textId="55CC66AF" w:rsidR="00021243" w:rsidRPr="00447869" w:rsidRDefault="003D624C" w:rsidP="00021243">
            <w:pPr>
              <w:spacing w:before="120" w:after="120"/>
              <w:rPr>
                <w:rFonts w:asciiTheme="minorHAnsi" w:hAnsiTheme="minorHAnsi"/>
              </w:rPr>
            </w:pPr>
            <w:r>
              <w:rPr>
                <w:rFonts w:asciiTheme="minorHAnsi" w:hAnsiTheme="minorHAnsi"/>
                <w:b/>
              </w:rPr>
              <w:t xml:space="preserve">Category </w:t>
            </w:r>
          </w:p>
        </w:tc>
        <w:tc>
          <w:tcPr>
            <w:tcW w:w="3686" w:type="dxa"/>
          </w:tcPr>
          <w:p w14:paraId="40092862" w14:textId="1D8C20E4" w:rsidR="00021243" w:rsidRPr="00353F94" w:rsidRDefault="003D624C" w:rsidP="008515FF">
            <w:pPr>
              <w:spacing w:before="120" w:after="120"/>
              <w:rPr>
                <w:rFonts w:asciiTheme="minorHAnsi" w:hAnsiTheme="minorHAnsi"/>
                <w:i/>
              </w:rPr>
            </w:pPr>
            <w:r w:rsidRPr="00353F94">
              <w:rPr>
                <w:rFonts w:asciiTheme="minorHAnsi" w:hAnsiTheme="minorHAnsi"/>
                <w:i/>
              </w:rPr>
              <w:t xml:space="preserve">Exceptional circumstances only </w:t>
            </w:r>
          </w:p>
        </w:tc>
        <w:tc>
          <w:tcPr>
            <w:tcW w:w="4961" w:type="dxa"/>
            <w:gridSpan w:val="3"/>
          </w:tcPr>
          <w:p w14:paraId="3A5F083A" w14:textId="23D69216" w:rsidR="00021243" w:rsidRPr="00353F94" w:rsidRDefault="003D624C" w:rsidP="00021243">
            <w:pPr>
              <w:spacing w:before="120" w:after="120"/>
              <w:rPr>
                <w:rFonts w:asciiTheme="minorHAnsi" w:hAnsiTheme="minorHAnsi"/>
                <w:i/>
              </w:rPr>
            </w:pPr>
            <w:r w:rsidRPr="00353F94">
              <w:rPr>
                <w:rFonts w:asciiTheme="minorHAnsi" w:hAnsiTheme="minorHAnsi"/>
                <w:i/>
              </w:rPr>
              <w:t>Exceptional circumstances only</w:t>
            </w:r>
          </w:p>
        </w:tc>
        <w:tc>
          <w:tcPr>
            <w:tcW w:w="4394" w:type="dxa"/>
          </w:tcPr>
          <w:p w14:paraId="6ACB5DA1" w14:textId="77777777" w:rsidR="00021243" w:rsidRPr="009208EC" w:rsidRDefault="00CE3594" w:rsidP="00631EAB">
            <w:pPr>
              <w:spacing w:before="120" w:after="120"/>
              <w:rPr>
                <w:rFonts w:asciiTheme="minorHAnsi" w:hAnsiTheme="minorHAnsi"/>
                <w:szCs w:val="20"/>
              </w:rPr>
            </w:pPr>
            <w:r>
              <w:rPr>
                <w:rFonts w:asciiTheme="minorHAnsi" w:hAnsiTheme="minorHAnsi"/>
                <w:szCs w:val="20"/>
              </w:rPr>
              <w:t>No change</w:t>
            </w:r>
          </w:p>
        </w:tc>
      </w:tr>
      <w:tr w:rsidR="00447869" w:rsidRPr="00447869" w14:paraId="485813DF" w14:textId="77777777" w:rsidTr="00E42B11">
        <w:tc>
          <w:tcPr>
            <w:tcW w:w="1560" w:type="dxa"/>
            <w:shd w:val="clear" w:color="auto" w:fill="D9D9D9" w:themeFill="background1" w:themeFillShade="D9"/>
          </w:tcPr>
          <w:p w14:paraId="56215204" w14:textId="77777777"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3686" w:type="dxa"/>
          </w:tcPr>
          <w:p w14:paraId="5754484E" w14:textId="77777777" w:rsidR="004A10A2" w:rsidRPr="00447869" w:rsidRDefault="00A35C63" w:rsidP="008515FF">
            <w:pPr>
              <w:spacing w:before="120" w:after="120"/>
              <w:rPr>
                <w:rFonts w:asciiTheme="minorHAnsi" w:hAnsiTheme="minorHAnsi"/>
              </w:rPr>
            </w:pPr>
            <w:r w:rsidRPr="00F26236">
              <w:rPr>
                <w:rFonts w:asciiTheme="minorHAnsi" w:eastAsia="Times New Roman" w:hAnsiTheme="minorHAnsi" w:cs="Times New Roman"/>
                <w:bCs/>
                <w:lang w:eastAsia="en-AU"/>
              </w:rPr>
              <w:t>Catastrophic antiphospholipid syndrome</w:t>
            </w:r>
          </w:p>
        </w:tc>
        <w:tc>
          <w:tcPr>
            <w:tcW w:w="4961" w:type="dxa"/>
            <w:gridSpan w:val="3"/>
          </w:tcPr>
          <w:p w14:paraId="5766C4E8" w14:textId="40E25E3D" w:rsidR="00447869" w:rsidRPr="00447869" w:rsidRDefault="00AA2D42" w:rsidP="008515FF">
            <w:pPr>
              <w:rPr>
                <w:rFonts w:asciiTheme="minorHAnsi" w:hAnsiTheme="minorHAnsi"/>
              </w:rPr>
            </w:pPr>
            <w:r w:rsidRPr="00F26236">
              <w:rPr>
                <w:rFonts w:asciiTheme="minorHAnsi" w:eastAsia="Times New Roman" w:hAnsiTheme="minorHAnsi" w:cs="Times New Roman"/>
                <w:bCs/>
                <w:lang w:eastAsia="en-AU"/>
              </w:rPr>
              <w:t>Catastrophic anti</w:t>
            </w:r>
            <w:r>
              <w:rPr>
                <w:rFonts w:asciiTheme="minorHAnsi" w:eastAsia="Times New Roman" w:hAnsiTheme="minorHAnsi" w:cs="Times New Roman"/>
                <w:bCs/>
                <w:lang w:eastAsia="en-AU"/>
              </w:rPr>
              <w:t>-</w:t>
            </w:r>
            <w:r w:rsidRPr="00F26236">
              <w:rPr>
                <w:rFonts w:asciiTheme="minorHAnsi" w:eastAsia="Times New Roman" w:hAnsiTheme="minorHAnsi" w:cs="Times New Roman"/>
                <w:bCs/>
                <w:lang w:eastAsia="en-AU"/>
              </w:rPr>
              <w:t>phospholipid syndrome</w:t>
            </w:r>
          </w:p>
        </w:tc>
        <w:tc>
          <w:tcPr>
            <w:tcW w:w="4394" w:type="dxa"/>
          </w:tcPr>
          <w:p w14:paraId="1C9CD9B1" w14:textId="7F68DE31" w:rsidR="00447869" w:rsidRPr="00C92149" w:rsidRDefault="00CE3594" w:rsidP="001C0498">
            <w:pPr>
              <w:spacing w:before="120" w:after="120"/>
              <w:rPr>
                <w:rFonts w:asciiTheme="minorHAnsi" w:hAnsiTheme="minorHAnsi"/>
                <w:szCs w:val="20"/>
              </w:rPr>
            </w:pPr>
            <w:r>
              <w:rPr>
                <w:rFonts w:asciiTheme="minorHAnsi" w:hAnsiTheme="minorHAnsi"/>
                <w:szCs w:val="20"/>
              </w:rPr>
              <w:t xml:space="preserve">No </w:t>
            </w:r>
            <w:r w:rsidR="001C0498">
              <w:rPr>
                <w:rFonts w:asciiTheme="minorHAnsi" w:hAnsiTheme="minorHAnsi"/>
                <w:szCs w:val="20"/>
              </w:rPr>
              <w:t>change</w:t>
            </w:r>
          </w:p>
        </w:tc>
      </w:tr>
      <w:tr w:rsidR="00021243" w:rsidRPr="00447869" w14:paraId="3EA08463" w14:textId="77777777" w:rsidTr="00E42B11">
        <w:tc>
          <w:tcPr>
            <w:tcW w:w="1560" w:type="dxa"/>
            <w:shd w:val="clear" w:color="auto" w:fill="D9D9D9" w:themeFill="background1" w:themeFillShade="D9"/>
          </w:tcPr>
          <w:p w14:paraId="5A0E32AF" w14:textId="1AC1DC27" w:rsidR="00021243" w:rsidRPr="00E42B11" w:rsidRDefault="00021243" w:rsidP="00021243">
            <w:pPr>
              <w:spacing w:before="120" w:after="120"/>
              <w:rPr>
                <w:rFonts w:asciiTheme="minorHAnsi" w:hAnsiTheme="minorHAnsi"/>
                <w:b/>
              </w:rPr>
            </w:pPr>
            <w:r w:rsidRPr="00447869">
              <w:rPr>
                <w:rFonts w:asciiTheme="minorHAnsi" w:hAnsiTheme="minorHAnsi"/>
                <w:b/>
              </w:rPr>
              <w:t>Level of Evidence</w:t>
            </w:r>
          </w:p>
        </w:tc>
        <w:tc>
          <w:tcPr>
            <w:tcW w:w="3686" w:type="dxa"/>
          </w:tcPr>
          <w:p w14:paraId="6DBB4B59" w14:textId="77777777" w:rsidR="00021243" w:rsidRPr="00447869" w:rsidRDefault="00A35C63" w:rsidP="00021243">
            <w:pPr>
              <w:spacing w:before="120" w:after="120"/>
              <w:rPr>
                <w:rFonts w:asciiTheme="minorHAnsi" w:hAnsiTheme="minorHAnsi"/>
              </w:rPr>
            </w:pPr>
            <w:r>
              <w:rPr>
                <w:rFonts w:asciiTheme="minorHAnsi" w:hAnsiTheme="minorHAnsi"/>
                <w:color w:val="000000"/>
              </w:rPr>
              <w:t>I</w:t>
            </w:r>
            <w:r w:rsidRPr="009715A9">
              <w:rPr>
                <w:rFonts w:asciiTheme="minorHAnsi" w:hAnsiTheme="minorHAnsi"/>
                <w:color w:val="000000"/>
              </w:rPr>
              <w:t>nsufficient data (</w:t>
            </w:r>
            <w:hyperlink r:id="rId9" w:anchor="el-4a" w:history="1">
              <w:r w:rsidRPr="009715A9">
                <w:rPr>
                  <w:rStyle w:val="Hyperlink"/>
                  <w:rFonts w:asciiTheme="minorHAnsi" w:hAnsiTheme="minorHAnsi"/>
                </w:rPr>
                <w:t>Category 4a</w:t>
              </w:r>
            </w:hyperlink>
            <w:r w:rsidRPr="009715A9">
              <w:rPr>
                <w:rFonts w:asciiTheme="minorHAnsi" w:hAnsiTheme="minorHAnsi"/>
                <w:color w:val="000000"/>
              </w:rPr>
              <w:t>).</w:t>
            </w:r>
          </w:p>
        </w:tc>
        <w:tc>
          <w:tcPr>
            <w:tcW w:w="4961" w:type="dxa"/>
            <w:gridSpan w:val="3"/>
          </w:tcPr>
          <w:p w14:paraId="45468520" w14:textId="2020136E" w:rsidR="00021243" w:rsidRPr="00447869" w:rsidRDefault="00282F66" w:rsidP="008515FF">
            <w:pPr>
              <w:spacing w:before="120" w:after="120"/>
              <w:rPr>
                <w:rFonts w:asciiTheme="minorHAnsi" w:hAnsiTheme="minorHAnsi"/>
              </w:rPr>
            </w:pPr>
            <w:r>
              <w:t xml:space="preserve"> </w:t>
            </w:r>
            <w:r w:rsidR="00F26DBE">
              <w:t>I</w:t>
            </w:r>
            <w:r w:rsidR="00CE3594">
              <w:t>nsufficient data</w:t>
            </w:r>
            <w:r w:rsidR="00F26DBE">
              <w:t xml:space="preserve"> (Category 4a)</w:t>
            </w:r>
          </w:p>
        </w:tc>
        <w:tc>
          <w:tcPr>
            <w:tcW w:w="4394" w:type="dxa"/>
          </w:tcPr>
          <w:p w14:paraId="3D6DF6C4" w14:textId="77777777" w:rsidR="00021243" w:rsidRPr="009208EC" w:rsidRDefault="00CE3594" w:rsidP="00021243">
            <w:pPr>
              <w:spacing w:before="120" w:after="120"/>
              <w:rPr>
                <w:rFonts w:asciiTheme="minorHAnsi" w:hAnsiTheme="minorHAnsi"/>
                <w:szCs w:val="20"/>
              </w:rPr>
            </w:pPr>
            <w:r>
              <w:rPr>
                <w:rFonts w:asciiTheme="minorHAnsi" w:hAnsiTheme="minorHAnsi"/>
                <w:szCs w:val="20"/>
              </w:rPr>
              <w:t>No change</w:t>
            </w:r>
          </w:p>
        </w:tc>
      </w:tr>
      <w:tr w:rsidR="00AB120F" w:rsidRPr="00447869" w14:paraId="49C2D1DC" w14:textId="77777777" w:rsidTr="00E42B11">
        <w:tc>
          <w:tcPr>
            <w:tcW w:w="1560" w:type="dxa"/>
            <w:shd w:val="clear" w:color="auto" w:fill="D9D9D9" w:themeFill="background1" w:themeFillShade="D9"/>
          </w:tcPr>
          <w:p w14:paraId="2F0392DF" w14:textId="77777777"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14:paraId="372644BC" w14:textId="77777777" w:rsidR="00AB120F" w:rsidRPr="00447869" w:rsidRDefault="00AB120F" w:rsidP="00CE69D0">
            <w:pPr>
              <w:spacing w:before="120" w:after="120"/>
              <w:rPr>
                <w:rFonts w:asciiTheme="minorHAnsi" w:hAnsiTheme="minorHAnsi"/>
              </w:rPr>
            </w:pPr>
          </w:p>
        </w:tc>
        <w:tc>
          <w:tcPr>
            <w:tcW w:w="3686" w:type="dxa"/>
          </w:tcPr>
          <w:p w14:paraId="5227C453" w14:textId="77777777" w:rsidR="00AB120F" w:rsidRPr="00447869" w:rsidRDefault="00AB120F" w:rsidP="00CE69D0">
            <w:pPr>
              <w:spacing w:before="120" w:after="120"/>
              <w:rPr>
                <w:rFonts w:asciiTheme="minorHAnsi" w:hAnsiTheme="minorHAnsi"/>
              </w:rPr>
            </w:pPr>
            <w:r>
              <w:rPr>
                <w:rFonts w:asciiTheme="minorHAnsi" w:hAnsiTheme="minorHAnsi"/>
              </w:rPr>
              <w:t xml:space="preserve"> </w:t>
            </w:r>
          </w:p>
        </w:tc>
        <w:tc>
          <w:tcPr>
            <w:tcW w:w="4961" w:type="dxa"/>
            <w:gridSpan w:val="3"/>
          </w:tcPr>
          <w:p w14:paraId="7B5342DE" w14:textId="208BDFFF" w:rsidR="00A72B00" w:rsidRDefault="00A72B00" w:rsidP="00CE69D0">
            <w:pPr>
              <w:spacing w:before="120" w:after="120"/>
              <w:rPr>
                <w:rFonts w:asciiTheme="minorHAnsi" w:hAnsiTheme="minorHAnsi"/>
              </w:rPr>
            </w:pPr>
            <w:r>
              <w:rPr>
                <w:rFonts w:asciiTheme="minorHAnsi" w:hAnsiTheme="minorHAnsi"/>
              </w:rPr>
              <w:t xml:space="preserve">Given the rarity of this condition, the evidence level is unlikely to extend beyond case reports and series. </w:t>
            </w:r>
          </w:p>
          <w:p w14:paraId="5AA390CC" w14:textId="2D5F15D2" w:rsidR="00AB120F" w:rsidRPr="00447869" w:rsidRDefault="000D7C2A" w:rsidP="00D245AA">
            <w:pPr>
              <w:spacing w:before="120" w:after="120"/>
              <w:rPr>
                <w:rFonts w:asciiTheme="minorHAnsi" w:hAnsiTheme="minorHAnsi"/>
              </w:rPr>
            </w:pPr>
            <w:r w:rsidRPr="000D7C2A">
              <w:rPr>
                <w:rFonts w:asciiTheme="minorHAnsi" w:hAnsiTheme="minorHAnsi"/>
              </w:rPr>
              <w:t>An international registry of patients with Catastrophic APS (</w:t>
            </w:r>
            <w:r w:rsidR="00295EEA">
              <w:rPr>
                <w:rFonts w:asciiTheme="minorHAnsi" w:hAnsiTheme="minorHAnsi"/>
              </w:rPr>
              <w:t>C</w:t>
            </w:r>
            <w:r w:rsidR="00D245AA">
              <w:rPr>
                <w:rFonts w:asciiTheme="minorHAnsi" w:hAnsiTheme="minorHAnsi"/>
              </w:rPr>
              <w:t>ervera</w:t>
            </w:r>
            <w:r w:rsidR="00ED3875">
              <w:rPr>
                <w:rFonts w:asciiTheme="minorHAnsi" w:hAnsiTheme="minorHAnsi"/>
              </w:rPr>
              <w:t xml:space="preserve"> et al, 2016</w:t>
            </w:r>
            <w:r w:rsidR="00295EEA">
              <w:rPr>
                <w:rFonts w:asciiTheme="minorHAnsi" w:hAnsiTheme="minorHAnsi"/>
              </w:rPr>
              <w:t>)</w:t>
            </w:r>
            <w:r w:rsidRPr="000B35BC">
              <w:rPr>
                <w:rFonts w:asciiTheme="minorHAnsi" w:hAnsiTheme="minorHAnsi"/>
                <w:vertAlign w:val="superscript"/>
              </w:rPr>
              <w:t xml:space="preserve"> </w:t>
            </w:r>
            <w:r w:rsidRPr="000D7C2A">
              <w:rPr>
                <w:rFonts w:asciiTheme="minorHAnsi" w:hAnsiTheme="minorHAnsi"/>
              </w:rPr>
              <w:t xml:space="preserve">was established in 2000 by the European Forum on anti-phospholipid antibodies and contains data from around 400 patients. Retrospective data analysis </w:t>
            </w:r>
            <w:r w:rsidRPr="000D7C2A">
              <w:rPr>
                <w:rFonts w:asciiTheme="minorHAnsi" w:hAnsiTheme="minorHAnsi"/>
              </w:rPr>
              <w:lastRenderedPageBreak/>
              <w:t xml:space="preserve">demonstrates that patients treated by plasmapheresis and Ig therapy demonstrate superior clinical outcomes.  </w:t>
            </w:r>
          </w:p>
        </w:tc>
        <w:tc>
          <w:tcPr>
            <w:tcW w:w="4394" w:type="dxa"/>
          </w:tcPr>
          <w:p w14:paraId="4FF6CA7C" w14:textId="15E9D1D7" w:rsidR="00AB120F" w:rsidRPr="00C92149" w:rsidRDefault="00A72B00" w:rsidP="00A72B00">
            <w:pPr>
              <w:spacing w:before="120" w:after="120"/>
              <w:rPr>
                <w:rFonts w:asciiTheme="minorHAnsi" w:hAnsiTheme="minorHAnsi"/>
                <w:szCs w:val="20"/>
              </w:rPr>
            </w:pPr>
            <w:r>
              <w:rPr>
                <w:rFonts w:asciiTheme="minorHAnsi" w:hAnsiTheme="minorHAnsi"/>
                <w:szCs w:val="20"/>
              </w:rPr>
              <w:lastRenderedPageBreak/>
              <w:t xml:space="preserve">Justification for recommendation </w:t>
            </w:r>
            <w:r w:rsidR="00CE3594">
              <w:rPr>
                <w:rFonts w:asciiTheme="minorHAnsi" w:hAnsiTheme="minorHAnsi"/>
                <w:szCs w:val="20"/>
              </w:rPr>
              <w:t xml:space="preserve">added. </w:t>
            </w:r>
          </w:p>
        </w:tc>
      </w:tr>
      <w:tr w:rsidR="00AB120F" w:rsidRPr="00447869" w14:paraId="41D7EA2F" w14:textId="77777777" w:rsidTr="00E42B11">
        <w:tc>
          <w:tcPr>
            <w:tcW w:w="1560" w:type="dxa"/>
            <w:shd w:val="clear" w:color="auto" w:fill="D9D9D9" w:themeFill="background1" w:themeFillShade="D9"/>
          </w:tcPr>
          <w:p w14:paraId="51F9C474" w14:textId="4623DEA6" w:rsidR="00AB120F" w:rsidRPr="004F7E3C" w:rsidRDefault="00AB120F" w:rsidP="004F7E3C">
            <w:pPr>
              <w:rPr>
                <w:b/>
              </w:rPr>
            </w:pPr>
            <w:r w:rsidRPr="004F7E3C">
              <w:rPr>
                <w:b/>
              </w:rPr>
              <w:lastRenderedPageBreak/>
              <w:t>Indication</w:t>
            </w:r>
          </w:p>
        </w:tc>
        <w:tc>
          <w:tcPr>
            <w:tcW w:w="3686" w:type="dxa"/>
          </w:tcPr>
          <w:p w14:paraId="75F286AE" w14:textId="5B4FC6E6" w:rsidR="00AB120F" w:rsidRPr="00447869" w:rsidRDefault="00A35C63" w:rsidP="00CE69D0">
            <w:pPr>
              <w:spacing w:before="120" w:after="120"/>
              <w:rPr>
                <w:rFonts w:asciiTheme="minorHAnsi" w:hAnsiTheme="minorHAnsi"/>
              </w:rPr>
            </w:pPr>
            <w:r w:rsidRPr="00F26236">
              <w:rPr>
                <w:rFonts w:asciiTheme="minorHAnsi" w:hAnsiTheme="minorHAnsi"/>
              </w:rPr>
              <w:t>Intravenous immunoglobulin (</w:t>
            </w:r>
            <w:r w:rsidR="00C82DA6">
              <w:rPr>
                <w:rFonts w:asciiTheme="minorHAnsi" w:hAnsiTheme="minorHAnsi"/>
              </w:rPr>
              <w:t>IVIg</w:t>
            </w:r>
            <w:r w:rsidRPr="00F26236">
              <w:rPr>
                <w:rFonts w:asciiTheme="minorHAnsi" w:hAnsiTheme="minorHAnsi"/>
              </w:rPr>
              <w:t>) may be appropriate therapy for catastrophic antiphospholipid syndrome, a term that describes the accelerated form of antiphospholipid syndrome characterised by widespread small vessel thrombosis leading to multi</w:t>
            </w:r>
            <w:r w:rsidR="00606296">
              <w:rPr>
                <w:rFonts w:asciiTheme="minorHAnsi" w:hAnsiTheme="minorHAnsi"/>
              </w:rPr>
              <w:t>-</w:t>
            </w:r>
            <w:r w:rsidRPr="00F26236">
              <w:rPr>
                <w:rFonts w:asciiTheme="minorHAnsi" w:hAnsiTheme="minorHAnsi"/>
              </w:rPr>
              <w:t>organ failure. It is not indicated for the treatment of antiphospholipid syndrome in other cases. Please see Antiphospholipid syndrome (non-obstetric) in Chapter 8 and Recurrent foetal loss (with or without antiphospholipid syndrome) in Chapter 8.</w:t>
            </w:r>
            <w:r w:rsidR="00AB120F">
              <w:t xml:space="preserve"> </w:t>
            </w:r>
          </w:p>
        </w:tc>
        <w:tc>
          <w:tcPr>
            <w:tcW w:w="4961" w:type="dxa"/>
            <w:gridSpan w:val="3"/>
          </w:tcPr>
          <w:p w14:paraId="7425BAAB" w14:textId="69217353" w:rsidR="00AB120F" w:rsidRPr="00353F94" w:rsidRDefault="00CE3594" w:rsidP="00CE69D0">
            <w:pPr>
              <w:spacing w:before="120" w:after="120"/>
              <w:rPr>
                <w:rFonts w:asciiTheme="minorHAnsi" w:hAnsiTheme="minorHAnsi"/>
                <w:b/>
              </w:rPr>
            </w:pPr>
            <w:r w:rsidRPr="00353F94">
              <w:rPr>
                <w:rFonts w:asciiTheme="minorHAnsi" w:hAnsiTheme="minorHAnsi"/>
                <w:b/>
              </w:rPr>
              <w:t>Confirmed diagnosis of CAPS with clinical deterioration post conclusion of steroid and plasmapheresis therapy or where therapies are contraindicated or plasmapheresis in not available.</w:t>
            </w:r>
          </w:p>
        </w:tc>
        <w:tc>
          <w:tcPr>
            <w:tcW w:w="4394" w:type="dxa"/>
          </w:tcPr>
          <w:p w14:paraId="66771CE4" w14:textId="7521027F" w:rsidR="00AB120F" w:rsidRPr="00CE3594" w:rsidRDefault="003D624C" w:rsidP="00CE69D0">
            <w:pPr>
              <w:spacing w:before="120" w:after="120"/>
              <w:rPr>
                <w:szCs w:val="20"/>
              </w:rPr>
            </w:pPr>
            <w:r w:rsidRPr="00CE3594">
              <w:rPr>
                <w:szCs w:val="20"/>
              </w:rPr>
              <w:t>The</w:t>
            </w:r>
            <w:r>
              <w:rPr>
                <w:szCs w:val="20"/>
              </w:rPr>
              <w:t xml:space="preserve"> Specialist Working Group </w:t>
            </w:r>
            <w:r w:rsidR="00CE3594" w:rsidRPr="00CE3594">
              <w:rPr>
                <w:szCs w:val="20"/>
              </w:rPr>
              <w:t>drafted a more clearly defined indication after consideration of the literature</w:t>
            </w:r>
            <w:r w:rsidR="000B35BC">
              <w:rPr>
                <w:szCs w:val="20"/>
              </w:rPr>
              <w:t xml:space="preserve"> which confirmed the role of plasmapheresis in the management of CAPS</w:t>
            </w:r>
            <w:r w:rsidR="00CE3594" w:rsidRPr="00CE3594">
              <w:rPr>
                <w:szCs w:val="20"/>
              </w:rPr>
              <w:t xml:space="preserve">. </w:t>
            </w:r>
          </w:p>
          <w:p w14:paraId="029C50E4" w14:textId="77777777" w:rsidR="00AB120F" w:rsidRPr="00C92149" w:rsidRDefault="00AB120F" w:rsidP="00CE69D0">
            <w:pPr>
              <w:spacing w:before="120" w:after="120"/>
              <w:rPr>
                <w:rFonts w:asciiTheme="minorHAnsi" w:hAnsiTheme="minorHAnsi"/>
                <w:sz w:val="20"/>
                <w:szCs w:val="20"/>
              </w:rPr>
            </w:pPr>
          </w:p>
        </w:tc>
      </w:tr>
      <w:tr w:rsidR="00BA76E3" w:rsidRPr="00447869" w14:paraId="6117876C" w14:textId="77777777" w:rsidTr="00E42B11">
        <w:tc>
          <w:tcPr>
            <w:tcW w:w="1560" w:type="dxa"/>
            <w:shd w:val="clear" w:color="auto" w:fill="D9D9D9" w:themeFill="background1" w:themeFillShade="D9"/>
          </w:tcPr>
          <w:p w14:paraId="133FDF20" w14:textId="77777777"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14:paraId="145F9523" w14:textId="77777777" w:rsidR="00BA76E3" w:rsidRPr="00447869" w:rsidRDefault="00BA76E3" w:rsidP="00282F66">
            <w:pPr>
              <w:spacing w:before="120" w:after="120"/>
              <w:rPr>
                <w:rFonts w:asciiTheme="minorHAnsi" w:hAnsiTheme="minorHAnsi"/>
              </w:rPr>
            </w:pPr>
          </w:p>
        </w:tc>
        <w:tc>
          <w:tcPr>
            <w:tcW w:w="3686" w:type="dxa"/>
          </w:tcPr>
          <w:p w14:paraId="31E91045" w14:textId="77777777" w:rsidR="008515FF" w:rsidRPr="004A10A2" w:rsidRDefault="00282F66" w:rsidP="008515FF">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p>
          <w:p w14:paraId="5521F584" w14:textId="77777777" w:rsidR="00BA76E3" w:rsidRPr="00447869" w:rsidRDefault="00BA76E3" w:rsidP="008515FF">
            <w:pPr>
              <w:pStyle w:val="heading"/>
              <w:spacing w:before="0" w:beforeAutospacing="0" w:after="225" w:afterAutospacing="0" w:line="293" w:lineRule="atLeast"/>
              <w:rPr>
                <w:rFonts w:asciiTheme="minorHAnsi" w:hAnsiTheme="minorHAnsi"/>
              </w:rPr>
            </w:pPr>
          </w:p>
        </w:tc>
        <w:tc>
          <w:tcPr>
            <w:tcW w:w="4961" w:type="dxa"/>
            <w:gridSpan w:val="3"/>
          </w:tcPr>
          <w:p w14:paraId="12D4A99D" w14:textId="77777777" w:rsidR="000D7C2A" w:rsidRPr="000D7C2A" w:rsidRDefault="000D7C2A" w:rsidP="000D7C2A">
            <w:pPr>
              <w:rPr>
                <w:rFonts w:asciiTheme="minorHAnsi" w:eastAsia="Times New Roman" w:hAnsiTheme="minorHAnsi" w:cs="Times New Roman"/>
                <w:color w:val="000000"/>
                <w:lang w:eastAsia="en-AU"/>
              </w:rPr>
            </w:pPr>
            <w:r w:rsidRPr="000D7C2A">
              <w:rPr>
                <w:rFonts w:asciiTheme="minorHAnsi" w:eastAsia="Times New Roman" w:hAnsiTheme="minorHAnsi" w:cs="Times New Roman"/>
                <w:color w:val="000000"/>
                <w:lang w:eastAsia="en-AU"/>
              </w:rPr>
              <w:t xml:space="preserve">Catastrophic anti-phospholipid syndrome (CAPS) describes a rare accelerated form of anti-phospholipid lipid syndrome characterised by widespread small vessel thrombosis leading to multi-organ failure. </w:t>
            </w:r>
            <w:r w:rsidR="00CE3594" w:rsidRPr="000D7C2A">
              <w:rPr>
                <w:rFonts w:asciiTheme="minorHAnsi" w:eastAsia="Times New Roman" w:hAnsiTheme="minorHAnsi" w:cs="Times New Roman"/>
                <w:color w:val="000000"/>
                <w:lang w:eastAsia="en-AU"/>
              </w:rPr>
              <w:t>Occurring</w:t>
            </w:r>
            <w:r w:rsidRPr="000D7C2A">
              <w:rPr>
                <w:rFonts w:asciiTheme="minorHAnsi" w:eastAsia="Times New Roman" w:hAnsiTheme="minorHAnsi" w:cs="Times New Roman"/>
                <w:color w:val="000000"/>
                <w:lang w:eastAsia="en-AU"/>
              </w:rPr>
              <w:t xml:space="preserve"> twice as often in women than men, diagnosis is demonstrated by clinical evidence of multiple organ involvement within 7 days; histopathological evidence of multiple small vessel occlusions, and laboratory confirmation of the presence of antiphospholipid antibodies (aPL), usually in high titre. Although patients with catastrophic APS represent less than 1% of all </w:t>
            </w:r>
            <w:r w:rsidRPr="000D7C2A">
              <w:rPr>
                <w:rFonts w:asciiTheme="minorHAnsi" w:eastAsia="Times New Roman" w:hAnsiTheme="minorHAnsi" w:cs="Times New Roman"/>
                <w:color w:val="000000"/>
                <w:lang w:eastAsia="en-AU"/>
              </w:rPr>
              <w:lastRenderedPageBreak/>
              <w:t xml:space="preserve">patients with APS, the situation is usually life-threatening with mortality up to 40%. </w:t>
            </w:r>
          </w:p>
          <w:p w14:paraId="037BABA7" w14:textId="40093EEF" w:rsidR="000D7C2A" w:rsidRPr="000D7C2A" w:rsidRDefault="000D7C2A" w:rsidP="000D7C2A">
            <w:pPr>
              <w:rPr>
                <w:rFonts w:asciiTheme="minorHAnsi" w:eastAsia="Times New Roman" w:hAnsiTheme="minorHAnsi" w:cs="Times New Roman"/>
                <w:color w:val="000000"/>
                <w:lang w:eastAsia="en-AU"/>
              </w:rPr>
            </w:pPr>
            <w:r w:rsidRPr="000D7C2A">
              <w:rPr>
                <w:rFonts w:asciiTheme="minorHAnsi" w:eastAsia="Times New Roman" w:hAnsiTheme="minorHAnsi" w:cs="Times New Roman"/>
                <w:color w:val="000000"/>
                <w:lang w:eastAsia="en-AU"/>
              </w:rPr>
              <w:t xml:space="preserve">Optimal treatment uses steroids, </w:t>
            </w:r>
            <w:r w:rsidR="005350D7" w:rsidRPr="000D7C2A">
              <w:rPr>
                <w:rFonts w:asciiTheme="minorHAnsi" w:eastAsia="Times New Roman" w:hAnsiTheme="minorHAnsi" w:cs="Times New Roman"/>
                <w:color w:val="000000"/>
                <w:lang w:eastAsia="en-AU"/>
              </w:rPr>
              <w:t>plasmapheresis</w:t>
            </w:r>
            <w:r w:rsidRPr="000D7C2A">
              <w:rPr>
                <w:rFonts w:asciiTheme="minorHAnsi" w:eastAsia="Times New Roman" w:hAnsiTheme="minorHAnsi" w:cs="Times New Roman"/>
                <w:color w:val="000000"/>
                <w:lang w:eastAsia="en-AU"/>
              </w:rPr>
              <w:t xml:space="preserve"> and anti-coagulation, however where </w:t>
            </w:r>
            <w:r w:rsidR="005350D7" w:rsidRPr="000D7C2A">
              <w:rPr>
                <w:rFonts w:asciiTheme="minorHAnsi" w:eastAsia="Times New Roman" w:hAnsiTheme="minorHAnsi" w:cs="Times New Roman"/>
                <w:color w:val="000000"/>
                <w:lang w:eastAsia="en-AU"/>
              </w:rPr>
              <w:t>plasmapheresis</w:t>
            </w:r>
            <w:r w:rsidRPr="000D7C2A">
              <w:rPr>
                <w:rFonts w:asciiTheme="minorHAnsi" w:eastAsia="Times New Roman" w:hAnsiTheme="minorHAnsi" w:cs="Times New Roman"/>
                <w:color w:val="000000"/>
                <w:lang w:eastAsia="en-AU"/>
              </w:rPr>
              <w:t xml:space="preserve"> in not available or is contraindicated or where there is a deterioration after plasmapheresis, 2 g/kg Ig therapy over 5 days is indicated. </w:t>
            </w:r>
          </w:p>
          <w:p w14:paraId="30F48405" w14:textId="6115277F" w:rsidR="00BA76E3" w:rsidRPr="00F26DBE" w:rsidRDefault="000D7C2A" w:rsidP="005960E7">
            <w:pPr>
              <w:rPr>
                <w:rFonts w:asciiTheme="minorHAnsi" w:hAnsiTheme="minorHAnsi" w:cs="Lucida Grande"/>
                <w:color w:val="000000"/>
              </w:rPr>
            </w:pPr>
            <w:r w:rsidRPr="000D7C2A">
              <w:rPr>
                <w:rFonts w:asciiTheme="minorHAnsi" w:eastAsia="Times New Roman" w:hAnsiTheme="minorHAnsi" w:cs="Times New Roman"/>
                <w:color w:val="000000"/>
                <w:lang w:eastAsia="en-AU"/>
              </w:rPr>
              <w:t xml:space="preserve">Ig therapy is not indicated for chronic recurrent thrombosis, however, Rituximab has been shown to be effective in some individuals.  </w:t>
            </w:r>
          </w:p>
        </w:tc>
        <w:tc>
          <w:tcPr>
            <w:tcW w:w="4394" w:type="dxa"/>
          </w:tcPr>
          <w:p w14:paraId="2F797202" w14:textId="77777777" w:rsidR="00BA76E3" w:rsidRPr="00CE3594" w:rsidRDefault="00CE3594" w:rsidP="00F26DBE">
            <w:pPr>
              <w:spacing w:after="120"/>
              <w:rPr>
                <w:rFonts w:asciiTheme="minorHAnsi" w:hAnsiTheme="minorHAnsi"/>
                <w:szCs w:val="20"/>
              </w:rPr>
            </w:pPr>
            <w:r w:rsidRPr="00CE3594">
              <w:rPr>
                <w:rFonts w:asciiTheme="minorHAnsi" w:hAnsiTheme="minorHAnsi"/>
                <w:szCs w:val="20"/>
              </w:rPr>
              <w:lastRenderedPageBreak/>
              <w:t xml:space="preserve">New text added after consideration of the literature. </w:t>
            </w:r>
          </w:p>
        </w:tc>
      </w:tr>
      <w:tr w:rsidR="00447869" w:rsidRPr="00853117" w14:paraId="52835FAE" w14:textId="77777777" w:rsidTr="00E42B11">
        <w:tc>
          <w:tcPr>
            <w:tcW w:w="1560" w:type="dxa"/>
            <w:shd w:val="clear" w:color="auto" w:fill="D9D9D9" w:themeFill="background1" w:themeFillShade="D9"/>
          </w:tcPr>
          <w:p w14:paraId="5EB32C20"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686" w:type="dxa"/>
            <w:vMerge w:val="restart"/>
          </w:tcPr>
          <w:p w14:paraId="1AB0A510" w14:textId="77777777" w:rsidR="00447869" w:rsidRPr="00447869" w:rsidRDefault="00282F66" w:rsidP="00021243">
            <w:pPr>
              <w:spacing w:before="120" w:after="120"/>
              <w:rPr>
                <w:rFonts w:asciiTheme="minorHAnsi" w:hAnsiTheme="minorHAnsi"/>
                <w:b/>
              </w:rPr>
            </w:pPr>
            <w:r>
              <w:t xml:space="preserve"> </w:t>
            </w:r>
          </w:p>
        </w:tc>
        <w:tc>
          <w:tcPr>
            <w:tcW w:w="1275" w:type="dxa"/>
          </w:tcPr>
          <w:p w14:paraId="05B91DB3" w14:textId="77777777" w:rsidR="00447869" w:rsidRPr="00447869" w:rsidRDefault="000D7C2A" w:rsidP="00021243">
            <w:pPr>
              <w:spacing w:before="120" w:after="120"/>
              <w:rPr>
                <w:rFonts w:asciiTheme="minorHAnsi" w:hAnsiTheme="minorHAnsi"/>
              </w:rPr>
            </w:pPr>
            <w:r>
              <w:rPr>
                <w:rFonts w:asciiTheme="minorHAnsi" w:hAnsiTheme="minorHAnsi"/>
              </w:rPr>
              <w:t>Yes</w:t>
            </w:r>
          </w:p>
        </w:tc>
        <w:tc>
          <w:tcPr>
            <w:tcW w:w="1843" w:type="dxa"/>
            <w:shd w:val="clear" w:color="auto" w:fill="BFBFBF" w:themeFill="background1" w:themeFillShade="BF"/>
          </w:tcPr>
          <w:p w14:paraId="29B50910"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43" w:type="dxa"/>
          </w:tcPr>
          <w:p w14:paraId="212964A9" w14:textId="78914CC4" w:rsidR="00447869" w:rsidRPr="00447869" w:rsidRDefault="00F26DBE" w:rsidP="00021243">
            <w:pPr>
              <w:spacing w:before="120" w:after="120"/>
              <w:rPr>
                <w:rFonts w:asciiTheme="minorHAnsi" w:hAnsiTheme="minorHAnsi"/>
              </w:rPr>
            </w:pPr>
            <w:r>
              <w:rPr>
                <w:rFonts w:asciiTheme="minorHAnsi" w:hAnsiTheme="minorHAnsi"/>
              </w:rPr>
              <w:t>Immunologist</w:t>
            </w:r>
            <w:r w:rsidR="000D7C2A">
              <w:rPr>
                <w:rFonts w:asciiTheme="minorHAnsi" w:hAnsiTheme="minorHAnsi"/>
              </w:rPr>
              <w:t xml:space="preserve"> Haematologist </w:t>
            </w:r>
          </w:p>
        </w:tc>
        <w:tc>
          <w:tcPr>
            <w:tcW w:w="4394" w:type="dxa"/>
            <w:vMerge w:val="restart"/>
          </w:tcPr>
          <w:p w14:paraId="4C076390" w14:textId="70CBE860" w:rsidR="00447869" w:rsidRPr="00C92149" w:rsidRDefault="003D624C" w:rsidP="008515FF">
            <w:pPr>
              <w:spacing w:before="120" w:after="120"/>
              <w:ind w:right="90"/>
              <w:rPr>
                <w:rFonts w:asciiTheme="minorHAnsi" w:hAnsiTheme="minorHAnsi"/>
                <w:szCs w:val="20"/>
              </w:rPr>
            </w:pPr>
            <w:r>
              <w:rPr>
                <w:rFonts w:asciiTheme="minorHAnsi" w:hAnsiTheme="minorHAnsi"/>
                <w:szCs w:val="20"/>
              </w:rPr>
              <w:t xml:space="preserve">The Specialist Working Group </w:t>
            </w:r>
            <w:r w:rsidR="00CE3594">
              <w:rPr>
                <w:rFonts w:asciiTheme="minorHAnsi" w:hAnsiTheme="minorHAnsi"/>
                <w:szCs w:val="20"/>
              </w:rPr>
              <w:t>advised that diagnosis is required by a clinical immunologist or a haematologist</w:t>
            </w:r>
            <w:r w:rsidR="00AB72EC">
              <w:rPr>
                <w:rFonts w:asciiTheme="minorHAnsi" w:hAnsiTheme="minorHAnsi"/>
                <w:szCs w:val="20"/>
              </w:rPr>
              <w:t xml:space="preserve"> as this condition is most commonly managed by these specialists</w:t>
            </w:r>
            <w:r w:rsidR="00CE3594">
              <w:rPr>
                <w:rFonts w:asciiTheme="minorHAnsi" w:hAnsiTheme="minorHAnsi"/>
                <w:szCs w:val="20"/>
              </w:rPr>
              <w:t xml:space="preserve">. </w:t>
            </w:r>
          </w:p>
        </w:tc>
      </w:tr>
      <w:tr w:rsidR="00447869" w:rsidRPr="00853117" w14:paraId="15F63339" w14:textId="77777777" w:rsidTr="00E42B11">
        <w:tc>
          <w:tcPr>
            <w:tcW w:w="1560" w:type="dxa"/>
            <w:shd w:val="clear" w:color="auto" w:fill="D9D9D9" w:themeFill="background1" w:themeFillShade="D9"/>
          </w:tcPr>
          <w:p w14:paraId="14FA8449"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686" w:type="dxa"/>
            <w:vMerge/>
          </w:tcPr>
          <w:p w14:paraId="69B19179" w14:textId="77777777" w:rsidR="00447869" w:rsidRPr="00447869" w:rsidRDefault="00447869" w:rsidP="00021243">
            <w:pPr>
              <w:spacing w:before="120" w:after="120"/>
              <w:rPr>
                <w:rFonts w:asciiTheme="minorHAnsi" w:hAnsiTheme="minorHAnsi"/>
              </w:rPr>
            </w:pPr>
          </w:p>
        </w:tc>
        <w:tc>
          <w:tcPr>
            <w:tcW w:w="1275" w:type="dxa"/>
          </w:tcPr>
          <w:p w14:paraId="5C26CE8F" w14:textId="77777777" w:rsidR="00447869" w:rsidRPr="00447869" w:rsidRDefault="000D7C2A" w:rsidP="00021243">
            <w:pPr>
              <w:spacing w:before="120" w:after="120"/>
              <w:rPr>
                <w:rFonts w:asciiTheme="minorHAnsi" w:hAnsiTheme="minorHAnsi"/>
              </w:rPr>
            </w:pPr>
            <w:r>
              <w:rPr>
                <w:rFonts w:asciiTheme="minorHAnsi" w:hAnsiTheme="minorHAnsi"/>
              </w:rPr>
              <w:t>No</w:t>
            </w:r>
          </w:p>
        </w:tc>
        <w:tc>
          <w:tcPr>
            <w:tcW w:w="1843" w:type="dxa"/>
            <w:shd w:val="clear" w:color="auto" w:fill="BFBFBF" w:themeFill="background1" w:themeFillShade="BF"/>
          </w:tcPr>
          <w:p w14:paraId="57CF2A9A"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43" w:type="dxa"/>
          </w:tcPr>
          <w:p w14:paraId="41A229F1" w14:textId="77777777" w:rsidR="00447869" w:rsidRPr="00447869" w:rsidRDefault="00447869" w:rsidP="00021243">
            <w:pPr>
              <w:spacing w:before="120" w:after="120"/>
              <w:rPr>
                <w:rFonts w:asciiTheme="minorHAnsi" w:hAnsiTheme="minorHAnsi"/>
              </w:rPr>
            </w:pPr>
          </w:p>
        </w:tc>
        <w:tc>
          <w:tcPr>
            <w:tcW w:w="4394" w:type="dxa"/>
            <w:vMerge/>
          </w:tcPr>
          <w:p w14:paraId="052FCDC8" w14:textId="77777777" w:rsidR="00447869" w:rsidRPr="00C92149" w:rsidRDefault="00447869" w:rsidP="00021243">
            <w:pPr>
              <w:spacing w:before="120" w:after="120"/>
              <w:rPr>
                <w:rFonts w:asciiTheme="minorHAnsi" w:hAnsiTheme="minorHAnsi"/>
                <w:szCs w:val="20"/>
              </w:rPr>
            </w:pPr>
          </w:p>
        </w:tc>
      </w:tr>
      <w:tr w:rsidR="00447869" w:rsidRPr="00853117" w14:paraId="7FB66FE3" w14:textId="77777777" w:rsidTr="00E42B11">
        <w:tc>
          <w:tcPr>
            <w:tcW w:w="1560" w:type="dxa"/>
            <w:shd w:val="clear" w:color="auto" w:fill="D9D9D9" w:themeFill="background1" w:themeFillShade="D9"/>
          </w:tcPr>
          <w:p w14:paraId="2117C2B6" w14:textId="77777777" w:rsidR="00447869" w:rsidRPr="00447869" w:rsidRDefault="00447869" w:rsidP="00CE3594">
            <w:pPr>
              <w:spacing w:before="120" w:after="120"/>
              <w:rPr>
                <w:rFonts w:asciiTheme="minorHAnsi" w:hAnsiTheme="minorHAnsi"/>
              </w:rPr>
            </w:pPr>
            <w:r w:rsidRPr="00447869">
              <w:rPr>
                <w:rFonts w:asciiTheme="minorHAnsi" w:hAnsiTheme="minorHAnsi"/>
                <w:b/>
              </w:rPr>
              <w:t>Exclusion Criteria</w:t>
            </w:r>
          </w:p>
        </w:tc>
        <w:tc>
          <w:tcPr>
            <w:tcW w:w="3686" w:type="dxa"/>
          </w:tcPr>
          <w:p w14:paraId="27959204"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4961" w:type="dxa"/>
            <w:gridSpan w:val="3"/>
          </w:tcPr>
          <w:p w14:paraId="300F6B63" w14:textId="77777777" w:rsidR="00447869" w:rsidRPr="00447869" w:rsidRDefault="000D7C2A" w:rsidP="00021243">
            <w:pPr>
              <w:spacing w:before="120" w:after="120"/>
              <w:rPr>
                <w:rFonts w:asciiTheme="minorHAnsi" w:hAnsiTheme="minorHAnsi"/>
                <w:strike/>
              </w:rPr>
            </w:pPr>
            <w:r w:rsidRPr="000D7C2A">
              <w:rPr>
                <w:rFonts w:asciiTheme="minorHAnsi" w:hAnsiTheme="minorHAnsi"/>
              </w:rPr>
              <w:t>Chronic recurrent thrombosis</w:t>
            </w:r>
          </w:p>
        </w:tc>
        <w:tc>
          <w:tcPr>
            <w:tcW w:w="4394" w:type="dxa"/>
          </w:tcPr>
          <w:p w14:paraId="5A9776D3" w14:textId="777BB41E" w:rsidR="00447869" w:rsidRPr="00C92149" w:rsidRDefault="00F31748" w:rsidP="00FA3871">
            <w:pPr>
              <w:spacing w:before="120" w:after="120"/>
              <w:rPr>
                <w:rFonts w:asciiTheme="minorHAnsi" w:hAnsiTheme="minorHAnsi"/>
                <w:szCs w:val="20"/>
              </w:rPr>
            </w:pPr>
            <w:r>
              <w:rPr>
                <w:color w:val="C00000"/>
              </w:rPr>
              <w:t xml:space="preserve"> </w:t>
            </w:r>
            <w:r w:rsidRPr="00606296">
              <w:rPr>
                <w:rFonts w:asciiTheme="minorHAnsi" w:hAnsiTheme="minorHAnsi"/>
                <w:szCs w:val="20"/>
              </w:rPr>
              <w:t xml:space="preserve">‘Chronic recurrent thrombosis’ has been added as an exclusion criteria to distinguish it from CAPS as patients present with thrombosis in both conditions.  Ig is not supported for chronic recurrent thrombosis. </w:t>
            </w:r>
          </w:p>
        </w:tc>
      </w:tr>
      <w:tr w:rsidR="00021243" w:rsidRPr="00853117" w14:paraId="0787EA75" w14:textId="77777777" w:rsidTr="00E42B11">
        <w:tc>
          <w:tcPr>
            <w:tcW w:w="1560" w:type="dxa"/>
            <w:shd w:val="clear" w:color="auto" w:fill="D9D9D9" w:themeFill="background1" w:themeFillShade="D9"/>
          </w:tcPr>
          <w:p w14:paraId="14EF659B" w14:textId="77777777" w:rsidR="00021243" w:rsidRPr="004F7E3C" w:rsidRDefault="00021243" w:rsidP="004F7E3C">
            <w:pPr>
              <w:rPr>
                <w:b/>
              </w:rPr>
            </w:pPr>
            <w:r w:rsidRPr="004F7E3C">
              <w:rPr>
                <w:b/>
              </w:rPr>
              <w:t>Qualifying Criteria</w:t>
            </w:r>
          </w:p>
        </w:tc>
        <w:tc>
          <w:tcPr>
            <w:tcW w:w="3686" w:type="dxa"/>
          </w:tcPr>
          <w:p w14:paraId="3F19B4D0" w14:textId="0047B193" w:rsidR="00A35C63" w:rsidRPr="00F26236" w:rsidRDefault="00A35C63" w:rsidP="00A35C63">
            <w:pPr>
              <w:rPr>
                <w:rFonts w:asciiTheme="minorHAnsi" w:hAnsiTheme="minorHAnsi"/>
              </w:rPr>
            </w:pPr>
            <w:r w:rsidRPr="00F26236">
              <w:rPr>
                <w:rFonts w:asciiTheme="minorHAnsi" w:hAnsiTheme="minorHAnsi"/>
              </w:rPr>
              <w:t xml:space="preserve">A patient will qualify for </w:t>
            </w:r>
            <w:r w:rsidR="00C82DA6">
              <w:rPr>
                <w:rFonts w:asciiTheme="minorHAnsi" w:hAnsiTheme="minorHAnsi"/>
              </w:rPr>
              <w:t>IVIg</w:t>
            </w:r>
            <w:r w:rsidRPr="00F26236">
              <w:rPr>
                <w:rFonts w:asciiTheme="minorHAnsi" w:hAnsiTheme="minorHAnsi"/>
              </w:rPr>
              <w:t xml:space="preserve"> when all the following criteria are met:</w:t>
            </w:r>
          </w:p>
          <w:p w14:paraId="583A70AB" w14:textId="77777777" w:rsidR="00A35C63" w:rsidRPr="00F26236" w:rsidRDefault="00A35C63" w:rsidP="00A35C63">
            <w:pPr>
              <w:rPr>
                <w:rFonts w:asciiTheme="minorHAnsi" w:hAnsiTheme="minorHAnsi"/>
              </w:rPr>
            </w:pPr>
            <w:r w:rsidRPr="00F26236">
              <w:rPr>
                <w:rFonts w:asciiTheme="minorHAnsi" w:hAnsiTheme="minorHAnsi"/>
              </w:rPr>
              <w:t xml:space="preserve"> </w:t>
            </w:r>
          </w:p>
          <w:p w14:paraId="5501398B" w14:textId="77777777" w:rsidR="00A35C63" w:rsidRPr="00F26236" w:rsidRDefault="00A35C63" w:rsidP="00A35C63">
            <w:pPr>
              <w:rPr>
                <w:rFonts w:asciiTheme="minorHAnsi" w:hAnsiTheme="minorHAnsi"/>
              </w:rPr>
            </w:pPr>
            <w:r w:rsidRPr="00F26236">
              <w:rPr>
                <w:rFonts w:asciiTheme="minorHAnsi" w:hAnsiTheme="minorHAnsi"/>
              </w:rPr>
              <w:t>Evidence of rapidly evolving thrombosis involving two or more organs</w:t>
            </w:r>
          </w:p>
          <w:p w14:paraId="2B097924" w14:textId="77777777" w:rsidR="00A35C63" w:rsidRPr="00F26236" w:rsidRDefault="00A35C63" w:rsidP="00A35C63">
            <w:pPr>
              <w:rPr>
                <w:rFonts w:asciiTheme="minorHAnsi" w:hAnsiTheme="minorHAnsi"/>
              </w:rPr>
            </w:pPr>
            <w:r w:rsidRPr="00F26236">
              <w:rPr>
                <w:rFonts w:asciiTheme="minorHAnsi" w:hAnsiTheme="minorHAnsi"/>
              </w:rPr>
              <w:t xml:space="preserve">Unequivocal laboratory evidence of </w:t>
            </w:r>
            <w:r w:rsidRPr="00F26236">
              <w:rPr>
                <w:rFonts w:asciiTheme="minorHAnsi" w:hAnsiTheme="minorHAnsi"/>
              </w:rPr>
              <w:lastRenderedPageBreak/>
              <w:t>antiphospholipid antibodies (lupus anticoagulant and/or anticardiolipin antibodies and/or beta 2 glycoprotein I antibodies)</w:t>
            </w:r>
          </w:p>
          <w:p w14:paraId="25792648" w14:textId="77777777" w:rsidR="00A35C63" w:rsidRPr="00F26236" w:rsidRDefault="00A35C63" w:rsidP="00A35C63">
            <w:pPr>
              <w:rPr>
                <w:rFonts w:asciiTheme="minorHAnsi" w:hAnsiTheme="minorHAnsi"/>
              </w:rPr>
            </w:pPr>
            <w:r w:rsidRPr="00F26236">
              <w:rPr>
                <w:rFonts w:asciiTheme="minorHAnsi" w:hAnsiTheme="minorHAnsi"/>
              </w:rPr>
              <w:t>Other causes of thrombotic microangiopathy are considered less likely.</w:t>
            </w:r>
          </w:p>
          <w:p w14:paraId="33BE6795" w14:textId="77777777" w:rsidR="00A35C63" w:rsidRPr="00F26236" w:rsidRDefault="00A35C63" w:rsidP="00A35C63">
            <w:pPr>
              <w:rPr>
                <w:rFonts w:asciiTheme="minorHAnsi" w:hAnsiTheme="minorHAnsi"/>
              </w:rPr>
            </w:pPr>
          </w:p>
          <w:p w14:paraId="388AD24A" w14:textId="5478C7BD" w:rsidR="00021243" w:rsidRPr="00F26DBE" w:rsidRDefault="00A35C63" w:rsidP="00F26DBE">
            <w:pPr>
              <w:pStyle w:val="Default"/>
              <w:spacing w:before="120" w:after="120"/>
              <w:rPr>
                <w:rFonts w:ascii="Calibri" w:hAnsi="Calibri"/>
                <w:b/>
                <w:sz w:val="22"/>
                <w:szCs w:val="22"/>
              </w:rPr>
            </w:pPr>
            <w:r w:rsidRPr="00F26236">
              <w:rPr>
                <w:rFonts w:asciiTheme="minorHAnsi" w:hAnsiTheme="minorHAnsi"/>
              </w:rPr>
              <w:t xml:space="preserve">Confirmation by histopathology of thrombotic small vessel occlusion in at least one organ or tissue is desirable but should not delay </w:t>
            </w:r>
            <w:r w:rsidR="00C82DA6">
              <w:rPr>
                <w:rFonts w:asciiTheme="minorHAnsi" w:hAnsiTheme="minorHAnsi"/>
              </w:rPr>
              <w:t>IVIg</w:t>
            </w:r>
            <w:r w:rsidRPr="00F26236">
              <w:rPr>
                <w:rFonts w:asciiTheme="minorHAnsi" w:hAnsiTheme="minorHAnsi"/>
              </w:rPr>
              <w:t xml:space="preserve"> therapy if indicated.</w:t>
            </w:r>
          </w:p>
        </w:tc>
        <w:tc>
          <w:tcPr>
            <w:tcW w:w="4961" w:type="dxa"/>
            <w:gridSpan w:val="3"/>
          </w:tcPr>
          <w:p w14:paraId="0CB80898" w14:textId="3D7D72B0" w:rsidR="000D7C2A" w:rsidRPr="00E42B11" w:rsidRDefault="000D7C2A" w:rsidP="00E42B11">
            <w:pPr>
              <w:pStyle w:val="ListParagraph"/>
              <w:numPr>
                <w:ilvl w:val="0"/>
                <w:numId w:val="46"/>
              </w:numPr>
              <w:spacing w:before="100" w:beforeAutospacing="1"/>
              <w:rPr>
                <w:rFonts w:asciiTheme="minorHAnsi" w:hAnsiTheme="minorHAnsi"/>
              </w:rPr>
            </w:pPr>
            <w:r w:rsidRPr="000D7C2A">
              <w:rPr>
                <w:rFonts w:asciiTheme="minorHAnsi" w:hAnsiTheme="minorHAnsi"/>
              </w:rPr>
              <w:lastRenderedPageBreak/>
              <w:t>Rapidly evolving thrombosis involving three or more organs within seven days</w:t>
            </w:r>
          </w:p>
          <w:p w14:paraId="0B2E6E16" w14:textId="77777777" w:rsidR="000D7C2A" w:rsidRPr="000D7C2A" w:rsidRDefault="000D7C2A" w:rsidP="001A286B">
            <w:pPr>
              <w:pStyle w:val="ListParagraph"/>
              <w:spacing w:before="100" w:beforeAutospacing="1"/>
              <w:ind w:left="175"/>
              <w:rPr>
                <w:rFonts w:asciiTheme="minorHAnsi" w:hAnsiTheme="minorHAnsi"/>
              </w:rPr>
            </w:pPr>
            <w:r w:rsidRPr="000D7C2A">
              <w:rPr>
                <w:rFonts w:asciiTheme="minorHAnsi" w:hAnsiTheme="minorHAnsi"/>
              </w:rPr>
              <w:t>AND</w:t>
            </w:r>
          </w:p>
          <w:p w14:paraId="0F4204AF" w14:textId="77777777" w:rsidR="000D7C2A" w:rsidRDefault="000D7C2A" w:rsidP="00CE3594">
            <w:pPr>
              <w:pStyle w:val="ListParagraph"/>
              <w:spacing w:before="100" w:beforeAutospacing="1"/>
              <w:ind w:left="175"/>
              <w:rPr>
                <w:rFonts w:asciiTheme="minorHAnsi" w:hAnsiTheme="minorHAnsi"/>
              </w:rPr>
            </w:pPr>
          </w:p>
          <w:p w14:paraId="7135D7E5" w14:textId="75CEA79C" w:rsidR="000D7C2A" w:rsidRPr="00E42B11" w:rsidRDefault="000D7C2A" w:rsidP="00E42B11">
            <w:pPr>
              <w:pStyle w:val="ListParagraph"/>
              <w:numPr>
                <w:ilvl w:val="0"/>
                <w:numId w:val="46"/>
              </w:numPr>
              <w:spacing w:before="100" w:beforeAutospacing="1"/>
              <w:rPr>
                <w:rFonts w:asciiTheme="minorHAnsi" w:hAnsiTheme="minorHAnsi"/>
              </w:rPr>
            </w:pPr>
            <w:r w:rsidRPr="000D7C2A">
              <w:rPr>
                <w:rFonts w:asciiTheme="minorHAnsi" w:hAnsiTheme="minorHAnsi"/>
              </w:rPr>
              <w:t>Laboratory evidence of antiphospholipid antibodies (at least one of anti</w:t>
            </w:r>
            <w:r w:rsidR="00F6430E">
              <w:rPr>
                <w:rFonts w:asciiTheme="minorHAnsi" w:hAnsiTheme="minorHAnsi"/>
              </w:rPr>
              <w:t>-</w:t>
            </w:r>
            <w:r w:rsidRPr="000D7C2A">
              <w:rPr>
                <w:rFonts w:asciiTheme="minorHAnsi" w:hAnsiTheme="minorHAnsi"/>
              </w:rPr>
              <w:t xml:space="preserve">cardiolipin, beta 2 glycoprotein I antibody or lupus </w:t>
            </w:r>
            <w:r w:rsidRPr="000D7C2A">
              <w:rPr>
                <w:rFonts w:asciiTheme="minorHAnsi" w:hAnsiTheme="minorHAnsi"/>
              </w:rPr>
              <w:lastRenderedPageBreak/>
              <w:t xml:space="preserve">anticoagulant) </w:t>
            </w:r>
          </w:p>
          <w:p w14:paraId="0B7BC5A7" w14:textId="1401062F" w:rsidR="000D7C2A" w:rsidRDefault="000D7C2A" w:rsidP="00CE3594">
            <w:pPr>
              <w:pStyle w:val="ListParagraph"/>
              <w:spacing w:before="100" w:beforeAutospacing="1"/>
              <w:ind w:left="175"/>
              <w:rPr>
                <w:rFonts w:asciiTheme="minorHAnsi" w:hAnsiTheme="minorHAnsi"/>
              </w:rPr>
            </w:pPr>
            <w:r w:rsidRPr="000D7C2A">
              <w:rPr>
                <w:rFonts w:asciiTheme="minorHAnsi" w:hAnsiTheme="minorHAnsi"/>
              </w:rPr>
              <w:t>AND</w:t>
            </w:r>
          </w:p>
          <w:p w14:paraId="71D3C7D7" w14:textId="63306849" w:rsidR="00723EEC" w:rsidRDefault="000D7C2A" w:rsidP="00E42B11">
            <w:pPr>
              <w:pStyle w:val="ListParagraph"/>
              <w:numPr>
                <w:ilvl w:val="0"/>
                <w:numId w:val="46"/>
              </w:numPr>
              <w:spacing w:before="100" w:beforeAutospacing="1"/>
              <w:rPr>
                <w:rFonts w:asciiTheme="minorHAnsi" w:hAnsiTheme="minorHAnsi"/>
              </w:rPr>
            </w:pPr>
            <w:r w:rsidRPr="000D7C2A">
              <w:rPr>
                <w:rFonts w:asciiTheme="minorHAnsi" w:hAnsiTheme="minorHAnsi"/>
              </w:rPr>
              <w:t>Inadequate response to steroid therapy and plasmapheresis or a clinical deterioration post plasmapheresis</w:t>
            </w:r>
          </w:p>
          <w:p w14:paraId="4080EC81" w14:textId="77777777" w:rsidR="00944853" w:rsidRPr="00E42B11" w:rsidRDefault="00944853" w:rsidP="00944853">
            <w:pPr>
              <w:pStyle w:val="ListParagraph"/>
              <w:spacing w:before="100" w:beforeAutospacing="1"/>
              <w:ind w:left="895"/>
              <w:rPr>
                <w:rFonts w:asciiTheme="minorHAnsi" w:hAnsiTheme="minorHAnsi"/>
              </w:rPr>
            </w:pPr>
          </w:p>
          <w:p w14:paraId="60EBD7C2" w14:textId="531DB0C7" w:rsidR="000D7C2A" w:rsidRDefault="000D7C2A" w:rsidP="00E42B11">
            <w:pPr>
              <w:pStyle w:val="ListParagraph"/>
              <w:spacing w:before="100" w:beforeAutospacing="1"/>
              <w:ind w:left="175"/>
              <w:jc w:val="center"/>
              <w:rPr>
                <w:rFonts w:asciiTheme="minorHAnsi" w:hAnsiTheme="minorHAnsi"/>
              </w:rPr>
            </w:pPr>
            <w:r w:rsidRPr="000D7C2A">
              <w:rPr>
                <w:rFonts w:asciiTheme="minorHAnsi" w:hAnsiTheme="minorHAnsi"/>
              </w:rPr>
              <w:t>OR</w:t>
            </w:r>
          </w:p>
          <w:p w14:paraId="22F0132F" w14:textId="77777777" w:rsidR="00944853" w:rsidRPr="000D7C2A" w:rsidRDefault="00944853" w:rsidP="00E42B11">
            <w:pPr>
              <w:pStyle w:val="ListParagraph"/>
              <w:spacing w:before="100" w:beforeAutospacing="1"/>
              <w:ind w:left="175"/>
              <w:jc w:val="center"/>
              <w:rPr>
                <w:rFonts w:asciiTheme="minorHAnsi" w:hAnsiTheme="minorHAnsi"/>
              </w:rPr>
            </w:pPr>
          </w:p>
          <w:p w14:paraId="545C07EA" w14:textId="5D55D1F0" w:rsidR="000D7C2A" w:rsidRDefault="000D7C2A" w:rsidP="00E42B11">
            <w:pPr>
              <w:pStyle w:val="ListParagraph"/>
              <w:numPr>
                <w:ilvl w:val="0"/>
                <w:numId w:val="46"/>
              </w:numPr>
              <w:spacing w:before="100" w:beforeAutospacing="1"/>
              <w:rPr>
                <w:rFonts w:asciiTheme="minorHAnsi" w:hAnsiTheme="minorHAnsi"/>
              </w:rPr>
            </w:pPr>
            <w:r w:rsidRPr="000D7C2A">
              <w:rPr>
                <w:rFonts w:asciiTheme="minorHAnsi" w:hAnsiTheme="minorHAnsi"/>
              </w:rPr>
              <w:t xml:space="preserve">Plasmapheresis is unavailable </w:t>
            </w:r>
          </w:p>
          <w:p w14:paraId="2CFDF74B" w14:textId="77777777" w:rsidR="00944853" w:rsidRPr="00E42B11" w:rsidRDefault="00944853" w:rsidP="00944853">
            <w:pPr>
              <w:pStyle w:val="ListParagraph"/>
              <w:spacing w:before="100" w:beforeAutospacing="1"/>
              <w:ind w:left="895"/>
              <w:rPr>
                <w:rFonts w:asciiTheme="minorHAnsi" w:hAnsiTheme="minorHAnsi"/>
              </w:rPr>
            </w:pPr>
          </w:p>
          <w:p w14:paraId="7E2B3E19" w14:textId="4063D1BC" w:rsidR="000D7C2A" w:rsidRDefault="000D7C2A" w:rsidP="00E42B11">
            <w:pPr>
              <w:pStyle w:val="ListParagraph"/>
              <w:spacing w:before="100" w:beforeAutospacing="1"/>
              <w:ind w:left="175"/>
              <w:jc w:val="center"/>
              <w:rPr>
                <w:rFonts w:asciiTheme="minorHAnsi" w:hAnsiTheme="minorHAnsi"/>
              </w:rPr>
            </w:pPr>
            <w:r w:rsidRPr="000D7C2A">
              <w:rPr>
                <w:rFonts w:asciiTheme="minorHAnsi" w:hAnsiTheme="minorHAnsi"/>
              </w:rPr>
              <w:t>OR</w:t>
            </w:r>
          </w:p>
          <w:p w14:paraId="1DFA35D6" w14:textId="77777777" w:rsidR="00944853" w:rsidRPr="000D7C2A" w:rsidRDefault="00944853" w:rsidP="00E42B11">
            <w:pPr>
              <w:pStyle w:val="ListParagraph"/>
              <w:spacing w:before="100" w:beforeAutospacing="1"/>
              <w:ind w:left="175"/>
              <w:jc w:val="center"/>
              <w:rPr>
                <w:rFonts w:asciiTheme="minorHAnsi" w:hAnsiTheme="minorHAnsi"/>
              </w:rPr>
            </w:pPr>
          </w:p>
          <w:p w14:paraId="2604B756" w14:textId="77777777" w:rsidR="00880ECB" w:rsidRDefault="000D7C2A" w:rsidP="00CE3594">
            <w:pPr>
              <w:pStyle w:val="ListParagraph"/>
              <w:numPr>
                <w:ilvl w:val="0"/>
                <w:numId w:val="46"/>
              </w:numPr>
              <w:spacing w:before="100" w:beforeAutospacing="1"/>
              <w:rPr>
                <w:rFonts w:asciiTheme="minorHAnsi" w:hAnsiTheme="minorHAnsi"/>
              </w:rPr>
            </w:pPr>
            <w:r w:rsidRPr="000D7C2A">
              <w:rPr>
                <w:rFonts w:asciiTheme="minorHAnsi" w:hAnsiTheme="minorHAnsi"/>
              </w:rPr>
              <w:t xml:space="preserve">Plasmapheresis is contraindicated </w:t>
            </w:r>
          </w:p>
          <w:p w14:paraId="5BFA30D4" w14:textId="77777777" w:rsidR="00944853" w:rsidRPr="00CE3594" w:rsidRDefault="00944853" w:rsidP="00944853">
            <w:pPr>
              <w:pStyle w:val="ListParagraph"/>
              <w:spacing w:before="100" w:beforeAutospacing="1"/>
              <w:ind w:left="895"/>
              <w:rPr>
                <w:rFonts w:asciiTheme="minorHAnsi" w:hAnsiTheme="minorHAnsi"/>
              </w:rPr>
            </w:pPr>
          </w:p>
        </w:tc>
        <w:tc>
          <w:tcPr>
            <w:tcW w:w="4394" w:type="dxa"/>
          </w:tcPr>
          <w:p w14:paraId="283016A6" w14:textId="45E3C7AA" w:rsidR="008515FF" w:rsidRPr="00C92149" w:rsidRDefault="00CE3594" w:rsidP="00794552">
            <w:pPr>
              <w:spacing w:after="120"/>
              <w:rPr>
                <w:rFonts w:asciiTheme="minorHAnsi" w:hAnsiTheme="minorHAnsi"/>
                <w:szCs w:val="20"/>
              </w:rPr>
            </w:pPr>
            <w:r>
              <w:rPr>
                <w:szCs w:val="20"/>
              </w:rPr>
              <w:lastRenderedPageBreak/>
              <w:t xml:space="preserve">Qualifying criteria developed and added based on the findings of the literature review and </w:t>
            </w:r>
            <w:r w:rsidR="003D624C">
              <w:rPr>
                <w:rFonts w:asciiTheme="minorHAnsi" w:hAnsiTheme="minorHAnsi"/>
                <w:szCs w:val="20"/>
              </w:rPr>
              <w:t>Specialist Working Group</w:t>
            </w:r>
            <w:r>
              <w:rPr>
                <w:szCs w:val="20"/>
              </w:rPr>
              <w:t xml:space="preserve"> consensus.  The </w:t>
            </w:r>
            <w:r w:rsidR="003D624C">
              <w:rPr>
                <w:rFonts w:asciiTheme="minorHAnsi" w:hAnsiTheme="minorHAnsi"/>
                <w:szCs w:val="20"/>
              </w:rPr>
              <w:t>Specialist Working Group</w:t>
            </w:r>
            <w:r>
              <w:rPr>
                <w:szCs w:val="20"/>
              </w:rPr>
              <w:t xml:space="preserve"> noted that plasmapheresis may not always be accessible. </w:t>
            </w:r>
          </w:p>
          <w:p w14:paraId="57E1ABC8" w14:textId="77777777" w:rsidR="00880ECB" w:rsidRPr="00C92149" w:rsidRDefault="00880ECB" w:rsidP="003A1F9D">
            <w:pPr>
              <w:spacing w:before="120" w:after="120"/>
              <w:rPr>
                <w:rFonts w:asciiTheme="minorHAnsi" w:hAnsiTheme="minorHAnsi"/>
                <w:szCs w:val="20"/>
              </w:rPr>
            </w:pPr>
          </w:p>
        </w:tc>
      </w:tr>
      <w:tr w:rsidR="00021243" w:rsidRPr="00853117" w14:paraId="732353B0" w14:textId="77777777" w:rsidTr="00E42B11">
        <w:tc>
          <w:tcPr>
            <w:tcW w:w="1560" w:type="dxa"/>
            <w:shd w:val="clear" w:color="auto" w:fill="D9D9D9" w:themeFill="background1" w:themeFillShade="D9"/>
          </w:tcPr>
          <w:p w14:paraId="043A32F8" w14:textId="77777777" w:rsidR="00021243" w:rsidRPr="004F7E3C" w:rsidRDefault="00021243" w:rsidP="004F7E3C">
            <w:pPr>
              <w:rPr>
                <w:b/>
              </w:rPr>
            </w:pPr>
            <w:r w:rsidRPr="004F7E3C">
              <w:rPr>
                <w:b/>
              </w:rPr>
              <w:lastRenderedPageBreak/>
              <w:t>Review Criteria</w:t>
            </w:r>
          </w:p>
        </w:tc>
        <w:tc>
          <w:tcPr>
            <w:tcW w:w="3686" w:type="dxa"/>
          </w:tcPr>
          <w:p w14:paraId="47C20ADE" w14:textId="77777777"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14:paraId="7A27B804" w14:textId="77777777" w:rsidR="00021243" w:rsidRPr="00447869" w:rsidRDefault="00021243" w:rsidP="00021243">
            <w:pPr>
              <w:spacing w:before="120" w:after="120"/>
              <w:rPr>
                <w:rFonts w:asciiTheme="minorHAnsi" w:hAnsiTheme="minorHAnsi"/>
              </w:rPr>
            </w:pPr>
          </w:p>
        </w:tc>
        <w:tc>
          <w:tcPr>
            <w:tcW w:w="4961" w:type="dxa"/>
            <w:gridSpan w:val="3"/>
          </w:tcPr>
          <w:p w14:paraId="1934A228" w14:textId="2D5E0D2B" w:rsidR="000D7C2A" w:rsidRDefault="000D7C2A" w:rsidP="000D7C2A">
            <w:pPr>
              <w:spacing w:before="120" w:after="120"/>
            </w:pPr>
            <w:r>
              <w:t xml:space="preserve">Review is not mandated for this condition. </w:t>
            </w:r>
          </w:p>
          <w:p w14:paraId="133D88F0" w14:textId="77777777" w:rsidR="000D7C2A" w:rsidRDefault="000D7C2A" w:rsidP="000D7C2A">
            <w:pPr>
              <w:spacing w:before="120" w:after="120"/>
            </w:pPr>
            <w:r>
              <w:t xml:space="preserve">Clinical effectiveness of Ig therapy can be demonstrated by: </w:t>
            </w:r>
          </w:p>
          <w:p w14:paraId="3ABB1FB4" w14:textId="77777777" w:rsidR="000D7C2A" w:rsidRDefault="000D7C2A" w:rsidP="000D7C2A">
            <w:pPr>
              <w:spacing w:before="120" w:after="120"/>
            </w:pPr>
            <w:r>
              <w:t>•</w:t>
            </w:r>
            <w:r>
              <w:tab/>
              <w:t>Survival</w:t>
            </w:r>
          </w:p>
          <w:p w14:paraId="37BBFEEE" w14:textId="77777777" w:rsidR="00021243" w:rsidRPr="00447869" w:rsidRDefault="00021243" w:rsidP="00676D0B">
            <w:pPr>
              <w:spacing w:before="120" w:after="120"/>
              <w:rPr>
                <w:rFonts w:asciiTheme="minorHAnsi" w:hAnsiTheme="minorHAnsi"/>
              </w:rPr>
            </w:pPr>
          </w:p>
        </w:tc>
        <w:tc>
          <w:tcPr>
            <w:tcW w:w="4394" w:type="dxa"/>
          </w:tcPr>
          <w:p w14:paraId="0FB11B65" w14:textId="0292F843" w:rsidR="00F6430E" w:rsidRDefault="00A72B00" w:rsidP="00021243">
            <w:pPr>
              <w:spacing w:before="120" w:after="120"/>
              <w:rPr>
                <w:szCs w:val="20"/>
              </w:rPr>
            </w:pPr>
            <w:r>
              <w:rPr>
                <w:szCs w:val="20"/>
              </w:rPr>
              <w:t xml:space="preserve">Given that </w:t>
            </w:r>
            <w:r w:rsidR="00F6430E">
              <w:rPr>
                <w:szCs w:val="20"/>
              </w:rPr>
              <w:t>Ig</w:t>
            </w:r>
            <w:r>
              <w:rPr>
                <w:szCs w:val="20"/>
              </w:rPr>
              <w:t xml:space="preserve"> is one-off treatment</w:t>
            </w:r>
            <w:r w:rsidR="00F6430E">
              <w:rPr>
                <w:szCs w:val="20"/>
              </w:rPr>
              <w:t xml:space="preserve"> in this setting</w:t>
            </w:r>
            <w:r>
              <w:rPr>
                <w:szCs w:val="20"/>
              </w:rPr>
              <w:t>, review is not mandated, however outcome measures have been defined</w:t>
            </w:r>
            <w:r w:rsidR="00F6430E">
              <w:rPr>
                <w:szCs w:val="20"/>
              </w:rPr>
              <w:t xml:space="preserve"> including requesting a description of the clinical response to Ig therapy</w:t>
            </w:r>
            <w:r>
              <w:rPr>
                <w:szCs w:val="20"/>
              </w:rPr>
              <w:t xml:space="preserve">. </w:t>
            </w:r>
          </w:p>
          <w:p w14:paraId="3A65EC34" w14:textId="5FB9DBE8" w:rsidR="00BD6C2D" w:rsidRPr="00F26DBE" w:rsidRDefault="003D624C" w:rsidP="003D624C">
            <w:pPr>
              <w:spacing w:before="120" w:after="120"/>
            </w:pPr>
            <w:r>
              <w:rPr>
                <w:rFonts w:asciiTheme="minorHAnsi" w:hAnsiTheme="minorHAnsi"/>
              </w:rPr>
              <w:t xml:space="preserve">The </w:t>
            </w:r>
            <w:r>
              <w:rPr>
                <w:rFonts w:asciiTheme="minorHAnsi" w:hAnsiTheme="minorHAnsi"/>
                <w:szCs w:val="20"/>
              </w:rPr>
              <w:t xml:space="preserve">Specialist Working Group </w:t>
            </w:r>
            <w:r w:rsidR="00A72B00" w:rsidRPr="00A72B00">
              <w:rPr>
                <w:rFonts w:asciiTheme="minorHAnsi" w:hAnsiTheme="minorHAnsi"/>
              </w:rPr>
              <w:t>d</w:t>
            </w:r>
            <w:r w:rsidR="00A72B00" w:rsidRPr="004F7E3C">
              <w:rPr>
                <w:rFonts w:asciiTheme="minorHAnsi" w:hAnsiTheme="minorHAnsi"/>
              </w:rPr>
              <w:t xml:space="preserve">iscussion noted the importance of gathering data on rare conditions to inform the future review of </w:t>
            </w:r>
            <w:r w:rsidR="00CD1B3A" w:rsidRPr="004F7E3C">
              <w:rPr>
                <w:rFonts w:asciiTheme="minorHAnsi" w:hAnsiTheme="minorHAnsi"/>
                <w:i/>
              </w:rPr>
              <w:t>the C</w:t>
            </w:r>
            <w:r w:rsidR="00A72B00" w:rsidRPr="004F7E3C">
              <w:rPr>
                <w:rFonts w:asciiTheme="minorHAnsi" w:hAnsiTheme="minorHAnsi"/>
                <w:i/>
              </w:rPr>
              <w:t>riteria</w:t>
            </w:r>
            <w:r w:rsidR="00A72B00" w:rsidRPr="004F7E3C">
              <w:rPr>
                <w:rFonts w:asciiTheme="minorHAnsi" w:hAnsiTheme="minorHAnsi"/>
              </w:rPr>
              <w:t xml:space="preserve"> for access and to demonstrate </w:t>
            </w:r>
            <w:r w:rsidR="0039730C">
              <w:rPr>
                <w:rFonts w:asciiTheme="minorHAnsi" w:hAnsiTheme="minorHAnsi"/>
              </w:rPr>
              <w:t xml:space="preserve">the </w:t>
            </w:r>
            <w:r w:rsidR="00A72B00" w:rsidRPr="004F7E3C">
              <w:rPr>
                <w:rFonts w:asciiTheme="minorHAnsi" w:hAnsiTheme="minorHAnsi"/>
              </w:rPr>
              <w:t>benefit</w:t>
            </w:r>
            <w:r w:rsidR="00A72B00">
              <w:rPr>
                <w:rFonts w:asciiTheme="minorHAnsi" w:hAnsiTheme="minorHAnsi"/>
              </w:rPr>
              <w:t xml:space="preserve"> of Ig therapy</w:t>
            </w:r>
            <w:r w:rsidR="00A72B00" w:rsidRPr="004F7E3C">
              <w:rPr>
                <w:rFonts w:asciiTheme="minorHAnsi" w:hAnsiTheme="minorHAnsi"/>
              </w:rPr>
              <w:t xml:space="preserve">. It was noted that it would be useful to dedicate resources to the follow-up of prescribers to record outcome information </w:t>
            </w:r>
            <w:r w:rsidR="0039730C">
              <w:rPr>
                <w:rFonts w:asciiTheme="minorHAnsi" w:hAnsiTheme="minorHAnsi"/>
              </w:rPr>
              <w:t>in future.</w:t>
            </w:r>
            <w:r w:rsidR="00A72B00">
              <w:rPr>
                <w:rFonts w:asciiTheme="minorHAnsi" w:hAnsiTheme="minorHAnsi"/>
              </w:rPr>
              <w:t xml:space="preserve"> </w:t>
            </w:r>
            <w:r w:rsidR="00A72B00" w:rsidRPr="004F7E3C">
              <w:rPr>
                <w:rFonts w:asciiTheme="minorHAnsi" w:hAnsiTheme="minorHAnsi"/>
              </w:rPr>
              <w:t xml:space="preserve"> </w:t>
            </w:r>
          </w:p>
        </w:tc>
      </w:tr>
      <w:tr w:rsidR="00021243" w:rsidRPr="00853117" w14:paraId="2D743709" w14:textId="77777777" w:rsidTr="00E42B11">
        <w:tc>
          <w:tcPr>
            <w:tcW w:w="1560" w:type="dxa"/>
            <w:shd w:val="clear" w:color="auto" w:fill="D9D9D9" w:themeFill="background1" w:themeFillShade="D9"/>
          </w:tcPr>
          <w:p w14:paraId="2D4E8E1C" w14:textId="77777777" w:rsidR="00021243" w:rsidRPr="004F7E3C" w:rsidRDefault="00021243" w:rsidP="004F7E3C">
            <w:pPr>
              <w:rPr>
                <w:b/>
              </w:rPr>
            </w:pPr>
            <w:r w:rsidRPr="004F7E3C">
              <w:rPr>
                <w:b/>
              </w:rPr>
              <w:t>Dose</w:t>
            </w:r>
          </w:p>
        </w:tc>
        <w:tc>
          <w:tcPr>
            <w:tcW w:w="3686" w:type="dxa"/>
          </w:tcPr>
          <w:p w14:paraId="39AE95B9" w14:textId="0B6AC60A" w:rsidR="00A35C63" w:rsidRPr="00F26236" w:rsidRDefault="00A35C63" w:rsidP="00F26DBE">
            <w:pPr>
              <w:tabs>
                <w:tab w:val="left" w:pos="991"/>
              </w:tabs>
              <w:spacing w:after="240" w:line="20" w:lineRule="atLeast"/>
              <w:rPr>
                <w:rFonts w:asciiTheme="minorHAnsi" w:eastAsia="Times New Roman" w:hAnsiTheme="minorHAnsi" w:cs="Times New Roman"/>
                <w:color w:val="000000"/>
                <w:lang w:eastAsia="en-AU"/>
              </w:rPr>
            </w:pPr>
            <w:r w:rsidRPr="00F26236">
              <w:rPr>
                <w:rFonts w:asciiTheme="minorHAnsi" w:eastAsia="Times New Roman" w:hAnsiTheme="minorHAnsi" w:cs="Times New Roman"/>
                <w:color w:val="000000"/>
                <w:lang w:eastAsia="en-AU"/>
              </w:rPr>
              <w:t xml:space="preserve">Confirmation by histopathology of thrombotic small vessel occlusion in at </w:t>
            </w:r>
            <w:r w:rsidRPr="00F26236">
              <w:rPr>
                <w:rFonts w:asciiTheme="minorHAnsi" w:eastAsia="Times New Roman" w:hAnsiTheme="minorHAnsi" w:cs="Times New Roman"/>
                <w:color w:val="000000"/>
                <w:lang w:eastAsia="en-AU"/>
              </w:rPr>
              <w:lastRenderedPageBreak/>
              <w:t xml:space="preserve">least one organ or tissue is desirable but should not delay </w:t>
            </w:r>
            <w:r w:rsidR="00C82DA6">
              <w:rPr>
                <w:rFonts w:asciiTheme="minorHAnsi" w:eastAsia="Times New Roman" w:hAnsiTheme="minorHAnsi" w:cs="Times New Roman"/>
                <w:color w:val="000000"/>
                <w:lang w:eastAsia="en-AU"/>
              </w:rPr>
              <w:t>IVIg</w:t>
            </w:r>
            <w:r w:rsidRPr="00F26236">
              <w:rPr>
                <w:rFonts w:asciiTheme="minorHAnsi" w:eastAsia="Times New Roman" w:hAnsiTheme="minorHAnsi" w:cs="Times New Roman"/>
                <w:color w:val="000000"/>
                <w:lang w:eastAsia="en-AU"/>
              </w:rPr>
              <w:t xml:space="preserve"> therapy if indicated.</w:t>
            </w:r>
          </w:p>
          <w:p w14:paraId="79B2B3F8" w14:textId="0FE04012" w:rsidR="00A35C63" w:rsidRPr="00F26236" w:rsidRDefault="00A35C63" w:rsidP="00A35C63">
            <w:pPr>
              <w:tabs>
                <w:tab w:val="left" w:pos="991"/>
              </w:tabs>
              <w:spacing w:after="240" w:line="20" w:lineRule="atLeast"/>
              <w:rPr>
                <w:rFonts w:asciiTheme="minorHAnsi" w:eastAsia="Times New Roman" w:hAnsiTheme="minorHAnsi" w:cs="Times New Roman"/>
                <w:color w:val="000000"/>
                <w:lang w:eastAsia="en-AU"/>
              </w:rPr>
            </w:pPr>
            <w:r w:rsidRPr="00F26236">
              <w:rPr>
                <w:rFonts w:asciiTheme="minorHAnsi" w:eastAsia="Times New Roman" w:hAnsiTheme="minorHAnsi" w:cs="Times New Roman"/>
                <w:color w:val="000000"/>
                <w:lang w:eastAsia="en-AU"/>
              </w:rPr>
              <w:t xml:space="preserve">A single treatment is usually sufficient, based on a dose of 2 g/kg divided over 2–5 days. The potential pro-thrombotic effect of </w:t>
            </w:r>
            <w:r w:rsidR="00C82DA6">
              <w:rPr>
                <w:rFonts w:asciiTheme="minorHAnsi" w:eastAsia="Times New Roman" w:hAnsiTheme="minorHAnsi" w:cs="Times New Roman"/>
                <w:color w:val="000000"/>
                <w:lang w:eastAsia="en-AU"/>
              </w:rPr>
              <w:t>IVIg</w:t>
            </w:r>
            <w:r w:rsidRPr="00F26236">
              <w:rPr>
                <w:rFonts w:asciiTheme="minorHAnsi" w:eastAsia="Times New Roman" w:hAnsiTheme="minorHAnsi" w:cs="Times New Roman"/>
                <w:color w:val="000000"/>
                <w:lang w:eastAsia="en-AU"/>
              </w:rPr>
              <w:t xml:space="preserve"> should be considered in this indication.</w:t>
            </w:r>
          </w:p>
          <w:p w14:paraId="57AF2229" w14:textId="77777777" w:rsidR="00A35C63" w:rsidRPr="00F26236" w:rsidRDefault="00A35C63" w:rsidP="00A35C63">
            <w:pPr>
              <w:tabs>
                <w:tab w:val="left" w:pos="991"/>
              </w:tabs>
              <w:spacing w:after="240" w:line="20" w:lineRule="atLeast"/>
              <w:rPr>
                <w:rFonts w:asciiTheme="minorHAnsi" w:eastAsia="Times New Roman" w:hAnsiTheme="minorHAnsi" w:cs="Times New Roman"/>
                <w:color w:val="000000"/>
                <w:lang w:eastAsia="en-AU"/>
              </w:rPr>
            </w:pPr>
            <w:r w:rsidRPr="00F26236">
              <w:rPr>
                <w:rFonts w:asciiTheme="minorHAnsi" w:eastAsia="Times New Roman" w:hAnsiTheme="minorHAnsi" w:cs="Times New Roman"/>
                <w:color w:val="000000"/>
                <w:lang w:eastAsia="en-AU"/>
              </w:rPr>
              <w:t>Refer to the current product information sheet for further information.</w:t>
            </w:r>
          </w:p>
          <w:p w14:paraId="74BE5C7A" w14:textId="77777777" w:rsidR="00021243" w:rsidRPr="00447869" w:rsidRDefault="00A35C63" w:rsidP="00A35C63">
            <w:pPr>
              <w:spacing w:before="120" w:after="120"/>
              <w:rPr>
                <w:rFonts w:asciiTheme="minorHAnsi" w:hAnsiTheme="minorHAnsi"/>
                <w:b/>
              </w:rPr>
            </w:pPr>
            <w:r w:rsidRPr="00F26236">
              <w:rPr>
                <w:rFonts w:asciiTheme="minorHAnsi" w:eastAsia="Times New Roman" w:hAnsiTheme="minorHAnsi" w:cs="Times New Roman"/>
                <w:color w:val="000000"/>
                <w:lang w:eastAsia="en-AU"/>
              </w:rPr>
              <w:t>The aim should be to use the lowest dose possible that achieves the appropriate clinical outcome for each patient.</w:t>
            </w:r>
          </w:p>
        </w:tc>
        <w:tc>
          <w:tcPr>
            <w:tcW w:w="4961" w:type="dxa"/>
            <w:gridSpan w:val="3"/>
          </w:tcPr>
          <w:p w14:paraId="665874C8" w14:textId="33D4D9F4" w:rsidR="000D7C2A" w:rsidRPr="00F26DBE" w:rsidRDefault="000D7C2A" w:rsidP="00F26DBE">
            <w:pPr>
              <w:spacing w:after="120"/>
              <w:rPr>
                <w:rFonts w:asciiTheme="minorHAnsi" w:hAnsiTheme="minorHAnsi"/>
                <w:b/>
              </w:rPr>
            </w:pPr>
            <w:r w:rsidRPr="00F26DBE">
              <w:rPr>
                <w:rFonts w:asciiTheme="minorHAnsi" w:hAnsiTheme="minorHAnsi"/>
                <w:b/>
              </w:rPr>
              <w:lastRenderedPageBreak/>
              <w:t xml:space="preserve">Induction </w:t>
            </w:r>
            <w:r w:rsidR="00ED3875">
              <w:rPr>
                <w:rFonts w:asciiTheme="minorHAnsi" w:hAnsiTheme="minorHAnsi"/>
                <w:b/>
              </w:rPr>
              <w:t xml:space="preserve">Dose </w:t>
            </w:r>
            <w:r w:rsidRPr="00F26DBE">
              <w:rPr>
                <w:rFonts w:asciiTheme="minorHAnsi" w:hAnsiTheme="minorHAnsi"/>
                <w:b/>
              </w:rPr>
              <w:t xml:space="preserve">– </w:t>
            </w:r>
            <w:r w:rsidRPr="00353F94">
              <w:rPr>
                <w:rFonts w:asciiTheme="minorHAnsi" w:hAnsiTheme="minorHAnsi"/>
              </w:rPr>
              <w:t>2 g/kg over 5 days</w:t>
            </w:r>
          </w:p>
          <w:p w14:paraId="065BCCE6" w14:textId="1AF5D89B" w:rsidR="000D7C2A" w:rsidRDefault="000D7C2A" w:rsidP="006A7FF5">
            <w:pPr>
              <w:tabs>
                <w:tab w:val="left" w:pos="3784"/>
              </w:tabs>
              <w:rPr>
                <w:rFonts w:asciiTheme="minorHAnsi" w:hAnsiTheme="minorHAnsi"/>
              </w:rPr>
            </w:pPr>
            <w:r w:rsidRPr="000D7C2A">
              <w:rPr>
                <w:rFonts w:asciiTheme="minorHAnsi" w:hAnsiTheme="minorHAnsi"/>
              </w:rPr>
              <w:tab/>
            </w:r>
            <w:r w:rsidRPr="000D7C2A">
              <w:rPr>
                <w:rFonts w:asciiTheme="minorHAnsi" w:hAnsiTheme="minorHAnsi"/>
              </w:rPr>
              <w:tab/>
              <w:t xml:space="preserve"> </w:t>
            </w:r>
            <w:r w:rsidRPr="000D7C2A">
              <w:rPr>
                <w:rFonts w:asciiTheme="minorHAnsi" w:hAnsiTheme="minorHAnsi"/>
              </w:rPr>
              <w:lastRenderedPageBreak/>
              <w:t xml:space="preserve">Retreatment may be required in early relapse or occurrence of a second episode. </w:t>
            </w:r>
          </w:p>
          <w:p w14:paraId="2F00469A" w14:textId="77777777" w:rsidR="005350D7" w:rsidRPr="000D7C2A" w:rsidRDefault="005350D7" w:rsidP="006A7FF5">
            <w:pPr>
              <w:tabs>
                <w:tab w:val="left" w:pos="3784"/>
              </w:tabs>
              <w:rPr>
                <w:rFonts w:asciiTheme="minorHAnsi" w:hAnsiTheme="minorHAnsi"/>
              </w:rPr>
            </w:pPr>
          </w:p>
          <w:p w14:paraId="0AD03E44" w14:textId="77777777" w:rsidR="000D7C2A" w:rsidRPr="000D7C2A" w:rsidRDefault="000D7C2A" w:rsidP="000D7C2A">
            <w:pPr>
              <w:spacing w:before="120" w:after="120"/>
              <w:rPr>
                <w:rFonts w:asciiTheme="minorHAnsi" w:hAnsiTheme="minorHAnsi"/>
              </w:rPr>
            </w:pPr>
            <w:r w:rsidRPr="000D7C2A">
              <w:rPr>
                <w:rFonts w:asciiTheme="minorHAnsi" w:hAnsiTheme="minorHAnsi"/>
              </w:rPr>
              <w:t>The aim should be to use the lowest dose possible that achieves the appropriate clinical outcome for each patient.</w:t>
            </w:r>
          </w:p>
          <w:p w14:paraId="71F17EB5" w14:textId="68ACEC0E" w:rsidR="00021243" w:rsidRPr="009D210A" w:rsidRDefault="000D7C2A" w:rsidP="000D7C2A">
            <w:pPr>
              <w:spacing w:before="120" w:after="120"/>
              <w:rPr>
                <w:rFonts w:asciiTheme="minorHAnsi" w:hAnsiTheme="minorHAnsi"/>
                <w:b/>
              </w:rPr>
            </w:pPr>
            <w:r w:rsidRPr="009D210A">
              <w:rPr>
                <w:rFonts w:asciiTheme="minorHAnsi" w:hAnsiTheme="minorHAnsi"/>
                <w:b/>
              </w:rPr>
              <w:t>Refer to the current product information sheet for further information</w:t>
            </w:r>
            <w:r w:rsidR="00F26DBE" w:rsidRPr="009D210A">
              <w:rPr>
                <w:rFonts w:asciiTheme="minorHAnsi" w:hAnsiTheme="minorHAnsi"/>
                <w:b/>
              </w:rPr>
              <w:t xml:space="preserve"> on dose, administration and contraindications</w:t>
            </w:r>
            <w:r w:rsidRPr="009D210A">
              <w:rPr>
                <w:rFonts w:asciiTheme="minorHAnsi" w:hAnsiTheme="minorHAnsi"/>
                <w:b/>
              </w:rPr>
              <w:t>.</w:t>
            </w:r>
          </w:p>
        </w:tc>
        <w:tc>
          <w:tcPr>
            <w:tcW w:w="4394" w:type="dxa"/>
          </w:tcPr>
          <w:p w14:paraId="5896D4F2" w14:textId="648374D8" w:rsidR="00021243" w:rsidRPr="00C92149" w:rsidRDefault="006A7FF5" w:rsidP="00F26DBE">
            <w:pPr>
              <w:spacing w:after="120"/>
              <w:rPr>
                <w:rFonts w:asciiTheme="minorHAnsi" w:hAnsiTheme="minorHAnsi"/>
                <w:szCs w:val="20"/>
              </w:rPr>
            </w:pPr>
            <w:r>
              <w:rPr>
                <w:rFonts w:asciiTheme="minorHAnsi" w:hAnsiTheme="minorHAnsi"/>
                <w:szCs w:val="20"/>
              </w:rPr>
              <w:lastRenderedPageBreak/>
              <w:t xml:space="preserve">Dosing </w:t>
            </w:r>
            <w:r w:rsidR="005350D7">
              <w:rPr>
                <w:rFonts w:asciiTheme="minorHAnsi" w:hAnsiTheme="minorHAnsi"/>
                <w:szCs w:val="20"/>
              </w:rPr>
              <w:t xml:space="preserve">is unchanged and advice is provided regarding when re-treatment is indicated. </w:t>
            </w:r>
            <w:r>
              <w:rPr>
                <w:rFonts w:asciiTheme="minorHAnsi" w:hAnsiTheme="minorHAnsi"/>
                <w:szCs w:val="20"/>
              </w:rPr>
              <w:t>.</w:t>
            </w:r>
          </w:p>
        </w:tc>
      </w:tr>
    </w:tbl>
    <w:p w14:paraId="5E70160E" w14:textId="77777777" w:rsidR="00447869" w:rsidRDefault="00447869" w:rsidP="00447869">
      <w:pPr>
        <w:spacing w:before="120" w:after="120"/>
        <w:rPr>
          <w:rFonts w:asciiTheme="minorHAnsi" w:hAnsiTheme="minorHAnsi"/>
        </w:rPr>
        <w:sectPr w:rsidR="00447869" w:rsidSect="00447869">
          <w:headerReference w:type="default" r:id="rId10"/>
          <w:footerReference w:type="default" r:id="rId11"/>
          <w:headerReference w:type="first" r:id="rId12"/>
          <w:footerReference w:type="first" r:id="rId13"/>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00C77110" w14:textId="77777777" w:rsidTr="008612AB">
        <w:tc>
          <w:tcPr>
            <w:tcW w:w="14601" w:type="dxa"/>
            <w:shd w:val="clear" w:color="auto" w:fill="B8CCE4" w:themeFill="accent1" w:themeFillTint="66"/>
          </w:tcPr>
          <w:p w14:paraId="0D0B035C" w14:textId="77777777"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14:paraId="7A8CA5F4" w14:textId="6F77317B" w:rsidR="00901F76" w:rsidRPr="00021243" w:rsidRDefault="00901F76" w:rsidP="00F31748">
            <w:pPr>
              <w:spacing w:before="120" w:after="120"/>
              <w:jc w:val="center"/>
              <w:rPr>
                <w:rFonts w:asciiTheme="minorHAnsi" w:hAnsiTheme="minorHAnsi"/>
                <w:b/>
              </w:rPr>
            </w:pPr>
            <w:r>
              <w:rPr>
                <w:rFonts w:asciiTheme="minorHAnsi" w:hAnsiTheme="minorHAnsi"/>
                <w:b/>
              </w:rPr>
              <w:t>(</w:t>
            </w:r>
            <w:r w:rsidR="002C6F71">
              <w:rPr>
                <w:rFonts w:asciiTheme="minorHAnsi" w:hAnsiTheme="minorHAnsi"/>
                <w:b/>
              </w:rPr>
              <w:t xml:space="preserve">most </w:t>
            </w:r>
            <w:r>
              <w:rPr>
                <w:rFonts w:asciiTheme="minorHAnsi" w:hAnsiTheme="minorHAnsi"/>
                <w:b/>
              </w:rPr>
              <w:t>recent update</w:t>
            </w:r>
            <w:r w:rsidR="002C6F71">
              <w:rPr>
                <w:rFonts w:asciiTheme="minorHAnsi" w:hAnsiTheme="minorHAnsi"/>
                <w:b/>
              </w:rPr>
              <w:t>:</w:t>
            </w:r>
            <w:r>
              <w:rPr>
                <w:rFonts w:asciiTheme="minorHAnsi" w:hAnsiTheme="minorHAnsi"/>
                <w:b/>
              </w:rPr>
              <w:t xml:space="preserve"> </w:t>
            </w:r>
            <w:r w:rsidR="00F31748">
              <w:rPr>
                <w:rFonts w:asciiTheme="minorHAnsi" w:hAnsiTheme="minorHAnsi"/>
                <w:b/>
              </w:rPr>
              <w:t xml:space="preserve">April </w:t>
            </w:r>
            <w:r w:rsidR="00935659">
              <w:rPr>
                <w:rFonts w:asciiTheme="minorHAnsi" w:hAnsiTheme="minorHAnsi"/>
                <w:b/>
              </w:rPr>
              <w:t>2016</w:t>
            </w:r>
            <w:r>
              <w:rPr>
                <w:rFonts w:asciiTheme="minorHAnsi" w:hAnsiTheme="minorHAnsi"/>
                <w:b/>
              </w:rPr>
              <w:t>)</w:t>
            </w:r>
          </w:p>
        </w:tc>
      </w:tr>
      <w:tr w:rsidR="008612AB" w:rsidRPr="00255740" w14:paraId="556E9C9F" w14:textId="77777777" w:rsidTr="00E42B11">
        <w:trPr>
          <w:trHeight w:val="2259"/>
        </w:trPr>
        <w:tc>
          <w:tcPr>
            <w:tcW w:w="14601" w:type="dxa"/>
          </w:tcPr>
          <w:p w14:paraId="7E492A2E" w14:textId="645D3C3B" w:rsidR="000D7C2A" w:rsidRDefault="00ED3875" w:rsidP="00EC2F60">
            <w:pPr>
              <w:spacing w:line="20" w:lineRule="atLeast"/>
              <w:rPr>
                <w:rFonts w:asciiTheme="minorHAnsi" w:eastAsia="Times New Roman" w:hAnsiTheme="minorHAnsi" w:cstheme="minorHAnsi"/>
                <w:color w:val="000000"/>
              </w:rPr>
            </w:pPr>
            <w:r w:rsidRPr="00E35701">
              <w:rPr>
                <w:rFonts w:asciiTheme="minorHAnsi" w:eastAsia="Times New Roman" w:hAnsiTheme="minorHAnsi" w:cstheme="minorHAnsi"/>
                <w:color w:val="000000"/>
              </w:rPr>
              <w:t>Asherson</w:t>
            </w:r>
            <w:r w:rsidR="000D7C2A" w:rsidRPr="00E35701">
              <w:rPr>
                <w:rFonts w:asciiTheme="minorHAnsi" w:eastAsia="Times New Roman" w:hAnsiTheme="minorHAnsi" w:cstheme="minorHAnsi"/>
                <w:color w:val="000000"/>
              </w:rPr>
              <w:t xml:space="preserve"> RA</w:t>
            </w:r>
            <w:r w:rsidR="00E35701" w:rsidRPr="00E35701">
              <w:rPr>
                <w:rFonts w:asciiTheme="minorHAnsi" w:eastAsia="Times New Roman" w:hAnsiTheme="minorHAnsi" w:cstheme="minorHAnsi"/>
                <w:color w:val="000000"/>
              </w:rPr>
              <w:t>, Cervera</w:t>
            </w:r>
            <w:r w:rsidR="000D7C2A" w:rsidRPr="00E35701">
              <w:rPr>
                <w:rFonts w:asciiTheme="minorHAnsi" w:eastAsia="Times New Roman" w:hAnsiTheme="minorHAnsi" w:cstheme="minorHAnsi"/>
                <w:color w:val="000000"/>
              </w:rPr>
              <w:t xml:space="preserve"> R</w:t>
            </w:r>
            <w:r w:rsidR="00E35701" w:rsidRPr="00E35701">
              <w:rPr>
                <w:rFonts w:asciiTheme="minorHAnsi" w:eastAsia="Times New Roman" w:hAnsiTheme="minorHAnsi" w:cstheme="minorHAnsi"/>
                <w:color w:val="000000"/>
              </w:rPr>
              <w:t>, de Groot</w:t>
            </w:r>
            <w:r w:rsidR="000D7C2A" w:rsidRPr="00E35701">
              <w:rPr>
                <w:rFonts w:asciiTheme="minorHAnsi" w:eastAsia="Times New Roman" w:hAnsiTheme="minorHAnsi" w:cstheme="minorHAnsi"/>
                <w:color w:val="000000"/>
              </w:rPr>
              <w:t xml:space="preserve"> PG</w:t>
            </w:r>
            <w:r w:rsidR="00E35701" w:rsidRPr="00E35701">
              <w:rPr>
                <w:rFonts w:asciiTheme="minorHAnsi" w:eastAsia="Times New Roman" w:hAnsiTheme="minorHAnsi" w:cstheme="minorHAnsi"/>
                <w:color w:val="000000"/>
              </w:rPr>
              <w:t>, Erkan</w:t>
            </w:r>
            <w:r w:rsidR="000D7C2A" w:rsidRPr="00E35701">
              <w:rPr>
                <w:rFonts w:asciiTheme="minorHAnsi" w:eastAsia="Times New Roman" w:hAnsiTheme="minorHAnsi" w:cstheme="minorHAnsi"/>
                <w:color w:val="000000"/>
              </w:rPr>
              <w:t xml:space="preserve"> D</w:t>
            </w:r>
            <w:r w:rsidR="00E35701" w:rsidRPr="00E35701">
              <w:rPr>
                <w:rFonts w:asciiTheme="minorHAnsi" w:eastAsia="Times New Roman" w:hAnsiTheme="minorHAnsi" w:cstheme="minorHAnsi"/>
                <w:color w:val="000000"/>
              </w:rPr>
              <w:t>, Boff</w:t>
            </w:r>
            <w:r w:rsidR="008C1FE9" w:rsidRPr="00E35701">
              <w:rPr>
                <w:rFonts w:asciiTheme="minorHAnsi" w:eastAsia="Times New Roman" w:hAnsiTheme="minorHAnsi" w:cstheme="minorHAnsi"/>
                <w:color w:val="000000"/>
              </w:rPr>
              <w:t>, M</w:t>
            </w:r>
            <w:r w:rsidR="000D7C2A" w:rsidRPr="00E35701">
              <w:rPr>
                <w:rFonts w:asciiTheme="minorHAnsi" w:eastAsia="Times New Roman" w:hAnsiTheme="minorHAnsi" w:cstheme="minorHAnsi"/>
                <w:color w:val="000000"/>
              </w:rPr>
              <w:t>C</w:t>
            </w:r>
            <w:r w:rsidR="00E35701" w:rsidRPr="00E35701">
              <w:rPr>
                <w:rFonts w:asciiTheme="minorHAnsi" w:eastAsia="Times New Roman" w:hAnsiTheme="minorHAnsi" w:cstheme="minorHAnsi"/>
                <w:color w:val="000000"/>
              </w:rPr>
              <w:t>, Piette</w:t>
            </w:r>
            <w:r w:rsidR="008C1FE9" w:rsidRPr="00E35701">
              <w:rPr>
                <w:rFonts w:asciiTheme="minorHAnsi" w:eastAsia="Times New Roman" w:hAnsiTheme="minorHAnsi" w:cstheme="minorHAnsi"/>
                <w:color w:val="000000"/>
              </w:rPr>
              <w:t xml:space="preserve"> J</w:t>
            </w:r>
            <w:r w:rsidR="000D7C2A" w:rsidRPr="00E35701">
              <w:rPr>
                <w:rFonts w:asciiTheme="minorHAnsi" w:eastAsia="Times New Roman" w:hAnsiTheme="minorHAnsi" w:cstheme="minorHAnsi"/>
                <w:color w:val="000000"/>
              </w:rPr>
              <w:t>C</w:t>
            </w:r>
            <w:r w:rsidR="00E35701" w:rsidRPr="00E35701">
              <w:rPr>
                <w:rFonts w:asciiTheme="minorHAnsi" w:eastAsia="Times New Roman" w:hAnsiTheme="minorHAnsi" w:cstheme="minorHAnsi"/>
                <w:color w:val="000000"/>
              </w:rPr>
              <w:t>, Khamashta MA</w:t>
            </w:r>
            <w:r w:rsidR="008C1FE9" w:rsidRPr="00E35701">
              <w:rPr>
                <w:rFonts w:asciiTheme="minorHAnsi" w:eastAsia="Times New Roman" w:hAnsiTheme="minorHAnsi" w:cstheme="minorHAnsi"/>
                <w:color w:val="000000"/>
              </w:rPr>
              <w:t xml:space="preserve"> </w:t>
            </w:r>
            <w:r w:rsidR="00E35701">
              <w:rPr>
                <w:rFonts w:asciiTheme="minorHAnsi" w:eastAsia="Times New Roman" w:hAnsiTheme="minorHAnsi" w:cstheme="minorHAnsi"/>
                <w:color w:val="000000"/>
              </w:rPr>
              <w:t>and Shoenfeld Y</w:t>
            </w:r>
            <w:r w:rsidR="008C1FE9">
              <w:rPr>
                <w:rFonts w:asciiTheme="minorHAnsi" w:eastAsia="Times New Roman" w:hAnsiTheme="minorHAnsi" w:cstheme="minorHAnsi"/>
                <w:color w:val="000000"/>
              </w:rPr>
              <w:t xml:space="preserve"> (</w:t>
            </w:r>
            <w:r w:rsidR="000D7C2A" w:rsidRPr="000D7C2A">
              <w:rPr>
                <w:rFonts w:asciiTheme="minorHAnsi" w:eastAsia="Times New Roman" w:hAnsiTheme="minorHAnsi" w:cstheme="minorHAnsi"/>
                <w:color w:val="000000"/>
              </w:rPr>
              <w:t>2003</w:t>
            </w:r>
            <w:r w:rsidR="00E35701">
              <w:rPr>
                <w:rFonts w:asciiTheme="minorHAnsi" w:eastAsia="Times New Roman" w:hAnsiTheme="minorHAnsi" w:cstheme="minorHAnsi"/>
                <w:color w:val="000000"/>
              </w:rPr>
              <w:t>)</w:t>
            </w:r>
            <w:r w:rsidR="008C1FE9">
              <w:rPr>
                <w:rFonts w:asciiTheme="minorHAnsi" w:eastAsia="Times New Roman" w:hAnsiTheme="minorHAnsi" w:cstheme="minorHAnsi"/>
                <w:color w:val="000000"/>
              </w:rPr>
              <w:t xml:space="preserve"> </w:t>
            </w:r>
            <w:r w:rsidR="000D7C2A" w:rsidRPr="000D7C2A">
              <w:rPr>
                <w:rFonts w:asciiTheme="minorHAnsi" w:eastAsia="Times New Roman" w:hAnsiTheme="minorHAnsi" w:cstheme="minorHAnsi"/>
                <w:color w:val="000000"/>
              </w:rPr>
              <w:t>Catastrophic antiphospholipid syndrome: international consensus statement on classification cri</w:t>
            </w:r>
            <w:r w:rsidR="008C1FE9">
              <w:rPr>
                <w:rFonts w:asciiTheme="minorHAnsi" w:eastAsia="Times New Roman" w:hAnsiTheme="minorHAnsi" w:cstheme="minorHAnsi"/>
                <w:color w:val="000000"/>
              </w:rPr>
              <w:t xml:space="preserve">teria and treatment guidelines. </w:t>
            </w:r>
            <w:r w:rsidR="000D7C2A" w:rsidRPr="000D7C2A">
              <w:rPr>
                <w:rFonts w:asciiTheme="minorHAnsi" w:eastAsia="Times New Roman" w:hAnsiTheme="minorHAnsi" w:cstheme="minorHAnsi"/>
                <w:color w:val="000000"/>
              </w:rPr>
              <w:t xml:space="preserve"> </w:t>
            </w:r>
            <w:r w:rsidR="000D7C2A" w:rsidRPr="008C1FE9">
              <w:rPr>
                <w:rFonts w:asciiTheme="minorHAnsi" w:eastAsia="Times New Roman" w:hAnsiTheme="minorHAnsi" w:cstheme="minorHAnsi"/>
                <w:i/>
                <w:color w:val="000000"/>
              </w:rPr>
              <w:t>Lupus</w:t>
            </w:r>
            <w:r w:rsidR="008C1FE9">
              <w:rPr>
                <w:rFonts w:asciiTheme="minorHAnsi" w:eastAsia="Times New Roman" w:hAnsiTheme="minorHAnsi" w:cstheme="minorHAnsi"/>
                <w:color w:val="000000"/>
              </w:rPr>
              <w:t xml:space="preserve">, </w:t>
            </w:r>
            <w:r w:rsidR="00E35701">
              <w:rPr>
                <w:rFonts w:asciiTheme="minorHAnsi" w:eastAsia="Times New Roman" w:hAnsiTheme="minorHAnsi" w:cstheme="minorHAnsi"/>
                <w:color w:val="000000"/>
              </w:rPr>
              <w:t>12:</w:t>
            </w:r>
            <w:r w:rsidR="000D7C2A" w:rsidRPr="000D7C2A">
              <w:rPr>
                <w:rFonts w:asciiTheme="minorHAnsi" w:eastAsia="Times New Roman" w:hAnsiTheme="minorHAnsi" w:cstheme="minorHAnsi"/>
                <w:color w:val="000000"/>
              </w:rPr>
              <w:t>530–34.</w:t>
            </w:r>
          </w:p>
          <w:p w14:paraId="188248C6" w14:textId="7E1C09CD" w:rsidR="00E35701" w:rsidRDefault="00723B86" w:rsidP="00EC2F60">
            <w:pPr>
              <w:spacing w:line="20" w:lineRule="atLeast"/>
              <w:rPr>
                <w:rStyle w:val="Hyperlink"/>
                <w:rFonts w:asciiTheme="minorHAnsi" w:eastAsia="Times New Roman" w:hAnsiTheme="minorHAnsi" w:cstheme="minorHAnsi"/>
                <w:color w:val="808080" w:themeColor="background1" w:themeShade="80"/>
              </w:rPr>
            </w:pPr>
            <w:hyperlink r:id="rId14" w:history="1">
              <w:r w:rsidR="00E35701" w:rsidRPr="00E35701">
                <w:rPr>
                  <w:rStyle w:val="Hyperlink"/>
                  <w:rFonts w:asciiTheme="minorHAnsi" w:eastAsia="Times New Roman" w:hAnsiTheme="minorHAnsi" w:cstheme="minorHAnsi"/>
                  <w:color w:val="808080" w:themeColor="background1" w:themeShade="80"/>
                </w:rPr>
                <w:t>https://www.ncbi.nlm.nih.gov/pubmed/12892393</w:t>
              </w:r>
            </w:hyperlink>
          </w:p>
          <w:p w14:paraId="6BD4B1A4" w14:textId="77777777" w:rsidR="00EC2F60" w:rsidRPr="00E35701" w:rsidRDefault="00EC2F60" w:rsidP="00EC2F60">
            <w:pPr>
              <w:spacing w:line="20" w:lineRule="atLeast"/>
              <w:rPr>
                <w:rFonts w:asciiTheme="minorHAnsi" w:eastAsia="Times New Roman" w:hAnsiTheme="minorHAnsi" w:cstheme="minorHAnsi"/>
                <w:color w:val="808080" w:themeColor="background1" w:themeShade="80"/>
              </w:rPr>
            </w:pPr>
          </w:p>
          <w:p w14:paraId="57E42FD4" w14:textId="626BBC84" w:rsidR="000D7C2A" w:rsidRDefault="000D7C2A" w:rsidP="00EC2F60">
            <w:pPr>
              <w:spacing w:line="20" w:lineRule="atLeast"/>
              <w:rPr>
                <w:rFonts w:asciiTheme="minorHAnsi" w:eastAsia="Times New Roman" w:hAnsiTheme="minorHAnsi" w:cstheme="minorHAnsi"/>
                <w:color w:val="000000"/>
              </w:rPr>
            </w:pPr>
            <w:r w:rsidRPr="000D7C2A">
              <w:rPr>
                <w:rFonts w:asciiTheme="minorHAnsi" w:eastAsia="Times New Roman" w:hAnsiTheme="minorHAnsi" w:cstheme="minorHAnsi"/>
                <w:color w:val="000000"/>
              </w:rPr>
              <w:t xml:space="preserve">Asherson RA, </w:t>
            </w:r>
            <w:r w:rsidR="00E35701">
              <w:rPr>
                <w:rFonts w:asciiTheme="minorHAnsi" w:eastAsia="Times New Roman" w:hAnsiTheme="minorHAnsi" w:cstheme="minorHAnsi"/>
                <w:color w:val="000000"/>
              </w:rPr>
              <w:t>Espinosa G, Cervera R, Font J and Reverter JC</w:t>
            </w:r>
            <w:r w:rsidR="008C1FE9">
              <w:rPr>
                <w:rFonts w:asciiTheme="minorHAnsi" w:eastAsia="Times New Roman" w:hAnsiTheme="minorHAnsi" w:cstheme="minorHAnsi"/>
                <w:color w:val="000000"/>
              </w:rPr>
              <w:t xml:space="preserve"> (</w:t>
            </w:r>
            <w:r w:rsidRPr="000D7C2A">
              <w:rPr>
                <w:rFonts w:asciiTheme="minorHAnsi" w:eastAsia="Times New Roman" w:hAnsiTheme="minorHAnsi" w:cstheme="minorHAnsi"/>
                <w:color w:val="000000"/>
              </w:rPr>
              <w:t>2002</w:t>
            </w:r>
            <w:r w:rsidR="00E35701">
              <w:rPr>
                <w:rFonts w:asciiTheme="minorHAnsi" w:eastAsia="Times New Roman" w:hAnsiTheme="minorHAnsi" w:cstheme="minorHAnsi"/>
                <w:color w:val="000000"/>
              </w:rPr>
              <w:t>)</w:t>
            </w:r>
            <w:r w:rsidR="008C1FE9">
              <w:rPr>
                <w:rFonts w:asciiTheme="minorHAnsi" w:eastAsia="Times New Roman" w:hAnsiTheme="minorHAnsi" w:cstheme="minorHAnsi"/>
                <w:color w:val="000000"/>
              </w:rPr>
              <w:t xml:space="preserve"> </w:t>
            </w:r>
            <w:r w:rsidRPr="000D7C2A">
              <w:rPr>
                <w:rFonts w:asciiTheme="minorHAnsi" w:eastAsia="Times New Roman" w:hAnsiTheme="minorHAnsi" w:cstheme="minorHAnsi"/>
                <w:color w:val="000000"/>
              </w:rPr>
              <w:t>Catastrophic antiphospholipid syndrome: proposed guidelin</w:t>
            </w:r>
            <w:r w:rsidR="008C1FE9">
              <w:rPr>
                <w:rFonts w:asciiTheme="minorHAnsi" w:eastAsia="Times New Roman" w:hAnsiTheme="minorHAnsi" w:cstheme="minorHAnsi"/>
                <w:color w:val="000000"/>
              </w:rPr>
              <w:t xml:space="preserve">es for diagnosis and treatment. </w:t>
            </w:r>
            <w:r w:rsidRPr="000D7C2A">
              <w:rPr>
                <w:rFonts w:asciiTheme="minorHAnsi" w:eastAsia="Times New Roman" w:hAnsiTheme="minorHAnsi" w:cstheme="minorHAnsi"/>
                <w:color w:val="000000"/>
              </w:rPr>
              <w:t xml:space="preserve"> </w:t>
            </w:r>
            <w:r w:rsidRPr="008C1FE9">
              <w:rPr>
                <w:rFonts w:asciiTheme="minorHAnsi" w:eastAsia="Times New Roman" w:hAnsiTheme="minorHAnsi" w:cstheme="minorHAnsi"/>
                <w:i/>
                <w:color w:val="000000"/>
              </w:rPr>
              <w:t>Journal of Clinical Rheumatology</w:t>
            </w:r>
            <w:r w:rsidR="008C1FE9">
              <w:rPr>
                <w:rFonts w:asciiTheme="minorHAnsi" w:eastAsia="Times New Roman" w:hAnsiTheme="minorHAnsi" w:cstheme="minorHAnsi"/>
                <w:color w:val="000000"/>
              </w:rPr>
              <w:t>, 8(</w:t>
            </w:r>
            <w:r w:rsidRPr="000D7C2A">
              <w:rPr>
                <w:rFonts w:asciiTheme="minorHAnsi" w:eastAsia="Times New Roman" w:hAnsiTheme="minorHAnsi" w:cstheme="minorHAnsi"/>
                <w:color w:val="000000"/>
              </w:rPr>
              <w:t>3</w:t>
            </w:r>
            <w:r w:rsidR="008C1FE9">
              <w:rPr>
                <w:rFonts w:asciiTheme="minorHAnsi" w:eastAsia="Times New Roman" w:hAnsiTheme="minorHAnsi" w:cstheme="minorHAnsi"/>
                <w:color w:val="000000"/>
              </w:rPr>
              <w:t>)</w:t>
            </w:r>
            <w:r w:rsidR="00E35701">
              <w:rPr>
                <w:rFonts w:asciiTheme="minorHAnsi" w:eastAsia="Times New Roman" w:hAnsiTheme="minorHAnsi" w:cstheme="minorHAnsi"/>
                <w:color w:val="000000"/>
              </w:rPr>
              <w:t>:</w:t>
            </w:r>
            <w:r w:rsidRPr="000D7C2A">
              <w:rPr>
                <w:rFonts w:asciiTheme="minorHAnsi" w:eastAsia="Times New Roman" w:hAnsiTheme="minorHAnsi" w:cstheme="minorHAnsi"/>
                <w:color w:val="000000"/>
              </w:rPr>
              <w:t>157–65.</w:t>
            </w:r>
          </w:p>
          <w:p w14:paraId="6AE95F83" w14:textId="1CEB6FEC" w:rsidR="00E35701" w:rsidRDefault="00723B86" w:rsidP="00EC2F60">
            <w:pPr>
              <w:spacing w:line="20" w:lineRule="atLeast"/>
              <w:rPr>
                <w:rStyle w:val="Hyperlink"/>
                <w:rFonts w:asciiTheme="minorHAnsi" w:eastAsia="Times New Roman" w:hAnsiTheme="minorHAnsi" w:cstheme="minorHAnsi"/>
                <w:color w:val="808080" w:themeColor="background1" w:themeShade="80"/>
              </w:rPr>
            </w:pPr>
            <w:hyperlink r:id="rId15" w:history="1">
              <w:r w:rsidR="00E35701" w:rsidRPr="00E35701">
                <w:rPr>
                  <w:rStyle w:val="Hyperlink"/>
                  <w:rFonts w:asciiTheme="minorHAnsi" w:eastAsia="Times New Roman" w:hAnsiTheme="minorHAnsi" w:cstheme="minorHAnsi"/>
                  <w:color w:val="808080" w:themeColor="background1" w:themeShade="80"/>
                </w:rPr>
                <w:t>https://www.ncbi.nlm.nih.gov/pubmed/17041346</w:t>
              </w:r>
            </w:hyperlink>
          </w:p>
          <w:p w14:paraId="59AFCB33" w14:textId="77777777" w:rsidR="00EC2F60" w:rsidRPr="00E35701" w:rsidRDefault="00EC2F60" w:rsidP="00EC2F60">
            <w:pPr>
              <w:spacing w:line="20" w:lineRule="atLeast"/>
              <w:rPr>
                <w:rFonts w:asciiTheme="minorHAnsi" w:eastAsia="Times New Roman" w:hAnsiTheme="minorHAnsi" w:cstheme="minorHAnsi"/>
                <w:color w:val="808080" w:themeColor="background1" w:themeShade="80"/>
              </w:rPr>
            </w:pPr>
          </w:p>
          <w:p w14:paraId="680BCCD4" w14:textId="093F0C62" w:rsidR="000D7C2A" w:rsidRDefault="00E35701" w:rsidP="00EC2F60">
            <w:pPr>
              <w:spacing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Berman</w:t>
            </w:r>
            <w:r w:rsidR="000D7C2A" w:rsidRPr="000D7C2A">
              <w:rPr>
                <w:rFonts w:asciiTheme="minorHAnsi" w:eastAsia="Times New Roman" w:hAnsiTheme="minorHAnsi" w:cstheme="minorHAnsi"/>
                <w:color w:val="000000"/>
              </w:rPr>
              <w:t xml:space="preserve"> H</w:t>
            </w:r>
            <w:r>
              <w:rPr>
                <w:rFonts w:asciiTheme="minorHAnsi" w:eastAsia="Times New Roman" w:hAnsiTheme="minorHAnsi" w:cstheme="minorHAnsi"/>
                <w:color w:val="000000"/>
              </w:rPr>
              <w:t>, Rodriguez-Pinto</w:t>
            </w:r>
            <w:r w:rsidR="000D7C2A" w:rsidRPr="000D7C2A">
              <w:rPr>
                <w:rFonts w:asciiTheme="minorHAnsi" w:eastAsia="Times New Roman" w:hAnsiTheme="minorHAnsi" w:cstheme="minorHAnsi"/>
                <w:color w:val="000000"/>
              </w:rPr>
              <w:t xml:space="preserve"> I</w:t>
            </w:r>
            <w:r>
              <w:rPr>
                <w:rFonts w:asciiTheme="minorHAnsi" w:eastAsia="Times New Roman" w:hAnsiTheme="minorHAnsi" w:cstheme="minorHAnsi"/>
                <w:color w:val="000000"/>
              </w:rPr>
              <w:t>, Cervera R, Morel N</w:t>
            </w:r>
            <w:r w:rsidR="008C1FE9">
              <w:rPr>
                <w:rFonts w:asciiTheme="minorHAnsi" w:eastAsia="Times New Roman" w:hAnsiTheme="minorHAnsi" w:cstheme="minorHAnsi"/>
                <w:color w:val="000000"/>
              </w:rPr>
              <w:t>, Costedoat-Chalumeau</w:t>
            </w:r>
            <w:r>
              <w:rPr>
                <w:rFonts w:asciiTheme="minorHAnsi" w:eastAsia="Times New Roman" w:hAnsiTheme="minorHAnsi" w:cstheme="minorHAnsi"/>
                <w:color w:val="000000"/>
              </w:rPr>
              <w:t xml:space="preserve"> N</w:t>
            </w:r>
            <w:r w:rsidR="00A30295">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Erkan D</w:t>
            </w:r>
            <w:r w:rsidR="00A30295">
              <w:rPr>
                <w:rFonts w:asciiTheme="minorHAnsi" w:eastAsia="Times New Roman" w:hAnsiTheme="minorHAnsi" w:cstheme="minorHAnsi"/>
                <w:color w:val="000000"/>
              </w:rPr>
              <w:t xml:space="preserve">, et al </w:t>
            </w:r>
            <w:r>
              <w:rPr>
                <w:rFonts w:asciiTheme="minorHAnsi" w:eastAsia="Times New Roman" w:hAnsiTheme="minorHAnsi" w:cstheme="minorHAnsi"/>
                <w:color w:val="000000"/>
              </w:rPr>
              <w:t>(2013)</w:t>
            </w:r>
            <w:r w:rsidR="008C1FE9">
              <w:rPr>
                <w:rFonts w:asciiTheme="minorHAnsi" w:eastAsia="Times New Roman" w:hAnsiTheme="minorHAnsi" w:cstheme="minorHAnsi"/>
                <w:color w:val="000000"/>
              </w:rPr>
              <w:t xml:space="preserve"> </w:t>
            </w:r>
            <w:r w:rsidR="000D7C2A" w:rsidRPr="000D7C2A">
              <w:rPr>
                <w:rFonts w:asciiTheme="minorHAnsi" w:eastAsia="Times New Roman" w:hAnsiTheme="minorHAnsi" w:cstheme="minorHAnsi"/>
                <w:color w:val="000000"/>
              </w:rPr>
              <w:t>Rituximab use in catastrophic antiphospholipid syndrom</w:t>
            </w:r>
            <w:r w:rsidR="0039730C">
              <w:rPr>
                <w:rFonts w:asciiTheme="minorHAnsi" w:eastAsia="Times New Roman" w:hAnsiTheme="minorHAnsi" w:cstheme="minorHAnsi"/>
                <w:color w:val="000000"/>
              </w:rPr>
              <w:t>e</w:t>
            </w:r>
            <w:r w:rsidR="000D7C2A" w:rsidRPr="000D7C2A">
              <w:rPr>
                <w:rFonts w:asciiTheme="minorHAnsi" w:eastAsia="Times New Roman" w:hAnsiTheme="minorHAnsi" w:cstheme="minorHAnsi"/>
                <w:color w:val="000000"/>
              </w:rPr>
              <w:t xml:space="preserve">: </w:t>
            </w:r>
            <w:r w:rsidR="000D7C2A" w:rsidRPr="000D7C2A">
              <w:rPr>
                <w:rFonts w:asciiTheme="minorHAnsi" w:eastAsia="Times New Roman" w:hAnsiTheme="minorHAnsi" w:cstheme="minorHAnsi"/>
                <w:color w:val="000000"/>
              </w:rPr>
              <w:lastRenderedPageBreak/>
              <w:t>Descriptive analysis of the CAPS registry</w:t>
            </w:r>
            <w:r w:rsidR="008C1FE9">
              <w:rPr>
                <w:rFonts w:asciiTheme="minorHAnsi" w:eastAsia="Times New Roman" w:hAnsiTheme="minorHAnsi" w:cstheme="minorHAnsi"/>
                <w:color w:val="000000"/>
              </w:rPr>
              <w:t xml:space="preserve"> patients receiving rituximab. </w:t>
            </w:r>
            <w:r w:rsidR="000D7C2A" w:rsidRPr="008C1FE9">
              <w:rPr>
                <w:rFonts w:asciiTheme="minorHAnsi" w:eastAsia="Times New Roman" w:hAnsiTheme="minorHAnsi" w:cstheme="minorHAnsi"/>
                <w:i/>
                <w:color w:val="000000"/>
              </w:rPr>
              <w:t>Autoimmunity Reviews</w:t>
            </w:r>
            <w:r w:rsidR="008C1FE9">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12:</w:t>
            </w:r>
            <w:r w:rsidR="000D7C2A" w:rsidRPr="000D7C2A">
              <w:rPr>
                <w:rFonts w:asciiTheme="minorHAnsi" w:eastAsia="Times New Roman" w:hAnsiTheme="minorHAnsi" w:cstheme="minorHAnsi"/>
                <w:color w:val="000000"/>
              </w:rPr>
              <w:t xml:space="preserve">1085-1090. </w:t>
            </w:r>
          </w:p>
          <w:p w14:paraId="5EC40649" w14:textId="264D719C" w:rsidR="00E35701" w:rsidRDefault="00723B86" w:rsidP="00EC2F60">
            <w:pPr>
              <w:spacing w:line="20" w:lineRule="atLeast"/>
              <w:rPr>
                <w:rStyle w:val="Hyperlink"/>
                <w:rFonts w:asciiTheme="minorHAnsi" w:eastAsia="Times New Roman" w:hAnsiTheme="minorHAnsi" w:cstheme="minorHAnsi"/>
                <w:color w:val="808080" w:themeColor="background1" w:themeShade="80"/>
              </w:rPr>
            </w:pPr>
            <w:hyperlink r:id="rId16" w:history="1">
              <w:r w:rsidR="00E35701" w:rsidRPr="00E35701">
                <w:rPr>
                  <w:rStyle w:val="Hyperlink"/>
                  <w:rFonts w:asciiTheme="minorHAnsi" w:eastAsia="Times New Roman" w:hAnsiTheme="minorHAnsi" w:cstheme="minorHAnsi"/>
                  <w:color w:val="808080" w:themeColor="background1" w:themeShade="80"/>
                </w:rPr>
                <w:t>https://www.ncbi.nlm.nih.gov/pubmed/23777822</w:t>
              </w:r>
            </w:hyperlink>
          </w:p>
          <w:p w14:paraId="48134FA6" w14:textId="77777777" w:rsidR="00EC2F60" w:rsidRPr="00E35701" w:rsidRDefault="00EC2F60" w:rsidP="00EC2F60">
            <w:pPr>
              <w:spacing w:line="20" w:lineRule="atLeast"/>
              <w:rPr>
                <w:rFonts w:asciiTheme="minorHAnsi" w:eastAsia="Times New Roman" w:hAnsiTheme="minorHAnsi" w:cstheme="minorHAnsi"/>
                <w:color w:val="808080" w:themeColor="background1" w:themeShade="80"/>
              </w:rPr>
            </w:pPr>
          </w:p>
          <w:p w14:paraId="27BDC1AD" w14:textId="6D6703A4" w:rsidR="000D7C2A" w:rsidRDefault="00E35701" w:rsidP="00EC2F60">
            <w:pPr>
              <w:spacing w:line="20" w:lineRule="atLeast"/>
              <w:rPr>
                <w:rFonts w:asciiTheme="minorHAnsi" w:eastAsia="Times New Roman" w:hAnsiTheme="minorHAnsi" w:cstheme="minorHAnsi"/>
                <w:color w:val="000000"/>
              </w:rPr>
            </w:pPr>
            <w:r w:rsidRPr="00A30295">
              <w:rPr>
                <w:rFonts w:asciiTheme="minorHAnsi" w:eastAsia="Times New Roman" w:hAnsiTheme="minorHAnsi" w:cstheme="minorHAnsi"/>
                <w:color w:val="000000"/>
              </w:rPr>
              <w:t>Bucciarelli</w:t>
            </w:r>
            <w:r w:rsidR="000D7C2A" w:rsidRPr="00A30295">
              <w:rPr>
                <w:rFonts w:asciiTheme="minorHAnsi" w:eastAsia="Times New Roman" w:hAnsiTheme="minorHAnsi" w:cstheme="minorHAnsi"/>
                <w:color w:val="000000"/>
              </w:rPr>
              <w:t xml:space="preserve"> S</w:t>
            </w:r>
            <w:r w:rsidRPr="00A30295">
              <w:rPr>
                <w:rFonts w:asciiTheme="minorHAnsi" w:eastAsia="Times New Roman" w:hAnsiTheme="minorHAnsi" w:cstheme="minorHAnsi"/>
                <w:color w:val="000000"/>
              </w:rPr>
              <w:t>, Espinosa</w:t>
            </w:r>
            <w:r w:rsidR="000D7C2A" w:rsidRPr="00A30295">
              <w:rPr>
                <w:rFonts w:asciiTheme="minorHAnsi" w:eastAsia="Times New Roman" w:hAnsiTheme="minorHAnsi" w:cstheme="minorHAnsi"/>
                <w:color w:val="000000"/>
              </w:rPr>
              <w:t xml:space="preserve"> G</w:t>
            </w:r>
            <w:r w:rsidR="00A30295" w:rsidRPr="00A30295">
              <w:rPr>
                <w:rFonts w:asciiTheme="minorHAnsi" w:eastAsia="Times New Roman" w:hAnsiTheme="minorHAnsi" w:cstheme="minorHAnsi"/>
                <w:color w:val="000000"/>
              </w:rPr>
              <w:t>, Cervera R, Erkan D, Gomez-Puerta JA, Ramos-Casals M</w:t>
            </w:r>
            <w:r w:rsidR="008C1FE9" w:rsidRPr="00A30295">
              <w:rPr>
                <w:rFonts w:asciiTheme="minorHAnsi" w:eastAsia="Times New Roman" w:hAnsiTheme="minorHAnsi" w:cstheme="minorHAnsi"/>
                <w:color w:val="000000"/>
              </w:rPr>
              <w:t xml:space="preserve">, </w:t>
            </w:r>
            <w:r w:rsidR="00A30295" w:rsidRPr="00A30295">
              <w:rPr>
                <w:rFonts w:asciiTheme="minorHAnsi" w:eastAsia="Times New Roman" w:hAnsiTheme="minorHAnsi" w:cstheme="minorHAnsi"/>
                <w:color w:val="000000"/>
              </w:rPr>
              <w:t xml:space="preserve">et al </w:t>
            </w:r>
            <w:r w:rsidR="008C1FE9" w:rsidRPr="00A30295">
              <w:rPr>
                <w:rFonts w:asciiTheme="minorHAnsi" w:eastAsia="Times New Roman" w:hAnsiTheme="minorHAnsi" w:cstheme="minorHAnsi"/>
                <w:color w:val="000000"/>
              </w:rPr>
              <w:t>(</w:t>
            </w:r>
            <w:r w:rsidR="000D7C2A" w:rsidRPr="00A30295">
              <w:rPr>
                <w:rFonts w:asciiTheme="minorHAnsi" w:eastAsia="Times New Roman" w:hAnsiTheme="minorHAnsi" w:cstheme="minorHAnsi"/>
                <w:color w:val="000000"/>
              </w:rPr>
              <w:t>200</w:t>
            </w:r>
            <w:r w:rsidR="00A30295" w:rsidRPr="00A30295">
              <w:rPr>
                <w:rFonts w:asciiTheme="minorHAnsi" w:eastAsia="Times New Roman" w:hAnsiTheme="minorHAnsi" w:cstheme="minorHAnsi"/>
                <w:color w:val="000000"/>
              </w:rPr>
              <w:t>6)</w:t>
            </w:r>
            <w:r w:rsidR="008C1FE9" w:rsidRPr="00A30295">
              <w:rPr>
                <w:rFonts w:asciiTheme="minorHAnsi" w:eastAsia="Times New Roman" w:hAnsiTheme="minorHAnsi" w:cstheme="minorHAnsi"/>
                <w:color w:val="000000"/>
              </w:rPr>
              <w:t xml:space="preserve"> </w:t>
            </w:r>
            <w:r w:rsidR="000D7C2A" w:rsidRPr="000D7C2A">
              <w:rPr>
                <w:rFonts w:asciiTheme="minorHAnsi" w:eastAsia="Times New Roman" w:hAnsiTheme="minorHAnsi" w:cstheme="minorHAnsi"/>
                <w:color w:val="000000"/>
              </w:rPr>
              <w:t>Mortality in the Catastro</w:t>
            </w:r>
            <w:r w:rsidR="008C1FE9">
              <w:rPr>
                <w:rFonts w:asciiTheme="minorHAnsi" w:eastAsia="Times New Roman" w:hAnsiTheme="minorHAnsi" w:cstheme="minorHAnsi"/>
                <w:color w:val="000000"/>
              </w:rPr>
              <w:t xml:space="preserve">phic Antiphopholipid syndrome. </w:t>
            </w:r>
            <w:r w:rsidR="000D7C2A" w:rsidRPr="008C1FE9">
              <w:rPr>
                <w:rFonts w:asciiTheme="minorHAnsi" w:eastAsia="Times New Roman" w:hAnsiTheme="minorHAnsi" w:cstheme="minorHAnsi"/>
                <w:i/>
                <w:color w:val="000000"/>
              </w:rPr>
              <w:t>Arthritis &amp; Rheumatism</w:t>
            </w:r>
            <w:r w:rsidR="008C1FE9">
              <w:rPr>
                <w:rFonts w:asciiTheme="minorHAnsi" w:eastAsia="Times New Roman" w:hAnsiTheme="minorHAnsi" w:cstheme="minorHAnsi"/>
                <w:color w:val="000000"/>
              </w:rPr>
              <w:t xml:space="preserve">, </w:t>
            </w:r>
            <w:r w:rsidR="000D7C2A" w:rsidRPr="000D7C2A">
              <w:rPr>
                <w:rFonts w:asciiTheme="minorHAnsi" w:eastAsia="Times New Roman" w:hAnsiTheme="minorHAnsi" w:cstheme="minorHAnsi"/>
                <w:color w:val="000000"/>
              </w:rPr>
              <w:t>54</w:t>
            </w:r>
            <w:r w:rsidR="00A30295">
              <w:rPr>
                <w:rFonts w:asciiTheme="minorHAnsi" w:eastAsia="Times New Roman" w:hAnsiTheme="minorHAnsi" w:cstheme="minorHAnsi"/>
                <w:color w:val="000000"/>
              </w:rPr>
              <w:t>:</w:t>
            </w:r>
            <w:r w:rsidR="000D7C2A" w:rsidRPr="000D7C2A">
              <w:rPr>
                <w:rFonts w:asciiTheme="minorHAnsi" w:eastAsia="Times New Roman" w:hAnsiTheme="minorHAnsi" w:cstheme="minorHAnsi"/>
                <w:color w:val="000000"/>
              </w:rPr>
              <w:t>2568-2576</w:t>
            </w:r>
            <w:r w:rsidR="008C1FE9">
              <w:rPr>
                <w:rFonts w:asciiTheme="minorHAnsi" w:eastAsia="Times New Roman" w:hAnsiTheme="minorHAnsi" w:cstheme="minorHAnsi"/>
                <w:color w:val="000000"/>
              </w:rPr>
              <w:t>.</w:t>
            </w:r>
          </w:p>
          <w:p w14:paraId="16040DFB" w14:textId="61E947B7" w:rsidR="00A30295" w:rsidRDefault="00723B86" w:rsidP="00EC2F60">
            <w:pPr>
              <w:spacing w:line="20" w:lineRule="atLeast"/>
              <w:rPr>
                <w:rStyle w:val="Hyperlink"/>
                <w:rFonts w:asciiTheme="minorHAnsi" w:eastAsia="Times New Roman" w:hAnsiTheme="minorHAnsi" w:cstheme="minorHAnsi"/>
                <w:color w:val="808080" w:themeColor="background1" w:themeShade="80"/>
              </w:rPr>
            </w:pPr>
            <w:hyperlink r:id="rId17" w:history="1">
              <w:r w:rsidR="00A30295" w:rsidRPr="00A30295">
                <w:rPr>
                  <w:rStyle w:val="Hyperlink"/>
                  <w:rFonts w:asciiTheme="minorHAnsi" w:eastAsia="Times New Roman" w:hAnsiTheme="minorHAnsi" w:cstheme="minorHAnsi"/>
                  <w:color w:val="808080" w:themeColor="background1" w:themeShade="80"/>
                </w:rPr>
                <w:t>https://www.ncbi.nlm.nih.gov/pubmed/16868979</w:t>
              </w:r>
            </w:hyperlink>
          </w:p>
          <w:p w14:paraId="27E37144" w14:textId="77777777" w:rsidR="00EC2F60" w:rsidRPr="00A30295" w:rsidRDefault="00EC2F60" w:rsidP="00EC2F60">
            <w:pPr>
              <w:spacing w:line="20" w:lineRule="atLeast"/>
              <w:rPr>
                <w:rFonts w:asciiTheme="minorHAnsi" w:eastAsia="Times New Roman" w:hAnsiTheme="minorHAnsi" w:cstheme="minorHAnsi"/>
                <w:color w:val="808080" w:themeColor="background1" w:themeShade="80"/>
              </w:rPr>
            </w:pPr>
          </w:p>
          <w:p w14:paraId="74CA40D9" w14:textId="6296D3B5" w:rsidR="0010145F" w:rsidRDefault="00A30295" w:rsidP="00EC2F60">
            <w:pPr>
              <w:spacing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Cervera R</w:t>
            </w:r>
            <w:r w:rsidR="0010145F">
              <w:rPr>
                <w:rFonts w:asciiTheme="minorHAnsi" w:eastAsia="Times New Roman" w:hAnsiTheme="minorHAnsi" w:cstheme="minorHAnsi"/>
                <w:color w:val="000000"/>
              </w:rPr>
              <w:t xml:space="preserve"> (</w:t>
            </w:r>
            <w:r w:rsidR="00ED3875">
              <w:rPr>
                <w:rFonts w:asciiTheme="minorHAnsi" w:eastAsia="Times New Roman" w:hAnsiTheme="minorHAnsi" w:cstheme="minorHAnsi"/>
                <w:color w:val="000000"/>
              </w:rPr>
              <w:t>2012)</w:t>
            </w:r>
            <w:r w:rsidR="0010145F">
              <w:rPr>
                <w:rFonts w:asciiTheme="minorHAnsi" w:eastAsia="Times New Roman" w:hAnsiTheme="minorHAnsi" w:cstheme="minorHAnsi"/>
                <w:color w:val="000000"/>
              </w:rPr>
              <w:t xml:space="preserve"> The Catastrophic Antiphospholipid Syndrome. </w:t>
            </w:r>
            <w:r w:rsidR="007B5619">
              <w:rPr>
                <w:rFonts w:asciiTheme="minorHAnsi" w:eastAsia="Times New Roman" w:hAnsiTheme="minorHAnsi" w:cstheme="minorHAnsi"/>
                <w:color w:val="000000"/>
              </w:rPr>
              <w:t>[online]. Available at:</w:t>
            </w:r>
            <w:r w:rsidR="007B5619">
              <w:t xml:space="preserve"> </w:t>
            </w:r>
            <w:hyperlink r:id="rId18" w:history="1">
              <w:r w:rsidR="00EC2F60" w:rsidRPr="00EC2F60">
                <w:rPr>
                  <w:rStyle w:val="Hyperlink"/>
                  <w:rFonts w:asciiTheme="minorHAnsi" w:eastAsia="Times New Roman" w:hAnsiTheme="minorHAnsi" w:cstheme="minorHAnsi"/>
                  <w:color w:val="808080" w:themeColor="background1" w:themeShade="80"/>
                </w:rPr>
                <w:t>https://ontocrf.grupocostaisa.com/es/web/caps/contents</w:t>
              </w:r>
            </w:hyperlink>
            <w:r w:rsidR="00267FDF" w:rsidRPr="00EC2F60">
              <w:rPr>
                <w:rFonts w:asciiTheme="minorHAnsi" w:eastAsia="Times New Roman" w:hAnsiTheme="minorHAnsi" w:cstheme="minorHAnsi"/>
                <w:color w:val="808080" w:themeColor="background1" w:themeShade="80"/>
              </w:rPr>
              <w:t>.</w:t>
            </w:r>
          </w:p>
          <w:p w14:paraId="5B7D0F00" w14:textId="77777777" w:rsidR="00EC2F60" w:rsidRPr="000D7C2A" w:rsidRDefault="00EC2F60" w:rsidP="00EC2F60">
            <w:pPr>
              <w:spacing w:line="20" w:lineRule="atLeast"/>
              <w:rPr>
                <w:rFonts w:asciiTheme="minorHAnsi" w:eastAsia="Times New Roman" w:hAnsiTheme="minorHAnsi" w:cstheme="minorHAnsi"/>
                <w:color w:val="000000"/>
              </w:rPr>
            </w:pPr>
          </w:p>
          <w:p w14:paraId="37CB5829" w14:textId="7B64D233" w:rsidR="0010145F" w:rsidRDefault="00A30295" w:rsidP="00EC2F60">
            <w:pPr>
              <w:spacing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Cervera R</w:t>
            </w:r>
            <w:r w:rsidR="0010145F">
              <w:rPr>
                <w:rFonts w:asciiTheme="minorHAnsi" w:eastAsia="Times New Roman" w:hAnsiTheme="minorHAnsi" w:cstheme="minorHAnsi"/>
                <w:color w:val="000000"/>
              </w:rPr>
              <w:t xml:space="preserve"> (2016). </w:t>
            </w:r>
            <w:r w:rsidR="0010145F" w:rsidRPr="0010145F">
              <w:rPr>
                <w:rFonts w:asciiTheme="minorHAnsi" w:eastAsia="Times New Roman" w:hAnsiTheme="minorHAnsi" w:cstheme="minorHAnsi"/>
                <w:i/>
                <w:color w:val="000000"/>
              </w:rPr>
              <w:t>Anti-phospholipid syndrome in systemic autoimmune diseases</w:t>
            </w:r>
            <w:r w:rsidR="0010145F">
              <w:rPr>
                <w:rFonts w:asciiTheme="minorHAnsi" w:eastAsia="Times New Roman" w:hAnsiTheme="minorHAnsi" w:cstheme="minorHAnsi"/>
                <w:i/>
                <w:color w:val="000000"/>
              </w:rPr>
              <w:t xml:space="preserve">. </w:t>
            </w:r>
            <w:r w:rsidR="0010145F">
              <w:rPr>
                <w:rFonts w:asciiTheme="minorHAnsi" w:eastAsia="Times New Roman" w:hAnsiTheme="minorHAnsi" w:cstheme="minorHAnsi"/>
                <w:color w:val="000000"/>
              </w:rPr>
              <w:t xml:space="preserve">Second Edition.  </w:t>
            </w:r>
            <w:r w:rsidR="0010145F" w:rsidRPr="0010145F">
              <w:rPr>
                <w:rFonts w:asciiTheme="minorHAnsi" w:eastAsia="Times New Roman" w:hAnsiTheme="minorHAnsi" w:cstheme="minorHAnsi"/>
                <w:color w:val="000000"/>
              </w:rPr>
              <w:t>Elsevier</w:t>
            </w:r>
            <w:r w:rsidR="0010145F">
              <w:rPr>
                <w:rFonts w:asciiTheme="minorHAnsi" w:eastAsia="Times New Roman" w:hAnsiTheme="minorHAnsi" w:cstheme="minorHAnsi"/>
                <w:color w:val="000000"/>
              </w:rPr>
              <w:t>, pp. 249.</w:t>
            </w:r>
          </w:p>
          <w:p w14:paraId="4F44AD68" w14:textId="77777777" w:rsidR="00EC2F60" w:rsidRDefault="00EC2F60" w:rsidP="00EC2F60">
            <w:pPr>
              <w:spacing w:line="20" w:lineRule="atLeast"/>
              <w:rPr>
                <w:rFonts w:asciiTheme="minorHAnsi" w:eastAsia="Times New Roman" w:hAnsiTheme="minorHAnsi" w:cstheme="minorHAnsi"/>
                <w:color w:val="000000"/>
              </w:rPr>
            </w:pPr>
          </w:p>
          <w:p w14:paraId="35BBC976" w14:textId="4EEAD197" w:rsidR="000D7C2A" w:rsidRDefault="00A30295" w:rsidP="00EC2F60">
            <w:pPr>
              <w:spacing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Cervera</w:t>
            </w:r>
            <w:r w:rsidR="000D7C2A" w:rsidRPr="000D7C2A">
              <w:rPr>
                <w:rFonts w:asciiTheme="minorHAnsi" w:eastAsia="Times New Roman" w:hAnsiTheme="minorHAnsi" w:cstheme="minorHAnsi"/>
                <w:color w:val="000000"/>
              </w:rPr>
              <w:t xml:space="preserve"> R</w:t>
            </w:r>
            <w:r>
              <w:rPr>
                <w:rFonts w:asciiTheme="minorHAnsi" w:eastAsia="Times New Roman" w:hAnsiTheme="minorHAnsi" w:cstheme="minorHAnsi"/>
                <w:color w:val="000000"/>
              </w:rPr>
              <w:t>, Asherson</w:t>
            </w:r>
            <w:r w:rsidR="000D7C2A" w:rsidRPr="000D7C2A">
              <w:rPr>
                <w:rFonts w:asciiTheme="minorHAnsi" w:eastAsia="Times New Roman" w:hAnsiTheme="minorHAnsi" w:cstheme="minorHAnsi"/>
                <w:color w:val="000000"/>
              </w:rPr>
              <w:t xml:space="preserve"> RA</w:t>
            </w:r>
            <w:r>
              <w:rPr>
                <w:rFonts w:asciiTheme="minorHAnsi" w:eastAsia="Times New Roman" w:hAnsiTheme="minorHAnsi" w:cstheme="minorHAnsi"/>
                <w:color w:val="000000"/>
              </w:rPr>
              <w:t xml:space="preserve"> a</w:t>
            </w:r>
            <w:r w:rsidR="008C1FE9">
              <w:rPr>
                <w:rFonts w:asciiTheme="minorHAnsi" w:eastAsia="Times New Roman" w:hAnsiTheme="minorHAnsi" w:cstheme="minorHAnsi"/>
                <w:color w:val="000000"/>
              </w:rPr>
              <w:t xml:space="preserve">nd </w:t>
            </w:r>
            <w:r>
              <w:rPr>
                <w:rFonts w:asciiTheme="minorHAnsi" w:eastAsia="Times New Roman" w:hAnsiTheme="minorHAnsi" w:cstheme="minorHAnsi"/>
                <w:color w:val="000000"/>
              </w:rPr>
              <w:t>Font</w:t>
            </w:r>
            <w:r w:rsidR="000D7C2A" w:rsidRPr="000D7C2A">
              <w:rPr>
                <w:rFonts w:asciiTheme="minorHAnsi" w:eastAsia="Times New Roman" w:hAnsiTheme="minorHAnsi" w:cstheme="minorHAnsi"/>
                <w:color w:val="000000"/>
              </w:rPr>
              <w:t xml:space="preserve"> J </w:t>
            </w:r>
            <w:r>
              <w:rPr>
                <w:rFonts w:asciiTheme="minorHAnsi" w:eastAsia="Times New Roman" w:hAnsiTheme="minorHAnsi" w:cstheme="minorHAnsi"/>
                <w:color w:val="000000"/>
              </w:rPr>
              <w:t>(2006)</w:t>
            </w:r>
            <w:r w:rsidR="008C1FE9">
              <w:rPr>
                <w:rFonts w:asciiTheme="minorHAnsi" w:eastAsia="Times New Roman" w:hAnsiTheme="minorHAnsi" w:cstheme="minorHAnsi"/>
                <w:color w:val="000000"/>
              </w:rPr>
              <w:t xml:space="preserve"> </w:t>
            </w:r>
            <w:r w:rsidR="000D7C2A" w:rsidRPr="000D7C2A">
              <w:rPr>
                <w:rFonts w:asciiTheme="minorHAnsi" w:eastAsia="Times New Roman" w:hAnsiTheme="minorHAnsi" w:cstheme="minorHAnsi"/>
                <w:color w:val="000000"/>
              </w:rPr>
              <w:t>Catastrop</w:t>
            </w:r>
            <w:r w:rsidR="008C1FE9">
              <w:rPr>
                <w:rFonts w:asciiTheme="minorHAnsi" w:eastAsia="Times New Roman" w:hAnsiTheme="minorHAnsi" w:cstheme="minorHAnsi"/>
                <w:color w:val="000000"/>
              </w:rPr>
              <w:t xml:space="preserve">hic antiphospholipid syndrome. </w:t>
            </w:r>
            <w:r w:rsidR="000D7C2A" w:rsidRPr="008C1FE9">
              <w:rPr>
                <w:rFonts w:asciiTheme="minorHAnsi" w:eastAsia="Times New Roman" w:hAnsiTheme="minorHAnsi" w:cstheme="minorHAnsi"/>
                <w:i/>
                <w:color w:val="000000"/>
              </w:rPr>
              <w:t>Rheumatic Disease Clinics of North America</w:t>
            </w:r>
            <w:r w:rsidR="008C1FE9">
              <w:rPr>
                <w:rFonts w:asciiTheme="minorHAnsi" w:eastAsia="Times New Roman" w:hAnsiTheme="minorHAnsi" w:cstheme="minorHAnsi"/>
                <w:color w:val="000000"/>
              </w:rPr>
              <w:t>, 32(</w:t>
            </w:r>
            <w:r w:rsidR="000D7C2A" w:rsidRPr="000D7C2A">
              <w:rPr>
                <w:rFonts w:asciiTheme="minorHAnsi" w:eastAsia="Times New Roman" w:hAnsiTheme="minorHAnsi" w:cstheme="minorHAnsi"/>
                <w:color w:val="000000"/>
              </w:rPr>
              <w:t>3</w:t>
            </w:r>
            <w:r w:rsidR="008C1FE9">
              <w:rPr>
                <w:rFonts w:asciiTheme="minorHAnsi" w:eastAsia="Times New Roman" w:hAnsiTheme="minorHAnsi" w:cstheme="minorHAnsi"/>
                <w:color w:val="000000"/>
              </w:rPr>
              <w:t>)</w:t>
            </w:r>
            <w:r>
              <w:rPr>
                <w:rFonts w:asciiTheme="minorHAnsi" w:eastAsia="Times New Roman" w:hAnsiTheme="minorHAnsi" w:cstheme="minorHAnsi"/>
                <w:color w:val="000000"/>
              </w:rPr>
              <w:t>:</w:t>
            </w:r>
            <w:r w:rsidR="000D7C2A" w:rsidRPr="000D7C2A">
              <w:rPr>
                <w:rFonts w:asciiTheme="minorHAnsi" w:eastAsia="Times New Roman" w:hAnsiTheme="minorHAnsi" w:cstheme="minorHAnsi"/>
                <w:color w:val="000000"/>
              </w:rPr>
              <w:t>575–90.</w:t>
            </w:r>
          </w:p>
          <w:p w14:paraId="1A9CD996" w14:textId="469940AC" w:rsidR="00A30295" w:rsidRPr="00A30295" w:rsidRDefault="00723B86" w:rsidP="00EC2F60">
            <w:pPr>
              <w:spacing w:line="20" w:lineRule="atLeast"/>
              <w:rPr>
                <w:rFonts w:asciiTheme="minorHAnsi" w:eastAsia="Times New Roman" w:hAnsiTheme="minorHAnsi" w:cstheme="minorHAnsi"/>
                <w:color w:val="808080" w:themeColor="background1" w:themeShade="80"/>
              </w:rPr>
            </w:pPr>
            <w:hyperlink r:id="rId19" w:history="1">
              <w:r w:rsidR="00A30295" w:rsidRPr="00A30295">
                <w:rPr>
                  <w:rStyle w:val="Hyperlink"/>
                  <w:rFonts w:asciiTheme="minorHAnsi" w:eastAsia="Times New Roman" w:hAnsiTheme="minorHAnsi" w:cstheme="minorHAnsi"/>
                  <w:color w:val="808080" w:themeColor="background1" w:themeShade="80"/>
                </w:rPr>
                <w:t>http://www.karger.com/Article/Abstract/93565</w:t>
              </w:r>
            </w:hyperlink>
          </w:p>
          <w:p w14:paraId="18BD42C7" w14:textId="77777777" w:rsidR="00EC2F60" w:rsidRDefault="00EC2F60" w:rsidP="00EC2F60">
            <w:pPr>
              <w:spacing w:line="20" w:lineRule="atLeast"/>
              <w:rPr>
                <w:rFonts w:asciiTheme="minorHAnsi" w:eastAsia="Times New Roman" w:hAnsiTheme="minorHAnsi" w:cstheme="minorHAnsi"/>
                <w:color w:val="000000"/>
              </w:rPr>
            </w:pPr>
          </w:p>
          <w:p w14:paraId="002C95E1" w14:textId="794BD9BC" w:rsidR="000D7C2A" w:rsidRDefault="00A30295" w:rsidP="00EC2F60">
            <w:pPr>
              <w:spacing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Erkan</w:t>
            </w:r>
            <w:r w:rsidR="000D7C2A" w:rsidRPr="000D7C2A">
              <w:rPr>
                <w:rFonts w:asciiTheme="minorHAnsi" w:eastAsia="Times New Roman" w:hAnsiTheme="minorHAnsi" w:cstheme="minorHAnsi"/>
                <w:color w:val="000000"/>
              </w:rPr>
              <w:t xml:space="preserve"> D </w:t>
            </w:r>
            <w:r w:rsidR="0010145F">
              <w:rPr>
                <w:rFonts w:asciiTheme="minorHAnsi" w:eastAsia="Times New Roman" w:hAnsiTheme="minorHAnsi" w:cstheme="minorHAnsi"/>
                <w:color w:val="000000"/>
              </w:rPr>
              <w:t>(</w:t>
            </w:r>
            <w:r w:rsidR="000D7C2A" w:rsidRPr="000D7C2A">
              <w:rPr>
                <w:rFonts w:asciiTheme="minorHAnsi" w:eastAsia="Times New Roman" w:hAnsiTheme="minorHAnsi" w:cstheme="minorHAnsi"/>
                <w:color w:val="000000"/>
              </w:rPr>
              <w:t>2006</w:t>
            </w:r>
            <w:r>
              <w:rPr>
                <w:rFonts w:asciiTheme="minorHAnsi" w:eastAsia="Times New Roman" w:hAnsiTheme="minorHAnsi" w:cstheme="minorHAnsi"/>
                <w:color w:val="000000"/>
              </w:rPr>
              <w:t>)</w:t>
            </w:r>
            <w:r w:rsidR="0010145F">
              <w:rPr>
                <w:rFonts w:asciiTheme="minorHAnsi" w:eastAsia="Times New Roman" w:hAnsiTheme="minorHAnsi" w:cstheme="minorHAnsi"/>
                <w:color w:val="000000"/>
              </w:rPr>
              <w:t xml:space="preserve"> </w:t>
            </w:r>
            <w:r w:rsidR="000D7C2A" w:rsidRPr="000D7C2A">
              <w:rPr>
                <w:rFonts w:asciiTheme="minorHAnsi" w:eastAsia="Times New Roman" w:hAnsiTheme="minorHAnsi" w:cstheme="minorHAnsi"/>
                <w:color w:val="000000"/>
              </w:rPr>
              <w:t>Therapeutic and prognostic considerations in catastrop</w:t>
            </w:r>
            <w:r w:rsidR="0010145F">
              <w:rPr>
                <w:rFonts w:asciiTheme="minorHAnsi" w:eastAsia="Times New Roman" w:hAnsiTheme="minorHAnsi" w:cstheme="minorHAnsi"/>
                <w:color w:val="000000"/>
              </w:rPr>
              <w:t xml:space="preserve">hic antiphospholipid syndrome. </w:t>
            </w:r>
            <w:r w:rsidR="000D7C2A" w:rsidRPr="0010145F">
              <w:rPr>
                <w:rFonts w:asciiTheme="minorHAnsi" w:eastAsia="Times New Roman" w:hAnsiTheme="minorHAnsi" w:cstheme="minorHAnsi"/>
                <w:i/>
                <w:color w:val="000000"/>
              </w:rPr>
              <w:t>Autoimmunity Reviews</w:t>
            </w:r>
            <w:r w:rsidR="0010145F">
              <w:rPr>
                <w:rFonts w:asciiTheme="minorHAnsi" w:eastAsia="Times New Roman" w:hAnsiTheme="minorHAnsi" w:cstheme="minorHAnsi"/>
                <w:color w:val="000000"/>
              </w:rPr>
              <w:t>, 6(</w:t>
            </w:r>
            <w:r w:rsidR="000D7C2A" w:rsidRPr="000D7C2A">
              <w:rPr>
                <w:rFonts w:asciiTheme="minorHAnsi" w:eastAsia="Times New Roman" w:hAnsiTheme="minorHAnsi" w:cstheme="minorHAnsi"/>
                <w:color w:val="000000"/>
              </w:rPr>
              <w:t>2</w:t>
            </w:r>
            <w:r w:rsidR="0010145F">
              <w:rPr>
                <w:rFonts w:asciiTheme="minorHAnsi" w:eastAsia="Times New Roman" w:hAnsiTheme="minorHAnsi" w:cstheme="minorHAnsi"/>
                <w:color w:val="000000"/>
              </w:rPr>
              <w:t>)</w:t>
            </w:r>
            <w:r>
              <w:rPr>
                <w:rFonts w:asciiTheme="minorHAnsi" w:eastAsia="Times New Roman" w:hAnsiTheme="minorHAnsi" w:cstheme="minorHAnsi"/>
                <w:color w:val="000000"/>
              </w:rPr>
              <w:t>:</w:t>
            </w:r>
            <w:r w:rsidR="000D7C2A" w:rsidRPr="000D7C2A">
              <w:rPr>
                <w:rFonts w:asciiTheme="minorHAnsi" w:eastAsia="Times New Roman" w:hAnsiTheme="minorHAnsi" w:cstheme="minorHAnsi"/>
                <w:color w:val="000000"/>
              </w:rPr>
              <w:t>98–103.</w:t>
            </w:r>
          </w:p>
          <w:p w14:paraId="78C2F7C5" w14:textId="392B84A2" w:rsidR="00A30295" w:rsidRPr="00A30295" w:rsidRDefault="00723B86" w:rsidP="00EC2F60">
            <w:pPr>
              <w:spacing w:line="20" w:lineRule="atLeast"/>
              <w:rPr>
                <w:rFonts w:asciiTheme="minorHAnsi" w:eastAsia="Times New Roman" w:hAnsiTheme="minorHAnsi" w:cstheme="minorHAnsi"/>
                <w:color w:val="808080" w:themeColor="background1" w:themeShade="80"/>
              </w:rPr>
            </w:pPr>
            <w:hyperlink r:id="rId20" w:history="1">
              <w:r w:rsidR="00A30295" w:rsidRPr="00A30295">
                <w:rPr>
                  <w:rStyle w:val="Hyperlink"/>
                  <w:rFonts w:asciiTheme="minorHAnsi" w:eastAsia="Times New Roman" w:hAnsiTheme="minorHAnsi" w:cstheme="minorHAnsi"/>
                  <w:color w:val="808080" w:themeColor="background1" w:themeShade="80"/>
                </w:rPr>
                <w:t>https://www.ncbi.nlm.nih.gov/pubmed/17138252</w:t>
              </w:r>
            </w:hyperlink>
          </w:p>
          <w:p w14:paraId="2FB79786" w14:textId="77777777" w:rsidR="00EC2F60" w:rsidRDefault="00EC2F60" w:rsidP="00EC2F60">
            <w:pPr>
              <w:spacing w:line="20" w:lineRule="atLeast"/>
              <w:rPr>
                <w:rFonts w:asciiTheme="minorHAnsi" w:eastAsia="Times New Roman" w:hAnsiTheme="minorHAnsi" w:cstheme="minorHAnsi"/>
                <w:color w:val="000000"/>
              </w:rPr>
            </w:pPr>
          </w:p>
          <w:p w14:paraId="4E473C87" w14:textId="77777777" w:rsidR="00901F76" w:rsidRDefault="00A30295" w:rsidP="00EC2F60">
            <w:pPr>
              <w:spacing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Espinosa</w:t>
            </w:r>
            <w:r w:rsidR="000D7C2A" w:rsidRPr="000D7C2A">
              <w:rPr>
                <w:rFonts w:asciiTheme="minorHAnsi" w:eastAsia="Times New Roman" w:hAnsiTheme="minorHAnsi" w:cstheme="minorHAnsi"/>
                <w:color w:val="000000"/>
              </w:rPr>
              <w:t xml:space="preserve"> G</w:t>
            </w:r>
            <w:r>
              <w:rPr>
                <w:rFonts w:asciiTheme="minorHAnsi" w:eastAsia="Times New Roman" w:hAnsiTheme="minorHAnsi" w:cstheme="minorHAnsi"/>
                <w:color w:val="000000"/>
              </w:rPr>
              <w:t xml:space="preserve"> and Cervera</w:t>
            </w:r>
            <w:r w:rsidR="000D7C2A" w:rsidRPr="000D7C2A">
              <w:rPr>
                <w:rFonts w:asciiTheme="minorHAnsi" w:eastAsia="Times New Roman" w:hAnsiTheme="minorHAnsi" w:cstheme="minorHAnsi"/>
                <w:color w:val="000000"/>
              </w:rPr>
              <w:t xml:space="preserve"> R</w:t>
            </w:r>
            <w:r>
              <w:rPr>
                <w:rFonts w:asciiTheme="minorHAnsi" w:eastAsia="Times New Roman" w:hAnsiTheme="minorHAnsi" w:cstheme="minorHAnsi"/>
                <w:color w:val="000000"/>
              </w:rPr>
              <w:t xml:space="preserve"> (2010)</w:t>
            </w:r>
            <w:r w:rsidR="0010145F">
              <w:rPr>
                <w:rFonts w:asciiTheme="minorHAnsi" w:eastAsia="Times New Roman" w:hAnsiTheme="minorHAnsi" w:cstheme="minorHAnsi"/>
                <w:color w:val="000000"/>
              </w:rPr>
              <w:t xml:space="preserve"> </w:t>
            </w:r>
            <w:r w:rsidR="000D7C2A" w:rsidRPr="000D7C2A">
              <w:rPr>
                <w:rFonts w:asciiTheme="minorHAnsi" w:eastAsia="Times New Roman" w:hAnsiTheme="minorHAnsi" w:cstheme="minorHAnsi"/>
                <w:color w:val="000000"/>
              </w:rPr>
              <w:t xml:space="preserve">Antiphospholipid syndrome: frequency, main causes </w:t>
            </w:r>
            <w:r w:rsidR="0010145F">
              <w:rPr>
                <w:rFonts w:asciiTheme="minorHAnsi" w:eastAsia="Times New Roman" w:hAnsiTheme="minorHAnsi" w:cstheme="minorHAnsi"/>
                <w:color w:val="000000"/>
              </w:rPr>
              <w:t xml:space="preserve">and risk factors of mortality. </w:t>
            </w:r>
            <w:r w:rsidR="000D7C2A" w:rsidRPr="0010145F">
              <w:rPr>
                <w:rFonts w:asciiTheme="minorHAnsi" w:eastAsia="Times New Roman" w:hAnsiTheme="minorHAnsi" w:cstheme="minorHAnsi"/>
                <w:i/>
                <w:color w:val="000000"/>
              </w:rPr>
              <w:t>Nature Reviews: Rheumatology</w:t>
            </w:r>
            <w:r w:rsidR="0010145F">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6:</w:t>
            </w:r>
            <w:r w:rsidR="000D7C2A" w:rsidRPr="000D7C2A">
              <w:rPr>
                <w:rFonts w:asciiTheme="minorHAnsi" w:eastAsia="Times New Roman" w:hAnsiTheme="minorHAnsi" w:cstheme="minorHAnsi"/>
                <w:color w:val="000000"/>
              </w:rPr>
              <w:t>297- 300.</w:t>
            </w:r>
          </w:p>
          <w:p w14:paraId="0E123BBD" w14:textId="25F26923" w:rsidR="00A30295" w:rsidRDefault="00723B86" w:rsidP="00EC2F60">
            <w:pPr>
              <w:spacing w:line="20" w:lineRule="atLeast"/>
              <w:rPr>
                <w:rStyle w:val="Hyperlink"/>
                <w:rFonts w:asciiTheme="minorHAnsi" w:eastAsia="Times New Roman" w:hAnsiTheme="minorHAnsi" w:cstheme="minorHAnsi"/>
                <w:color w:val="808080" w:themeColor="background1" w:themeShade="80"/>
              </w:rPr>
            </w:pPr>
            <w:hyperlink r:id="rId21" w:history="1">
              <w:r w:rsidR="00A30295" w:rsidRPr="00A30295">
                <w:rPr>
                  <w:rStyle w:val="Hyperlink"/>
                  <w:rFonts w:asciiTheme="minorHAnsi" w:eastAsia="Times New Roman" w:hAnsiTheme="minorHAnsi" w:cstheme="minorHAnsi"/>
                  <w:color w:val="808080" w:themeColor="background1" w:themeShade="80"/>
                </w:rPr>
                <w:t>https://www.ncbi.nlm.nih.gov/pubmed/20386563</w:t>
              </w:r>
            </w:hyperlink>
          </w:p>
          <w:p w14:paraId="71C891B2" w14:textId="77777777" w:rsidR="009C24A8" w:rsidRDefault="009C24A8" w:rsidP="00EC2F60">
            <w:pPr>
              <w:spacing w:line="20" w:lineRule="atLeast"/>
              <w:rPr>
                <w:rStyle w:val="Hyperlink"/>
                <w:rFonts w:asciiTheme="minorHAnsi" w:eastAsia="Times New Roman" w:hAnsiTheme="minorHAnsi" w:cstheme="minorHAnsi"/>
                <w:color w:val="808080" w:themeColor="background1" w:themeShade="80"/>
              </w:rPr>
            </w:pPr>
          </w:p>
          <w:p w14:paraId="5B05A104" w14:textId="7CA1905E" w:rsidR="009C24A8" w:rsidRPr="009C24A8" w:rsidRDefault="009C24A8" w:rsidP="00EC2F60">
            <w:pPr>
              <w:spacing w:line="20" w:lineRule="atLeast"/>
              <w:rPr>
                <w:rFonts w:asciiTheme="minorHAnsi" w:eastAsia="Times New Roman" w:hAnsiTheme="minorHAnsi" w:cstheme="minorHAnsi"/>
                <w:color w:val="808080" w:themeColor="background1" w:themeShade="80"/>
              </w:rPr>
            </w:pPr>
            <w:r w:rsidRPr="009C24A8">
              <w:rPr>
                <w:rFonts w:asciiTheme="minorHAnsi" w:eastAsia="Times New Roman" w:hAnsiTheme="minorHAnsi" w:cstheme="minorHAnsi"/>
                <w:color w:val="000000"/>
              </w:rPr>
              <w:t>Ontario Regional Blood Coordinating Network (2016). Ontario Intravenous Immune Globulin (</w:t>
            </w:r>
            <w:r w:rsidR="00C82DA6">
              <w:rPr>
                <w:rFonts w:asciiTheme="minorHAnsi" w:eastAsia="Times New Roman" w:hAnsiTheme="minorHAnsi" w:cstheme="minorHAnsi"/>
                <w:color w:val="000000"/>
              </w:rPr>
              <w:t>IVIG</w:t>
            </w:r>
            <w:r w:rsidRPr="009C24A8">
              <w:rPr>
                <w:rFonts w:asciiTheme="minorHAnsi" w:eastAsia="Times New Roman" w:hAnsiTheme="minorHAnsi" w:cstheme="minorHAnsi"/>
                <w:color w:val="000000"/>
              </w:rPr>
              <w:t xml:space="preserve">) Utilization Management Guidelines, Version 3.0. [online]. Available at: </w:t>
            </w:r>
            <w:r w:rsidRPr="009C24A8">
              <w:rPr>
                <w:rFonts w:asciiTheme="minorHAnsi" w:eastAsia="Times New Roman" w:hAnsiTheme="minorHAnsi" w:cstheme="minorHAnsi"/>
                <w:color w:val="808080" w:themeColor="background1" w:themeShade="80"/>
              </w:rPr>
              <w:t>http://transfusionontario.org/en/download/ontario-intravenous-immune-globulin-</w:t>
            </w:r>
            <w:r w:rsidR="00C82DA6">
              <w:rPr>
                <w:rFonts w:asciiTheme="minorHAnsi" w:eastAsia="Times New Roman" w:hAnsiTheme="minorHAnsi" w:cstheme="minorHAnsi"/>
                <w:color w:val="808080" w:themeColor="background1" w:themeShade="80"/>
              </w:rPr>
              <w:t>IVIg</w:t>
            </w:r>
            <w:r w:rsidRPr="009C24A8">
              <w:rPr>
                <w:rFonts w:asciiTheme="minorHAnsi" w:eastAsia="Times New Roman" w:hAnsiTheme="minorHAnsi" w:cstheme="minorHAnsi"/>
                <w:color w:val="808080" w:themeColor="background1" w:themeShade="80"/>
              </w:rPr>
              <w:t>-utilization-management-guidelines-2/.</w:t>
            </w:r>
          </w:p>
          <w:p w14:paraId="70B91D9F" w14:textId="720B0D18" w:rsidR="00EC2F60" w:rsidRPr="00EC2F60" w:rsidRDefault="00EC2F60" w:rsidP="00EC2F60">
            <w:pPr>
              <w:spacing w:before="120"/>
              <w:ind w:left="34"/>
              <w:rPr>
                <w:rFonts w:asciiTheme="minorHAnsi" w:eastAsia="Times New Roman" w:hAnsiTheme="minorHAnsi" w:cstheme="minorHAnsi"/>
                <w:color w:val="808080" w:themeColor="background1" w:themeShade="80"/>
              </w:rPr>
            </w:pPr>
            <w:r w:rsidRPr="00EC2F60">
              <w:rPr>
                <w:rFonts w:asciiTheme="minorHAnsi" w:eastAsia="Times New Roman" w:hAnsiTheme="minorHAnsi" w:cstheme="minorHAnsi"/>
                <w:color w:val="000000"/>
              </w:rPr>
              <w:t xml:space="preserve">UK Department of Health (2011) Clinical Guidelines for Immunoglobulin Use: Second Edition Update. Available at: </w:t>
            </w:r>
            <w:r w:rsidRPr="00EC2F60">
              <w:rPr>
                <w:rFonts w:asciiTheme="minorHAnsi" w:eastAsia="Times New Roman" w:hAnsiTheme="minorHAnsi" w:cstheme="minorHAnsi"/>
                <w:color w:val="808080" w:themeColor="background1" w:themeShade="80"/>
              </w:rPr>
              <w:t>https://www.gov.uk/government/uploads/system/uploads/attachment_data/file/216671/dh_131107.pdf</w:t>
            </w:r>
          </w:p>
          <w:p w14:paraId="14748713" w14:textId="08B26163" w:rsidR="00A30295" w:rsidRPr="00A35C63" w:rsidRDefault="00EC2F60" w:rsidP="00EC2F60">
            <w:pPr>
              <w:spacing w:before="120"/>
              <w:ind w:left="34"/>
              <w:rPr>
                <w:rFonts w:asciiTheme="minorHAnsi" w:eastAsia="Times New Roman" w:hAnsiTheme="minorHAnsi" w:cstheme="minorHAnsi"/>
                <w:color w:val="000000"/>
              </w:rPr>
            </w:pPr>
            <w:r w:rsidRPr="00EC2F60">
              <w:rPr>
                <w:rFonts w:asciiTheme="minorHAnsi" w:eastAsia="Times New Roman" w:hAnsiTheme="minorHAnsi" w:cstheme="minorHAnsi"/>
                <w:color w:val="000000"/>
              </w:rPr>
              <w:t xml:space="preserve">UK Department of Health (2011) Clinical Guidelines for Immunoglobulin Use: Second Edition Update: Summary Poster. Available at: </w:t>
            </w:r>
            <w:r w:rsidRPr="00EC2F60">
              <w:rPr>
                <w:rFonts w:asciiTheme="minorHAnsi" w:eastAsia="Times New Roman" w:hAnsiTheme="minorHAnsi" w:cstheme="minorHAnsi"/>
                <w:color w:val="808080" w:themeColor="background1" w:themeShade="80"/>
              </w:rPr>
              <w:t>https://www.igd.nhs.uk/wp-content/uploads/2016/04/DemandManagementPoster_v4_February2016.pdf</w:t>
            </w:r>
          </w:p>
        </w:tc>
      </w:tr>
    </w:tbl>
    <w:p w14:paraId="0F7B6CDC"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418"/>
        <w:gridCol w:w="4677"/>
      </w:tblGrid>
      <w:tr w:rsidR="004A10A2" w:rsidRPr="00021243" w14:paraId="1F6AE6B1" w14:textId="77777777" w:rsidTr="008612AB">
        <w:tc>
          <w:tcPr>
            <w:tcW w:w="14601" w:type="dxa"/>
            <w:gridSpan w:val="7"/>
            <w:shd w:val="clear" w:color="auto" w:fill="F79646" w:themeFill="accent6"/>
          </w:tcPr>
          <w:p w14:paraId="0D0BF962"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6E4E0A14" w14:textId="77777777" w:rsidTr="008612AB">
        <w:tc>
          <w:tcPr>
            <w:tcW w:w="14601" w:type="dxa"/>
            <w:gridSpan w:val="7"/>
            <w:shd w:val="clear" w:color="auto" w:fill="auto"/>
          </w:tcPr>
          <w:p w14:paraId="0174863A" w14:textId="66F0FC1C" w:rsidR="00EA2E82" w:rsidRPr="00EA2E82" w:rsidRDefault="00F6430E" w:rsidP="004A10A2">
            <w:pPr>
              <w:spacing w:before="120" w:after="120"/>
              <w:rPr>
                <w:rFonts w:asciiTheme="minorHAnsi" w:hAnsiTheme="minorHAnsi"/>
              </w:rPr>
            </w:pPr>
            <w:r>
              <w:rPr>
                <w:rFonts w:asciiTheme="minorHAnsi" w:hAnsiTheme="minorHAnsi"/>
              </w:rPr>
              <w:t>There is not anticipated to be any operational impact as a result of these changes. Any relapse is likely to occur after 6 months and patients would need to re</w:t>
            </w:r>
            <w:r w:rsidR="007241EF">
              <w:rPr>
                <w:rFonts w:asciiTheme="minorHAnsi" w:hAnsiTheme="minorHAnsi"/>
              </w:rPr>
              <w:t>-</w:t>
            </w:r>
            <w:r>
              <w:rPr>
                <w:rFonts w:asciiTheme="minorHAnsi" w:hAnsiTheme="minorHAnsi"/>
              </w:rPr>
              <w:t>qualify for Ig treatm</w:t>
            </w:r>
            <w:r w:rsidR="007241EF">
              <w:rPr>
                <w:rFonts w:asciiTheme="minorHAnsi" w:hAnsiTheme="minorHAnsi"/>
              </w:rPr>
              <w:t>ent, when</w:t>
            </w:r>
            <w:r>
              <w:rPr>
                <w:rFonts w:asciiTheme="minorHAnsi" w:hAnsiTheme="minorHAnsi"/>
              </w:rPr>
              <w:t xml:space="preserve"> necessary.   </w:t>
            </w:r>
          </w:p>
        </w:tc>
      </w:tr>
      <w:tr w:rsidR="004A10A2" w:rsidRPr="00021243" w14:paraId="7A31C6C3" w14:textId="77777777" w:rsidTr="008612AB">
        <w:tc>
          <w:tcPr>
            <w:tcW w:w="14601" w:type="dxa"/>
            <w:gridSpan w:val="7"/>
            <w:shd w:val="clear" w:color="auto" w:fill="F79646" w:themeFill="accent6"/>
          </w:tcPr>
          <w:p w14:paraId="42E58525"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14:paraId="0280B75C" w14:textId="77777777" w:rsidTr="00832D0D">
        <w:tc>
          <w:tcPr>
            <w:tcW w:w="3545" w:type="dxa"/>
            <w:gridSpan w:val="2"/>
            <w:shd w:val="clear" w:color="auto" w:fill="auto"/>
          </w:tcPr>
          <w:p w14:paraId="62A31D60" w14:textId="77777777"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4E339F1B" w14:textId="168A1AB9" w:rsidR="00077561" w:rsidRDefault="00077561" w:rsidP="00463B23">
            <w:pPr>
              <w:spacing w:before="120" w:after="120"/>
              <w:rPr>
                <w:rFonts w:asciiTheme="minorHAnsi" w:eastAsia="Times New Roman" w:hAnsiTheme="minorHAnsi" w:cs="Times New Roman"/>
                <w:bCs/>
                <w:lang w:eastAsia="en-AU"/>
              </w:rPr>
            </w:pPr>
            <w:r>
              <w:rPr>
                <w:rFonts w:asciiTheme="minorHAnsi" w:hAnsiTheme="minorHAnsi"/>
              </w:rPr>
              <w:t>Given that treatment is short lived to manage any acute episode, t</w:t>
            </w:r>
            <w:r>
              <w:rPr>
                <w:rFonts w:asciiTheme="minorHAnsi" w:eastAsia="Times New Roman" w:hAnsiTheme="minorHAnsi" w:cs="Times New Roman"/>
                <w:bCs/>
                <w:lang w:eastAsia="en-AU"/>
              </w:rPr>
              <w:t>hese criteria are anticipated to align with current clinical practice and will support the ongoing treatment of any existing patients requiring treatment at the time of implementat</w:t>
            </w:r>
            <w:r w:rsidR="00F01D3D">
              <w:rPr>
                <w:rFonts w:asciiTheme="minorHAnsi" w:eastAsia="Times New Roman" w:hAnsiTheme="minorHAnsi" w:cs="Times New Roman"/>
                <w:bCs/>
                <w:lang w:eastAsia="en-AU"/>
              </w:rPr>
              <w:t>ion, should that be required. As a result,</w:t>
            </w:r>
            <w:r>
              <w:rPr>
                <w:rFonts w:asciiTheme="minorHAnsi" w:eastAsia="Times New Roman" w:hAnsiTheme="minorHAnsi" w:cs="Times New Roman"/>
                <w:bCs/>
                <w:lang w:eastAsia="en-AU"/>
              </w:rPr>
              <w:t xml:space="preserve"> there is not expected to be any impact on patients as a result of these changes. </w:t>
            </w:r>
          </w:p>
          <w:p w14:paraId="581DD17E" w14:textId="2D6B9CE3" w:rsidR="00077561" w:rsidRDefault="00077561" w:rsidP="00463B23">
            <w:pPr>
              <w:spacing w:before="120" w:after="120"/>
              <w:rPr>
                <w:rFonts w:asciiTheme="minorHAnsi" w:eastAsia="Times New Roman" w:hAnsiTheme="minorHAnsi" w:cs="Times New Roman"/>
                <w:bCs/>
                <w:lang w:eastAsia="en-AU"/>
              </w:rPr>
            </w:pPr>
            <w:r>
              <w:rPr>
                <w:rFonts w:asciiTheme="minorHAnsi" w:hAnsiTheme="minorHAnsi"/>
              </w:rPr>
              <w:t xml:space="preserve">Treatment of acute episodes involves a number of therapies used in combination to stop the clotting process and reduce the level of triggering antibodies, and Ig therapy may play a role when these some of these treatments are unavailable or unsuccessful in achieving a response.  Requests can continue to be made for acute attacks as required. </w:t>
            </w:r>
          </w:p>
          <w:p w14:paraId="15D3E09D" w14:textId="77777777" w:rsidR="00832D0D" w:rsidRDefault="00D53A9C" w:rsidP="00463B23">
            <w:pPr>
              <w:spacing w:before="120" w:after="120"/>
              <w:rPr>
                <w:rFonts w:asciiTheme="minorHAnsi" w:hAnsiTheme="minorHAnsi"/>
              </w:rPr>
            </w:pPr>
            <w:r>
              <w:rPr>
                <w:rFonts w:asciiTheme="minorHAnsi" w:hAnsiTheme="minorHAnsi"/>
              </w:rPr>
              <w:t xml:space="preserve">The formal access criteria proposed for this condition require that either a haematologist or a clinical immunologist makes the diagnosis and manages the treatment. This is because CAPS is a very rare condition, and is usually treated by these specialists.  </w:t>
            </w:r>
          </w:p>
          <w:p w14:paraId="26AAD381" w14:textId="2D223EE7" w:rsidR="00606296" w:rsidRPr="00832D0D" w:rsidRDefault="00606296" w:rsidP="00463B23">
            <w:pPr>
              <w:spacing w:before="120" w:after="120"/>
              <w:rPr>
                <w:rFonts w:asciiTheme="minorHAnsi" w:hAnsiTheme="minorHAnsi"/>
              </w:rPr>
            </w:pPr>
          </w:p>
        </w:tc>
      </w:tr>
      <w:tr w:rsidR="00F6430E" w:rsidRPr="00021243" w14:paraId="56407FBE" w14:textId="77777777" w:rsidTr="00832D0D">
        <w:tc>
          <w:tcPr>
            <w:tcW w:w="3545" w:type="dxa"/>
            <w:gridSpan w:val="2"/>
            <w:shd w:val="clear" w:color="auto" w:fill="auto"/>
          </w:tcPr>
          <w:p w14:paraId="7F052152" w14:textId="196D41A6" w:rsidR="00F6430E" w:rsidRDefault="00F6430E"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14:paraId="02DC3DEE" w14:textId="0354A976" w:rsidR="00F6430E" w:rsidRDefault="00F6430E" w:rsidP="004A10A2">
            <w:pPr>
              <w:spacing w:before="120" w:after="120"/>
              <w:rPr>
                <w:rFonts w:asciiTheme="minorHAnsi" w:hAnsiTheme="minorHAnsi"/>
              </w:rPr>
            </w:pPr>
            <w:r>
              <w:rPr>
                <w:rFonts w:asciiTheme="minorHAnsi" w:hAnsiTheme="minorHAnsi"/>
              </w:rPr>
              <w:t>There is not expected to be any impact on demand</w:t>
            </w:r>
            <w:r w:rsidR="007241EF">
              <w:rPr>
                <w:rFonts w:asciiTheme="minorHAnsi" w:hAnsiTheme="minorHAnsi"/>
              </w:rPr>
              <w:t xml:space="preserve"> as a result of these changes</w:t>
            </w:r>
            <w:r>
              <w:rPr>
                <w:rFonts w:asciiTheme="minorHAnsi" w:hAnsiTheme="minorHAnsi"/>
              </w:rPr>
              <w:t xml:space="preserve">. </w:t>
            </w:r>
          </w:p>
        </w:tc>
      </w:tr>
      <w:tr w:rsidR="00020E3D" w:rsidRPr="00853117" w14:paraId="7441002B" w14:textId="77777777" w:rsidTr="00020E3D">
        <w:trPr>
          <w:trHeight w:val="566"/>
        </w:trPr>
        <w:tc>
          <w:tcPr>
            <w:tcW w:w="2161" w:type="dxa"/>
            <w:shd w:val="clear" w:color="auto" w:fill="auto"/>
          </w:tcPr>
          <w:p w14:paraId="1F070071" w14:textId="77777777" w:rsidR="00020E3D" w:rsidRPr="00794552" w:rsidRDefault="00020E3D" w:rsidP="004A10A2">
            <w:pPr>
              <w:spacing w:before="120" w:after="120"/>
              <w:rPr>
                <w:rFonts w:asciiTheme="minorHAnsi" w:hAnsiTheme="minorHAnsi"/>
                <w:b/>
                <w:sz w:val="18"/>
                <w:szCs w:val="18"/>
              </w:rPr>
            </w:pPr>
          </w:p>
        </w:tc>
        <w:tc>
          <w:tcPr>
            <w:tcW w:w="1384" w:type="dxa"/>
            <w:shd w:val="clear" w:color="auto" w:fill="auto"/>
          </w:tcPr>
          <w:p w14:paraId="6AA8B57C"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2011-12</w:t>
            </w:r>
          </w:p>
        </w:tc>
        <w:tc>
          <w:tcPr>
            <w:tcW w:w="1593" w:type="dxa"/>
            <w:shd w:val="clear" w:color="auto" w:fill="auto"/>
          </w:tcPr>
          <w:p w14:paraId="65473CFF"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2012-13</w:t>
            </w:r>
          </w:p>
        </w:tc>
        <w:tc>
          <w:tcPr>
            <w:tcW w:w="1667" w:type="dxa"/>
            <w:shd w:val="clear" w:color="auto" w:fill="auto"/>
          </w:tcPr>
          <w:p w14:paraId="78FBF280"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2013-14</w:t>
            </w:r>
          </w:p>
        </w:tc>
        <w:tc>
          <w:tcPr>
            <w:tcW w:w="1701" w:type="dxa"/>
            <w:shd w:val="clear" w:color="auto" w:fill="auto"/>
          </w:tcPr>
          <w:p w14:paraId="74931FF8"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2014-15</w:t>
            </w:r>
          </w:p>
        </w:tc>
        <w:tc>
          <w:tcPr>
            <w:tcW w:w="1418" w:type="dxa"/>
            <w:shd w:val="clear" w:color="auto" w:fill="auto"/>
          </w:tcPr>
          <w:p w14:paraId="4B3E5684" w14:textId="77777777" w:rsidR="00020E3D" w:rsidRPr="00794552" w:rsidRDefault="00020E3D" w:rsidP="00020E3D">
            <w:pPr>
              <w:spacing w:before="120" w:after="120"/>
              <w:jc w:val="right"/>
              <w:rPr>
                <w:rFonts w:asciiTheme="minorHAnsi" w:hAnsiTheme="minorHAnsi" w:cs="Helvetica"/>
                <w:b/>
                <w:color w:val="333333"/>
                <w:sz w:val="18"/>
                <w:szCs w:val="18"/>
              </w:rPr>
            </w:pPr>
            <w:r w:rsidRPr="00794552">
              <w:rPr>
                <w:rFonts w:asciiTheme="minorHAnsi" w:hAnsiTheme="minorHAnsi" w:cs="Helvetica"/>
                <w:b/>
                <w:color w:val="333333"/>
                <w:sz w:val="18"/>
                <w:szCs w:val="18"/>
              </w:rPr>
              <w:t>2015-16</w:t>
            </w:r>
          </w:p>
        </w:tc>
        <w:tc>
          <w:tcPr>
            <w:tcW w:w="4677" w:type="dxa"/>
            <w:vMerge w:val="restart"/>
            <w:shd w:val="clear" w:color="auto" w:fill="auto"/>
          </w:tcPr>
          <w:p w14:paraId="7ED31835" w14:textId="77777777" w:rsidR="007241EF" w:rsidRPr="00794552" w:rsidRDefault="007241EF" w:rsidP="00020E3D">
            <w:pPr>
              <w:rPr>
                <w:rFonts w:asciiTheme="minorHAnsi" w:hAnsiTheme="minorHAnsi"/>
                <w:sz w:val="18"/>
                <w:szCs w:val="18"/>
              </w:rPr>
            </w:pPr>
          </w:p>
          <w:p w14:paraId="3189F5AC" w14:textId="0F4DC6E0" w:rsidR="00020E3D" w:rsidRPr="00794552" w:rsidRDefault="00020E3D" w:rsidP="00020E3D">
            <w:pPr>
              <w:rPr>
                <w:rFonts w:asciiTheme="minorHAnsi" w:hAnsiTheme="minorHAnsi"/>
                <w:sz w:val="18"/>
                <w:szCs w:val="18"/>
              </w:rPr>
            </w:pPr>
            <w:r w:rsidRPr="00794552">
              <w:rPr>
                <w:rFonts w:asciiTheme="minorHAnsi" w:hAnsiTheme="minorHAnsi"/>
                <w:sz w:val="18"/>
                <w:szCs w:val="18"/>
              </w:rPr>
              <w:t xml:space="preserve">The </w:t>
            </w:r>
            <w:r w:rsidR="003D624C">
              <w:rPr>
                <w:rFonts w:asciiTheme="minorHAnsi" w:hAnsiTheme="minorHAnsi"/>
                <w:sz w:val="18"/>
                <w:szCs w:val="18"/>
              </w:rPr>
              <w:t>Specialist Working Group</w:t>
            </w:r>
            <w:r w:rsidR="003D624C" w:rsidRPr="00794552">
              <w:rPr>
                <w:rFonts w:asciiTheme="minorHAnsi" w:hAnsiTheme="minorHAnsi"/>
                <w:sz w:val="18"/>
                <w:szCs w:val="18"/>
              </w:rPr>
              <w:t xml:space="preserve"> </w:t>
            </w:r>
            <w:r w:rsidRPr="00794552">
              <w:rPr>
                <w:rFonts w:asciiTheme="minorHAnsi" w:hAnsiTheme="minorHAnsi"/>
                <w:sz w:val="18"/>
                <w:szCs w:val="18"/>
              </w:rPr>
              <w:t>estimated magnitude of effect:</w:t>
            </w:r>
          </w:p>
          <w:p w14:paraId="0144582E" w14:textId="41DE2DA3" w:rsidR="00020E3D" w:rsidRPr="00794552" w:rsidRDefault="00020E3D" w:rsidP="00020E3D">
            <w:pPr>
              <w:rPr>
                <w:rFonts w:asciiTheme="minorHAnsi" w:hAnsiTheme="minorHAnsi"/>
                <w:sz w:val="18"/>
                <w:szCs w:val="18"/>
              </w:rPr>
            </w:pPr>
            <w:r w:rsidRPr="00794552">
              <w:rPr>
                <w:rFonts w:asciiTheme="minorHAnsi" w:hAnsiTheme="minorHAnsi"/>
                <w:sz w:val="18"/>
                <w:szCs w:val="18"/>
              </w:rPr>
              <w:t>No impact</w:t>
            </w:r>
            <w:r w:rsidR="00A93910">
              <w:rPr>
                <w:rFonts w:asciiTheme="minorHAnsi" w:hAnsiTheme="minorHAnsi"/>
                <w:sz w:val="18"/>
                <w:szCs w:val="18"/>
              </w:rPr>
              <w:t xml:space="preserve"> against projected demand</w:t>
            </w:r>
          </w:p>
          <w:p w14:paraId="35F7889F" w14:textId="77777777" w:rsidR="00020E3D" w:rsidRPr="00794552" w:rsidRDefault="00020E3D" w:rsidP="004A10A2">
            <w:pPr>
              <w:spacing w:before="120" w:after="120"/>
              <w:rPr>
                <w:rFonts w:asciiTheme="minorHAnsi" w:hAnsiTheme="minorHAnsi"/>
                <w:b/>
                <w:sz w:val="18"/>
                <w:szCs w:val="18"/>
              </w:rPr>
            </w:pPr>
          </w:p>
        </w:tc>
      </w:tr>
      <w:tr w:rsidR="00020E3D" w:rsidRPr="00853117" w14:paraId="05CDEC65" w14:textId="77777777" w:rsidTr="00020E3D">
        <w:tc>
          <w:tcPr>
            <w:tcW w:w="2161" w:type="dxa"/>
            <w:shd w:val="clear" w:color="auto" w:fill="auto"/>
          </w:tcPr>
          <w:p w14:paraId="7CB07711" w14:textId="77777777" w:rsidR="00020E3D" w:rsidRPr="00C92149" w:rsidRDefault="00020E3D"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14:paraId="18D4B459" w14:textId="77777777" w:rsidR="00020E3D" w:rsidRPr="00987422" w:rsidRDefault="00020E3D" w:rsidP="00A86747">
            <w:pPr>
              <w:spacing w:before="120" w:after="120"/>
              <w:jc w:val="right"/>
              <w:rPr>
                <w:rFonts w:asciiTheme="minorHAnsi" w:hAnsiTheme="minorHAnsi" w:cs="Helvetica"/>
                <w:b/>
                <w:color w:val="333333"/>
                <w:sz w:val="18"/>
                <w:szCs w:val="18"/>
              </w:rPr>
            </w:pPr>
            <w:r w:rsidRPr="00987422">
              <w:rPr>
                <w:rFonts w:asciiTheme="minorHAnsi" w:hAnsiTheme="minorHAnsi" w:cs="Helvetica"/>
                <w:b/>
                <w:color w:val="333333"/>
                <w:sz w:val="18"/>
                <w:szCs w:val="18"/>
              </w:rPr>
              <w:t>13</w:t>
            </w:r>
          </w:p>
        </w:tc>
        <w:tc>
          <w:tcPr>
            <w:tcW w:w="1593" w:type="dxa"/>
            <w:shd w:val="clear" w:color="auto" w:fill="auto"/>
          </w:tcPr>
          <w:p w14:paraId="331786D6" w14:textId="77777777" w:rsidR="00020E3D" w:rsidRPr="00987422" w:rsidRDefault="00020E3D" w:rsidP="00A86747">
            <w:pPr>
              <w:spacing w:before="120" w:after="120"/>
              <w:jc w:val="right"/>
              <w:rPr>
                <w:rFonts w:asciiTheme="minorHAnsi" w:hAnsiTheme="minorHAnsi" w:cs="Helvetica"/>
                <w:b/>
                <w:color w:val="333333"/>
                <w:sz w:val="18"/>
                <w:szCs w:val="18"/>
              </w:rPr>
            </w:pPr>
            <w:r w:rsidRPr="00987422">
              <w:rPr>
                <w:rFonts w:asciiTheme="minorHAnsi" w:hAnsiTheme="minorHAnsi" w:cs="Helvetica"/>
                <w:b/>
                <w:color w:val="333333"/>
                <w:sz w:val="18"/>
                <w:szCs w:val="18"/>
              </w:rPr>
              <w:t>17</w:t>
            </w:r>
          </w:p>
        </w:tc>
        <w:tc>
          <w:tcPr>
            <w:tcW w:w="1667" w:type="dxa"/>
            <w:shd w:val="clear" w:color="auto" w:fill="auto"/>
          </w:tcPr>
          <w:p w14:paraId="289C84AE" w14:textId="77777777" w:rsidR="00020E3D" w:rsidRPr="00987422" w:rsidRDefault="00020E3D" w:rsidP="00A86747">
            <w:pPr>
              <w:spacing w:before="120" w:after="120"/>
              <w:jc w:val="right"/>
              <w:rPr>
                <w:rFonts w:asciiTheme="minorHAnsi" w:hAnsiTheme="minorHAnsi" w:cs="Helvetica"/>
                <w:b/>
                <w:color w:val="333333"/>
                <w:sz w:val="18"/>
                <w:szCs w:val="18"/>
              </w:rPr>
            </w:pPr>
            <w:r w:rsidRPr="00987422">
              <w:rPr>
                <w:rFonts w:asciiTheme="minorHAnsi" w:hAnsiTheme="minorHAnsi" w:cs="Helvetica"/>
                <w:b/>
                <w:color w:val="333333"/>
                <w:sz w:val="18"/>
                <w:szCs w:val="18"/>
              </w:rPr>
              <w:t>24</w:t>
            </w:r>
          </w:p>
        </w:tc>
        <w:tc>
          <w:tcPr>
            <w:tcW w:w="1701" w:type="dxa"/>
            <w:shd w:val="clear" w:color="auto" w:fill="auto"/>
          </w:tcPr>
          <w:p w14:paraId="179ABEE3" w14:textId="77777777" w:rsidR="00020E3D" w:rsidRPr="00987422" w:rsidRDefault="00020E3D" w:rsidP="00A86747">
            <w:pPr>
              <w:spacing w:before="120" w:after="120"/>
              <w:jc w:val="right"/>
              <w:rPr>
                <w:rFonts w:asciiTheme="minorHAnsi" w:hAnsiTheme="minorHAnsi" w:cs="Helvetica"/>
                <w:b/>
                <w:color w:val="333333"/>
                <w:sz w:val="18"/>
                <w:szCs w:val="18"/>
              </w:rPr>
            </w:pPr>
            <w:r w:rsidRPr="00987422">
              <w:rPr>
                <w:rFonts w:asciiTheme="minorHAnsi" w:hAnsiTheme="minorHAnsi" w:cs="Helvetica"/>
                <w:b/>
                <w:color w:val="333333"/>
                <w:sz w:val="18"/>
                <w:szCs w:val="18"/>
              </w:rPr>
              <w:t>19</w:t>
            </w:r>
          </w:p>
        </w:tc>
        <w:tc>
          <w:tcPr>
            <w:tcW w:w="1418" w:type="dxa"/>
            <w:shd w:val="clear" w:color="auto" w:fill="auto"/>
          </w:tcPr>
          <w:p w14:paraId="2699BC5E" w14:textId="77777777" w:rsidR="00020E3D" w:rsidRPr="00020E3D" w:rsidRDefault="00CE3374" w:rsidP="00020E3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13</w:t>
            </w:r>
          </w:p>
        </w:tc>
        <w:tc>
          <w:tcPr>
            <w:tcW w:w="4677" w:type="dxa"/>
            <w:vMerge/>
            <w:shd w:val="clear" w:color="auto" w:fill="auto"/>
          </w:tcPr>
          <w:p w14:paraId="72DC3AF0" w14:textId="77777777" w:rsidR="00020E3D" w:rsidRPr="00C92149" w:rsidRDefault="00020E3D" w:rsidP="004A10A2">
            <w:pPr>
              <w:spacing w:before="120" w:after="120"/>
              <w:rPr>
                <w:rFonts w:asciiTheme="minorHAnsi" w:hAnsiTheme="minorHAnsi"/>
                <w:b/>
                <w:sz w:val="18"/>
                <w:szCs w:val="18"/>
              </w:rPr>
            </w:pPr>
          </w:p>
        </w:tc>
      </w:tr>
      <w:tr w:rsidR="00020E3D" w:rsidRPr="00853117" w14:paraId="66261272" w14:textId="77777777" w:rsidTr="00020E3D">
        <w:trPr>
          <w:trHeight w:val="535"/>
        </w:trPr>
        <w:tc>
          <w:tcPr>
            <w:tcW w:w="2161" w:type="dxa"/>
            <w:shd w:val="clear" w:color="auto" w:fill="auto"/>
          </w:tcPr>
          <w:p w14:paraId="47F2A50D" w14:textId="77777777" w:rsidR="00020E3D" w:rsidRPr="00C92149" w:rsidRDefault="00020E3D"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42B2ACB4" w14:textId="77777777" w:rsidR="00020E3D" w:rsidRPr="00987422" w:rsidRDefault="00020E3D" w:rsidP="00A86747">
            <w:pPr>
              <w:spacing w:before="120" w:after="120"/>
              <w:jc w:val="right"/>
              <w:rPr>
                <w:rFonts w:asciiTheme="minorHAnsi" w:hAnsiTheme="minorHAnsi" w:cs="Helvetica"/>
                <w:b/>
                <w:color w:val="333333"/>
                <w:sz w:val="18"/>
                <w:szCs w:val="18"/>
              </w:rPr>
            </w:pPr>
            <w:r w:rsidRPr="00987422">
              <w:rPr>
                <w:rFonts w:asciiTheme="minorHAnsi" w:hAnsiTheme="minorHAnsi" w:cs="Helvetica"/>
                <w:b/>
                <w:color w:val="333333"/>
                <w:sz w:val="18"/>
                <w:szCs w:val="18"/>
              </w:rPr>
              <w:t>3,542</w:t>
            </w:r>
          </w:p>
        </w:tc>
        <w:tc>
          <w:tcPr>
            <w:tcW w:w="1593" w:type="dxa"/>
            <w:shd w:val="clear" w:color="auto" w:fill="auto"/>
            <w:vAlign w:val="bottom"/>
          </w:tcPr>
          <w:p w14:paraId="5B984C15" w14:textId="77777777" w:rsidR="00020E3D" w:rsidRPr="00987422" w:rsidRDefault="00020E3D" w:rsidP="00A86747">
            <w:pPr>
              <w:spacing w:before="120" w:after="120"/>
              <w:jc w:val="right"/>
              <w:rPr>
                <w:rFonts w:asciiTheme="minorHAnsi" w:hAnsiTheme="minorHAnsi" w:cs="Helvetica"/>
                <w:b/>
                <w:color w:val="333333"/>
                <w:sz w:val="18"/>
                <w:szCs w:val="18"/>
              </w:rPr>
            </w:pPr>
            <w:r w:rsidRPr="00987422">
              <w:rPr>
                <w:rFonts w:asciiTheme="minorHAnsi" w:hAnsiTheme="minorHAnsi" w:cs="Helvetica"/>
                <w:b/>
                <w:color w:val="333333"/>
                <w:sz w:val="18"/>
                <w:szCs w:val="18"/>
              </w:rPr>
              <w:t>2,684</w:t>
            </w:r>
          </w:p>
        </w:tc>
        <w:tc>
          <w:tcPr>
            <w:tcW w:w="1667" w:type="dxa"/>
            <w:shd w:val="clear" w:color="auto" w:fill="auto"/>
            <w:vAlign w:val="bottom"/>
          </w:tcPr>
          <w:p w14:paraId="7CABA189" w14:textId="77777777" w:rsidR="00020E3D" w:rsidRPr="00987422" w:rsidRDefault="00020E3D" w:rsidP="00A86747">
            <w:pPr>
              <w:spacing w:before="120" w:after="120"/>
              <w:jc w:val="right"/>
              <w:rPr>
                <w:rFonts w:asciiTheme="minorHAnsi" w:hAnsiTheme="minorHAnsi" w:cs="Helvetica"/>
                <w:b/>
                <w:color w:val="333333"/>
                <w:sz w:val="18"/>
                <w:szCs w:val="18"/>
              </w:rPr>
            </w:pPr>
            <w:r w:rsidRPr="00987422">
              <w:rPr>
                <w:rFonts w:asciiTheme="minorHAnsi" w:hAnsiTheme="minorHAnsi" w:cs="Helvetica"/>
                <w:b/>
                <w:color w:val="333333"/>
                <w:sz w:val="18"/>
                <w:szCs w:val="18"/>
              </w:rPr>
              <w:t>4,493</w:t>
            </w:r>
          </w:p>
        </w:tc>
        <w:tc>
          <w:tcPr>
            <w:tcW w:w="1701" w:type="dxa"/>
            <w:shd w:val="clear" w:color="auto" w:fill="auto"/>
            <w:vAlign w:val="bottom"/>
          </w:tcPr>
          <w:p w14:paraId="5F60F1CA" w14:textId="77777777" w:rsidR="00020E3D" w:rsidRPr="00987422" w:rsidRDefault="00020E3D" w:rsidP="00A86747">
            <w:pPr>
              <w:spacing w:before="120" w:after="120"/>
              <w:jc w:val="right"/>
              <w:rPr>
                <w:rFonts w:asciiTheme="minorHAnsi" w:hAnsiTheme="minorHAnsi" w:cs="Helvetica"/>
                <w:b/>
                <w:color w:val="333333"/>
                <w:sz w:val="18"/>
                <w:szCs w:val="18"/>
              </w:rPr>
            </w:pPr>
            <w:r w:rsidRPr="00987422">
              <w:rPr>
                <w:rFonts w:asciiTheme="minorHAnsi" w:hAnsiTheme="minorHAnsi" w:cs="Helvetica"/>
                <w:b/>
                <w:color w:val="333333"/>
                <w:sz w:val="18"/>
                <w:szCs w:val="18"/>
              </w:rPr>
              <w:t>3,216</w:t>
            </w:r>
          </w:p>
        </w:tc>
        <w:tc>
          <w:tcPr>
            <w:tcW w:w="1418" w:type="dxa"/>
            <w:shd w:val="clear" w:color="auto" w:fill="auto"/>
          </w:tcPr>
          <w:p w14:paraId="2528B750" w14:textId="77777777" w:rsidR="00020E3D" w:rsidRPr="00020E3D" w:rsidRDefault="00CE3374" w:rsidP="00020E3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1,705</w:t>
            </w:r>
          </w:p>
        </w:tc>
        <w:tc>
          <w:tcPr>
            <w:tcW w:w="4677" w:type="dxa"/>
            <w:vMerge/>
            <w:shd w:val="clear" w:color="auto" w:fill="auto"/>
          </w:tcPr>
          <w:p w14:paraId="260D453E" w14:textId="77777777" w:rsidR="00020E3D" w:rsidRPr="00C92149" w:rsidRDefault="00020E3D" w:rsidP="004A10A2">
            <w:pPr>
              <w:spacing w:before="120" w:after="120"/>
              <w:rPr>
                <w:rFonts w:asciiTheme="minorHAnsi" w:hAnsiTheme="minorHAnsi"/>
                <w:b/>
                <w:sz w:val="18"/>
                <w:szCs w:val="18"/>
              </w:rPr>
            </w:pPr>
          </w:p>
        </w:tc>
      </w:tr>
      <w:tr w:rsidR="00020E3D" w:rsidRPr="00853117" w14:paraId="60537E46" w14:textId="77777777" w:rsidTr="00020E3D">
        <w:tc>
          <w:tcPr>
            <w:tcW w:w="2161" w:type="dxa"/>
            <w:shd w:val="clear" w:color="auto" w:fill="auto"/>
          </w:tcPr>
          <w:p w14:paraId="5D9E7EB9" w14:textId="77777777" w:rsidR="00020E3D" w:rsidRPr="00C92149" w:rsidRDefault="00020E3D"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24705AD9" w14:textId="1CAEED2A" w:rsidR="00020E3D" w:rsidRPr="00987422" w:rsidRDefault="00CE3374" w:rsidP="0098742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9D0911">
              <w:rPr>
                <w:rFonts w:asciiTheme="minorHAnsi" w:hAnsiTheme="minorHAnsi" w:cs="Helvetica"/>
                <w:b/>
                <w:color w:val="333333"/>
                <w:sz w:val="18"/>
                <w:szCs w:val="18"/>
              </w:rPr>
              <w:t>1</w:t>
            </w:r>
            <w:r w:rsidR="00020E3D" w:rsidRPr="00987422">
              <w:rPr>
                <w:rFonts w:asciiTheme="minorHAnsi" w:hAnsiTheme="minorHAnsi" w:cs="Helvetica"/>
                <w:b/>
                <w:color w:val="333333"/>
                <w:sz w:val="18"/>
                <w:szCs w:val="18"/>
              </w:rPr>
              <w:t>%</w:t>
            </w:r>
          </w:p>
        </w:tc>
        <w:tc>
          <w:tcPr>
            <w:tcW w:w="1593" w:type="dxa"/>
            <w:shd w:val="clear" w:color="auto" w:fill="auto"/>
            <w:vAlign w:val="bottom"/>
          </w:tcPr>
          <w:p w14:paraId="0559EFEE" w14:textId="77777777" w:rsidR="00020E3D" w:rsidRPr="00987422" w:rsidRDefault="00CE3374" w:rsidP="0098742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0.07</w:t>
            </w:r>
            <w:r w:rsidR="00020E3D" w:rsidRPr="00987422">
              <w:rPr>
                <w:rFonts w:asciiTheme="minorHAnsi" w:hAnsiTheme="minorHAnsi" w:cs="Helvetica"/>
                <w:b/>
                <w:color w:val="333333"/>
                <w:sz w:val="18"/>
                <w:szCs w:val="18"/>
              </w:rPr>
              <w:t>%</w:t>
            </w:r>
          </w:p>
        </w:tc>
        <w:tc>
          <w:tcPr>
            <w:tcW w:w="1667" w:type="dxa"/>
            <w:shd w:val="clear" w:color="auto" w:fill="auto"/>
            <w:vAlign w:val="bottom"/>
          </w:tcPr>
          <w:p w14:paraId="665640AB" w14:textId="77777777" w:rsidR="00020E3D" w:rsidRPr="00987422" w:rsidRDefault="00020E3D" w:rsidP="0098742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0.11</w:t>
            </w:r>
            <w:r w:rsidRPr="00987422">
              <w:rPr>
                <w:rFonts w:asciiTheme="minorHAnsi" w:hAnsiTheme="minorHAnsi" w:cs="Helvetica"/>
                <w:b/>
                <w:color w:val="333333"/>
                <w:sz w:val="18"/>
                <w:szCs w:val="18"/>
              </w:rPr>
              <w:t>%</w:t>
            </w:r>
          </w:p>
        </w:tc>
        <w:tc>
          <w:tcPr>
            <w:tcW w:w="1701" w:type="dxa"/>
            <w:shd w:val="clear" w:color="auto" w:fill="auto"/>
            <w:vAlign w:val="bottom"/>
          </w:tcPr>
          <w:p w14:paraId="15FBDDB4" w14:textId="77777777" w:rsidR="00020E3D" w:rsidRPr="00987422" w:rsidRDefault="00020E3D" w:rsidP="0098742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0.07</w:t>
            </w:r>
            <w:r w:rsidRPr="00987422">
              <w:rPr>
                <w:rFonts w:asciiTheme="minorHAnsi" w:hAnsiTheme="minorHAnsi" w:cs="Helvetica"/>
                <w:b/>
                <w:color w:val="333333"/>
                <w:sz w:val="18"/>
                <w:szCs w:val="18"/>
              </w:rPr>
              <w:t>%</w:t>
            </w:r>
          </w:p>
        </w:tc>
        <w:tc>
          <w:tcPr>
            <w:tcW w:w="1418" w:type="dxa"/>
            <w:shd w:val="clear" w:color="auto" w:fill="auto"/>
          </w:tcPr>
          <w:p w14:paraId="7A750659" w14:textId="77777777" w:rsidR="00020E3D" w:rsidRPr="00020E3D" w:rsidRDefault="00CE3374" w:rsidP="00020E3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0.03%</w:t>
            </w:r>
          </w:p>
        </w:tc>
        <w:tc>
          <w:tcPr>
            <w:tcW w:w="4677" w:type="dxa"/>
            <w:vMerge/>
            <w:shd w:val="clear" w:color="auto" w:fill="auto"/>
          </w:tcPr>
          <w:p w14:paraId="76817ADE" w14:textId="77777777" w:rsidR="00020E3D" w:rsidRPr="00C92149" w:rsidRDefault="00020E3D" w:rsidP="004A10A2">
            <w:pPr>
              <w:spacing w:before="120" w:after="120"/>
              <w:rPr>
                <w:rFonts w:asciiTheme="minorHAnsi" w:hAnsiTheme="minorHAnsi"/>
                <w:b/>
                <w:sz w:val="18"/>
                <w:szCs w:val="18"/>
              </w:rPr>
            </w:pPr>
          </w:p>
        </w:tc>
      </w:tr>
      <w:tr w:rsidR="00A86747" w:rsidRPr="00021243" w14:paraId="324623C6" w14:textId="77777777" w:rsidTr="005D45E6">
        <w:tc>
          <w:tcPr>
            <w:tcW w:w="14601" w:type="dxa"/>
            <w:gridSpan w:val="7"/>
            <w:shd w:val="clear" w:color="auto" w:fill="F79646" w:themeFill="accent6"/>
          </w:tcPr>
          <w:p w14:paraId="7E20255C" w14:textId="35D34103" w:rsidR="00A86747" w:rsidRDefault="003D624C" w:rsidP="005D45E6">
            <w:pPr>
              <w:spacing w:before="120" w:after="120"/>
              <w:rPr>
                <w:rFonts w:asciiTheme="minorHAnsi" w:hAnsiTheme="minorHAnsi"/>
                <w:b/>
              </w:rPr>
            </w:pPr>
            <w:r>
              <w:rPr>
                <w:rFonts w:asciiTheme="minorHAnsi" w:hAnsiTheme="minorHAnsi"/>
                <w:b/>
              </w:rPr>
              <w:t xml:space="preserve">Specialist Working Group  </w:t>
            </w:r>
            <w:r w:rsidR="00A86747">
              <w:rPr>
                <w:rFonts w:asciiTheme="minorHAnsi" w:hAnsiTheme="minorHAnsi"/>
                <w:b/>
              </w:rPr>
              <w:t>knowledge development opportunities and recommendations</w:t>
            </w:r>
          </w:p>
        </w:tc>
      </w:tr>
      <w:tr w:rsidR="00A86747" w:rsidRPr="00021243" w14:paraId="23C24B97" w14:textId="77777777" w:rsidTr="005D45E6">
        <w:tc>
          <w:tcPr>
            <w:tcW w:w="14601" w:type="dxa"/>
            <w:gridSpan w:val="7"/>
            <w:shd w:val="clear" w:color="auto" w:fill="auto"/>
          </w:tcPr>
          <w:p w14:paraId="47D72564" w14:textId="3C98B31B" w:rsidR="00A86747" w:rsidRPr="002506FF" w:rsidRDefault="004E53AB" w:rsidP="004E53AB">
            <w:pPr>
              <w:spacing w:before="120" w:after="120"/>
              <w:rPr>
                <w:rFonts w:asciiTheme="minorHAnsi" w:hAnsiTheme="minorHAnsi"/>
              </w:rPr>
            </w:pPr>
            <w:r>
              <w:rPr>
                <w:rFonts w:asciiTheme="minorHAnsi" w:hAnsiTheme="minorHAnsi"/>
              </w:rPr>
              <w:t>None identified</w:t>
            </w:r>
            <w:r w:rsidR="00447D55">
              <w:rPr>
                <w:rFonts w:asciiTheme="minorHAnsi" w:hAnsiTheme="minorHAnsi"/>
              </w:rPr>
              <w:t xml:space="preserve"> at this stage</w:t>
            </w:r>
          </w:p>
        </w:tc>
      </w:tr>
    </w:tbl>
    <w:p w14:paraId="43FDBCB9" w14:textId="77777777"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14:paraId="5EA38E13" w14:textId="77777777" w:rsidTr="009F1DFC">
        <w:tc>
          <w:tcPr>
            <w:tcW w:w="14601" w:type="dxa"/>
          </w:tcPr>
          <w:p w14:paraId="783DE6D6" w14:textId="7E1CB917" w:rsidR="002506FF" w:rsidRDefault="002506FF" w:rsidP="002506FF">
            <w:pPr>
              <w:spacing w:before="120" w:after="120"/>
              <w:jc w:val="center"/>
              <w:rPr>
                <w:rFonts w:asciiTheme="minorHAnsi" w:hAnsiTheme="minorHAnsi"/>
                <w:b/>
              </w:rPr>
            </w:pPr>
            <w:r w:rsidRPr="00021243">
              <w:rPr>
                <w:rFonts w:asciiTheme="minorHAnsi" w:hAnsiTheme="minorHAnsi"/>
                <w:b/>
              </w:rPr>
              <w:lastRenderedPageBreak/>
              <w:t xml:space="preserve">END OF </w:t>
            </w:r>
            <w:r w:rsidR="00C82DA6">
              <w:rPr>
                <w:rFonts w:asciiTheme="minorHAnsi" w:hAnsiTheme="minorHAnsi"/>
                <w:b/>
              </w:rPr>
              <w:t>PUBLIC CONSULTATION</w:t>
            </w:r>
            <w:r>
              <w:rPr>
                <w:rFonts w:asciiTheme="minorHAnsi" w:hAnsiTheme="minorHAnsi"/>
                <w:b/>
              </w:rPr>
              <w:t xml:space="preserve"> DOCUMENT</w:t>
            </w:r>
          </w:p>
          <w:p w14:paraId="79CD9394" w14:textId="0471EE6E" w:rsidR="000E09C4" w:rsidRPr="00021243" w:rsidRDefault="00C82DA6" w:rsidP="007241EF">
            <w:pPr>
              <w:spacing w:before="120" w:after="120"/>
              <w:jc w:val="center"/>
              <w:rPr>
                <w:rFonts w:asciiTheme="minorHAnsi" w:hAnsiTheme="minorHAnsi"/>
                <w:b/>
              </w:rPr>
            </w:pPr>
            <w:r>
              <w:rPr>
                <w:rFonts w:asciiTheme="minorHAnsi" w:hAnsiTheme="minorHAnsi"/>
                <w:b/>
              </w:rPr>
              <w:t>Next review</w:t>
            </w:r>
            <w:r w:rsidR="007241EF">
              <w:rPr>
                <w:rFonts w:asciiTheme="minorHAnsi" w:hAnsiTheme="minorHAnsi"/>
                <w:b/>
              </w:rPr>
              <w:t xml:space="preserve">: </w:t>
            </w:r>
            <w:r w:rsidR="000E09C4">
              <w:rPr>
                <w:rFonts w:asciiTheme="minorHAnsi" w:hAnsiTheme="minorHAnsi"/>
                <w:b/>
              </w:rPr>
              <w:t xml:space="preserve"> </w:t>
            </w:r>
            <w:r w:rsidR="007241EF">
              <w:rPr>
                <w:rFonts w:asciiTheme="minorHAnsi" w:hAnsiTheme="minorHAnsi"/>
                <w:b/>
              </w:rPr>
              <w:t>Eighteen months following</w:t>
            </w:r>
            <w:r w:rsidR="009B7E90">
              <w:rPr>
                <w:rFonts w:asciiTheme="minorHAnsi" w:hAnsiTheme="minorHAnsi"/>
                <w:b/>
              </w:rPr>
              <w:t xml:space="preserve"> implementation of </w:t>
            </w:r>
            <w:r w:rsidR="003D624C">
              <w:rPr>
                <w:rFonts w:asciiTheme="minorHAnsi" w:hAnsiTheme="minorHAnsi"/>
                <w:b/>
              </w:rPr>
              <w:t>BloodSTAR v</w:t>
            </w:r>
            <w:r w:rsidR="009B7E90">
              <w:rPr>
                <w:rFonts w:asciiTheme="minorHAnsi" w:hAnsiTheme="minorHAnsi"/>
                <w:b/>
              </w:rPr>
              <w:t>3.0</w:t>
            </w:r>
          </w:p>
        </w:tc>
      </w:tr>
    </w:tbl>
    <w:p w14:paraId="438E4BBD" w14:textId="77777777" w:rsidR="009C1E09" w:rsidRDefault="009C1E09" w:rsidP="002506FF">
      <w:pPr>
        <w:jc w:val="center"/>
      </w:pPr>
    </w:p>
    <w:p w14:paraId="23027BAF" w14:textId="022EA259" w:rsidR="006627B5" w:rsidRPr="00FD2CCD" w:rsidRDefault="006627B5">
      <w:pPr>
        <w:spacing w:line="276" w:lineRule="auto"/>
      </w:pPr>
    </w:p>
    <w:sectPr w:rsidR="006627B5" w:rsidRPr="00FD2CCD" w:rsidSect="00C00ED4">
      <w:headerReference w:type="first" r:id="rId22"/>
      <w:pgSz w:w="16839" w:h="11907" w:orient="landscape" w:code="9"/>
      <w:pgMar w:top="851"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DE0F" w14:textId="77777777" w:rsidR="00ED5B24" w:rsidRDefault="00ED5B24" w:rsidP="00856708">
      <w:pPr>
        <w:spacing w:after="0"/>
      </w:pPr>
      <w:r>
        <w:separator/>
      </w:r>
    </w:p>
  </w:endnote>
  <w:endnote w:type="continuationSeparator" w:id="0">
    <w:p w14:paraId="2C000F70" w14:textId="77777777" w:rsidR="00ED5B24" w:rsidRDefault="00ED5B2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75797"/>
      <w:docPartObj>
        <w:docPartGallery w:val="Page Numbers (Bottom of Page)"/>
        <w:docPartUnique/>
      </w:docPartObj>
    </w:sdtPr>
    <w:sdtEndPr>
      <w:rPr>
        <w:noProof/>
      </w:rPr>
    </w:sdtEndPr>
    <w:sdtContent>
      <w:p w14:paraId="45C50A36" w14:textId="458DCA8B" w:rsidR="00C41527" w:rsidRDefault="00C41527">
        <w:pPr>
          <w:pStyle w:val="Footer"/>
          <w:jc w:val="right"/>
        </w:pPr>
        <w:r>
          <w:fldChar w:fldCharType="begin"/>
        </w:r>
        <w:r>
          <w:instrText xml:space="preserve"> PAGE   \* MERGEFORMAT </w:instrText>
        </w:r>
        <w:r>
          <w:fldChar w:fldCharType="separate"/>
        </w:r>
        <w:r w:rsidR="00723B86">
          <w:rPr>
            <w:noProof/>
          </w:rPr>
          <w:t>2</w:t>
        </w:r>
        <w:r>
          <w:rPr>
            <w:noProof/>
          </w:rPr>
          <w:fldChar w:fldCharType="end"/>
        </w:r>
      </w:p>
    </w:sdtContent>
  </w:sdt>
  <w:p w14:paraId="41E36041" w14:textId="7200D90C" w:rsidR="00853117" w:rsidRPr="00D22130" w:rsidRDefault="00853117" w:rsidP="00D22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0660"/>
      <w:docPartObj>
        <w:docPartGallery w:val="Page Numbers (Bottom of Page)"/>
        <w:docPartUnique/>
      </w:docPartObj>
    </w:sdtPr>
    <w:sdtEndPr>
      <w:rPr>
        <w:noProof/>
      </w:rPr>
    </w:sdtEndPr>
    <w:sdtContent>
      <w:p w14:paraId="30635C4B" w14:textId="01B9C539" w:rsidR="00C41527" w:rsidRDefault="00C41527">
        <w:pPr>
          <w:pStyle w:val="Footer"/>
          <w:jc w:val="right"/>
        </w:pPr>
        <w:r>
          <w:fldChar w:fldCharType="begin"/>
        </w:r>
        <w:r>
          <w:instrText xml:space="preserve"> PAGE   \* MERGEFORMAT </w:instrText>
        </w:r>
        <w:r>
          <w:fldChar w:fldCharType="separate"/>
        </w:r>
        <w:r w:rsidR="00723B86">
          <w:rPr>
            <w:noProof/>
          </w:rPr>
          <w:t>1</w:t>
        </w:r>
        <w:r>
          <w:rPr>
            <w:noProof/>
          </w:rPr>
          <w:fldChar w:fldCharType="end"/>
        </w:r>
      </w:p>
    </w:sdtContent>
  </w:sdt>
  <w:p w14:paraId="55074DE8" w14:textId="77777777" w:rsidR="00D22130" w:rsidRDefault="00D2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29082" w14:textId="77777777" w:rsidR="00ED5B24" w:rsidRDefault="00ED5B24" w:rsidP="00856708">
      <w:pPr>
        <w:spacing w:after="0"/>
      </w:pPr>
      <w:r>
        <w:separator/>
      </w:r>
    </w:p>
  </w:footnote>
  <w:footnote w:type="continuationSeparator" w:id="0">
    <w:p w14:paraId="01C12129" w14:textId="77777777" w:rsidR="00ED5B24" w:rsidRDefault="00ED5B2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0F1A" w14:textId="31BAE035" w:rsidR="00C41527" w:rsidRDefault="00A93910">
    <w:pPr>
      <w:pStyle w:val="Header"/>
    </w:pPr>
    <w:r>
      <w:rPr>
        <w:sz w:val="20"/>
        <w:szCs w:val="20"/>
      </w:rPr>
      <w:t>PUBLIC CONSULTATION 2017</w:t>
    </w:r>
    <w:r w:rsidR="00C41527" w:rsidRPr="009016FB">
      <w:rPr>
        <w:sz w:val="20"/>
        <w:szCs w:val="20"/>
      </w:rPr>
      <w:t xml:space="preserve"> </w:t>
    </w:r>
    <w:r w:rsidR="00C41527">
      <w:rPr>
        <w:sz w:val="20"/>
        <w:szCs w:val="20"/>
      </w:rPr>
      <w:t>–</w:t>
    </w:r>
    <w:r w:rsidR="00C41527" w:rsidRPr="009016FB">
      <w:rPr>
        <w:sz w:val="20"/>
        <w:szCs w:val="20"/>
      </w:rPr>
      <w:t xml:space="preserve"> </w:t>
    </w:r>
    <w:r w:rsidR="00C41527" w:rsidRPr="00D22130">
      <w:rPr>
        <w:sz w:val="20"/>
        <w:szCs w:val="20"/>
      </w:rPr>
      <w:t>Catastrophic anti-phospholipid syndrome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FFE1" w14:textId="39EDC848" w:rsidR="00C41527" w:rsidRDefault="00A93910">
    <w:pPr>
      <w:pStyle w:val="Header"/>
    </w:pPr>
    <w:r>
      <w:rPr>
        <w:sz w:val="20"/>
        <w:szCs w:val="20"/>
      </w:rPr>
      <w:t>PUBLIC CONSULTATION 2017</w:t>
    </w:r>
    <w:r w:rsidR="00C41527" w:rsidRPr="009016FB">
      <w:rPr>
        <w:sz w:val="20"/>
        <w:szCs w:val="20"/>
      </w:rPr>
      <w:t xml:space="preserve"> </w:t>
    </w:r>
    <w:r w:rsidR="00C41527">
      <w:rPr>
        <w:sz w:val="20"/>
        <w:szCs w:val="20"/>
      </w:rPr>
      <w:t>–</w:t>
    </w:r>
    <w:r w:rsidR="00C41527" w:rsidRPr="009016FB">
      <w:rPr>
        <w:sz w:val="20"/>
        <w:szCs w:val="20"/>
      </w:rPr>
      <w:t xml:space="preserve"> </w:t>
    </w:r>
    <w:r w:rsidR="00C41527" w:rsidRPr="00D22130">
      <w:rPr>
        <w:sz w:val="20"/>
        <w:szCs w:val="20"/>
      </w:rPr>
      <w:t>Catastrophic anti-phospholipid syndrome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7895" w14:textId="71742DDA" w:rsidR="000E09C4" w:rsidRDefault="00717E28">
    <w:pPr>
      <w:pStyle w:val="Header"/>
    </w:pPr>
    <w:r>
      <w:rPr>
        <w:sz w:val="20"/>
        <w:szCs w:val="20"/>
      </w:rPr>
      <w:t>PUBLIC CONSULTATION 2017</w:t>
    </w:r>
    <w:r w:rsidRPr="009016FB">
      <w:rPr>
        <w:sz w:val="20"/>
        <w:szCs w:val="20"/>
      </w:rPr>
      <w:t xml:space="preserve"> </w:t>
    </w:r>
    <w:r>
      <w:rPr>
        <w:sz w:val="20"/>
        <w:szCs w:val="20"/>
      </w:rPr>
      <w:t>–</w:t>
    </w:r>
    <w:r w:rsidRPr="009016FB">
      <w:rPr>
        <w:sz w:val="20"/>
        <w:szCs w:val="20"/>
      </w:rPr>
      <w:t xml:space="preserve"> </w:t>
    </w:r>
    <w:r w:rsidRPr="00D22130">
      <w:rPr>
        <w:sz w:val="20"/>
        <w:szCs w:val="20"/>
      </w:rPr>
      <w:t>Catastrophic anti-phospholipid syndrome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C720C9"/>
    <w:multiLevelType w:val="hybridMultilevel"/>
    <w:tmpl w:val="E6E45B12"/>
    <w:lvl w:ilvl="0" w:tplc="7A544680">
      <w:numFmt w:val="bullet"/>
      <w:lvlText w:val="-"/>
      <w:lvlJc w:val="left"/>
      <w:pPr>
        <w:ind w:left="1111" w:hanging="360"/>
      </w:pPr>
      <w:rPr>
        <w:rFonts w:ascii="Calibri" w:eastAsiaTheme="minorHAnsi" w:hAnsi="Calibri" w:cstheme="minorBidi"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6">
    <w:nsid w:val="0BFC7465"/>
    <w:multiLevelType w:val="hybridMultilevel"/>
    <w:tmpl w:val="97B46C8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7">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E3A09A6"/>
    <w:multiLevelType w:val="hybridMultilevel"/>
    <w:tmpl w:val="4B464F44"/>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5">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38"/>
  </w:num>
  <w:num w:numId="5">
    <w:abstractNumId w:val="17"/>
  </w:num>
  <w:num w:numId="6">
    <w:abstractNumId w:val="2"/>
  </w:num>
  <w:num w:numId="7">
    <w:abstractNumId w:val="1"/>
  </w:num>
  <w:num w:numId="8">
    <w:abstractNumId w:val="4"/>
  </w:num>
  <w:num w:numId="9">
    <w:abstractNumId w:val="0"/>
  </w:num>
  <w:num w:numId="10">
    <w:abstractNumId w:val="42"/>
  </w:num>
  <w:num w:numId="11">
    <w:abstractNumId w:val="29"/>
  </w:num>
  <w:num w:numId="12">
    <w:abstractNumId w:val="35"/>
  </w:num>
  <w:num w:numId="13">
    <w:abstractNumId w:val="14"/>
  </w:num>
  <w:num w:numId="14">
    <w:abstractNumId w:val="22"/>
  </w:num>
  <w:num w:numId="15">
    <w:abstractNumId w:val="13"/>
  </w:num>
  <w:num w:numId="16">
    <w:abstractNumId w:val="37"/>
  </w:num>
  <w:num w:numId="17">
    <w:abstractNumId w:val="7"/>
  </w:num>
  <w:num w:numId="18">
    <w:abstractNumId w:val="18"/>
  </w:num>
  <w:num w:numId="19">
    <w:abstractNumId w:val="33"/>
  </w:num>
  <w:num w:numId="20">
    <w:abstractNumId w:val="44"/>
  </w:num>
  <w:num w:numId="21">
    <w:abstractNumId w:val="15"/>
  </w:num>
  <w:num w:numId="22">
    <w:abstractNumId w:val="34"/>
  </w:num>
  <w:num w:numId="23">
    <w:abstractNumId w:val="12"/>
  </w:num>
  <w:num w:numId="24">
    <w:abstractNumId w:val="3"/>
  </w:num>
  <w:num w:numId="25">
    <w:abstractNumId w:val="36"/>
  </w:num>
  <w:num w:numId="26">
    <w:abstractNumId w:val="25"/>
  </w:num>
  <w:num w:numId="27">
    <w:abstractNumId w:val="40"/>
  </w:num>
  <w:num w:numId="28">
    <w:abstractNumId w:val="30"/>
  </w:num>
  <w:num w:numId="29">
    <w:abstractNumId w:val="31"/>
  </w:num>
  <w:num w:numId="30">
    <w:abstractNumId w:val="10"/>
  </w:num>
  <w:num w:numId="31">
    <w:abstractNumId w:val="11"/>
  </w:num>
  <w:num w:numId="32">
    <w:abstractNumId w:val="28"/>
  </w:num>
  <w:num w:numId="33">
    <w:abstractNumId w:val="43"/>
  </w:num>
  <w:num w:numId="34">
    <w:abstractNumId w:val="21"/>
  </w:num>
  <w:num w:numId="35">
    <w:abstractNumId w:val="32"/>
  </w:num>
  <w:num w:numId="36">
    <w:abstractNumId w:val="20"/>
  </w:num>
  <w:num w:numId="37">
    <w:abstractNumId w:val="16"/>
  </w:num>
  <w:num w:numId="38">
    <w:abstractNumId w:val="24"/>
  </w:num>
  <w:num w:numId="39">
    <w:abstractNumId w:val="27"/>
  </w:num>
  <w:num w:numId="40">
    <w:abstractNumId w:val="9"/>
  </w:num>
  <w:num w:numId="41">
    <w:abstractNumId w:val="39"/>
  </w:num>
  <w:num w:numId="42">
    <w:abstractNumId w:val="41"/>
  </w:num>
  <w:num w:numId="43">
    <w:abstractNumId w:val="26"/>
  </w:num>
  <w:num w:numId="44">
    <w:abstractNumId w:val="8"/>
  </w:num>
  <w:num w:numId="45">
    <w:abstractNumId w:val="45"/>
  </w:num>
  <w:num w:numId="46">
    <w:abstractNumId w:val="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0E3D"/>
    <w:rsid w:val="00021243"/>
    <w:rsid w:val="00022A4A"/>
    <w:rsid w:val="00036EDC"/>
    <w:rsid w:val="0003710C"/>
    <w:rsid w:val="0007639A"/>
    <w:rsid w:val="00077561"/>
    <w:rsid w:val="000A3A69"/>
    <w:rsid w:val="000A65C9"/>
    <w:rsid w:val="000B27A7"/>
    <w:rsid w:val="000B35BC"/>
    <w:rsid w:val="000C3E89"/>
    <w:rsid w:val="000D7C2A"/>
    <w:rsid w:val="000E09C4"/>
    <w:rsid w:val="000E4D1E"/>
    <w:rsid w:val="0010145F"/>
    <w:rsid w:val="00121BE9"/>
    <w:rsid w:val="00153753"/>
    <w:rsid w:val="00165F48"/>
    <w:rsid w:val="0017270F"/>
    <w:rsid w:val="001849B2"/>
    <w:rsid w:val="00184E12"/>
    <w:rsid w:val="00186CF7"/>
    <w:rsid w:val="001A2460"/>
    <w:rsid w:val="001A286B"/>
    <w:rsid w:val="001B058B"/>
    <w:rsid w:val="001B5FA6"/>
    <w:rsid w:val="001C0498"/>
    <w:rsid w:val="001C45B4"/>
    <w:rsid w:val="001D5B92"/>
    <w:rsid w:val="001E102B"/>
    <w:rsid w:val="0021213D"/>
    <w:rsid w:val="00216823"/>
    <w:rsid w:val="002306B2"/>
    <w:rsid w:val="00236B19"/>
    <w:rsid w:val="00240825"/>
    <w:rsid w:val="002506FF"/>
    <w:rsid w:val="00251D48"/>
    <w:rsid w:val="002537F2"/>
    <w:rsid w:val="00255740"/>
    <w:rsid w:val="00267FDF"/>
    <w:rsid w:val="00275679"/>
    <w:rsid w:val="00282F66"/>
    <w:rsid w:val="002936DD"/>
    <w:rsid w:val="00295CD3"/>
    <w:rsid w:val="00295EEA"/>
    <w:rsid w:val="002A24D3"/>
    <w:rsid w:val="002C6F71"/>
    <w:rsid w:val="002D2007"/>
    <w:rsid w:val="002F3325"/>
    <w:rsid w:val="00320BEB"/>
    <w:rsid w:val="00327526"/>
    <w:rsid w:val="0033060E"/>
    <w:rsid w:val="00353F94"/>
    <w:rsid w:val="00395032"/>
    <w:rsid w:val="0039730C"/>
    <w:rsid w:val="003A1F9D"/>
    <w:rsid w:val="003D1795"/>
    <w:rsid w:val="003D27F1"/>
    <w:rsid w:val="003D624C"/>
    <w:rsid w:val="003E3235"/>
    <w:rsid w:val="003F11F8"/>
    <w:rsid w:val="00403201"/>
    <w:rsid w:val="00414A79"/>
    <w:rsid w:val="00433C78"/>
    <w:rsid w:val="00445EDE"/>
    <w:rsid w:val="00447869"/>
    <w:rsid w:val="00447D55"/>
    <w:rsid w:val="00454FA8"/>
    <w:rsid w:val="00460325"/>
    <w:rsid w:val="00463B0C"/>
    <w:rsid w:val="00463B23"/>
    <w:rsid w:val="0047615E"/>
    <w:rsid w:val="00481382"/>
    <w:rsid w:val="004856E4"/>
    <w:rsid w:val="004951B1"/>
    <w:rsid w:val="004A0832"/>
    <w:rsid w:val="004A10A2"/>
    <w:rsid w:val="004B14F4"/>
    <w:rsid w:val="004D4636"/>
    <w:rsid w:val="004E4A52"/>
    <w:rsid w:val="004E53AB"/>
    <w:rsid w:val="004F7E3C"/>
    <w:rsid w:val="005023CE"/>
    <w:rsid w:val="0052034F"/>
    <w:rsid w:val="00525C51"/>
    <w:rsid w:val="00531E6D"/>
    <w:rsid w:val="005350D7"/>
    <w:rsid w:val="00540020"/>
    <w:rsid w:val="00543C69"/>
    <w:rsid w:val="005546AE"/>
    <w:rsid w:val="005629EE"/>
    <w:rsid w:val="00584BEC"/>
    <w:rsid w:val="005851ED"/>
    <w:rsid w:val="005960E7"/>
    <w:rsid w:val="005D2C3D"/>
    <w:rsid w:val="005E04F6"/>
    <w:rsid w:val="005E4ECD"/>
    <w:rsid w:val="005F5E9C"/>
    <w:rsid w:val="00602D7D"/>
    <w:rsid w:val="00606296"/>
    <w:rsid w:val="006201B1"/>
    <w:rsid w:val="00625E77"/>
    <w:rsid w:val="00631EAB"/>
    <w:rsid w:val="006427C2"/>
    <w:rsid w:val="00642A5C"/>
    <w:rsid w:val="00644285"/>
    <w:rsid w:val="00657F36"/>
    <w:rsid w:val="006627B5"/>
    <w:rsid w:val="006631E9"/>
    <w:rsid w:val="00666AA5"/>
    <w:rsid w:val="00670D34"/>
    <w:rsid w:val="00676D0B"/>
    <w:rsid w:val="006855AF"/>
    <w:rsid w:val="00695219"/>
    <w:rsid w:val="006A1B40"/>
    <w:rsid w:val="006A7FF5"/>
    <w:rsid w:val="006B0323"/>
    <w:rsid w:val="006B4C33"/>
    <w:rsid w:val="006B7056"/>
    <w:rsid w:val="006D2521"/>
    <w:rsid w:val="006D2FA8"/>
    <w:rsid w:val="006D36A9"/>
    <w:rsid w:val="006E651C"/>
    <w:rsid w:val="006F1FA7"/>
    <w:rsid w:val="006F485E"/>
    <w:rsid w:val="00702EB0"/>
    <w:rsid w:val="00717E28"/>
    <w:rsid w:val="00723B86"/>
    <w:rsid w:val="00723EEC"/>
    <w:rsid w:val="007241EF"/>
    <w:rsid w:val="0075469F"/>
    <w:rsid w:val="007738CF"/>
    <w:rsid w:val="00787242"/>
    <w:rsid w:val="00794552"/>
    <w:rsid w:val="007B0C7B"/>
    <w:rsid w:val="007B2100"/>
    <w:rsid w:val="007B5619"/>
    <w:rsid w:val="007C7B0F"/>
    <w:rsid w:val="007F3022"/>
    <w:rsid w:val="008041F6"/>
    <w:rsid w:val="00807457"/>
    <w:rsid w:val="00832D0D"/>
    <w:rsid w:val="00847EC8"/>
    <w:rsid w:val="008515FF"/>
    <w:rsid w:val="00853117"/>
    <w:rsid w:val="00856708"/>
    <w:rsid w:val="008612AB"/>
    <w:rsid w:val="00880ECB"/>
    <w:rsid w:val="00887C1D"/>
    <w:rsid w:val="00893E0A"/>
    <w:rsid w:val="00896241"/>
    <w:rsid w:val="008B1889"/>
    <w:rsid w:val="008C1FE9"/>
    <w:rsid w:val="00901446"/>
    <w:rsid w:val="00901F76"/>
    <w:rsid w:val="009025B7"/>
    <w:rsid w:val="009208EC"/>
    <w:rsid w:val="00933536"/>
    <w:rsid w:val="009347BC"/>
    <w:rsid w:val="00935659"/>
    <w:rsid w:val="0093594E"/>
    <w:rsid w:val="00944853"/>
    <w:rsid w:val="00951B85"/>
    <w:rsid w:val="00982D63"/>
    <w:rsid w:val="00987422"/>
    <w:rsid w:val="009B04BD"/>
    <w:rsid w:val="009B7E90"/>
    <w:rsid w:val="009C1E09"/>
    <w:rsid w:val="009C24A8"/>
    <w:rsid w:val="009D0911"/>
    <w:rsid w:val="009D210A"/>
    <w:rsid w:val="009E38CC"/>
    <w:rsid w:val="009F4509"/>
    <w:rsid w:val="00A0276B"/>
    <w:rsid w:val="00A0352E"/>
    <w:rsid w:val="00A05745"/>
    <w:rsid w:val="00A23D1D"/>
    <w:rsid w:val="00A30295"/>
    <w:rsid w:val="00A31C82"/>
    <w:rsid w:val="00A357C4"/>
    <w:rsid w:val="00A35C63"/>
    <w:rsid w:val="00A57D60"/>
    <w:rsid w:val="00A72B00"/>
    <w:rsid w:val="00A7510F"/>
    <w:rsid w:val="00A80A19"/>
    <w:rsid w:val="00A81C38"/>
    <w:rsid w:val="00A86747"/>
    <w:rsid w:val="00A93910"/>
    <w:rsid w:val="00A9778A"/>
    <w:rsid w:val="00AA19C1"/>
    <w:rsid w:val="00AA2D42"/>
    <w:rsid w:val="00AA48C6"/>
    <w:rsid w:val="00AB120F"/>
    <w:rsid w:val="00AB72EC"/>
    <w:rsid w:val="00AD086B"/>
    <w:rsid w:val="00AD4362"/>
    <w:rsid w:val="00AE5015"/>
    <w:rsid w:val="00AE63FA"/>
    <w:rsid w:val="00B25474"/>
    <w:rsid w:val="00B27930"/>
    <w:rsid w:val="00B35BD7"/>
    <w:rsid w:val="00B3726E"/>
    <w:rsid w:val="00BA76E3"/>
    <w:rsid w:val="00BC5672"/>
    <w:rsid w:val="00BC7628"/>
    <w:rsid w:val="00BD6C2D"/>
    <w:rsid w:val="00BD7111"/>
    <w:rsid w:val="00BD735D"/>
    <w:rsid w:val="00C00ED4"/>
    <w:rsid w:val="00C21002"/>
    <w:rsid w:val="00C24E0B"/>
    <w:rsid w:val="00C30FD5"/>
    <w:rsid w:val="00C34D27"/>
    <w:rsid w:val="00C364CA"/>
    <w:rsid w:val="00C41527"/>
    <w:rsid w:val="00C51E04"/>
    <w:rsid w:val="00C82DA6"/>
    <w:rsid w:val="00C92149"/>
    <w:rsid w:val="00CA4321"/>
    <w:rsid w:val="00CB47C1"/>
    <w:rsid w:val="00CB50C5"/>
    <w:rsid w:val="00CC12B9"/>
    <w:rsid w:val="00CD1B3A"/>
    <w:rsid w:val="00CD4F47"/>
    <w:rsid w:val="00CD5856"/>
    <w:rsid w:val="00CD7B8A"/>
    <w:rsid w:val="00CE3374"/>
    <w:rsid w:val="00CE3594"/>
    <w:rsid w:val="00D16B82"/>
    <w:rsid w:val="00D17E7A"/>
    <w:rsid w:val="00D17FEC"/>
    <w:rsid w:val="00D22130"/>
    <w:rsid w:val="00D24193"/>
    <w:rsid w:val="00D245AA"/>
    <w:rsid w:val="00D2774C"/>
    <w:rsid w:val="00D53A9C"/>
    <w:rsid w:val="00D67CFD"/>
    <w:rsid w:val="00D874FD"/>
    <w:rsid w:val="00D96987"/>
    <w:rsid w:val="00DB17C2"/>
    <w:rsid w:val="00DB1925"/>
    <w:rsid w:val="00DD166F"/>
    <w:rsid w:val="00DF7AC2"/>
    <w:rsid w:val="00E14033"/>
    <w:rsid w:val="00E235D1"/>
    <w:rsid w:val="00E337E6"/>
    <w:rsid w:val="00E35701"/>
    <w:rsid w:val="00E42B11"/>
    <w:rsid w:val="00E62E16"/>
    <w:rsid w:val="00E672AA"/>
    <w:rsid w:val="00E712B5"/>
    <w:rsid w:val="00EA2E82"/>
    <w:rsid w:val="00EB78FB"/>
    <w:rsid w:val="00EC0889"/>
    <w:rsid w:val="00EC2593"/>
    <w:rsid w:val="00EC2F60"/>
    <w:rsid w:val="00ED3875"/>
    <w:rsid w:val="00ED5B24"/>
    <w:rsid w:val="00F01D3D"/>
    <w:rsid w:val="00F1782E"/>
    <w:rsid w:val="00F26DBE"/>
    <w:rsid w:val="00F31748"/>
    <w:rsid w:val="00F42816"/>
    <w:rsid w:val="00F6430E"/>
    <w:rsid w:val="00F66136"/>
    <w:rsid w:val="00F70578"/>
    <w:rsid w:val="00F8602C"/>
    <w:rsid w:val="00FA3871"/>
    <w:rsid w:val="00FA6D01"/>
    <w:rsid w:val="00FC0E9B"/>
    <w:rsid w:val="00FC5CB0"/>
    <w:rsid w:val="00FD2CCD"/>
    <w:rsid w:val="00FE1B13"/>
    <w:rsid w:val="00FE1EE0"/>
    <w:rsid w:val="00FE5B66"/>
    <w:rsid w:val="00FE7967"/>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233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A35C63"/>
    <w:rPr>
      <w:color w:val="00335E"/>
      <w:u w:val="single"/>
    </w:rPr>
  </w:style>
  <w:style w:type="table" w:customStyle="1" w:styleId="IgTable">
    <w:name w:val="Ig Table"/>
    <w:basedOn w:val="LightList"/>
    <w:uiPriority w:val="99"/>
    <w:rsid w:val="00A35C63"/>
    <w:rPr>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A35C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A35C63"/>
    <w:rPr>
      <w:color w:val="00335E"/>
      <w:u w:val="single"/>
    </w:rPr>
  </w:style>
  <w:style w:type="table" w:customStyle="1" w:styleId="IgTable">
    <w:name w:val="Ig Table"/>
    <w:basedOn w:val="LightList"/>
    <w:uiPriority w:val="99"/>
    <w:rsid w:val="00A35C63"/>
    <w:rPr>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A35C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073427438">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ontocrf.grupocostaisa.com/es/web/caps/contents" TargetMode="External"/><Relationship Id="rId3" Type="http://schemas.openxmlformats.org/officeDocument/2006/relationships/styles" Target="styles.xml"/><Relationship Id="rId21" Type="http://schemas.openxmlformats.org/officeDocument/2006/relationships/hyperlink" Target="https://www.ncbi.nlm.nih.gov/pubmed/20386563"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cbi.nlm.nih.gov/pubmed/16868979" TargetMode="External"/><Relationship Id="rId2" Type="http://schemas.openxmlformats.org/officeDocument/2006/relationships/numbering" Target="numbering.xml"/><Relationship Id="rId16" Type="http://schemas.openxmlformats.org/officeDocument/2006/relationships/hyperlink" Target="https://www.ncbi.nlm.nih.gov/pubmed/23777822" TargetMode="External"/><Relationship Id="rId20" Type="http://schemas.openxmlformats.org/officeDocument/2006/relationships/hyperlink" Target="https://www.ncbi.nlm.nih.gov/pubmed/171382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bi.nlm.nih.gov/pubmed/17041346"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karger.com/Article/Abstract/93565" TargetMode="External"/><Relationship Id="rId4" Type="http://schemas.microsoft.com/office/2007/relationships/stylesWithEffects" Target="stylesWithEffects.xml"/><Relationship Id="rId9" Type="http://schemas.openxmlformats.org/officeDocument/2006/relationships/hyperlink" Target="http://www.blood.gov.au/pubs/ivig/development-and-maintenance-of-the-criteria.html" TargetMode="External"/><Relationship Id="rId14" Type="http://schemas.openxmlformats.org/officeDocument/2006/relationships/hyperlink" Target="https://www.ncbi.nlm.nih.gov/pubmed/1289239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78DF-76BC-44D0-A860-92A801F2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2149</Words>
  <Characters>12251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2017-04-10T04:18:00Z</cp:lastPrinted>
  <dcterms:created xsi:type="dcterms:W3CDTF">2017-09-08T02:52:00Z</dcterms:created>
  <dcterms:modified xsi:type="dcterms:W3CDTF">2017-09-08T02:52:00Z</dcterms:modified>
</cp:coreProperties>
</file>