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06" w:rsidRDefault="00AC0406" w:rsidP="00AC0406">
      <w:pPr>
        <w:pStyle w:val="Heading4"/>
        <w:tabs>
          <w:tab w:val="left" w:pos="709"/>
        </w:tabs>
        <w:ind w:left="-426"/>
      </w:pPr>
      <w:bookmarkStart w:id="0" w:name="_GoBack"/>
      <w:bookmarkEnd w:id="0"/>
    </w:p>
    <w:p w:rsidR="00447869" w:rsidRPr="00D64E7C" w:rsidRDefault="00AC0406" w:rsidP="00447869">
      <w:pPr>
        <w:rPr>
          <w:b/>
          <w:sz w:val="28"/>
        </w:rPr>
      </w:pPr>
      <w:r w:rsidRPr="00D64E7C">
        <w:rPr>
          <w:b/>
          <w:sz w:val="28"/>
        </w:rPr>
        <w:t xml:space="preserve">2017 (v3.0) Proposed changes to </w:t>
      </w:r>
      <w:r w:rsidR="00D64E7C" w:rsidRPr="00D64E7C">
        <w:rPr>
          <w:b/>
          <w:sz w:val="28"/>
        </w:rPr>
        <w:t xml:space="preserve">version 2.1 of </w:t>
      </w:r>
      <w:r w:rsidRPr="00D64E7C">
        <w:rPr>
          <w:b/>
          <w:sz w:val="28"/>
        </w:rPr>
        <w:t>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2836"/>
        <w:gridCol w:w="11765"/>
      </w:tblGrid>
      <w:tr w:rsidR="00793EB5" w:rsidRPr="00447869" w:rsidTr="00437609">
        <w:tc>
          <w:tcPr>
            <w:tcW w:w="2836" w:type="dxa"/>
            <w:shd w:val="clear" w:color="auto" w:fill="DBE5F1" w:themeFill="accent1" w:themeFillTint="33"/>
          </w:tcPr>
          <w:p w:rsidR="00793EB5" w:rsidRPr="00447869" w:rsidRDefault="00793EB5" w:rsidP="00D64E7C">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427667">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11765" w:type="dxa"/>
            <w:shd w:val="clear" w:color="auto" w:fill="DBE5F1" w:themeFill="accent1" w:themeFillTint="33"/>
          </w:tcPr>
          <w:p w:rsidR="00793EB5" w:rsidRPr="00447869" w:rsidRDefault="00755368" w:rsidP="007830E1">
            <w:pPr>
              <w:spacing w:before="120" w:after="120"/>
              <w:rPr>
                <w:rFonts w:asciiTheme="minorHAnsi" w:eastAsia="Times New Roman" w:hAnsiTheme="minorHAnsi" w:cs="Times New Roman"/>
                <w:b/>
                <w:bCs/>
                <w:lang w:eastAsia="en-AU"/>
              </w:rPr>
            </w:pPr>
            <w:r w:rsidRPr="00755368">
              <w:rPr>
                <w:rFonts w:asciiTheme="minorHAnsi" w:eastAsia="Times New Roman" w:hAnsiTheme="minorHAnsi" w:cs="Times New Roman"/>
                <w:b/>
                <w:bCs/>
                <w:lang w:eastAsia="en-AU"/>
              </w:rPr>
              <w:t>Diabetic amyotrophy (diabetic proximal neuropathy or diabetic lumbosacral radiculoplexus neuropathy)</w:t>
            </w:r>
          </w:p>
        </w:tc>
      </w:tr>
      <w:tr w:rsidR="00642A5C" w:rsidRPr="00447869" w:rsidTr="00437609">
        <w:tc>
          <w:tcPr>
            <w:tcW w:w="2836" w:type="dxa"/>
            <w:shd w:val="clear" w:color="auto" w:fill="auto"/>
          </w:tcPr>
          <w:p w:rsidR="00427667" w:rsidRDefault="00427667"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660261" w:rsidRPr="00364F23" w:rsidRDefault="00AC0406" w:rsidP="0066026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To </w:t>
            </w:r>
            <w:r w:rsidR="00D64E7C">
              <w:rPr>
                <w:rFonts w:asciiTheme="minorHAnsi" w:eastAsia="Times New Roman" w:hAnsiTheme="minorHAnsi" w:cs="Times New Roman"/>
                <w:b/>
                <w:bCs/>
                <w:lang w:eastAsia="en-AU"/>
              </w:rPr>
              <w:t xml:space="preserve">move </w:t>
            </w:r>
            <w:r w:rsidR="00660261" w:rsidRPr="00364F23">
              <w:rPr>
                <w:rFonts w:asciiTheme="minorHAnsi" w:eastAsia="Times New Roman" w:hAnsiTheme="minorHAnsi" w:cs="Times New Roman"/>
                <w:b/>
                <w:bCs/>
                <w:lang w:eastAsia="en-AU"/>
              </w:rPr>
              <w:t xml:space="preserve">Diabetic amyotrophy </w:t>
            </w:r>
            <w:r w:rsidR="00660261" w:rsidRPr="00364F23">
              <w:rPr>
                <w:rFonts w:asciiTheme="minorHAnsi" w:hAnsiTheme="minorHAnsi"/>
                <w:b/>
              </w:rPr>
              <w:t xml:space="preserve">or diabetic lumbosacral radiculoplexus neuropathy (DLRPN) </w:t>
            </w:r>
            <w:r>
              <w:rPr>
                <w:rFonts w:asciiTheme="minorHAnsi" w:hAnsiTheme="minorHAnsi"/>
                <w:b/>
              </w:rPr>
              <w:t xml:space="preserve">from </w:t>
            </w:r>
            <w:r w:rsidRPr="00CC0FB4">
              <w:rPr>
                <w:rFonts w:asciiTheme="minorHAnsi" w:hAnsiTheme="minorHAnsi"/>
                <w:b/>
                <w:i/>
              </w:rPr>
              <w:t xml:space="preserve">Exceptional circumstances only </w:t>
            </w:r>
            <w:r w:rsidR="00660261" w:rsidRPr="00364F23">
              <w:rPr>
                <w:rFonts w:asciiTheme="minorHAnsi" w:eastAsia="Times New Roman" w:hAnsiTheme="minorHAnsi" w:cs="Times New Roman"/>
                <w:b/>
                <w:bCs/>
                <w:lang w:eastAsia="en-AU"/>
              </w:rPr>
              <w:t xml:space="preserve">to </w:t>
            </w:r>
            <w:r w:rsidR="00427667" w:rsidRPr="00427667">
              <w:rPr>
                <w:rFonts w:asciiTheme="minorHAnsi" w:eastAsia="Times New Roman" w:hAnsiTheme="minorHAnsi" w:cs="Times New Roman"/>
                <w:b/>
                <w:bCs/>
                <w:i/>
                <w:lang w:eastAsia="en-AU"/>
              </w:rPr>
              <w:t>Not</w:t>
            </w:r>
            <w:r w:rsidR="00427667">
              <w:rPr>
                <w:rFonts w:asciiTheme="minorHAnsi" w:eastAsia="Times New Roman" w:hAnsiTheme="minorHAnsi" w:cs="Times New Roman"/>
                <w:b/>
                <w:bCs/>
                <w:i/>
                <w:lang w:eastAsia="en-AU"/>
              </w:rPr>
              <w:t xml:space="preserve"> supported</w:t>
            </w:r>
            <w:r w:rsidR="00660261" w:rsidRPr="00364F23">
              <w:rPr>
                <w:rFonts w:asciiTheme="minorHAnsi" w:eastAsia="Times New Roman" w:hAnsiTheme="minorHAnsi" w:cs="Times New Roman"/>
                <w:b/>
                <w:bCs/>
                <w:lang w:eastAsia="en-AU"/>
              </w:rPr>
              <w:t xml:space="preserve">. </w:t>
            </w:r>
          </w:p>
          <w:p w:rsidR="003E3235" w:rsidRPr="00C92149" w:rsidRDefault="003E3235" w:rsidP="00AD1EF1">
            <w:pPr>
              <w:spacing w:before="120" w:after="120"/>
              <w:rPr>
                <w:rFonts w:asciiTheme="minorHAnsi" w:eastAsia="Times New Roman" w:hAnsiTheme="minorHAnsi" w:cs="Times New Roman"/>
                <w:bCs/>
                <w:lang w:eastAsia="en-AU"/>
              </w:rPr>
            </w:pPr>
          </w:p>
        </w:tc>
        <w:tc>
          <w:tcPr>
            <w:tcW w:w="11765"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660261" w:rsidRPr="00F946B8" w:rsidRDefault="00660261" w:rsidP="00660261">
            <w:pPr>
              <w:spacing w:before="120" w:after="120"/>
              <w:rPr>
                <w:rFonts w:asciiTheme="minorHAnsi" w:hAnsiTheme="minorHAnsi" w:cs="Lucida Grande"/>
                <w:color w:val="000000"/>
              </w:rPr>
            </w:pPr>
            <w:r w:rsidRPr="00F946B8">
              <w:rPr>
                <w:rFonts w:asciiTheme="minorHAnsi" w:eastAsia="Times New Roman" w:hAnsiTheme="minorHAnsi" w:cs="Times New Roman"/>
                <w:bCs/>
                <w:lang w:eastAsia="en-AU"/>
              </w:rPr>
              <w:t xml:space="preserve">The recommendation is supported by factors including that: </w:t>
            </w:r>
          </w:p>
          <w:p w:rsidR="00660261" w:rsidRPr="00EA084C" w:rsidRDefault="00660261" w:rsidP="00576017">
            <w:pPr>
              <w:pStyle w:val="ListParagraph"/>
              <w:numPr>
                <w:ilvl w:val="0"/>
                <w:numId w:val="46"/>
              </w:numPr>
              <w:spacing w:line="276" w:lineRule="auto"/>
              <w:ind w:left="459"/>
              <w:rPr>
                <w:rFonts w:asciiTheme="minorHAnsi" w:hAnsiTheme="minorHAnsi" w:cs="Lucida Grande"/>
                <w:color w:val="000000"/>
              </w:rPr>
            </w:pPr>
            <w:r>
              <w:rPr>
                <w:rFonts w:asciiTheme="minorHAnsi" w:hAnsiTheme="minorHAnsi" w:cs="Lucida Grande"/>
                <w:color w:val="000000"/>
              </w:rPr>
              <w:t xml:space="preserve">Improvement in symptoms usually occurs slowly but spontaneously in almost all patients, although recovery may be incomplete. </w:t>
            </w:r>
          </w:p>
          <w:p w:rsidR="00660261" w:rsidRPr="00111E50" w:rsidRDefault="00660261" w:rsidP="00576017">
            <w:pPr>
              <w:pStyle w:val="ListParagraph"/>
              <w:numPr>
                <w:ilvl w:val="0"/>
                <w:numId w:val="46"/>
              </w:numPr>
              <w:spacing w:line="276" w:lineRule="auto"/>
              <w:ind w:left="459"/>
              <w:rPr>
                <w:rFonts w:asciiTheme="minorHAnsi" w:hAnsiTheme="minorHAnsi" w:cs="Lucida Grande"/>
                <w:color w:val="000000"/>
              </w:rPr>
            </w:pPr>
            <w:r>
              <w:rPr>
                <w:rFonts w:asciiTheme="minorHAnsi" w:hAnsiTheme="minorHAnsi"/>
              </w:rPr>
              <w:t>The</w:t>
            </w:r>
            <w:r w:rsidRPr="002879BA">
              <w:rPr>
                <w:rFonts w:asciiTheme="minorHAnsi" w:hAnsiTheme="minorHAnsi"/>
              </w:rPr>
              <w:t xml:space="preserve"> </w:t>
            </w:r>
            <w:r>
              <w:rPr>
                <w:rFonts w:asciiTheme="minorHAnsi" w:hAnsiTheme="minorHAnsi"/>
              </w:rPr>
              <w:t xml:space="preserve">recommendation to no longer support this condition </w:t>
            </w:r>
            <w:r w:rsidRPr="002879BA">
              <w:rPr>
                <w:rFonts w:asciiTheme="minorHAnsi" w:hAnsiTheme="minorHAnsi"/>
              </w:rPr>
              <w:t>is consistent with recommendations of the Canadian</w:t>
            </w:r>
            <w:r w:rsidR="00CF3626">
              <w:rPr>
                <w:rFonts w:asciiTheme="minorHAnsi" w:hAnsiTheme="minorHAnsi"/>
              </w:rPr>
              <w:t xml:space="preserve"> (</w:t>
            </w:r>
            <w:r w:rsidR="00CF3626" w:rsidRPr="00CF3626">
              <w:rPr>
                <w:rFonts w:eastAsiaTheme="minorHAnsi"/>
                <w:color w:val="000000"/>
              </w:rPr>
              <w:t>Ontario Regio</w:t>
            </w:r>
            <w:r w:rsidR="00CF3626">
              <w:rPr>
                <w:rFonts w:eastAsiaTheme="minorHAnsi"/>
                <w:color w:val="000000"/>
              </w:rPr>
              <w:t>nal Blood Coordinating Network, 2016)</w:t>
            </w:r>
            <w:r w:rsidRPr="002879BA">
              <w:rPr>
                <w:rFonts w:asciiTheme="minorHAnsi" w:hAnsiTheme="minorHAnsi"/>
              </w:rPr>
              <w:t xml:space="preserve"> and North American</w:t>
            </w:r>
            <w:r w:rsidR="00CF3626">
              <w:rPr>
                <w:rFonts w:asciiTheme="minorHAnsi" w:hAnsiTheme="minorHAnsi"/>
              </w:rPr>
              <w:t xml:space="preserve"> </w:t>
            </w:r>
            <w:r w:rsidR="004C0ECF">
              <w:rPr>
                <w:rFonts w:asciiTheme="minorHAnsi" w:hAnsiTheme="minorHAnsi"/>
              </w:rPr>
              <w:t>(</w:t>
            </w:r>
            <w:r w:rsidR="004C0ECF" w:rsidRPr="004C0ECF">
              <w:rPr>
                <w:rFonts w:asciiTheme="minorHAnsi" w:hAnsiTheme="minorHAnsi"/>
              </w:rPr>
              <w:t>National Guideline Clearinghouse</w:t>
            </w:r>
            <w:r w:rsidR="004C0ECF">
              <w:rPr>
                <w:rFonts w:asciiTheme="minorHAnsi" w:hAnsiTheme="minorHAnsi"/>
              </w:rPr>
              <w:t>, 2012)</w:t>
            </w:r>
            <w:r w:rsidR="004C0ECF" w:rsidRPr="004C0ECF">
              <w:rPr>
                <w:rFonts w:asciiTheme="minorHAnsi" w:hAnsiTheme="minorHAnsi"/>
              </w:rPr>
              <w:t xml:space="preserve"> </w:t>
            </w:r>
            <w:r w:rsidR="009D6D50">
              <w:rPr>
                <w:rFonts w:asciiTheme="minorHAnsi" w:hAnsiTheme="minorHAnsi"/>
              </w:rPr>
              <w:t>IVIg</w:t>
            </w:r>
            <w:r w:rsidRPr="002879BA">
              <w:rPr>
                <w:rFonts w:asciiTheme="minorHAnsi" w:hAnsiTheme="minorHAnsi"/>
              </w:rPr>
              <w:t xml:space="preserve"> criteria.</w:t>
            </w:r>
            <w:r w:rsidR="00111E50">
              <w:rPr>
                <w:rFonts w:asciiTheme="minorHAnsi" w:hAnsiTheme="minorHAnsi"/>
              </w:rPr>
              <w:t xml:space="preserve"> It is listed in the UK Guidelines </w:t>
            </w:r>
            <w:r w:rsidR="00111E50">
              <w:t>(</w:t>
            </w:r>
            <w:r w:rsidR="00111E50">
              <w:rPr>
                <w:rFonts w:asciiTheme="minorHAnsi" w:hAnsiTheme="minorHAnsi"/>
              </w:rPr>
              <w:t>UK Department of Health, 2011)</w:t>
            </w:r>
            <w:r w:rsidR="00111E50">
              <w:t xml:space="preserve"> as a ‘grey’ condition under ‘Presumed immune-mediated disorders with little or no evidence of efficacy.</w:t>
            </w:r>
            <w:r w:rsidR="00111E50">
              <w:rPr>
                <w:rFonts w:asciiTheme="minorHAnsi" w:hAnsiTheme="minorHAnsi"/>
              </w:rPr>
              <w:t xml:space="preserve"> </w:t>
            </w:r>
          </w:p>
          <w:p w:rsidR="00660261" w:rsidRDefault="00660261" w:rsidP="00576017">
            <w:pPr>
              <w:pStyle w:val="ListParagraph"/>
              <w:numPr>
                <w:ilvl w:val="0"/>
                <w:numId w:val="46"/>
              </w:numPr>
              <w:spacing w:line="276" w:lineRule="auto"/>
              <w:ind w:left="459"/>
              <w:rPr>
                <w:rFonts w:asciiTheme="minorHAnsi" w:hAnsiTheme="minorHAnsi" w:cs="Lucida Grande"/>
                <w:color w:val="000000"/>
              </w:rPr>
            </w:pPr>
            <w:r w:rsidRPr="00806851">
              <w:rPr>
                <w:rFonts w:asciiTheme="minorHAnsi" w:hAnsiTheme="minorHAnsi"/>
              </w:rPr>
              <w:t xml:space="preserve"> </w:t>
            </w:r>
            <w:r w:rsidRPr="00806851">
              <w:rPr>
                <w:rFonts w:asciiTheme="minorHAnsi" w:hAnsiTheme="minorHAnsi" w:cs="Lucida Grande"/>
                <w:color w:val="000000"/>
              </w:rPr>
              <w:t xml:space="preserve">There are no published controlled clinical trials of the use of </w:t>
            </w:r>
            <w:r w:rsidR="009D6D50">
              <w:rPr>
                <w:rFonts w:asciiTheme="minorHAnsi" w:hAnsiTheme="minorHAnsi" w:cs="Lucida Grande"/>
                <w:color w:val="000000"/>
              </w:rPr>
              <w:t>IVIg</w:t>
            </w:r>
            <w:r w:rsidRPr="00806851">
              <w:rPr>
                <w:rFonts w:asciiTheme="minorHAnsi" w:hAnsiTheme="minorHAnsi" w:cs="Lucida Grande"/>
                <w:color w:val="000000"/>
              </w:rPr>
              <w:t xml:space="preserve"> in DLRPN. One registered randomized clinical trial was terminated prematurely without publication (NCT00004407) and no abstract was published. </w:t>
            </w:r>
          </w:p>
          <w:p w:rsidR="00660261" w:rsidRDefault="00660261" w:rsidP="00576017">
            <w:pPr>
              <w:pStyle w:val="ListParagraph"/>
              <w:numPr>
                <w:ilvl w:val="0"/>
                <w:numId w:val="46"/>
              </w:numPr>
              <w:spacing w:line="276" w:lineRule="auto"/>
              <w:ind w:left="459"/>
              <w:rPr>
                <w:rFonts w:asciiTheme="minorHAnsi" w:hAnsiTheme="minorHAnsi" w:cs="Lucida Grande"/>
                <w:color w:val="000000"/>
              </w:rPr>
            </w:pPr>
            <w:r w:rsidRPr="00806851">
              <w:rPr>
                <w:rFonts w:asciiTheme="minorHAnsi" w:hAnsiTheme="minorHAnsi" w:cs="Lucida Grande"/>
                <w:color w:val="000000"/>
              </w:rPr>
              <w:t>Case series have provided conflicting results in regard to response of neuropathic pain, but none have documented improvement in muscle weakness</w:t>
            </w:r>
            <w:r w:rsidRPr="002A0D18">
              <w:rPr>
                <w:rFonts w:asciiTheme="minorHAnsi" w:hAnsiTheme="minorHAnsi" w:cs="Lucida Grande"/>
                <w:color w:val="000000"/>
              </w:rPr>
              <w:t xml:space="preserve">, atrophy or neurologic disability. One case series described 3 patients who had </w:t>
            </w:r>
            <w:r w:rsidRPr="00806851">
              <w:rPr>
                <w:rFonts w:asciiTheme="minorHAnsi" w:hAnsiTheme="minorHAnsi" w:cs="Lucida Grande"/>
                <w:color w:val="000000"/>
              </w:rPr>
              <w:t xml:space="preserve">severe and progressive DLRPN despite active immunosuppressive therapy including </w:t>
            </w:r>
            <w:r w:rsidR="009D6D50">
              <w:rPr>
                <w:rFonts w:asciiTheme="minorHAnsi" w:hAnsiTheme="minorHAnsi" w:cs="Lucida Grande"/>
                <w:color w:val="000000"/>
              </w:rPr>
              <w:t>IVIg</w:t>
            </w:r>
            <w:r w:rsidRPr="00806851">
              <w:rPr>
                <w:rFonts w:asciiTheme="minorHAnsi" w:hAnsiTheme="minorHAnsi" w:cs="Lucida Grande"/>
                <w:color w:val="000000"/>
              </w:rPr>
              <w:t xml:space="preserve">.  </w:t>
            </w:r>
          </w:p>
          <w:p w:rsidR="00660261" w:rsidRDefault="00660261" w:rsidP="00576017">
            <w:pPr>
              <w:pStyle w:val="ListParagraph"/>
              <w:numPr>
                <w:ilvl w:val="0"/>
                <w:numId w:val="46"/>
              </w:numPr>
              <w:spacing w:line="276" w:lineRule="auto"/>
              <w:ind w:left="459"/>
              <w:rPr>
                <w:rFonts w:asciiTheme="minorHAnsi" w:hAnsiTheme="minorHAnsi" w:cs="Lucida Grande"/>
                <w:color w:val="000000"/>
              </w:rPr>
            </w:pPr>
            <w:r w:rsidRPr="00806851">
              <w:rPr>
                <w:rFonts w:asciiTheme="minorHAnsi" w:hAnsiTheme="minorHAnsi" w:cs="Lucida Grande"/>
                <w:color w:val="000000"/>
              </w:rPr>
              <w:t>A single prospective, randomized double-blind controlled trial of intravenous methlyprednisolone, demonstrated significantly more improvement in neuropathic pain in the IVMP group, but no significant improvement in neuropathy impairment score (Class 1).</w:t>
            </w:r>
          </w:p>
          <w:p w:rsidR="00FF4718" w:rsidRDefault="00660261" w:rsidP="00576017">
            <w:pPr>
              <w:pStyle w:val="ListParagraph"/>
              <w:numPr>
                <w:ilvl w:val="0"/>
                <w:numId w:val="46"/>
              </w:numPr>
              <w:spacing w:line="276" w:lineRule="auto"/>
              <w:ind w:left="459"/>
              <w:rPr>
                <w:rFonts w:asciiTheme="minorHAnsi" w:hAnsiTheme="minorHAnsi" w:cs="Lucida Grande"/>
                <w:color w:val="000000"/>
              </w:rPr>
            </w:pPr>
            <w:r>
              <w:rPr>
                <w:rFonts w:asciiTheme="minorHAnsi" w:hAnsiTheme="minorHAnsi" w:cs="Lucida Grande"/>
                <w:color w:val="000000"/>
              </w:rPr>
              <w:t xml:space="preserve">Ig use in Australia is very low with between zero and fifteen patients receiving treatment annually for the </w:t>
            </w:r>
            <w:r w:rsidR="00111E50">
              <w:rPr>
                <w:rFonts w:asciiTheme="minorHAnsi" w:hAnsiTheme="minorHAnsi" w:cs="Lucida Grande"/>
                <w:color w:val="000000"/>
              </w:rPr>
              <w:t>last five</w:t>
            </w:r>
            <w:r>
              <w:rPr>
                <w:rFonts w:asciiTheme="minorHAnsi" w:hAnsiTheme="minorHAnsi" w:cs="Lucida Grande"/>
                <w:color w:val="000000"/>
              </w:rPr>
              <w:t xml:space="preserve"> years. </w:t>
            </w:r>
          </w:p>
          <w:p w:rsidR="00576017" w:rsidRPr="00576017" w:rsidRDefault="00576017" w:rsidP="00576017">
            <w:pPr>
              <w:pStyle w:val="ListParagraph"/>
              <w:spacing w:line="276" w:lineRule="auto"/>
              <w:ind w:left="459"/>
              <w:rPr>
                <w:rFonts w:asciiTheme="minorHAnsi" w:hAnsiTheme="minorHAnsi" w:cs="Lucida Grande"/>
                <w:color w:val="000000"/>
              </w:rPr>
            </w:pPr>
          </w:p>
        </w:tc>
      </w:tr>
      <w:tr w:rsidR="008612AB" w:rsidRPr="00447869" w:rsidTr="00437609">
        <w:tc>
          <w:tcPr>
            <w:tcW w:w="14601" w:type="dxa"/>
            <w:gridSpan w:val="2"/>
            <w:shd w:val="clear" w:color="auto" w:fill="auto"/>
          </w:tcPr>
          <w:p w:rsidR="008612AB" w:rsidRPr="00660261" w:rsidRDefault="008612AB" w:rsidP="005A547A">
            <w:pPr>
              <w:spacing w:before="120" w:after="120"/>
              <w:rPr>
                <w:rFonts w:asciiTheme="minorHAnsi" w:hAnsiTheme="minorHAnsi" w:cs="Lucida Grande"/>
                <w:color w:val="000000"/>
              </w:rPr>
            </w:pPr>
            <w:r>
              <w:rPr>
                <w:rFonts w:asciiTheme="minorHAnsi" w:eastAsia="Times New Roman" w:hAnsiTheme="minorHAnsi" w:cs="Times New Roman"/>
                <w:b/>
                <w:bCs/>
                <w:lang w:eastAsia="en-AU"/>
              </w:rPr>
              <w:t>Role of Ig therapy</w:t>
            </w:r>
            <w:r w:rsidR="007830E1">
              <w:rPr>
                <w:rFonts w:asciiTheme="minorHAnsi" w:eastAsia="Times New Roman" w:hAnsiTheme="minorHAnsi" w:cs="Times New Roman"/>
                <w:b/>
                <w:bCs/>
                <w:lang w:eastAsia="en-AU"/>
              </w:rPr>
              <w:t>:</w:t>
            </w:r>
            <w:r w:rsidR="009E0D07">
              <w:rPr>
                <w:rFonts w:asciiTheme="minorHAnsi" w:eastAsia="Times New Roman" w:hAnsiTheme="minorHAnsi" w:cs="Times New Roman"/>
                <w:b/>
                <w:bCs/>
                <w:lang w:eastAsia="en-AU"/>
              </w:rPr>
              <w:t xml:space="preserve"> </w:t>
            </w:r>
            <w:r w:rsidR="009E0D07">
              <w:rPr>
                <w:rFonts w:asciiTheme="minorHAnsi" w:eastAsia="Times New Roman" w:hAnsiTheme="minorHAnsi" w:cs="Times New Roman"/>
                <w:bCs/>
                <w:lang w:eastAsia="en-AU"/>
              </w:rPr>
              <w:t xml:space="preserve"> </w:t>
            </w:r>
            <w:r w:rsidR="00660261" w:rsidRPr="00806851">
              <w:rPr>
                <w:rFonts w:asciiTheme="minorHAnsi" w:hAnsiTheme="minorHAnsi" w:cs="Lucida Grande"/>
                <w:color w:val="000000"/>
              </w:rPr>
              <w:t>Diabetic amyotrophy, also referred to as diabetic lumbosacral radiculop</w:t>
            </w:r>
            <w:r w:rsidR="00660261">
              <w:rPr>
                <w:rFonts w:asciiTheme="minorHAnsi" w:hAnsiTheme="minorHAnsi" w:cs="Lucida Grande"/>
                <w:color w:val="000000"/>
              </w:rPr>
              <w:t>l</w:t>
            </w:r>
            <w:r w:rsidR="00660261" w:rsidRPr="00806851">
              <w:rPr>
                <w:rFonts w:asciiTheme="minorHAnsi" w:hAnsiTheme="minorHAnsi" w:cs="Lucida Grande"/>
                <w:color w:val="000000"/>
              </w:rPr>
              <w:t>exus neuropathy, is a multifocal, asymmetric, painful, acute or subacute neuropathic disorder affecting multiple levels of lumbosacral plexus, nerve roots, and distal nerves that emerge from the plexus.  The clinical picture is that of unilateral or asymmetric bilateral pain, weakness and wasting in the lower limbs, usually associated with significant weight loss. Most cases occur while diabetes is under good control.  LRPN can occur in nondiabetic patients. Whilst predominantly a motor syndrome, sensory and autonomic involvement can occur.  The pathophysiology is thought to be immune-mediated and characterized by ischemic damage, in</w:t>
            </w:r>
            <w:r w:rsidR="00660261">
              <w:rPr>
                <w:rFonts w:asciiTheme="minorHAnsi" w:hAnsiTheme="minorHAnsi" w:cs="Lucida Grande"/>
                <w:color w:val="000000"/>
              </w:rPr>
              <w:t>f</w:t>
            </w:r>
            <w:r w:rsidR="00660261" w:rsidRPr="00745E41">
              <w:rPr>
                <w:rFonts w:asciiTheme="minorHAnsi" w:hAnsiTheme="minorHAnsi" w:cs="Lucida Grande"/>
                <w:color w:val="000000"/>
              </w:rPr>
              <w:t>lammation and micro</w:t>
            </w:r>
            <w:r w:rsidR="00660261">
              <w:rPr>
                <w:rFonts w:asciiTheme="minorHAnsi" w:hAnsiTheme="minorHAnsi" w:cs="Lucida Grande"/>
                <w:color w:val="000000"/>
              </w:rPr>
              <w:t>-</w:t>
            </w:r>
            <w:r w:rsidR="00660261" w:rsidRPr="00806851">
              <w:rPr>
                <w:rFonts w:asciiTheme="minorHAnsi" w:hAnsiTheme="minorHAnsi" w:cs="Lucida Grande"/>
                <w:color w:val="000000"/>
              </w:rPr>
              <w:t xml:space="preserve">vasculitis. Improvement </w:t>
            </w:r>
            <w:r w:rsidR="00CC010C">
              <w:rPr>
                <w:rFonts w:asciiTheme="minorHAnsi" w:hAnsiTheme="minorHAnsi" w:cs="Lucida Grande"/>
                <w:color w:val="000000"/>
              </w:rPr>
              <w:t xml:space="preserve">in symptoms </w:t>
            </w:r>
            <w:r w:rsidR="00660261" w:rsidRPr="00806851">
              <w:rPr>
                <w:rFonts w:asciiTheme="minorHAnsi" w:hAnsiTheme="minorHAnsi" w:cs="Lucida Grande"/>
                <w:color w:val="000000"/>
              </w:rPr>
              <w:t xml:space="preserve">occurs in almost all patients </w:t>
            </w:r>
            <w:r w:rsidR="00CC010C">
              <w:rPr>
                <w:rFonts w:asciiTheme="minorHAnsi" w:hAnsiTheme="minorHAnsi" w:cs="Lucida Grande"/>
                <w:color w:val="000000"/>
              </w:rPr>
              <w:t xml:space="preserve">spontaneously </w:t>
            </w:r>
            <w:r w:rsidR="00660261" w:rsidRPr="00806851">
              <w:rPr>
                <w:rFonts w:asciiTheme="minorHAnsi" w:hAnsiTheme="minorHAnsi" w:cs="Lucida Grande"/>
                <w:color w:val="000000"/>
              </w:rPr>
              <w:t xml:space="preserve">although recovery is delayed and </w:t>
            </w:r>
            <w:r w:rsidR="00660261">
              <w:rPr>
                <w:rFonts w:asciiTheme="minorHAnsi" w:hAnsiTheme="minorHAnsi" w:cs="Lucida Grande"/>
                <w:color w:val="000000"/>
              </w:rPr>
              <w:t xml:space="preserve">may be </w:t>
            </w:r>
            <w:r w:rsidR="00660261" w:rsidRPr="00806851">
              <w:rPr>
                <w:rFonts w:asciiTheme="minorHAnsi" w:hAnsiTheme="minorHAnsi" w:cs="Lucida Grande"/>
                <w:color w:val="000000"/>
              </w:rPr>
              <w:t>incomplete.</w:t>
            </w:r>
            <w:r w:rsidR="00660261">
              <w:rPr>
                <w:rFonts w:asciiTheme="minorHAnsi" w:hAnsiTheme="minorHAnsi" w:cs="Lucida Grande"/>
                <w:color w:val="000000"/>
              </w:rPr>
              <w:t xml:space="preserve"> </w:t>
            </w:r>
          </w:p>
        </w:tc>
      </w:tr>
      <w:tr w:rsidR="00E7550D" w:rsidRPr="00447869" w:rsidTr="00437609">
        <w:trPr>
          <w:trHeight w:val="515"/>
        </w:trPr>
        <w:tc>
          <w:tcPr>
            <w:tcW w:w="14601" w:type="dxa"/>
            <w:gridSpan w:val="2"/>
            <w:shd w:val="clear" w:color="auto" w:fill="DBE5F1" w:themeFill="accent1" w:themeFillTint="33"/>
          </w:tcPr>
          <w:p w:rsidR="00E7550D" w:rsidRDefault="00E7550D" w:rsidP="00D64E7C">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lastRenderedPageBreak/>
              <w:t xml:space="preserve">Access Information in </w:t>
            </w:r>
            <w:r w:rsidR="00427667">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Category </w:t>
            </w:r>
          </w:p>
        </w:tc>
        <w:tc>
          <w:tcPr>
            <w:tcW w:w="11765" w:type="dxa"/>
            <w:shd w:val="clear" w:color="auto" w:fill="auto"/>
          </w:tcPr>
          <w:p w:rsidR="00793EB5" w:rsidRPr="00E7550D" w:rsidRDefault="00D64E7C" w:rsidP="00D64E7C">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Condition for which Ig use is in exceptional circumstances only </w:t>
            </w:r>
            <w:r w:rsidR="00115653">
              <w:rPr>
                <w:rFonts w:asciiTheme="minorHAnsi" w:eastAsia="Times New Roman" w:hAnsiTheme="minorHAnsi" w:cs="Times New Roman"/>
                <w:bCs/>
                <w:lang w:eastAsia="en-AU"/>
              </w:rPr>
              <w:t xml:space="preserve"> (Chapter 7)</w:t>
            </w:r>
          </w:p>
        </w:tc>
      </w:tr>
      <w:tr w:rsidR="00E7550D" w:rsidRPr="00447869" w:rsidTr="00437609">
        <w:trPr>
          <w:trHeight w:val="515"/>
        </w:trPr>
        <w:tc>
          <w:tcPr>
            <w:tcW w:w="2836" w:type="dxa"/>
            <w:shd w:val="clear" w:color="auto" w:fill="auto"/>
          </w:tcPr>
          <w:p w:rsidR="00E7550D" w:rsidRDefault="00E7550D" w:rsidP="007830E1">
            <w:pPr>
              <w:spacing w:before="120" w:after="120"/>
              <w:rPr>
                <w:rFonts w:asciiTheme="minorHAnsi" w:hAnsiTheme="minorHAnsi"/>
                <w:b/>
              </w:rPr>
            </w:pPr>
            <w:r>
              <w:rPr>
                <w:rFonts w:asciiTheme="minorHAnsi" w:hAnsiTheme="minorHAnsi"/>
                <w:b/>
              </w:rPr>
              <w:t>Level of Evidence</w:t>
            </w:r>
          </w:p>
        </w:tc>
        <w:tc>
          <w:tcPr>
            <w:tcW w:w="11765" w:type="dxa"/>
            <w:shd w:val="clear" w:color="auto" w:fill="auto"/>
          </w:tcPr>
          <w:p w:rsidR="00E7550D" w:rsidRPr="00793EB5" w:rsidRDefault="00755368" w:rsidP="007830E1">
            <w:pPr>
              <w:spacing w:before="120" w:after="120"/>
              <w:rPr>
                <w:rFonts w:asciiTheme="minorHAnsi" w:eastAsia="Times New Roman" w:hAnsiTheme="minorHAnsi" w:cs="Times New Roman"/>
                <w:bCs/>
                <w:lang w:eastAsia="en-AU"/>
              </w:rPr>
            </w:pPr>
            <w:r w:rsidRPr="00755368">
              <w:rPr>
                <w:rFonts w:asciiTheme="minorHAnsi" w:eastAsia="Times New Roman" w:hAnsiTheme="minorHAnsi" w:cs="Times New Roman"/>
                <w:bCs/>
                <w:lang w:eastAsia="en-AU"/>
              </w:rPr>
              <w:t>Insufficient data (Category 4a)</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hAnsiTheme="minorHAnsi"/>
                <w:b/>
              </w:rPr>
              <w:t xml:space="preserve">Description </w:t>
            </w:r>
          </w:p>
        </w:tc>
        <w:tc>
          <w:tcPr>
            <w:tcW w:w="11765" w:type="dxa"/>
            <w:shd w:val="clear" w:color="auto" w:fill="auto"/>
          </w:tcPr>
          <w:p w:rsidR="00793EB5" w:rsidRPr="00793EB5" w:rsidRDefault="00660261" w:rsidP="007830E1">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(Blank)</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Qualifying Criteria </w:t>
            </w:r>
          </w:p>
        </w:tc>
        <w:tc>
          <w:tcPr>
            <w:tcW w:w="11765" w:type="dxa"/>
            <w:shd w:val="clear" w:color="auto" w:fill="auto"/>
          </w:tcPr>
          <w:p w:rsidR="00793EB5" w:rsidRPr="00755368" w:rsidRDefault="00755368" w:rsidP="00D87794">
            <w:pPr>
              <w:spacing w:before="120" w:after="120"/>
              <w:rPr>
                <w:rFonts w:asciiTheme="minorHAnsi" w:eastAsia="Times New Roman" w:hAnsiTheme="minorHAnsi" w:cs="Times New Roman"/>
                <w:bCs/>
                <w:lang w:eastAsia="en-AU"/>
              </w:rPr>
            </w:pPr>
            <w:r w:rsidRPr="00755368">
              <w:rPr>
                <w:rFonts w:asciiTheme="minorHAnsi" w:eastAsia="Times New Roman" w:hAnsiTheme="minorHAnsi" w:cs="Times New Roman"/>
                <w:bCs/>
                <w:lang w:eastAsia="en-AU"/>
              </w:rPr>
              <w:t>Intravenous immunoglobulin (</w:t>
            </w:r>
            <w:r w:rsidR="009D6D50">
              <w:rPr>
                <w:rFonts w:asciiTheme="minorHAnsi" w:eastAsia="Times New Roman" w:hAnsiTheme="minorHAnsi" w:cs="Times New Roman"/>
                <w:bCs/>
                <w:lang w:eastAsia="en-AU"/>
              </w:rPr>
              <w:t>IVIg</w:t>
            </w:r>
            <w:r w:rsidRPr="00755368">
              <w:rPr>
                <w:rFonts w:asciiTheme="minorHAnsi" w:eastAsia="Times New Roman" w:hAnsiTheme="minorHAnsi" w:cs="Times New Roman"/>
                <w:bCs/>
                <w:lang w:eastAsia="en-AU"/>
              </w:rPr>
              <w:t>) may be considered in exceptional circumstances for intractable pain or progressive muscle weakness in patients in whom steroids are ineffective or cannot be tolerated. This condition is monophasic and usually self-limiting. A single treatment may be sufficient, although monthly infusions for up to six months may be required for recurrent pain.</w:t>
            </w:r>
          </w:p>
        </w:tc>
      </w:tr>
      <w:tr w:rsidR="008612AB" w:rsidRPr="00021243" w:rsidTr="00437609">
        <w:tblPrEx>
          <w:tblLook w:val="04A0" w:firstRow="1" w:lastRow="0" w:firstColumn="1" w:lastColumn="0" w:noHBand="0" w:noVBand="1"/>
        </w:tblPrEx>
        <w:tc>
          <w:tcPr>
            <w:tcW w:w="14601" w:type="dxa"/>
            <w:gridSpan w:val="2"/>
            <w:shd w:val="clear" w:color="auto" w:fill="DBE5F1" w:themeFill="accent1" w:themeFillTint="33"/>
          </w:tcPr>
          <w:p w:rsidR="007A1346" w:rsidRDefault="00F42816" w:rsidP="002D6179">
            <w:pPr>
              <w:spacing w:before="120" w:after="120"/>
              <w:jc w:val="center"/>
              <w:rPr>
                <w:rFonts w:asciiTheme="minorHAnsi" w:hAnsiTheme="minorHAnsi"/>
                <w:b/>
              </w:rPr>
            </w:pPr>
            <w:r>
              <w:rPr>
                <w:rFonts w:asciiTheme="minorHAnsi" w:hAnsiTheme="minorHAnsi"/>
                <w:b/>
              </w:rPr>
              <w:t>References</w:t>
            </w:r>
            <w:r w:rsidR="00E7550D">
              <w:rPr>
                <w:rFonts w:asciiTheme="minorHAnsi" w:hAnsiTheme="minorHAnsi"/>
                <w:b/>
              </w:rPr>
              <w:t xml:space="preserve"> </w:t>
            </w:r>
          </w:p>
          <w:p w:rsidR="00901F76" w:rsidRPr="00021243" w:rsidRDefault="00901F76" w:rsidP="00111E50">
            <w:pPr>
              <w:spacing w:before="120" w:after="120"/>
              <w:jc w:val="center"/>
              <w:rPr>
                <w:rFonts w:asciiTheme="minorHAnsi" w:hAnsiTheme="minorHAnsi"/>
                <w:b/>
              </w:rPr>
            </w:pPr>
            <w:r>
              <w:rPr>
                <w:rFonts w:asciiTheme="minorHAnsi" w:hAnsiTheme="minorHAnsi"/>
                <w:b/>
              </w:rPr>
              <w:t>(</w:t>
            </w:r>
            <w:r w:rsidR="00360326">
              <w:rPr>
                <w:rFonts w:asciiTheme="minorHAnsi" w:hAnsiTheme="minorHAnsi"/>
                <w:b/>
              </w:rPr>
              <w:t xml:space="preserve">most </w:t>
            </w:r>
            <w:r>
              <w:rPr>
                <w:rFonts w:asciiTheme="minorHAnsi" w:hAnsiTheme="minorHAnsi"/>
                <w:b/>
              </w:rPr>
              <w:t>recent update</w:t>
            </w:r>
            <w:r w:rsidR="007A1346">
              <w:rPr>
                <w:rFonts w:asciiTheme="minorHAnsi" w:hAnsiTheme="minorHAnsi"/>
                <w:b/>
              </w:rPr>
              <w:t>:</w:t>
            </w:r>
            <w:r w:rsidR="002E1C4B">
              <w:rPr>
                <w:rFonts w:asciiTheme="minorHAnsi" w:hAnsiTheme="minorHAnsi"/>
                <w:b/>
              </w:rPr>
              <w:t xml:space="preserve"> </w:t>
            </w:r>
            <w:r w:rsidR="00111E50">
              <w:rPr>
                <w:rFonts w:asciiTheme="minorHAnsi" w:hAnsiTheme="minorHAnsi"/>
                <w:b/>
              </w:rPr>
              <w:t>May 2016</w:t>
            </w:r>
            <w:r>
              <w:rPr>
                <w:rFonts w:asciiTheme="minorHAnsi" w:hAnsiTheme="minorHAnsi"/>
                <w:b/>
              </w:rPr>
              <w:t>)</w:t>
            </w:r>
          </w:p>
        </w:tc>
      </w:tr>
      <w:tr w:rsidR="008612AB" w:rsidRPr="00255740" w:rsidTr="00437609">
        <w:tblPrEx>
          <w:tblLook w:val="04A0" w:firstRow="1" w:lastRow="0" w:firstColumn="1" w:lastColumn="0" w:noHBand="0" w:noVBand="1"/>
        </w:tblPrEx>
        <w:tc>
          <w:tcPr>
            <w:tcW w:w="14601" w:type="dxa"/>
            <w:gridSpan w:val="2"/>
          </w:tcPr>
          <w:p w:rsidR="002D6179" w:rsidRDefault="008D40C3" w:rsidP="00CF3626">
            <w:pPr>
              <w:spacing w:before="120" w:after="120"/>
              <w:ind w:left="360"/>
              <w:rPr>
                <w:rFonts w:asciiTheme="minorHAnsi" w:hAnsiTheme="minorHAnsi"/>
              </w:rPr>
            </w:pPr>
            <w:r>
              <w:rPr>
                <w:rFonts w:asciiTheme="minorHAnsi" w:hAnsiTheme="minorHAnsi"/>
              </w:rPr>
              <w:t>Tamburin</w:t>
            </w:r>
            <w:r w:rsidR="002D6179" w:rsidRPr="00CF3626">
              <w:rPr>
                <w:rFonts w:asciiTheme="minorHAnsi" w:hAnsiTheme="minorHAnsi"/>
              </w:rPr>
              <w:t xml:space="preserve"> S</w:t>
            </w:r>
            <w:r>
              <w:rPr>
                <w:rFonts w:asciiTheme="minorHAnsi" w:hAnsiTheme="minorHAnsi"/>
              </w:rPr>
              <w:t xml:space="preserve">, Magrinelli </w:t>
            </w:r>
            <w:r w:rsidR="002D6179" w:rsidRPr="00CF3626">
              <w:rPr>
                <w:rFonts w:asciiTheme="minorHAnsi" w:hAnsiTheme="minorHAnsi"/>
              </w:rPr>
              <w:t>F, Favaro</w:t>
            </w:r>
            <w:r>
              <w:rPr>
                <w:rFonts w:asciiTheme="minorHAnsi" w:hAnsiTheme="minorHAnsi"/>
              </w:rPr>
              <w:t xml:space="preserve"> F, Briani C and Zanette G</w:t>
            </w:r>
            <w:r w:rsidR="002D6179" w:rsidRPr="00CF3626">
              <w:rPr>
                <w:rFonts w:asciiTheme="minorHAnsi" w:hAnsiTheme="minorHAnsi"/>
              </w:rPr>
              <w:t xml:space="preserve"> </w:t>
            </w:r>
            <w:r w:rsidR="004C0ECF">
              <w:rPr>
                <w:rFonts w:asciiTheme="minorHAnsi" w:hAnsiTheme="minorHAnsi"/>
              </w:rPr>
              <w:t>(</w:t>
            </w:r>
            <w:r w:rsidR="002D6179" w:rsidRPr="00CF3626">
              <w:rPr>
                <w:rFonts w:asciiTheme="minorHAnsi" w:hAnsiTheme="minorHAnsi"/>
              </w:rPr>
              <w:t>2013</w:t>
            </w:r>
            <w:r>
              <w:rPr>
                <w:rFonts w:asciiTheme="minorHAnsi" w:hAnsiTheme="minorHAnsi"/>
              </w:rPr>
              <w:t>)</w:t>
            </w:r>
            <w:r w:rsidR="004C0ECF">
              <w:rPr>
                <w:rFonts w:asciiTheme="minorHAnsi" w:hAnsiTheme="minorHAnsi"/>
              </w:rPr>
              <w:t xml:space="preserve"> </w:t>
            </w:r>
            <w:r w:rsidR="002D6179" w:rsidRPr="00CF3626">
              <w:rPr>
                <w:rFonts w:asciiTheme="minorHAnsi" w:hAnsiTheme="minorHAnsi"/>
              </w:rPr>
              <w:t>Long-term response of neuropathic pain to intravenous Immunoglobulin in Relapsing Diabetic Lumbrosacral Radiculoplexu</w:t>
            </w:r>
            <w:r w:rsidR="004C0ECF">
              <w:rPr>
                <w:rFonts w:asciiTheme="minorHAnsi" w:hAnsiTheme="minorHAnsi"/>
              </w:rPr>
              <w:t xml:space="preserve">s Neuropathy. A Case report. </w:t>
            </w:r>
            <w:r w:rsidR="002D6179" w:rsidRPr="004C0ECF">
              <w:rPr>
                <w:rFonts w:asciiTheme="minorHAnsi" w:hAnsiTheme="minorHAnsi"/>
                <w:i/>
              </w:rPr>
              <w:t>Pain Practice</w:t>
            </w:r>
            <w:r w:rsidR="002D6179" w:rsidRPr="00CF3626">
              <w:rPr>
                <w:rFonts w:asciiTheme="minorHAnsi" w:hAnsiTheme="minorHAnsi"/>
              </w:rPr>
              <w:t>, 14</w:t>
            </w:r>
            <w:r>
              <w:rPr>
                <w:rFonts w:asciiTheme="minorHAnsi" w:hAnsiTheme="minorHAnsi"/>
              </w:rPr>
              <w:t>:</w:t>
            </w:r>
            <w:r w:rsidR="002D6179" w:rsidRPr="00CF3626">
              <w:rPr>
                <w:rFonts w:asciiTheme="minorHAnsi" w:hAnsiTheme="minorHAnsi"/>
              </w:rPr>
              <w:t>85-90.</w:t>
            </w:r>
          </w:p>
          <w:p w:rsidR="008D40C3" w:rsidRPr="008D40C3" w:rsidRDefault="00A045B1" w:rsidP="00CF3626">
            <w:pPr>
              <w:spacing w:before="120" w:after="120"/>
              <w:ind w:left="360"/>
              <w:rPr>
                <w:rFonts w:asciiTheme="minorHAnsi" w:hAnsiTheme="minorHAnsi"/>
                <w:color w:val="808080" w:themeColor="background1" w:themeShade="80"/>
              </w:rPr>
            </w:pPr>
            <w:hyperlink r:id="rId9" w:history="1">
              <w:r w:rsidR="008D40C3" w:rsidRPr="008D40C3">
                <w:rPr>
                  <w:rStyle w:val="Hyperlink"/>
                  <w:rFonts w:asciiTheme="minorHAnsi" w:hAnsiTheme="minorHAnsi"/>
                  <w:color w:val="808080" w:themeColor="background1" w:themeShade="80"/>
                </w:rPr>
                <w:t>http://onlinelibrary.wiley.com/doi/10.1111/papr.12133/full</w:t>
              </w:r>
            </w:hyperlink>
          </w:p>
          <w:p w:rsidR="002D6179" w:rsidRDefault="008D40C3" w:rsidP="00CF3626">
            <w:pPr>
              <w:spacing w:before="120" w:after="120"/>
              <w:ind w:left="360"/>
              <w:rPr>
                <w:rFonts w:asciiTheme="minorHAnsi" w:hAnsiTheme="minorHAnsi"/>
              </w:rPr>
            </w:pPr>
            <w:r>
              <w:rPr>
                <w:rFonts w:asciiTheme="minorHAnsi" w:hAnsiTheme="minorHAnsi"/>
              </w:rPr>
              <w:t>Pascoe</w:t>
            </w:r>
            <w:r w:rsidR="002D6179" w:rsidRPr="00CF3626">
              <w:rPr>
                <w:rFonts w:asciiTheme="minorHAnsi" w:hAnsiTheme="minorHAnsi"/>
              </w:rPr>
              <w:t xml:space="preserve"> MK</w:t>
            </w:r>
            <w:r>
              <w:rPr>
                <w:rFonts w:asciiTheme="minorHAnsi" w:hAnsiTheme="minorHAnsi"/>
              </w:rPr>
              <w:t>, Low</w:t>
            </w:r>
            <w:r w:rsidR="002D6179" w:rsidRPr="00CF3626">
              <w:rPr>
                <w:rFonts w:asciiTheme="minorHAnsi" w:hAnsiTheme="minorHAnsi"/>
              </w:rPr>
              <w:t xml:space="preserve"> PA</w:t>
            </w:r>
            <w:r w:rsidR="004C0ECF">
              <w:rPr>
                <w:rFonts w:asciiTheme="minorHAnsi" w:hAnsiTheme="minorHAnsi"/>
              </w:rPr>
              <w:t xml:space="preserve">, </w:t>
            </w:r>
            <w:r>
              <w:rPr>
                <w:rFonts w:asciiTheme="minorHAnsi" w:hAnsiTheme="minorHAnsi"/>
              </w:rPr>
              <w:t>Windebank</w:t>
            </w:r>
            <w:r w:rsidR="002D6179" w:rsidRPr="00CF3626">
              <w:rPr>
                <w:rFonts w:asciiTheme="minorHAnsi" w:hAnsiTheme="minorHAnsi"/>
              </w:rPr>
              <w:t xml:space="preserve"> AJ </w:t>
            </w:r>
            <w:r w:rsidR="004C0ECF">
              <w:rPr>
                <w:rFonts w:asciiTheme="minorHAnsi" w:hAnsiTheme="minorHAnsi"/>
              </w:rPr>
              <w:t>and</w:t>
            </w:r>
            <w:r w:rsidR="002D6179" w:rsidRPr="00CF3626">
              <w:rPr>
                <w:rFonts w:asciiTheme="minorHAnsi" w:hAnsiTheme="minorHAnsi"/>
              </w:rPr>
              <w:t xml:space="preserve"> Litchy WJ</w:t>
            </w:r>
            <w:r>
              <w:rPr>
                <w:rFonts w:asciiTheme="minorHAnsi" w:hAnsiTheme="minorHAnsi"/>
              </w:rPr>
              <w:t xml:space="preserve"> (1997)</w:t>
            </w:r>
            <w:r w:rsidR="004C0ECF" w:rsidRPr="00CF3626">
              <w:rPr>
                <w:rFonts w:asciiTheme="minorHAnsi" w:hAnsiTheme="minorHAnsi"/>
              </w:rPr>
              <w:t xml:space="preserve"> </w:t>
            </w:r>
            <w:r w:rsidR="002D6179" w:rsidRPr="00CF3626">
              <w:rPr>
                <w:rFonts w:asciiTheme="minorHAnsi" w:hAnsiTheme="minorHAnsi"/>
              </w:rPr>
              <w:t>Subacute</w:t>
            </w:r>
            <w:r w:rsidR="004C0ECF">
              <w:rPr>
                <w:rFonts w:asciiTheme="minorHAnsi" w:hAnsiTheme="minorHAnsi"/>
              </w:rPr>
              <w:t xml:space="preserve"> Diabetic Proximal Neuropathy. </w:t>
            </w:r>
            <w:r w:rsidR="002D6179" w:rsidRPr="004C0ECF">
              <w:rPr>
                <w:rFonts w:asciiTheme="minorHAnsi" w:hAnsiTheme="minorHAnsi"/>
                <w:i/>
              </w:rPr>
              <w:t>Mayo Clinic Proceedings</w:t>
            </w:r>
            <w:r w:rsidR="004C0ECF">
              <w:rPr>
                <w:rFonts w:asciiTheme="minorHAnsi" w:hAnsiTheme="minorHAnsi"/>
              </w:rPr>
              <w:t xml:space="preserve">, </w:t>
            </w:r>
            <w:r w:rsidR="002D6179" w:rsidRPr="00CF3626">
              <w:rPr>
                <w:rFonts w:asciiTheme="minorHAnsi" w:hAnsiTheme="minorHAnsi"/>
              </w:rPr>
              <w:t>72</w:t>
            </w:r>
            <w:r>
              <w:rPr>
                <w:rFonts w:asciiTheme="minorHAnsi" w:hAnsiTheme="minorHAnsi"/>
              </w:rPr>
              <w:t>:</w:t>
            </w:r>
            <w:r w:rsidR="002D6179" w:rsidRPr="00CF3626">
              <w:rPr>
                <w:rFonts w:asciiTheme="minorHAnsi" w:hAnsiTheme="minorHAnsi"/>
              </w:rPr>
              <w:t>1123-1132</w:t>
            </w:r>
            <w:r w:rsidR="004C0ECF">
              <w:rPr>
                <w:rFonts w:asciiTheme="minorHAnsi" w:hAnsiTheme="minorHAnsi"/>
              </w:rPr>
              <w:t>.</w:t>
            </w:r>
          </w:p>
          <w:p w:rsidR="008D40C3" w:rsidRPr="008D40C3" w:rsidRDefault="00A045B1" w:rsidP="00CF3626">
            <w:pPr>
              <w:spacing w:before="120" w:after="120"/>
              <w:ind w:left="360"/>
              <w:rPr>
                <w:rFonts w:asciiTheme="minorHAnsi" w:hAnsiTheme="minorHAnsi"/>
                <w:color w:val="808080" w:themeColor="background1" w:themeShade="80"/>
              </w:rPr>
            </w:pPr>
            <w:hyperlink r:id="rId10" w:history="1">
              <w:r w:rsidR="008D40C3" w:rsidRPr="008D40C3">
                <w:rPr>
                  <w:rStyle w:val="Hyperlink"/>
                  <w:rFonts w:asciiTheme="minorHAnsi" w:hAnsiTheme="minorHAnsi"/>
                  <w:color w:val="808080" w:themeColor="background1" w:themeShade="80"/>
                </w:rPr>
                <w:t>http://www.sciencedirect.com/science/article/pii/S0025619611636744</w:t>
              </w:r>
            </w:hyperlink>
          </w:p>
          <w:p w:rsidR="002D6179" w:rsidRDefault="008D40C3" w:rsidP="00CF3626">
            <w:pPr>
              <w:spacing w:before="120" w:after="120"/>
              <w:ind w:left="360"/>
              <w:rPr>
                <w:rFonts w:asciiTheme="minorHAnsi" w:hAnsiTheme="minorHAnsi"/>
              </w:rPr>
            </w:pPr>
            <w:r>
              <w:rPr>
                <w:rFonts w:asciiTheme="minorHAnsi" w:hAnsiTheme="minorHAnsi"/>
              </w:rPr>
              <w:t>Thaisetthawatkul</w:t>
            </w:r>
            <w:r w:rsidR="002D6179" w:rsidRPr="00CF3626">
              <w:rPr>
                <w:rFonts w:asciiTheme="minorHAnsi" w:hAnsiTheme="minorHAnsi"/>
              </w:rPr>
              <w:t xml:space="preserve"> P</w:t>
            </w:r>
            <w:r>
              <w:rPr>
                <w:rFonts w:asciiTheme="minorHAnsi" w:hAnsiTheme="minorHAnsi"/>
              </w:rPr>
              <w:t xml:space="preserve"> and Dyck PJB</w:t>
            </w:r>
            <w:r w:rsidR="004C0ECF">
              <w:rPr>
                <w:rFonts w:asciiTheme="minorHAnsi" w:hAnsiTheme="minorHAnsi"/>
              </w:rPr>
              <w:t xml:space="preserve"> (</w:t>
            </w:r>
            <w:r w:rsidR="002D6179" w:rsidRPr="00CF3626">
              <w:rPr>
                <w:rFonts w:asciiTheme="minorHAnsi" w:hAnsiTheme="minorHAnsi"/>
              </w:rPr>
              <w:t>2010</w:t>
            </w:r>
            <w:r>
              <w:rPr>
                <w:rFonts w:asciiTheme="minorHAnsi" w:hAnsiTheme="minorHAnsi"/>
              </w:rPr>
              <w:t>)</w:t>
            </w:r>
            <w:r w:rsidR="004C0ECF">
              <w:rPr>
                <w:rFonts w:asciiTheme="minorHAnsi" w:hAnsiTheme="minorHAnsi"/>
              </w:rPr>
              <w:t xml:space="preserve"> </w:t>
            </w:r>
            <w:r w:rsidR="002D6179" w:rsidRPr="00CF3626">
              <w:rPr>
                <w:rFonts w:asciiTheme="minorHAnsi" w:hAnsiTheme="minorHAnsi"/>
              </w:rPr>
              <w:t>Treatment of Diabetic and nondiabetic Lumbosac</w:t>
            </w:r>
            <w:r w:rsidR="004C0ECF">
              <w:rPr>
                <w:rFonts w:asciiTheme="minorHAnsi" w:hAnsiTheme="minorHAnsi"/>
              </w:rPr>
              <w:t xml:space="preserve">ral Radiculoplexus neuropathy. </w:t>
            </w:r>
            <w:r w:rsidR="002D6179" w:rsidRPr="004C0ECF">
              <w:rPr>
                <w:rFonts w:asciiTheme="minorHAnsi" w:hAnsiTheme="minorHAnsi"/>
                <w:i/>
              </w:rPr>
              <w:t>Current treatment options in Neurology</w:t>
            </w:r>
            <w:r w:rsidR="004C0ECF">
              <w:rPr>
                <w:rFonts w:asciiTheme="minorHAnsi" w:hAnsiTheme="minorHAnsi"/>
              </w:rPr>
              <w:t xml:space="preserve">, </w:t>
            </w:r>
            <w:r>
              <w:rPr>
                <w:rFonts w:asciiTheme="minorHAnsi" w:hAnsiTheme="minorHAnsi"/>
              </w:rPr>
              <w:t>12:</w:t>
            </w:r>
            <w:r w:rsidR="002D6179" w:rsidRPr="00CF3626">
              <w:rPr>
                <w:rFonts w:asciiTheme="minorHAnsi" w:hAnsiTheme="minorHAnsi"/>
              </w:rPr>
              <w:t>95-99.</w:t>
            </w:r>
          </w:p>
          <w:p w:rsidR="008D40C3" w:rsidRPr="008D40C3" w:rsidRDefault="00A045B1" w:rsidP="00CF3626">
            <w:pPr>
              <w:spacing w:before="120" w:after="120"/>
              <w:ind w:left="360"/>
              <w:rPr>
                <w:rFonts w:asciiTheme="minorHAnsi" w:hAnsiTheme="minorHAnsi"/>
                <w:color w:val="808080" w:themeColor="background1" w:themeShade="80"/>
              </w:rPr>
            </w:pPr>
            <w:hyperlink r:id="rId11" w:history="1">
              <w:r w:rsidR="008D40C3" w:rsidRPr="008D40C3">
                <w:rPr>
                  <w:rStyle w:val="Hyperlink"/>
                  <w:rFonts w:asciiTheme="minorHAnsi" w:hAnsiTheme="minorHAnsi"/>
                  <w:color w:val="808080" w:themeColor="background1" w:themeShade="80"/>
                </w:rPr>
                <w:t>http://link.springer.com/article/10.1007/s11940-010-0059-8</w:t>
              </w:r>
            </w:hyperlink>
          </w:p>
          <w:p w:rsidR="00CF3626" w:rsidRPr="00CF3626" w:rsidRDefault="00CF3626" w:rsidP="00CF3626">
            <w:pPr>
              <w:autoSpaceDE w:val="0"/>
              <w:autoSpaceDN w:val="0"/>
              <w:adjustRightInd w:val="0"/>
              <w:ind w:left="360"/>
              <w:rPr>
                <w:rFonts w:eastAsiaTheme="minorHAnsi"/>
                <w:color w:val="000000"/>
              </w:rPr>
            </w:pPr>
            <w:r w:rsidRPr="00CF3626">
              <w:rPr>
                <w:rFonts w:eastAsiaTheme="minorHAnsi"/>
                <w:color w:val="000000"/>
              </w:rPr>
              <w:t>Ontario Regional Blood Coordinating Network (2016). Ontario Intravenous Immune Globulin (</w:t>
            </w:r>
            <w:r w:rsidR="009D6D50">
              <w:rPr>
                <w:rFonts w:eastAsiaTheme="minorHAnsi"/>
                <w:color w:val="000000"/>
              </w:rPr>
              <w:t>IVIG</w:t>
            </w:r>
            <w:r w:rsidRPr="00CF3626">
              <w:rPr>
                <w:rFonts w:eastAsiaTheme="minorHAnsi"/>
                <w:color w:val="000000"/>
              </w:rPr>
              <w:t xml:space="preserve">) Utilization Management Guidelines, Version 3.0. [online]. Available at: </w:t>
            </w:r>
            <w:hyperlink r:id="rId12" w:history="1">
              <w:r w:rsidRPr="008D40C3">
                <w:rPr>
                  <w:rFonts w:eastAsiaTheme="minorHAnsi"/>
                  <w:color w:val="808080" w:themeColor="background1" w:themeShade="80"/>
                </w:rPr>
                <w:t>http://transfusionontario.org/en/download/ontario-intravenous-immune-globulin-</w:t>
              </w:r>
              <w:r w:rsidR="009D6D50">
                <w:rPr>
                  <w:rFonts w:eastAsiaTheme="minorHAnsi"/>
                  <w:color w:val="808080" w:themeColor="background1" w:themeShade="80"/>
                </w:rPr>
                <w:t>IVIg</w:t>
              </w:r>
              <w:r w:rsidRPr="008D40C3">
                <w:rPr>
                  <w:rFonts w:eastAsiaTheme="minorHAnsi"/>
                  <w:color w:val="808080" w:themeColor="background1" w:themeShade="80"/>
                </w:rPr>
                <w:t>-utilization-man</w:t>
              </w:r>
            </w:hyperlink>
            <w:r w:rsidRPr="008D40C3">
              <w:rPr>
                <w:rFonts w:eastAsiaTheme="minorHAnsi"/>
                <w:color w:val="808080" w:themeColor="background1" w:themeShade="80"/>
              </w:rPr>
              <w:t>agement-guidelines-2/.</w:t>
            </w:r>
          </w:p>
          <w:p w:rsidR="00CF3626" w:rsidRPr="00CF3626" w:rsidRDefault="004C0ECF" w:rsidP="00CF3626">
            <w:pPr>
              <w:spacing w:before="120" w:after="120"/>
              <w:ind w:left="360"/>
              <w:rPr>
                <w:rFonts w:asciiTheme="minorHAnsi" w:hAnsiTheme="minorHAnsi"/>
              </w:rPr>
            </w:pPr>
            <w:r w:rsidRPr="004C0ECF">
              <w:rPr>
                <w:rFonts w:asciiTheme="minorHAnsi" w:hAnsiTheme="minorHAnsi"/>
              </w:rPr>
              <w:t xml:space="preserve">National Guideline Clearinghouse (NGC) </w:t>
            </w:r>
            <w:r>
              <w:rPr>
                <w:rFonts w:asciiTheme="minorHAnsi" w:hAnsiTheme="minorHAnsi"/>
              </w:rPr>
              <w:t xml:space="preserve">(2012) </w:t>
            </w:r>
            <w:r w:rsidRPr="004C0ECF">
              <w:rPr>
                <w:rFonts w:asciiTheme="minorHAnsi" w:hAnsiTheme="minorHAnsi"/>
              </w:rPr>
              <w:t>Guideline summary: Evidence-based guideline: intravenous immunoglobulin in the treatment of neuromuscular disorders. Report of the Therapeutics and Technology Assessment Subcommittee of the American Academy of Neurology. In: National Guideline Clearinghouse (NGC) [</w:t>
            </w:r>
            <w:r>
              <w:rPr>
                <w:rFonts w:asciiTheme="minorHAnsi" w:hAnsiTheme="minorHAnsi"/>
              </w:rPr>
              <w:t>online</w:t>
            </w:r>
            <w:r w:rsidRPr="004C0ECF">
              <w:rPr>
                <w:rFonts w:asciiTheme="minorHAnsi" w:hAnsiTheme="minorHAnsi"/>
              </w:rPr>
              <w:t>]. Rockville (MD): Agency for Healthcare Research an</w:t>
            </w:r>
            <w:r>
              <w:rPr>
                <w:rFonts w:asciiTheme="minorHAnsi" w:hAnsiTheme="minorHAnsi"/>
              </w:rPr>
              <w:t xml:space="preserve">d Quality (AHRQ). </w:t>
            </w:r>
            <w:r w:rsidRPr="004C0ECF">
              <w:rPr>
                <w:rFonts w:asciiTheme="minorHAnsi" w:hAnsiTheme="minorHAnsi"/>
              </w:rPr>
              <w:t>Available</w:t>
            </w:r>
            <w:r>
              <w:rPr>
                <w:rFonts w:asciiTheme="minorHAnsi" w:hAnsiTheme="minorHAnsi"/>
              </w:rPr>
              <w:t xml:space="preserve"> at</w:t>
            </w:r>
            <w:r w:rsidRPr="004C0ECF">
              <w:rPr>
                <w:rFonts w:asciiTheme="minorHAnsi" w:hAnsiTheme="minorHAnsi"/>
              </w:rPr>
              <w:t xml:space="preserve">: </w:t>
            </w:r>
            <w:r w:rsidRPr="008D40C3">
              <w:rPr>
                <w:rFonts w:asciiTheme="minorHAnsi" w:hAnsiTheme="minorHAnsi"/>
                <w:color w:val="808080" w:themeColor="background1" w:themeShade="80"/>
              </w:rPr>
              <w:t>https://www.guideline.gov</w:t>
            </w:r>
          </w:p>
          <w:p w:rsidR="002D6179" w:rsidRDefault="008D40C3" w:rsidP="00CF3626">
            <w:pPr>
              <w:spacing w:before="120" w:after="120"/>
              <w:ind w:left="360"/>
              <w:rPr>
                <w:rFonts w:asciiTheme="minorHAnsi" w:hAnsiTheme="minorHAnsi"/>
              </w:rPr>
            </w:pPr>
            <w:r>
              <w:rPr>
                <w:rFonts w:asciiTheme="minorHAnsi" w:hAnsiTheme="minorHAnsi"/>
              </w:rPr>
              <w:t>Zochodne</w:t>
            </w:r>
            <w:r w:rsidR="002D6179" w:rsidRPr="00CF3626">
              <w:rPr>
                <w:rFonts w:asciiTheme="minorHAnsi" w:hAnsiTheme="minorHAnsi"/>
              </w:rPr>
              <w:t xml:space="preserve"> DW</w:t>
            </w:r>
            <w:r>
              <w:rPr>
                <w:rFonts w:asciiTheme="minorHAnsi" w:hAnsiTheme="minorHAnsi"/>
              </w:rPr>
              <w:t>, Isaac</w:t>
            </w:r>
            <w:r w:rsidR="002D6179" w:rsidRPr="00CF3626">
              <w:rPr>
                <w:rFonts w:asciiTheme="minorHAnsi" w:hAnsiTheme="minorHAnsi"/>
              </w:rPr>
              <w:t xml:space="preserve"> D</w:t>
            </w:r>
            <w:r w:rsidR="004C0ECF">
              <w:rPr>
                <w:rFonts w:asciiTheme="minorHAnsi" w:hAnsiTheme="minorHAnsi"/>
              </w:rPr>
              <w:t xml:space="preserve"> and</w:t>
            </w:r>
            <w:r>
              <w:rPr>
                <w:rFonts w:asciiTheme="minorHAnsi" w:hAnsiTheme="minorHAnsi"/>
              </w:rPr>
              <w:t xml:space="preserve"> Jones</w:t>
            </w:r>
            <w:r w:rsidR="002D6179" w:rsidRPr="00CF3626">
              <w:rPr>
                <w:rFonts w:asciiTheme="minorHAnsi" w:hAnsiTheme="minorHAnsi"/>
              </w:rPr>
              <w:t xml:space="preserve"> C</w:t>
            </w:r>
            <w:r w:rsidR="004C0ECF">
              <w:rPr>
                <w:rFonts w:asciiTheme="minorHAnsi" w:hAnsiTheme="minorHAnsi"/>
              </w:rPr>
              <w:t xml:space="preserve"> (</w:t>
            </w:r>
            <w:r w:rsidR="002D6179" w:rsidRPr="00CF3626">
              <w:rPr>
                <w:rFonts w:asciiTheme="minorHAnsi" w:hAnsiTheme="minorHAnsi"/>
              </w:rPr>
              <w:t>2003</w:t>
            </w:r>
            <w:r>
              <w:rPr>
                <w:rFonts w:asciiTheme="minorHAnsi" w:hAnsiTheme="minorHAnsi"/>
              </w:rPr>
              <w:t>)</w:t>
            </w:r>
            <w:r w:rsidR="004C0ECF">
              <w:rPr>
                <w:rFonts w:asciiTheme="minorHAnsi" w:hAnsiTheme="minorHAnsi"/>
              </w:rPr>
              <w:t xml:space="preserve"> </w:t>
            </w:r>
            <w:r w:rsidR="002D6179" w:rsidRPr="00CF3626">
              <w:rPr>
                <w:rFonts w:asciiTheme="minorHAnsi" w:hAnsiTheme="minorHAnsi"/>
              </w:rPr>
              <w:t>Failure of immunotherapy to prevent, arrest or reverse di</w:t>
            </w:r>
            <w:r w:rsidR="004C0ECF">
              <w:rPr>
                <w:rFonts w:asciiTheme="minorHAnsi" w:hAnsiTheme="minorHAnsi"/>
              </w:rPr>
              <w:t xml:space="preserve">abetic lumbosacral plexopathy. </w:t>
            </w:r>
            <w:r w:rsidR="004C0ECF" w:rsidRPr="004C0ECF">
              <w:rPr>
                <w:rFonts w:asciiTheme="minorHAnsi" w:hAnsiTheme="minorHAnsi"/>
                <w:i/>
              </w:rPr>
              <w:t xml:space="preserve">Acta Neurologica </w:t>
            </w:r>
            <w:r w:rsidR="004C0ECF" w:rsidRPr="004C0ECF">
              <w:rPr>
                <w:rFonts w:asciiTheme="minorHAnsi" w:hAnsiTheme="minorHAnsi"/>
                <w:i/>
              </w:rPr>
              <w:lastRenderedPageBreak/>
              <w:t>Scandinavica</w:t>
            </w:r>
            <w:r w:rsidR="004C0ECF">
              <w:rPr>
                <w:rFonts w:asciiTheme="minorHAnsi" w:hAnsiTheme="minorHAnsi"/>
              </w:rPr>
              <w:t>,</w:t>
            </w:r>
            <w:r>
              <w:rPr>
                <w:rFonts w:asciiTheme="minorHAnsi" w:hAnsiTheme="minorHAnsi"/>
              </w:rPr>
              <w:t xml:space="preserve"> 107:</w:t>
            </w:r>
            <w:r w:rsidR="002D6179" w:rsidRPr="00CF3626">
              <w:rPr>
                <w:rFonts w:asciiTheme="minorHAnsi" w:hAnsiTheme="minorHAnsi"/>
              </w:rPr>
              <w:t>299-301</w:t>
            </w:r>
            <w:r w:rsidR="004C0ECF">
              <w:rPr>
                <w:rFonts w:asciiTheme="minorHAnsi" w:hAnsiTheme="minorHAnsi"/>
              </w:rPr>
              <w:t>.</w:t>
            </w:r>
          </w:p>
          <w:p w:rsidR="008D40C3" w:rsidRPr="008D40C3" w:rsidRDefault="00A045B1" w:rsidP="00CF3626">
            <w:pPr>
              <w:spacing w:before="120" w:after="120"/>
              <w:ind w:left="360"/>
              <w:rPr>
                <w:rFonts w:asciiTheme="minorHAnsi" w:hAnsiTheme="minorHAnsi"/>
                <w:color w:val="808080" w:themeColor="background1" w:themeShade="80"/>
              </w:rPr>
            </w:pPr>
            <w:hyperlink r:id="rId13" w:history="1">
              <w:r w:rsidR="008D40C3" w:rsidRPr="008D40C3">
                <w:rPr>
                  <w:rStyle w:val="Hyperlink"/>
                  <w:rFonts w:asciiTheme="minorHAnsi" w:hAnsiTheme="minorHAnsi"/>
                  <w:color w:val="808080" w:themeColor="background1" w:themeShade="80"/>
                </w:rPr>
                <w:t>http://onlinelibrary.wiley.com/doi/10.1034/j.1600-0404.2003.02107.x/full</w:t>
              </w:r>
            </w:hyperlink>
          </w:p>
          <w:p w:rsidR="00901F76" w:rsidRDefault="008D40C3" w:rsidP="004C0ECF">
            <w:pPr>
              <w:spacing w:before="120" w:after="120"/>
              <w:ind w:left="360"/>
              <w:rPr>
                <w:rFonts w:asciiTheme="minorHAnsi" w:hAnsiTheme="minorHAnsi"/>
              </w:rPr>
            </w:pPr>
            <w:r>
              <w:rPr>
                <w:rFonts w:asciiTheme="minorHAnsi" w:hAnsiTheme="minorHAnsi"/>
              </w:rPr>
              <w:t>Tamburin</w:t>
            </w:r>
            <w:r w:rsidR="004C0ECF">
              <w:rPr>
                <w:rFonts w:asciiTheme="minorHAnsi" w:hAnsiTheme="minorHAnsi"/>
              </w:rPr>
              <w:t xml:space="preserve"> S. and </w:t>
            </w:r>
            <w:r w:rsidR="002D6179" w:rsidRPr="00CF3626">
              <w:rPr>
                <w:rFonts w:asciiTheme="minorHAnsi" w:hAnsiTheme="minorHAnsi"/>
              </w:rPr>
              <w:t>Zanette Giampietro</w:t>
            </w:r>
            <w:r>
              <w:rPr>
                <w:rFonts w:asciiTheme="minorHAnsi" w:hAnsiTheme="minorHAnsi"/>
              </w:rPr>
              <w:t xml:space="preserve"> Z</w:t>
            </w:r>
            <w:r w:rsidR="002D6179" w:rsidRPr="00CF3626">
              <w:rPr>
                <w:rFonts w:asciiTheme="minorHAnsi" w:hAnsiTheme="minorHAnsi"/>
              </w:rPr>
              <w:t xml:space="preserve"> </w:t>
            </w:r>
            <w:r>
              <w:rPr>
                <w:rFonts w:asciiTheme="minorHAnsi" w:hAnsiTheme="minorHAnsi"/>
              </w:rPr>
              <w:t>(2009)</w:t>
            </w:r>
            <w:r w:rsidR="004C0ECF">
              <w:rPr>
                <w:rFonts w:asciiTheme="minorHAnsi" w:hAnsiTheme="minorHAnsi"/>
              </w:rPr>
              <w:t xml:space="preserve"> </w:t>
            </w:r>
            <w:r w:rsidR="002D6179" w:rsidRPr="00CF3626">
              <w:rPr>
                <w:rFonts w:asciiTheme="minorHAnsi" w:hAnsiTheme="minorHAnsi"/>
              </w:rPr>
              <w:t xml:space="preserve">Intravenous Immunoglobulin for the treatment of diabetic lumbosacral radiculoplexus neuropathy . </w:t>
            </w:r>
            <w:r w:rsidR="002D6179" w:rsidRPr="004C0ECF">
              <w:rPr>
                <w:rFonts w:asciiTheme="minorHAnsi" w:hAnsiTheme="minorHAnsi"/>
                <w:i/>
              </w:rPr>
              <w:t>Pain Medicine</w:t>
            </w:r>
            <w:r w:rsidR="004C0ECF">
              <w:rPr>
                <w:rFonts w:asciiTheme="minorHAnsi" w:hAnsiTheme="minorHAnsi"/>
              </w:rPr>
              <w:t>,</w:t>
            </w:r>
            <w:r w:rsidR="00B2592B">
              <w:rPr>
                <w:rFonts w:asciiTheme="minorHAnsi" w:hAnsiTheme="minorHAnsi"/>
              </w:rPr>
              <w:t xml:space="preserve"> </w:t>
            </w:r>
            <w:r w:rsidR="004C0ECF">
              <w:rPr>
                <w:rFonts w:asciiTheme="minorHAnsi" w:hAnsiTheme="minorHAnsi"/>
              </w:rPr>
              <w:t>10(</w:t>
            </w:r>
            <w:r w:rsidR="002D6179" w:rsidRPr="00CF3626">
              <w:rPr>
                <w:rFonts w:asciiTheme="minorHAnsi" w:hAnsiTheme="minorHAnsi"/>
              </w:rPr>
              <w:t>8</w:t>
            </w:r>
            <w:r>
              <w:rPr>
                <w:rFonts w:asciiTheme="minorHAnsi" w:hAnsiTheme="minorHAnsi"/>
              </w:rPr>
              <w:t>):</w:t>
            </w:r>
            <w:r w:rsidR="002D6179" w:rsidRPr="00CF3626">
              <w:rPr>
                <w:rFonts w:asciiTheme="minorHAnsi" w:hAnsiTheme="minorHAnsi"/>
              </w:rPr>
              <w:t>1476-1480</w:t>
            </w:r>
            <w:r w:rsidR="004C0ECF">
              <w:rPr>
                <w:rFonts w:asciiTheme="minorHAnsi" w:hAnsiTheme="minorHAnsi"/>
              </w:rPr>
              <w:t>.</w:t>
            </w:r>
          </w:p>
          <w:p w:rsidR="008D40C3" w:rsidRPr="008D40C3" w:rsidRDefault="00A045B1" w:rsidP="004C0ECF">
            <w:pPr>
              <w:spacing w:before="120" w:after="120"/>
              <w:ind w:left="360"/>
              <w:rPr>
                <w:rFonts w:asciiTheme="minorHAnsi" w:hAnsiTheme="minorHAnsi"/>
                <w:color w:val="808080" w:themeColor="background1" w:themeShade="80"/>
              </w:rPr>
            </w:pPr>
            <w:hyperlink r:id="rId14" w:history="1">
              <w:r w:rsidR="008D40C3" w:rsidRPr="008D40C3">
                <w:rPr>
                  <w:rStyle w:val="Hyperlink"/>
                  <w:rFonts w:asciiTheme="minorHAnsi" w:hAnsiTheme="minorHAnsi"/>
                  <w:color w:val="808080" w:themeColor="background1" w:themeShade="80"/>
                </w:rPr>
                <w:t>https://academic.oup.com/painmedicine/article/15/9/1640/1894529/Diagnostic-and-Therapeutic-Pitfalls-in-Considering</w:t>
              </w:r>
            </w:hyperlink>
          </w:p>
          <w:p w:rsidR="008D40C3" w:rsidRPr="00CF3626" w:rsidRDefault="008D40C3" w:rsidP="004C0ECF">
            <w:pPr>
              <w:spacing w:before="120" w:after="120"/>
              <w:ind w:left="360"/>
              <w:rPr>
                <w:rFonts w:asciiTheme="minorHAnsi" w:hAnsiTheme="minorHAnsi"/>
              </w:rPr>
            </w:pPr>
          </w:p>
        </w:tc>
      </w:tr>
    </w:tbl>
    <w:p w:rsidR="00CD489A" w:rsidRDefault="00CD489A">
      <w:pPr>
        <w:spacing w:line="276" w:lineRule="auto"/>
      </w:pPr>
      <w:r>
        <w:lastRenderedPageBreak/>
        <w:br w:type="page"/>
      </w: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111E50" w:rsidP="00A67CEB">
            <w:pPr>
              <w:spacing w:before="120" w:after="120"/>
              <w:rPr>
                <w:rFonts w:asciiTheme="minorHAnsi" w:hAnsiTheme="minorHAnsi"/>
              </w:rPr>
            </w:pPr>
            <w:r>
              <w:rPr>
                <w:rFonts w:asciiTheme="minorHAnsi" w:hAnsiTheme="minorHAnsi"/>
              </w:rPr>
              <w:t xml:space="preserve">Given that this condition will no longer be supported, any patients on ongoing therapy will need to be transitioned </w:t>
            </w:r>
            <w:r w:rsidR="00A242F2">
              <w:rPr>
                <w:rFonts w:asciiTheme="minorHAnsi" w:hAnsiTheme="minorHAnsi"/>
              </w:rPr>
              <w:t xml:space="preserve">from Ig therapy to alternative treatments </w:t>
            </w:r>
            <w:r>
              <w:rPr>
                <w:rFonts w:asciiTheme="minorHAnsi" w:hAnsiTheme="minorHAnsi"/>
              </w:rPr>
              <w:t xml:space="preserve">(see below). </w:t>
            </w:r>
            <w:r w:rsidR="00660261">
              <w:rPr>
                <w:rFonts w:asciiTheme="minorHAnsi" w:hAnsiTheme="minorHAnsi"/>
              </w:rPr>
              <w:t xml:space="preserve">Following public consultation and the subsequent endorsement by governments, specific communication with relevant prescribers </w:t>
            </w:r>
            <w:r w:rsidR="004336C2">
              <w:rPr>
                <w:rFonts w:asciiTheme="minorHAnsi" w:hAnsiTheme="minorHAnsi"/>
              </w:rPr>
              <w:t>(</w:t>
            </w:r>
            <w:r w:rsidR="00660261">
              <w:rPr>
                <w:rFonts w:asciiTheme="minorHAnsi" w:hAnsiTheme="minorHAnsi"/>
              </w:rPr>
              <w:t>and patients</w:t>
            </w:r>
            <w:r w:rsidR="004336C2">
              <w:rPr>
                <w:rFonts w:asciiTheme="minorHAnsi" w:hAnsiTheme="minorHAnsi"/>
              </w:rPr>
              <w:t>)</w:t>
            </w:r>
            <w:r w:rsidR="00660261">
              <w:rPr>
                <w:rFonts w:asciiTheme="minorHAnsi" w:hAnsiTheme="minorHAnsi"/>
              </w:rPr>
              <w:t xml:space="preserve"> would occur</w:t>
            </w:r>
            <w:r w:rsidR="002E1C4B">
              <w:rPr>
                <w:rFonts w:asciiTheme="minorHAnsi" w:hAnsiTheme="minorHAnsi"/>
              </w:rPr>
              <w:t xml:space="preserve"> to support doctors caring for </w:t>
            </w:r>
            <w:r w:rsidR="00A242F2">
              <w:rPr>
                <w:rFonts w:asciiTheme="minorHAnsi" w:hAnsiTheme="minorHAnsi"/>
              </w:rPr>
              <w:t xml:space="preserve">any </w:t>
            </w:r>
            <w:r w:rsidR="002E1C4B">
              <w:rPr>
                <w:rFonts w:asciiTheme="minorHAnsi" w:hAnsiTheme="minorHAnsi"/>
              </w:rPr>
              <w:t xml:space="preserve">patients on ongoing </w:t>
            </w:r>
            <w:r w:rsidR="00A67CEB">
              <w:rPr>
                <w:rFonts w:asciiTheme="minorHAnsi" w:hAnsiTheme="minorHAnsi"/>
              </w:rPr>
              <w:t xml:space="preserve">Ig </w:t>
            </w:r>
            <w:r w:rsidR="002E1C4B">
              <w:rPr>
                <w:rFonts w:asciiTheme="minorHAnsi" w:hAnsiTheme="minorHAnsi"/>
              </w:rPr>
              <w:t>therapy</w:t>
            </w:r>
            <w:r w:rsidR="00A67CEB">
              <w:rPr>
                <w:rFonts w:asciiTheme="minorHAnsi" w:hAnsiTheme="minorHAnsi"/>
              </w:rPr>
              <w:t xml:space="preserve"> at that time</w:t>
            </w:r>
            <w:r w:rsidR="00660261">
              <w:rPr>
                <w:rFonts w:asciiTheme="minorHAnsi" w:hAnsiTheme="minorHAnsi"/>
              </w:rPr>
              <w:t xml:space="preserve">. It is anticipated that the timing of </w:t>
            </w:r>
            <w:r w:rsidR="00A67CEB">
              <w:rPr>
                <w:rFonts w:asciiTheme="minorHAnsi" w:hAnsiTheme="minorHAnsi"/>
              </w:rPr>
              <w:t xml:space="preserve">any </w:t>
            </w:r>
            <w:r w:rsidR="00660261">
              <w:rPr>
                <w:rFonts w:asciiTheme="minorHAnsi" w:hAnsiTheme="minorHAnsi"/>
              </w:rPr>
              <w:t xml:space="preserve">existing patient transition would be </w:t>
            </w:r>
            <w:r>
              <w:rPr>
                <w:rFonts w:asciiTheme="minorHAnsi" w:hAnsiTheme="minorHAnsi"/>
              </w:rPr>
              <w:t xml:space="preserve">concurrent with </w:t>
            </w:r>
            <w:r w:rsidR="000D416D">
              <w:rPr>
                <w:rFonts w:asciiTheme="minorHAnsi" w:hAnsiTheme="minorHAnsi"/>
              </w:rPr>
              <w:t xml:space="preserve">implementation of BloodSTAR </w:t>
            </w:r>
            <w:r w:rsidR="00427667">
              <w:rPr>
                <w:rFonts w:asciiTheme="minorHAnsi" w:hAnsiTheme="minorHAnsi"/>
              </w:rPr>
              <w:t>v</w:t>
            </w:r>
            <w:r w:rsidR="00660261">
              <w:rPr>
                <w:rFonts w:asciiTheme="minorHAnsi" w:hAnsiTheme="minorHAnsi"/>
              </w:rPr>
              <w:t>3</w:t>
            </w:r>
            <w:r>
              <w:rPr>
                <w:rFonts w:asciiTheme="minorHAnsi" w:hAnsiTheme="minorHAnsi"/>
              </w:rPr>
              <w:t>.</w:t>
            </w:r>
            <w:r w:rsidR="000D416D">
              <w:rPr>
                <w:rFonts w:asciiTheme="minorHAnsi" w:hAnsiTheme="minorHAnsi"/>
              </w:rPr>
              <w:t>0</w:t>
            </w:r>
            <w:r w:rsidR="00660261">
              <w:rPr>
                <w:rFonts w:asciiTheme="minorHAnsi" w:hAnsiTheme="minorHAnsi"/>
              </w:rPr>
              <w:t xml:space="preserve">. Advice to prescribers </w:t>
            </w:r>
            <w:r>
              <w:rPr>
                <w:rFonts w:asciiTheme="minorHAnsi" w:hAnsiTheme="minorHAnsi"/>
              </w:rPr>
              <w:t>will precede</w:t>
            </w:r>
            <w:r w:rsidR="000D416D">
              <w:rPr>
                <w:rFonts w:asciiTheme="minorHAnsi" w:hAnsiTheme="minorHAnsi"/>
              </w:rPr>
              <w:t xml:space="preserve"> </w:t>
            </w:r>
            <w:r w:rsidR="00660261">
              <w:rPr>
                <w:rFonts w:asciiTheme="minorHAnsi" w:hAnsiTheme="minorHAnsi"/>
              </w:rPr>
              <w:t xml:space="preserve">this date so that </w:t>
            </w:r>
            <w:r w:rsidR="000D416D">
              <w:rPr>
                <w:rFonts w:asciiTheme="minorHAnsi" w:hAnsiTheme="minorHAnsi"/>
              </w:rPr>
              <w:t xml:space="preserve">patients </w:t>
            </w:r>
            <w:r w:rsidR="005A547A">
              <w:rPr>
                <w:rFonts w:asciiTheme="minorHAnsi" w:hAnsiTheme="minorHAnsi"/>
              </w:rPr>
              <w:t>can transition</w:t>
            </w:r>
            <w:r w:rsidR="00660261">
              <w:rPr>
                <w:rFonts w:asciiTheme="minorHAnsi" w:hAnsiTheme="minorHAnsi"/>
              </w:rPr>
              <w:t xml:space="preserve"> to alternative medication</w:t>
            </w:r>
            <w:r w:rsidR="00A242F2">
              <w:rPr>
                <w:rFonts w:asciiTheme="minorHAnsi" w:hAnsiTheme="minorHAnsi"/>
              </w:rPr>
              <w:t xml:space="preserve"> or a different treatment approach</w:t>
            </w:r>
            <w:r w:rsidR="00660261">
              <w:rPr>
                <w:rFonts w:asciiTheme="minorHAnsi" w:hAnsiTheme="minorHAnsi"/>
              </w:rPr>
              <w:t xml:space="preserve">, </w:t>
            </w:r>
            <w:r w:rsidR="00A67CEB">
              <w:rPr>
                <w:rFonts w:asciiTheme="minorHAnsi" w:hAnsiTheme="minorHAnsi"/>
              </w:rPr>
              <w:t xml:space="preserve">as </w:t>
            </w:r>
            <w:r w:rsidR="00660261">
              <w:rPr>
                <w:rFonts w:asciiTheme="minorHAnsi" w:hAnsiTheme="minorHAnsi"/>
              </w:rPr>
              <w:t>appropriate.</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660261" w:rsidRPr="00021243" w:rsidTr="00B22C94">
        <w:tc>
          <w:tcPr>
            <w:tcW w:w="3545" w:type="dxa"/>
            <w:gridSpan w:val="2"/>
            <w:shd w:val="clear" w:color="auto" w:fill="auto"/>
          </w:tcPr>
          <w:p w:rsidR="00660261" w:rsidRDefault="00A67CEB" w:rsidP="00A242F2">
            <w:pPr>
              <w:spacing w:before="120" w:after="120"/>
              <w:rPr>
                <w:rFonts w:asciiTheme="minorHAnsi" w:hAnsiTheme="minorHAnsi"/>
                <w:b/>
              </w:rPr>
            </w:pPr>
            <w:r>
              <w:rPr>
                <w:rFonts w:asciiTheme="minorHAnsi" w:hAnsiTheme="minorHAnsi"/>
                <w:b/>
              </w:rPr>
              <w:t xml:space="preserve">Description of </w:t>
            </w:r>
            <w:r w:rsidR="00660261">
              <w:rPr>
                <w:rFonts w:asciiTheme="minorHAnsi" w:hAnsiTheme="minorHAnsi"/>
                <w:b/>
              </w:rPr>
              <w:t xml:space="preserve">impact on patients: </w:t>
            </w:r>
          </w:p>
        </w:tc>
        <w:tc>
          <w:tcPr>
            <w:tcW w:w="11056" w:type="dxa"/>
            <w:gridSpan w:val="5"/>
            <w:shd w:val="clear" w:color="auto" w:fill="auto"/>
          </w:tcPr>
          <w:p w:rsidR="005D1CDA" w:rsidRDefault="00FE1F53" w:rsidP="00660261">
            <w:pPr>
              <w:spacing w:before="120" w:after="120"/>
              <w:rPr>
                <w:rFonts w:asciiTheme="minorHAnsi" w:hAnsiTheme="minorHAnsi"/>
              </w:rPr>
            </w:pPr>
            <w:r>
              <w:rPr>
                <w:rFonts w:asciiTheme="minorHAnsi" w:hAnsiTheme="minorHAnsi"/>
              </w:rPr>
              <w:t xml:space="preserve">The best clinical results in </w:t>
            </w:r>
            <w:r w:rsidR="00A67CEB">
              <w:rPr>
                <w:rFonts w:asciiTheme="minorHAnsi" w:hAnsiTheme="minorHAnsi"/>
              </w:rPr>
              <w:t xml:space="preserve">the treatment of </w:t>
            </w:r>
            <w:r>
              <w:rPr>
                <w:rFonts w:asciiTheme="minorHAnsi" w:hAnsiTheme="minorHAnsi"/>
              </w:rPr>
              <w:t xml:space="preserve">Diabetic amyotrophy have been demonstrated in patients treated with steroid therapy. </w:t>
            </w:r>
            <w:r w:rsidR="00AF7FC0">
              <w:rPr>
                <w:rFonts w:asciiTheme="minorHAnsi" w:hAnsiTheme="minorHAnsi"/>
              </w:rPr>
              <w:t xml:space="preserve">It is recognised that almost all patients with this condition will slowly improve irrespective of </w:t>
            </w:r>
            <w:r w:rsidR="00D67068">
              <w:rPr>
                <w:rFonts w:asciiTheme="minorHAnsi" w:hAnsiTheme="minorHAnsi"/>
              </w:rPr>
              <w:t xml:space="preserve">the </w:t>
            </w:r>
            <w:r w:rsidR="00AF7FC0">
              <w:rPr>
                <w:rFonts w:asciiTheme="minorHAnsi" w:hAnsiTheme="minorHAnsi"/>
              </w:rPr>
              <w:t>treatment</w:t>
            </w:r>
            <w:r w:rsidR="00D67068">
              <w:rPr>
                <w:rFonts w:asciiTheme="minorHAnsi" w:hAnsiTheme="minorHAnsi"/>
              </w:rPr>
              <w:t xml:space="preserve"> given</w:t>
            </w:r>
            <w:r w:rsidR="00AF7FC0">
              <w:rPr>
                <w:rFonts w:asciiTheme="minorHAnsi" w:hAnsiTheme="minorHAnsi"/>
              </w:rPr>
              <w:t xml:space="preserve">, although recovery may be delayed and may be incomplete in some patients. </w:t>
            </w:r>
            <w:r w:rsidR="00A67CEB">
              <w:rPr>
                <w:rFonts w:asciiTheme="minorHAnsi" w:hAnsiTheme="minorHAnsi"/>
              </w:rPr>
              <w:t>No treatment</w:t>
            </w:r>
            <w:r w:rsidR="00AF7FC0">
              <w:rPr>
                <w:rFonts w:asciiTheme="minorHAnsi" w:hAnsiTheme="minorHAnsi"/>
              </w:rPr>
              <w:t xml:space="preserve"> (including Ig therapy)</w:t>
            </w:r>
            <w:r w:rsidR="00A67CEB">
              <w:rPr>
                <w:rFonts w:asciiTheme="minorHAnsi" w:hAnsiTheme="minorHAnsi"/>
              </w:rPr>
              <w:t xml:space="preserve"> has been shown to reduce the degree of muscle weakness, wasting or neurologic disability experienced by patients.</w:t>
            </w:r>
            <w:r w:rsidR="00A67CEB" w:rsidDel="00A67CEB">
              <w:rPr>
                <w:rFonts w:asciiTheme="minorHAnsi" w:hAnsiTheme="minorHAnsi"/>
              </w:rPr>
              <w:t xml:space="preserve"> </w:t>
            </w:r>
            <w:r w:rsidR="00D67068">
              <w:rPr>
                <w:rFonts w:asciiTheme="minorHAnsi" w:hAnsiTheme="minorHAnsi"/>
              </w:rPr>
              <w:t xml:space="preserve">For these reasons access to Ig therapy is recommended to no longer be supported. </w:t>
            </w:r>
            <w:r>
              <w:rPr>
                <w:rFonts w:asciiTheme="minorHAnsi" w:hAnsiTheme="minorHAnsi"/>
              </w:rPr>
              <w:t xml:space="preserve">It is inappropriate to treat patients with medication that has no demonstrable benefit and in addition, there are small but not insignificant risks of harm from Ig therapy, as well as a high cost.  </w:t>
            </w:r>
          </w:p>
          <w:p w:rsidR="00660261" w:rsidRDefault="00A242F2" w:rsidP="00A67CEB">
            <w:pPr>
              <w:spacing w:before="120" w:after="120"/>
              <w:rPr>
                <w:rFonts w:asciiTheme="minorHAnsi" w:hAnsiTheme="minorHAnsi"/>
                <w:b/>
              </w:rPr>
            </w:pPr>
            <w:r>
              <w:rPr>
                <w:rFonts w:asciiTheme="minorHAnsi" w:hAnsiTheme="minorHAnsi"/>
              </w:rPr>
              <w:t>I</w:t>
            </w:r>
            <w:r w:rsidR="005D1CDA">
              <w:rPr>
                <w:rFonts w:asciiTheme="minorHAnsi" w:hAnsiTheme="minorHAnsi"/>
              </w:rPr>
              <w:t>g treatment for</w:t>
            </w:r>
            <w:r>
              <w:rPr>
                <w:rFonts w:asciiTheme="minorHAnsi" w:hAnsiTheme="minorHAnsi"/>
              </w:rPr>
              <w:t xml:space="preserve"> this condition is </w:t>
            </w:r>
            <w:r w:rsidR="005D1CDA">
              <w:rPr>
                <w:rFonts w:asciiTheme="minorHAnsi" w:hAnsiTheme="minorHAnsi"/>
              </w:rPr>
              <w:t>usually only for</w:t>
            </w:r>
            <w:r>
              <w:rPr>
                <w:rFonts w:asciiTheme="minorHAnsi" w:hAnsiTheme="minorHAnsi"/>
              </w:rPr>
              <w:t xml:space="preserve"> short term use</w:t>
            </w:r>
            <w:r w:rsidR="005D1CDA">
              <w:rPr>
                <w:rFonts w:asciiTheme="minorHAnsi" w:hAnsiTheme="minorHAnsi"/>
              </w:rPr>
              <w:t>, so very few patients are likely to be on treatment at the time of transition</w:t>
            </w:r>
            <w:r w:rsidR="00D67068">
              <w:rPr>
                <w:rFonts w:asciiTheme="minorHAnsi" w:hAnsiTheme="minorHAnsi"/>
              </w:rPr>
              <w:t xml:space="preserve"> to the new criteria</w:t>
            </w:r>
            <w:r>
              <w:rPr>
                <w:rFonts w:asciiTheme="minorHAnsi" w:hAnsiTheme="minorHAnsi"/>
              </w:rPr>
              <w:t>.</w:t>
            </w:r>
            <w:r w:rsidR="005D1CDA">
              <w:rPr>
                <w:rFonts w:asciiTheme="minorHAnsi" w:hAnsiTheme="minorHAnsi"/>
              </w:rPr>
              <w:t xml:space="preserve"> </w:t>
            </w:r>
            <w:r w:rsidR="00FE1F53">
              <w:rPr>
                <w:rFonts w:asciiTheme="minorHAnsi" w:hAnsiTheme="minorHAnsi"/>
              </w:rPr>
              <w:t>However, i</w:t>
            </w:r>
            <w:r w:rsidR="00660261">
              <w:rPr>
                <w:rFonts w:asciiTheme="minorHAnsi" w:hAnsiTheme="minorHAnsi"/>
              </w:rPr>
              <w:t>t is anticipated that prescribers (and thus patients) would be informed of any decision once governments ha</w:t>
            </w:r>
            <w:r w:rsidR="005D1CDA">
              <w:rPr>
                <w:rFonts w:asciiTheme="minorHAnsi" w:hAnsiTheme="minorHAnsi"/>
              </w:rPr>
              <w:t>ve</w:t>
            </w:r>
            <w:r w:rsidR="00660261">
              <w:rPr>
                <w:rFonts w:asciiTheme="minorHAnsi" w:hAnsiTheme="minorHAnsi"/>
              </w:rPr>
              <w:t xml:space="preserve"> endorsed th</w:t>
            </w:r>
            <w:r w:rsidR="005D1CDA">
              <w:rPr>
                <w:rFonts w:asciiTheme="minorHAnsi" w:hAnsiTheme="minorHAnsi"/>
              </w:rPr>
              <w:t>is</w:t>
            </w:r>
            <w:r w:rsidR="00660261">
              <w:rPr>
                <w:rFonts w:asciiTheme="minorHAnsi" w:hAnsiTheme="minorHAnsi"/>
              </w:rPr>
              <w:t xml:space="preserve"> recommendation so that </w:t>
            </w:r>
            <w:r w:rsidR="00FE1F53">
              <w:rPr>
                <w:rFonts w:asciiTheme="minorHAnsi" w:hAnsiTheme="minorHAnsi"/>
              </w:rPr>
              <w:t xml:space="preserve">ample lead time is provided for prescribers to manage and transition </w:t>
            </w:r>
            <w:r w:rsidR="00660261">
              <w:rPr>
                <w:rFonts w:asciiTheme="minorHAnsi" w:hAnsiTheme="minorHAnsi"/>
              </w:rPr>
              <w:t xml:space="preserve">patients </w:t>
            </w:r>
            <w:r w:rsidR="00FE1F53">
              <w:rPr>
                <w:rFonts w:asciiTheme="minorHAnsi" w:hAnsiTheme="minorHAnsi"/>
              </w:rPr>
              <w:t>to an alternative treatment approach</w:t>
            </w:r>
            <w:r w:rsidR="009304A1">
              <w:rPr>
                <w:rFonts w:asciiTheme="minorHAnsi" w:hAnsiTheme="minorHAnsi"/>
              </w:rPr>
              <w:t xml:space="preserve"> if </w:t>
            </w:r>
            <w:r w:rsidR="005A547A">
              <w:rPr>
                <w:rFonts w:asciiTheme="minorHAnsi" w:hAnsiTheme="minorHAnsi"/>
              </w:rPr>
              <w:t>required</w:t>
            </w:r>
            <w:r w:rsidR="00FE1F53">
              <w:rPr>
                <w:rFonts w:asciiTheme="minorHAnsi" w:hAnsiTheme="minorHAnsi"/>
              </w:rPr>
              <w:t>.</w:t>
            </w:r>
            <w:r w:rsidR="005D1CDA">
              <w:rPr>
                <w:rFonts w:asciiTheme="minorHAnsi" w:hAnsiTheme="minorHAnsi"/>
              </w:rPr>
              <w:t xml:space="preserve"> </w:t>
            </w:r>
            <w:r w:rsidR="00AF7FC0">
              <w:rPr>
                <w:rFonts w:asciiTheme="minorHAnsi" w:hAnsiTheme="minorHAnsi"/>
              </w:rPr>
              <w:t xml:space="preserve">Importantly, there are effective new medications to treat neuropathic pain that are now available on the PBS and these agents are likely to be more effective for pain control than Ig therapy.  </w:t>
            </w:r>
          </w:p>
        </w:tc>
      </w:tr>
      <w:tr w:rsidR="00660261" w:rsidRPr="00021243" w:rsidTr="00B22C94">
        <w:tc>
          <w:tcPr>
            <w:tcW w:w="3545" w:type="dxa"/>
            <w:gridSpan w:val="2"/>
            <w:shd w:val="clear" w:color="auto" w:fill="auto"/>
          </w:tcPr>
          <w:p w:rsidR="00660261" w:rsidRDefault="00660261"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660261" w:rsidRDefault="00660261" w:rsidP="009F4B29">
            <w:pPr>
              <w:spacing w:before="120" w:after="120"/>
              <w:rPr>
                <w:rFonts w:asciiTheme="minorHAnsi" w:hAnsiTheme="minorHAnsi"/>
              </w:rPr>
            </w:pPr>
            <w:r>
              <w:rPr>
                <w:rFonts w:asciiTheme="minorHAnsi" w:hAnsiTheme="minorHAnsi"/>
              </w:rPr>
              <w:t xml:space="preserve">The reallocation of Diabetic amyotrophy to </w:t>
            </w:r>
            <w:r w:rsidR="00427667" w:rsidRPr="00427667">
              <w:rPr>
                <w:rFonts w:asciiTheme="minorHAnsi" w:hAnsiTheme="minorHAnsi"/>
                <w:i/>
              </w:rPr>
              <w:t xml:space="preserve">Not supported </w:t>
            </w:r>
            <w:r>
              <w:rPr>
                <w:rFonts w:asciiTheme="minorHAnsi" w:hAnsiTheme="minorHAnsi"/>
              </w:rPr>
              <w:t xml:space="preserve">means that immediate demand for Ig therapy for this condition would reduce in line with the number of patients being treated at the time of implementation. The annual demand impact is estimated to be a reduction of up </w:t>
            </w:r>
            <w:r w:rsidRPr="00AB1689">
              <w:rPr>
                <w:rFonts w:asciiTheme="minorHAnsi" w:hAnsiTheme="minorHAnsi"/>
              </w:rPr>
              <w:t>to 4,000 g.</w:t>
            </w:r>
            <w:r>
              <w:rPr>
                <w:rFonts w:asciiTheme="minorHAnsi" w:hAnsiTheme="minorHAnsi"/>
              </w:rPr>
              <w:t xml:space="preserve">  </w:t>
            </w:r>
          </w:p>
        </w:tc>
      </w:tr>
      <w:tr w:rsidR="000E7382" w:rsidRPr="00853117" w:rsidTr="000E7382">
        <w:tc>
          <w:tcPr>
            <w:tcW w:w="2161" w:type="dxa"/>
            <w:shd w:val="clear" w:color="auto" w:fill="auto"/>
          </w:tcPr>
          <w:p w:rsidR="000E7382" w:rsidRPr="00C92149" w:rsidRDefault="000E7382" w:rsidP="004A10A2">
            <w:pPr>
              <w:spacing w:before="120" w:after="120"/>
              <w:rPr>
                <w:rFonts w:asciiTheme="minorHAnsi" w:hAnsiTheme="minorHAnsi"/>
                <w:b/>
                <w:sz w:val="18"/>
                <w:szCs w:val="18"/>
              </w:rPr>
            </w:pPr>
          </w:p>
        </w:tc>
        <w:tc>
          <w:tcPr>
            <w:tcW w:w="1384" w:type="dxa"/>
            <w:shd w:val="clear" w:color="auto" w:fill="auto"/>
          </w:tcPr>
          <w:p w:rsidR="000E7382" w:rsidRPr="00C92149" w:rsidRDefault="000E7382" w:rsidP="003E014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0E7382" w:rsidRPr="00C92149" w:rsidRDefault="000E7382" w:rsidP="003E014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0E7382" w:rsidRPr="00C92149" w:rsidRDefault="000E7382" w:rsidP="003E014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0E7382" w:rsidRPr="00C92149" w:rsidRDefault="000E7382" w:rsidP="003E014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0E7382" w:rsidRPr="000E7382" w:rsidRDefault="000E7382" w:rsidP="000E7382">
            <w:pPr>
              <w:spacing w:before="120" w:after="120"/>
              <w:ind w:left="34"/>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0E7382" w:rsidRPr="00250EFE" w:rsidRDefault="000E7382" w:rsidP="000E7382">
            <w:pPr>
              <w:rPr>
                <w:rFonts w:asciiTheme="minorHAnsi" w:hAnsiTheme="minorHAnsi"/>
                <w:sz w:val="18"/>
                <w:szCs w:val="18"/>
              </w:rPr>
            </w:pPr>
            <w:r w:rsidRPr="00250EFE">
              <w:rPr>
                <w:rFonts w:asciiTheme="minorHAnsi" w:hAnsiTheme="minorHAnsi"/>
                <w:sz w:val="18"/>
                <w:szCs w:val="18"/>
              </w:rPr>
              <w:t>Estimated number of patients that will be affected</w:t>
            </w:r>
            <w:r w:rsidR="00660261" w:rsidRPr="00250EFE">
              <w:rPr>
                <w:rFonts w:asciiTheme="minorHAnsi" w:hAnsiTheme="minorHAnsi"/>
                <w:sz w:val="18"/>
                <w:szCs w:val="18"/>
              </w:rPr>
              <w:t xml:space="preserve"> – up to 15</w:t>
            </w:r>
            <w:r w:rsidRPr="00250EFE">
              <w:rPr>
                <w:rFonts w:asciiTheme="minorHAnsi" w:hAnsiTheme="minorHAnsi"/>
                <w:sz w:val="18"/>
                <w:szCs w:val="18"/>
              </w:rPr>
              <w:t>.</w:t>
            </w:r>
          </w:p>
          <w:p w:rsidR="000E7382" w:rsidRPr="00250EFE" w:rsidRDefault="000E7382" w:rsidP="000E7382">
            <w:pPr>
              <w:rPr>
                <w:rFonts w:asciiTheme="minorHAnsi" w:hAnsiTheme="minorHAnsi"/>
                <w:sz w:val="18"/>
                <w:szCs w:val="18"/>
              </w:rPr>
            </w:pPr>
          </w:p>
          <w:p w:rsidR="00CC00F7" w:rsidRPr="00250EFE" w:rsidRDefault="000E7382" w:rsidP="000E7382">
            <w:pPr>
              <w:rPr>
                <w:rFonts w:asciiTheme="minorHAnsi" w:hAnsiTheme="minorHAnsi"/>
                <w:sz w:val="18"/>
                <w:szCs w:val="18"/>
              </w:rPr>
            </w:pPr>
            <w:r w:rsidRPr="00250EFE">
              <w:rPr>
                <w:rFonts w:asciiTheme="minorHAnsi" w:hAnsiTheme="minorHAnsi"/>
                <w:sz w:val="18"/>
                <w:szCs w:val="18"/>
              </w:rPr>
              <w:t xml:space="preserve">The </w:t>
            </w:r>
            <w:r w:rsidR="00B32DD7">
              <w:rPr>
                <w:rFonts w:asciiTheme="minorHAnsi" w:hAnsiTheme="minorHAnsi"/>
                <w:sz w:val="18"/>
                <w:szCs w:val="18"/>
              </w:rPr>
              <w:t>Specialist Working Group</w:t>
            </w:r>
            <w:r w:rsidR="00B32DD7" w:rsidRPr="00250EFE">
              <w:rPr>
                <w:rFonts w:asciiTheme="minorHAnsi" w:hAnsiTheme="minorHAnsi"/>
                <w:sz w:val="18"/>
                <w:szCs w:val="18"/>
              </w:rPr>
              <w:t xml:space="preserve"> </w:t>
            </w:r>
            <w:r w:rsidRPr="00250EFE">
              <w:rPr>
                <w:rFonts w:asciiTheme="minorHAnsi" w:hAnsiTheme="minorHAnsi"/>
                <w:sz w:val="18"/>
                <w:szCs w:val="18"/>
              </w:rPr>
              <w:t>estimated magnitude of effect:</w:t>
            </w:r>
          </w:p>
          <w:p w:rsidR="000E7382" w:rsidRPr="00250EFE" w:rsidRDefault="000E7382" w:rsidP="00CC00F7">
            <w:pPr>
              <w:ind w:left="34"/>
              <w:rPr>
                <w:rFonts w:asciiTheme="minorHAnsi" w:hAnsiTheme="minorHAnsi"/>
                <w:sz w:val="18"/>
                <w:szCs w:val="18"/>
              </w:rPr>
            </w:pPr>
            <w:r w:rsidRPr="00250EFE">
              <w:rPr>
                <w:rFonts w:asciiTheme="minorHAnsi" w:hAnsiTheme="minorHAnsi"/>
                <w:sz w:val="18"/>
                <w:szCs w:val="18"/>
              </w:rPr>
              <w:t xml:space="preserve">Marginal: &lt;$500K reduction </w:t>
            </w:r>
            <w:r w:rsidR="0061774A">
              <w:rPr>
                <w:rFonts w:asciiTheme="minorHAnsi" w:hAnsiTheme="minorHAnsi"/>
                <w:sz w:val="18"/>
                <w:szCs w:val="18"/>
              </w:rPr>
              <w:t>against projected demand</w:t>
            </w:r>
          </w:p>
          <w:p w:rsidR="000E7382" w:rsidRPr="00C92149" w:rsidRDefault="000E7382" w:rsidP="00660261">
            <w:pPr>
              <w:ind w:left="34"/>
              <w:rPr>
                <w:rFonts w:asciiTheme="minorHAnsi" w:hAnsiTheme="minorHAnsi"/>
                <w:b/>
                <w:sz w:val="18"/>
                <w:szCs w:val="18"/>
              </w:rPr>
            </w:pPr>
          </w:p>
        </w:tc>
      </w:tr>
      <w:tr w:rsidR="000E7382" w:rsidRPr="00853117" w:rsidTr="000E7382">
        <w:tc>
          <w:tcPr>
            <w:tcW w:w="2161" w:type="dxa"/>
            <w:shd w:val="clear" w:color="auto" w:fill="auto"/>
          </w:tcPr>
          <w:p w:rsidR="000E7382" w:rsidRPr="00C92149" w:rsidRDefault="000E7382"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rsidR="000E7382" w:rsidRPr="003E014F" w:rsidRDefault="000E7382" w:rsidP="003E014F">
            <w:pPr>
              <w:spacing w:before="120" w:after="120"/>
              <w:jc w:val="right"/>
              <w:rPr>
                <w:rFonts w:asciiTheme="minorHAnsi" w:hAnsiTheme="minorHAnsi" w:cs="Helvetica"/>
                <w:b/>
                <w:color w:val="333333"/>
                <w:sz w:val="18"/>
                <w:szCs w:val="18"/>
              </w:rPr>
            </w:pPr>
            <w:r w:rsidRPr="003E014F">
              <w:rPr>
                <w:rFonts w:asciiTheme="minorHAnsi" w:hAnsiTheme="minorHAnsi" w:cs="Helvetica"/>
                <w:b/>
                <w:color w:val="333333"/>
                <w:sz w:val="18"/>
                <w:szCs w:val="18"/>
              </w:rPr>
              <w:t>0</w:t>
            </w:r>
          </w:p>
        </w:tc>
        <w:tc>
          <w:tcPr>
            <w:tcW w:w="1593" w:type="dxa"/>
            <w:shd w:val="clear" w:color="auto" w:fill="auto"/>
            <w:vAlign w:val="bottom"/>
          </w:tcPr>
          <w:p w:rsidR="000E7382" w:rsidRPr="003E014F" w:rsidRDefault="000E7382" w:rsidP="003E014F">
            <w:pPr>
              <w:spacing w:before="120" w:after="120"/>
              <w:jc w:val="right"/>
              <w:rPr>
                <w:rFonts w:asciiTheme="minorHAnsi" w:hAnsiTheme="minorHAnsi" w:cs="Helvetica"/>
                <w:b/>
                <w:color w:val="333333"/>
                <w:sz w:val="18"/>
                <w:szCs w:val="18"/>
              </w:rPr>
            </w:pPr>
            <w:r w:rsidRPr="003E014F">
              <w:rPr>
                <w:rFonts w:asciiTheme="minorHAnsi" w:hAnsiTheme="minorHAnsi" w:cs="Helvetica"/>
                <w:b/>
                <w:color w:val="333333"/>
                <w:sz w:val="18"/>
                <w:szCs w:val="18"/>
              </w:rPr>
              <w:t>10</w:t>
            </w:r>
          </w:p>
        </w:tc>
        <w:tc>
          <w:tcPr>
            <w:tcW w:w="1667" w:type="dxa"/>
            <w:shd w:val="clear" w:color="auto" w:fill="auto"/>
            <w:vAlign w:val="bottom"/>
          </w:tcPr>
          <w:p w:rsidR="000E7382" w:rsidRPr="003E014F" w:rsidRDefault="000E7382" w:rsidP="003E014F">
            <w:pPr>
              <w:spacing w:before="120" w:after="120"/>
              <w:jc w:val="right"/>
              <w:rPr>
                <w:rFonts w:asciiTheme="minorHAnsi" w:hAnsiTheme="minorHAnsi" w:cs="Helvetica"/>
                <w:b/>
                <w:color w:val="333333"/>
                <w:sz w:val="18"/>
                <w:szCs w:val="18"/>
              </w:rPr>
            </w:pPr>
            <w:r w:rsidRPr="003E014F">
              <w:rPr>
                <w:rFonts w:asciiTheme="minorHAnsi" w:hAnsiTheme="minorHAnsi" w:cs="Helvetica"/>
                <w:b/>
                <w:color w:val="333333"/>
                <w:sz w:val="18"/>
                <w:szCs w:val="18"/>
              </w:rPr>
              <w:t>6</w:t>
            </w:r>
          </w:p>
        </w:tc>
        <w:tc>
          <w:tcPr>
            <w:tcW w:w="1701" w:type="dxa"/>
            <w:shd w:val="clear" w:color="auto" w:fill="auto"/>
            <w:vAlign w:val="bottom"/>
          </w:tcPr>
          <w:p w:rsidR="000E7382" w:rsidRPr="003E014F" w:rsidRDefault="000E7382" w:rsidP="003E014F">
            <w:pPr>
              <w:spacing w:before="120" w:after="120"/>
              <w:jc w:val="right"/>
              <w:rPr>
                <w:rFonts w:asciiTheme="minorHAnsi" w:hAnsiTheme="minorHAnsi" w:cs="Helvetica"/>
                <w:b/>
                <w:color w:val="333333"/>
                <w:sz w:val="18"/>
                <w:szCs w:val="18"/>
              </w:rPr>
            </w:pPr>
            <w:r w:rsidRPr="003E014F">
              <w:rPr>
                <w:rFonts w:asciiTheme="minorHAnsi" w:hAnsiTheme="minorHAnsi" w:cs="Helvetica"/>
                <w:b/>
                <w:color w:val="333333"/>
                <w:sz w:val="18"/>
                <w:szCs w:val="18"/>
              </w:rPr>
              <w:t>15</w:t>
            </w:r>
          </w:p>
        </w:tc>
        <w:tc>
          <w:tcPr>
            <w:tcW w:w="1559" w:type="dxa"/>
            <w:shd w:val="clear" w:color="auto" w:fill="auto"/>
          </w:tcPr>
          <w:p w:rsidR="000E7382" w:rsidRPr="000E7382" w:rsidRDefault="001176E5" w:rsidP="000E738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9</w:t>
            </w:r>
          </w:p>
        </w:tc>
        <w:tc>
          <w:tcPr>
            <w:tcW w:w="4536" w:type="dxa"/>
            <w:vMerge/>
            <w:shd w:val="clear" w:color="auto" w:fill="auto"/>
          </w:tcPr>
          <w:p w:rsidR="000E7382" w:rsidRPr="00C92149" w:rsidRDefault="000E7382" w:rsidP="004A10A2">
            <w:pPr>
              <w:spacing w:before="120" w:after="120"/>
              <w:rPr>
                <w:rFonts w:asciiTheme="minorHAnsi" w:hAnsiTheme="minorHAnsi"/>
                <w:b/>
                <w:sz w:val="18"/>
                <w:szCs w:val="18"/>
              </w:rPr>
            </w:pPr>
          </w:p>
        </w:tc>
      </w:tr>
      <w:tr w:rsidR="000E7382" w:rsidRPr="00853117" w:rsidTr="000E7382">
        <w:trPr>
          <w:trHeight w:val="535"/>
        </w:trPr>
        <w:tc>
          <w:tcPr>
            <w:tcW w:w="2161" w:type="dxa"/>
            <w:shd w:val="clear" w:color="auto" w:fill="auto"/>
          </w:tcPr>
          <w:p w:rsidR="000E7382" w:rsidRPr="00C92149" w:rsidRDefault="000E7382"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rsidR="000E7382" w:rsidRPr="003E014F" w:rsidRDefault="000E7382" w:rsidP="003E014F">
            <w:pPr>
              <w:spacing w:before="120" w:after="120"/>
              <w:jc w:val="right"/>
              <w:rPr>
                <w:rFonts w:asciiTheme="minorHAnsi" w:hAnsiTheme="minorHAnsi" w:cs="Helvetica"/>
                <w:b/>
                <w:color w:val="333333"/>
                <w:sz w:val="18"/>
                <w:szCs w:val="18"/>
              </w:rPr>
            </w:pPr>
            <w:r w:rsidRPr="003E014F">
              <w:rPr>
                <w:rFonts w:asciiTheme="minorHAnsi" w:hAnsiTheme="minorHAnsi" w:cs="Helvetica"/>
                <w:b/>
                <w:color w:val="333333"/>
                <w:sz w:val="18"/>
                <w:szCs w:val="18"/>
              </w:rPr>
              <w:t>0 </w:t>
            </w:r>
          </w:p>
        </w:tc>
        <w:tc>
          <w:tcPr>
            <w:tcW w:w="1593" w:type="dxa"/>
            <w:shd w:val="clear" w:color="auto" w:fill="auto"/>
            <w:vAlign w:val="bottom"/>
          </w:tcPr>
          <w:p w:rsidR="000E7382" w:rsidRPr="003E014F" w:rsidRDefault="000E7382" w:rsidP="003E014F">
            <w:pPr>
              <w:spacing w:before="120" w:after="120"/>
              <w:jc w:val="right"/>
              <w:rPr>
                <w:rFonts w:asciiTheme="minorHAnsi" w:hAnsiTheme="minorHAnsi" w:cs="Helvetica"/>
                <w:b/>
                <w:color w:val="333333"/>
                <w:sz w:val="18"/>
                <w:szCs w:val="18"/>
              </w:rPr>
            </w:pPr>
            <w:r w:rsidRPr="003E014F">
              <w:rPr>
                <w:rFonts w:asciiTheme="minorHAnsi" w:hAnsiTheme="minorHAnsi" w:cs="Helvetica"/>
                <w:b/>
                <w:color w:val="333333"/>
                <w:sz w:val="18"/>
                <w:szCs w:val="18"/>
              </w:rPr>
              <w:t>2,427</w:t>
            </w:r>
          </w:p>
        </w:tc>
        <w:tc>
          <w:tcPr>
            <w:tcW w:w="1667" w:type="dxa"/>
            <w:shd w:val="clear" w:color="auto" w:fill="auto"/>
            <w:vAlign w:val="bottom"/>
          </w:tcPr>
          <w:p w:rsidR="000E7382" w:rsidRPr="003E014F" w:rsidRDefault="000E7382" w:rsidP="003E014F">
            <w:pPr>
              <w:spacing w:before="120" w:after="120"/>
              <w:jc w:val="right"/>
              <w:rPr>
                <w:rFonts w:asciiTheme="minorHAnsi" w:hAnsiTheme="minorHAnsi" w:cs="Helvetica"/>
                <w:b/>
                <w:color w:val="333333"/>
                <w:sz w:val="18"/>
                <w:szCs w:val="18"/>
              </w:rPr>
            </w:pPr>
            <w:r w:rsidRPr="003E014F">
              <w:rPr>
                <w:rFonts w:asciiTheme="minorHAnsi" w:hAnsiTheme="minorHAnsi" w:cs="Helvetica"/>
                <w:b/>
                <w:color w:val="333333"/>
                <w:sz w:val="18"/>
                <w:szCs w:val="18"/>
              </w:rPr>
              <w:t>1,800</w:t>
            </w:r>
          </w:p>
        </w:tc>
        <w:tc>
          <w:tcPr>
            <w:tcW w:w="1701" w:type="dxa"/>
            <w:shd w:val="clear" w:color="auto" w:fill="auto"/>
            <w:vAlign w:val="bottom"/>
          </w:tcPr>
          <w:p w:rsidR="000E7382" w:rsidRPr="003E014F" w:rsidRDefault="000E7382" w:rsidP="003E014F">
            <w:pPr>
              <w:spacing w:before="120" w:after="120"/>
              <w:jc w:val="right"/>
              <w:rPr>
                <w:rFonts w:asciiTheme="minorHAnsi" w:hAnsiTheme="minorHAnsi" w:cs="Helvetica"/>
                <w:b/>
                <w:color w:val="333333"/>
                <w:sz w:val="18"/>
                <w:szCs w:val="18"/>
              </w:rPr>
            </w:pPr>
            <w:r w:rsidRPr="003E014F">
              <w:rPr>
                <w:rFonts w:asciiTheme="minorHAnsi" w:hAnsiTheme="minorHAnsi" w:cs="Helvetica"/>
                <w:b/>
                <w:color w:val="333333"/>
                <w:sz w:val="18"/>
                <w:szCs w:val="18"/>
              </w:rPr>
              <w:t>3,726</w:t>
            </w:r>
          </w:p>
        </w:tc>
        <w:tc>
          <w:tcPr>
            <w:tcW w:w="1559" w:type="dxa"/>
            <w:shd w:val="clear" w:color="auto" w:fill="auto"/>
          </w:tcPr>
          <w:p w:rsidR="000E7382" w:rsidRPr="000E7382" w:rsidRDefault="001176E5" w:rsidP="000E738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2,912</w:t>
            </w:r>
          </w:p>
        </w:tc>
        <w:tc>
          <w:tcPr>
            <w:tcW w:w="4536" w:type="dxa"/>
            <w:vMerge/>
            <w:shd w:val="clear" w:color="auto" w:fill="auto"/>
          </w:tcPr>
          <w:p w:rsidR="000E7382" w:rsidRPr="00C92149" w:rsidRDefault="000E7382" w:rsidP="004A10A2">
            <w:pPr>
              <w:spacing w:before="120" w:after="120"/>
              <w:rPr>
                <w:rFonts w:asciiTheme="minorHAnsi" w:hAnsiTheme="minorHAnsi"/>
                <w:b/>
                <w:sz w:val="18"/>
                <w:szCs w:val="18"/>
              </w:rPr>
            </w:pPr>
          </w:p>
        </w:tc>
      </w:tr>
      <w:tr w:rsidR="000E7382" w:rsidRPr="00853117" w:rsidTr="000E7382">
        <w:tc>
          <w:tcPr>
            <w:tcW w:w="2161" w:type="dxa"/>
            <w:shd w:val="clear" w:color="auto" w:fill="auto"/>
          </w:tcPr>
          <w:p w:rsidR="000E7382" w:rsidRPr="00C92149" w:rsidRDefault="000E7382" w:rsidP="004A10A2">
            <w:pPr>
              <w:spacing w:before="120" w:after="120"/>
              <w:rPr>
                <w:rFonts w:asciiTheme="minorHAnsi" w:hAnsiTheme="minorHAnsi"/>
                <w:b/>
                <w:sz w:val="18"/>
                <w:szCs w:val="18"/>
              </w:rPr>
            </w:pPr>
            <w:r w:rsidRPr="00C92149">
              <w:rPr>
                <w:rFonts w:asciiTheme="minorHAnsi" w:hAnsiTheme="minorHAnsi"/>
                <w:b/>
                <w:sz w:val="18"/>
                <w:szCs w:val="18"/>
              </w:rPr>
              <w:lastRenderedPageBreak/>
              <w:t>% Total Grams issued</w:t>
            </w:r>
          </w:p>
        </w:tc>
        <w:tc>
          <w:tcPr>
            <w:tcW w:w="1384" w:type="dxa"/>
            <w:shd w:val="clear" w:color="auto" w:fill="auto"/>
            <w:vAlign w:val="bottom"/>
          </w:tcPr>
          <w:p w:rsidR="000E7382" w:rsidRPr="003E014F" w:rsidRDefault="001176E5" w:rsidP="003E014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0E7382" w:rsidRPr="003E014F">
              <w:rPr>
                <w:rFonts w:asciiTheme="minorHAnsi" w:hAnsiTheme="minorHAnsi" w:cs="Helvetica"/>
                <w:b/>
                <w:color w:val="333333"/>
                <w:sz w:val="18"/>
                <w:szCs w:val="18"/>
              </w:rPr>
              <w:t>0%</w:t>
            </w:r>
          </w:p>
        </w:tc>
        <w:tc>
          <w:tcPr>
            <w:tcW w:w="1593" w:type="dxa"/>
            <w:shd w:val="clear" w:color="auto" w:fill="auto"/>
            <w:vAlign w:val="bottom"/>
          </w:tcPr>
          <w:p w:rsidR="000E7382" w:rsidRPr="003E014F" w:rsidRDefault="00662862" w:rsidP="003E014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F11624">
              <w:rPr>
                <w:rFonts w:asciiTheme="minorHAnsi" w:hAnsiTheme="minorHAnsi" w:cs="Helvetica"/>
                <w:b/>
                <w:color w:val="333333"/>
                <w:sz w:val="18"/>
                <w:szCs w:val="18"/>
              </w:rPr>
              <w:t>7</w:t>
            </w:r>
            <w:r w:rsidR="000E7382" w:rsidRPr="003E014F">
              <w:rPr>
                <w:rFonts w:asciiTheme="minorHAnsi" w:hAnsiTheme="minorHAnsi" w:cs="Helvetica"/>
                <w:b/>
                <w:color w:val="333333"/>
                <w:sz w:val="18"/>
                <w:szCs w:val="18"/>
              </w:rPr>
              <w:t>%</w:t>
            </w:r>
          </w:p>
        </w:tc>
        <w:tc>
          <w:tcPr>
            <w:tcW w:w="1667" w:type="dxa"/>
            <w:shd w:val="clear" w:color="auto" w:fill="auto"/>
            <w:vAlign w:val="bottom"/>
          </w:tcPr>
          <w:p w:rsidR="000E7382" w:rsidRPr="003E014F" w:rsidRDefault="00662862" w:rsidP="003E014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0.04</w:t>
            </w:r>
            <w:r w:rsidR="000E7382" w:rsidRPr="003E014F">
              <w:rPr>
                <w:rFonts w:asciiTheme="minorHAnsi" w:hAnsiTheme="minorHAnsi" w:cs="Helvetica"/>
                <w:b/>
                <w:color w:val="333333"/>
                <w:sz w:val="18"/>
                <w:szCs w:val="18"/>
              </w:rPr>
              <w:t>%</w:t>
            </w:r>
          </w:p>
        </w:tc>
        <w:tc>
          <w:tcPr>
            <w:tcW w:w="1701" w:type="dxa"/>
            <w:shd w:val="clear" w:color="auto" w:fill="auto"/>
            <w:vAlign w:val="bottom"/>
          </w:tcPr>
          <w:p w:rsidR="000E7382" w:rsidRPr="003E014F" w:rsidRDefault="00662862" w:rsidP="003E014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0.08</w:t>
            </w:r>
            <w:r w:rsidR="000E7382" w:rsidRPr="003E014F">
              <w:rPr>
                <w:rFonts w:asciiTheme="minorHAnsi" w:hAnsiTheme="minorHAnsi" w:cs="Helvetica"/>
                <w:b/>
                <w:color w:val="333333"/>
                <w:sz w:val="18"/>
                <w:szCs w:val="18"/>
              </w:rPr>
              <w:t>%</w:t>
            </w:r>
          </w:p>
        </w:tc>
        <w:tc>
          <w:tcPr>
            <w:tcW w:w="1559" w:type="dxa"/>
            <w:shd w:val="clear" w:color="auto" w:fill="auto"/>
          </w:tcPr>
          <w:p w:rsidR="000E7382" w:rsidRPr="000E7382" w:rsidRDefault="001176E5" w:rsidP="001176E5">
            <w:pPr>
              <w:spacing w:before="120" w:after="120"/>
              <w:jc w:val="center"/>
              <w:rPr>
                <w:rFonts w:asciiTheme="minorHAnsi" w:hAnsiTheme="minorHAnsi" w:cs="Helvetica"/>
                <w:b/>
                <w:color w:val="333333"/>
                <w:sz w:val="18"/>
                <w:szCs w:val="18"/>
              </w:rPr>
            </w:pPr>
            <w:r>
              <w:rPr>
                <w:rFonts w:asciiTheme="minorHAnsi" w:hAnsiTheme="minorHAnsi" w:cs="Helvetica"/>
                <w:b/>
                <w:color w:val="333333"/>
                <w:sz w:val="18"/>
                <w:szCs w:val="18"/>
              </w:rPr>
              <w:t xml:space="preserve">                     0.0</w:t>
            </w:r>
            <w:r w:rsidR="00F11624">
              <w:rPr>
                <w:rFonts w:asciiTheme="minorHAnsi" w:hAnsiTheme="minorHAnsi" w:cs="Helvetica"/>
                <w:b/>
                <w:color w:val="333333"/>
                <w:sz w:val="18"/>
                <w:szCs w:val="18"/>
              </w:rPr>
              <w:t>6</w:t>
            </w:r>
            <w:r>
              <w:rPr>
                <w:rFonts w:asciiTheme="minorHAnsi" w:hAnsiTheme="minorHAnsi" w:cs="Helvetica"/>
                <w:b/>
                <w:color w:val="333333"/>
                <w:sz w:val="18"/>
                <w:szCs w:val="18"/>
              </w:rPr>
              <w:t>%</w:t>
            </w:r>
          </w:p>
        </w:tc>
        <w:tc>
          <w:tcPr>
            <w:tcW w:w="4536" w:type="dxa"/>
            <w:vMerge/>
            <w:shd w:val="clear" w:color="auto" w:fill="auto"/>
          </w:tcPr>
          <w:p w:rsidR="000E7382" w:rsidRPr="00C92149" w:rsidRDefault="000E7382" w:rsidP="004A10A2">
            <w:pPr>
              <w:spacing w:before="120" w:after="120"/>
              <w:rPr>
                <w:rFonts w:asciiTheme="minorHAnsi" w:hAnsiTheme="minorHAnsi"/>
                <w:b/>
                <w:sz w:val="18"/>
                <w:szCs w:val="18"/>
              </w:rPr>
            </w:pPr>
          </w:p>
        </w:tc>
      </w:tr>
      <w:tr w:rsidR="003E014F" w:rsidRPr="00021243" w:rsidTr="005D45E6">
        <w:tc>
          <w:tcPr>
            <w:tcW w:w="14601" w:type="dxa"/>
            <w:gridSpan w:val="7"/>
            <w:shd w:val="clear" w:color="auto" w:fill="F79646" w:themeFill="accent6"/>
          </w:tcPr>
          <w:p w:rsidR="003E014F" w:rsidRDefault="00427667" w:rsidP="005D45E6">
            <w:pPr>
              <w:spacing w:before="120" w:after="120"/>
              <w:rPr>
                <w:rFonts w:asciiTheme="minorHAnsi" w:hAnsiTheme="minorHAnsi"/>
                <w:b/>
              </w:rPr>
            </w:pPr>
            <w:r>
              <w:rPr>
                <w:rFonts w:asciiTheme="minorHAnsi" w:hAnsiTheme="minorHAnsi"/>
                <w:b/>
              </w:rPr>
              <w:lastRenderedPageBreak/>
              <w:t xml:space="preserve">Specialist Working Group </w:t>
            </w:r>
            <w:r w:rsidR="003E014F">
              <w:rPr>
                <w:rFonts w:asciiTheme="minorHAnsi" w:hAnsiTheme="minorHAnsi"/>
                <w:b/>
              </w:rPr>
              <w:t>knowledge development opportunities and recommendations</w:t>
            </w:r>
            <w:r w:rsidR="00660261">
              <w:rPr>
                <w:rFonts w:asciiTheme="minorHAnsi" w:hAnsiTheme="minorHAnsi"/>
                <w:b/>
              </w:rPr>
              <w:t xml:space="preserve"> relevant to the transition to </w:t>
            </w:r>
            <w:r>
              <w:rPr>
                <w:rFonts w:asciiTheme="minorHAnsi" w:hAnsiTheme="minorHAnsi"/>
                <w:b/>
              </w:rPr>
              <w:t>v</w:t>
            </w:r>
            <w:r w:rsidR="00660261">
              <w:rPr>
                <w:rFonts w:asciiTheme="minorHAnsi" w:hAnsiTheme="minorHAnsi"/>
                <w:b/>
              </w:rPr>
              <w:t>3</w:t>
            </w:r>
            <w:r w:rsidR="00D51255">
              <w:rPr>
                <w:rFonts w:asciiTheme="minorHAnsi" w:hAnsiTheme="minorHAnsi"/>
                <w:b/>
              </w:rPr>
              <w:t>.0</w:t>
            </w:r>
          </w:p>
        </w:tc>
      </w:tr>
      <w:tr w:rsidR="003E014F" w:rsidRPr="00021243" w:rsidTr="005D45E6">
        <w:tc>
          <w:tcPr>
            <w:tcW w:w="14601" w:type="dxa"/>
            <w:gridSpan w:val="7"/>
            <w:shd w:val="clear" w:color="auto" w:fill="auto"/>
          </w:tcPr>
          <w:p w:rsidR="003E014F" w:rsidRPr="002506FF" w:rsidRDefault="00764162" w:rsidP="00CC010C">
            <w:pPr>
              <w:spacing w:before="120" w:after="120"/>
              <w:rPr>
                <w:rFonts w:asciiTheme="minorHAnsi" w:hAnsiTheme="minorHAnsi"/>
              </w:rPr>
            </w:pPr>
            <w:r>
              <w:rPr>
                <w:rFonts w:asciiTheme="minorHAnsi" w:hAnsiTheme="minorHAnsi"/>
              </w:rPr>
              <w:t>None identified at this stage.</w:t>
            </w:r>
            <w:r w:rsidR="00660261">
              <w:rPr>
                <w:rFonts w:asciiTheme="minorHAnsi" w:hAnsiTheme="minorHAnsi"/>
              </w:rPr>
              <w:t xml:space="preserve"> </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9D6D50">
              <w:rPr>
                <w:rFonts w:asciiTheme="minorHAnsi" w:hAnsiTheme="minorHAnsi"/>
                <w:b/>
              </w:rPr>
              <w:t>PUBLIC CONSULTATION</w:t>
            </w:r>
            <w:r>
              <w:rPr>
                <w:rFonts w:asciiTheme="minorHAnsi" w:hAnsiTheme="minorHAnsi"/>
                <w:b/>
              </w:rPr>
              <w:t xml:space="preserve"> DOCUMENT</w:t>
            </w:r>
          </w:p>
          <w:p w:rsidR="000E09C4" w:rsidRPr="00021243" w:rsidRDefault="000E09C4" w:rsidP="007830E1">
            <w:pPr>
              <w:spacing w:before="120" w:after="120"/>
              <w:jc w:val="center"/>
              <w:rPr>
                <w:rFonts w:asciiTheme="minorHAnsi" w:hAnsiTheme="minorHAnsi"/>
                <w:b/>
              </w:rPr>
            </w:pPr>
            <w:r>
              <w:rPr>
                <w:rFonts w:asciiTheme="minorHAnsi" w:hAnsiTheme="minorHAnsi"/>
                <w:b/>
              </w:rPr>
              <w:t>Next review</w:t>
            </w:r>
            <w:r w:rsidR="00660261">
              <w:rPr>
                <w:rFonts w:asciiTheme="minorHAnsi" w:hAnsiTheme="minorHAnsi"/>
                <w:b/>
              </w:rPr>
              <w:t>:</w:t>
            </w:r>
            <w:r>
              <w:rPr>
                <w:rFonts w:asciiTheme="minorHAnsi" w:hAnsiTheme="minorHAnsi"/>
                <w:b/>
              </w:rPr>
              <w:t xml:space="preserve"> </w:t>
            </w:r>
            <w:r w:rsidR="00660261">
              <w:rPr>
                <w:rFonts w:asciiTheme="minorHAnsi" w:hAnsiTheme="minorHAnsi"/>
                <w:b/>
              </w:rPr>
              <w:t xml:space="preserve">Two years after BloodSTAR </w:t>
            </w:r>
            <w:r w:rsidR="00427667">
              <w:rPr>
                <w:rFonts w:asciiTheme="minorHAnsi" w:hAnsiTheme="minorHAnsi"/>
                <w:b/>
              </w:rPr>
              <w:t>v</w:t>
            </w:r>
            <w:r w:rsidR="00660261">
              <w:rPr>
                <w:rFonts w:asciiTheme="minorHAnsi" w:hAnsiTheme="minorHAnsi"/>
                <w:b/>
              </w:rPr>
              <w:t>3</w:t>
            </w:r>
            <w:r w:rsidR="00111E50">
              <w:rPr>
                <w:rFonts w:asciiTheme="minorHAnsi" w:hAnsiTheme="minorHAnsi"/>
                <w:b/>
              </w:rPr>
              <w:t>.</w:t>
            </w:r>
            <w:r w:rsidR="000D416D">
              <w:rPr>
                <w:rFonts w:asciiTheme="minorHAnsi" w:hAnsiTheme="minorHAnsi"/>
                <w:b/>
              </w:rPr>
              <w:t>0</w:t>
            </w:r>
            <w:r w:rsidR="00660261">
              <w:rPr>
                <w:rFonts w:asciiTheme="minorHAnsi" w:hAnsiTheme="minorHAnsi"/>
                <w:b/>
              </w:rPr>
              <w:t xml:space="preserve"> implemented</w:t>
            </w:r>
          </w:p>
        </w:tc>
      </w:tr>
    </w:tbl>
    <w:p w:rsidR="009C1E09" w:rsidRDefault="009C1E09" w:rsidP="002506FF">
      <w:pPr>
        <w:jc w:val="center"/>
      </w:pPr>
    </w:p>
    <w:p w:rsidR="006627B5" w:rsidRPr="00FD2CCD" w:rsidRDefault="006627B5" w:rsidP="007830E1">
      <w:pPr>
        <w:spacing w:line="276" w:lineRule="auto"/>
      </w:pPr>
    </w:p>
    <w:sectPr w:rsidR="006627B5" w:rsidRPr="00FD2CCD" w:rsidSect="00D64E7C">
      <w:headerReference w:type="default" r:id="rId15"/>
      <w:footerReference w:type="default" r:id="rId16"/>
      <w:headerReference w:type="first" r:id="rId17"/>
      <w:footerReference w:type="first" r:id="rId18"/>
      <w:pgSz w:w="16839" w:h="11907" w:orient="landscape" w:code="9"/>
      <w:pgMar w:top="1440" w:right="1440" w:bottom="113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900999"/>
      <w:docPartObj>
        <w:docPartGallery w:val="Page Numbers (Bottom of Page)"/>
        <w:docPartUnique/>
      </w:docPartObj>
    </w:sdtPr>
    <w:sdtEndPr>
      <w:rPr>
        <w:noProof/>
      </w:rPr>
    </w:sdtEndPr>
    <w:sdtContent>
      <w:p w:rsidR="00D167AA" w:rsidRDefault="00D167AA">
        <w:pPr>
          <w:pStyle w:val="Footer"/>
          <w:jc w:val="right"/>
        </w:pPr>
        <w:r>
          <w:fldChar w:fldCharType="begin"/>
        </w:r>
        <w:r>
          <w:instrText xml:space="preserve"> PAGE   \* MERGEFORMAT </w:instrText>
        </w:r>
        <w:r>
          <w:fldChar w:fldCharType="separate"/>
        </w:r>
        <w:r w:rsidR="00A045B1">
          <w:rPr>
            <w:noProof/>
          </w:rPr>
          <w:t>5</w:t>
        </w:r>
        <w:r>
          <w:rPr>
            <w:noProof/>
          </w:rPr>
          <w:fldChar w:fldCharType="end"/>
        </w:r>
      </w:p>
    </w:sdtContent>
  </w:sdt>
  <w:p w:rsidR="00D167AA" w:rsidRDefault="00D16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18068"/>
      <w:docPartObj>
        <w:docPartGallery w:val="Page Numbers (Bottom of Page)"/>
        <w:docPartUnique/>
      </w:docPartObj>
    </w:sdtPr>
    <w:sdtEndPr>
      <w:rPr>
        <w:noProof/>
      </w:rPr>
    </w:sdtEndPr>
    <w:sdtContent>
      <w:p w:rsidR="00D167AA" w:rsidRDefault="00D167AA">
        <w:pPr>
          <w:pStyle w:val="Footer"/>
          <w:jc w:val="right"/>
        </w:pPr>
        <w:r>
          <w:fldChar w:fldCharType="begin"/>
        </w:r>
        <w:r>
          <w:instrText xml:space="preserve"> PAGE   \* MERGEFORMAT </w:instrText>
        </w:r>
        <w:r>
          <w:fldChar w:fldCharType="separate"/>
        </w:r>
        <w:r w:rsidR="00A045B1">
          <w:rPr>
            <w:noProof/>
          </w:rPr>
          <w:t>1</w:t>
        </w:r>
        <w:r>
          <w:rPr>
            <w:noProof/>
          </w:rPr>
          <w:fldChar w:fldCharType="end"/>
        </w:r>
      </w:p>
    </w:sdtContent>
  </w:sdt>
  <w:p w:rsidR="00D167AA" w:rsidRDefault="00D16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9A" w:rsidRPr="00EE5454" w:rsidRDefault="0061774A" w:rsidP="002C449A">
    <w:pPr>
      <w:pStyle w:val="Footer"/>
      <w:rPr>
        <w:sz w:val="20"/>
        <w:szCs w:val="20"/>
      </w:rPr>
    </w:pPr>
    <w:r>
      <w:rPr>
        <w:sz w:val="20"/>
        <w:szCs w:val="20"/>
      </w:rPr>
      <w:t>PUBLIC CONSULTATION 2017</w:t>
    </w:r>
    <w:r w:rsidR="002C449A">
      <w:rPr>
        <w:sz w:val="20"/>
        <w:szCs w:val="20"/>
      </w:rPr>
      <w:t xml:space="preserve"> - Diabetic amyotrophy</w:t>
    </w:r>
  </w:p>
  <w:p w:rsidR="002C449A" w:rsidRDefault="002C4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Pr="002C449A" w:rsidRDefault="0061774A" w:rsidP="002C449A">
    <w:pPr>
      <w:pStyle w:val="Footer"/>
      <w:rPr>
        <w:sz w:val="20"/>
        <w:szCs w:val="20"/>
      </w:rPr>
    </w:pPr>
    <w:r>
      <w:rPr>
        <w:sz w:val="20"/>
        <w:szCs w:val="20"/>
      </w:rPr>
      <w:t>PUBLIC CONSULTATION 2017</w:t>
    </w:r>
    <w:r w:rsidR="002C449A">
      <w:rPr>
        <w:sz w:val="20"/>
        <w:szCs w:val="20"/>
      </w:rPr>
      <w:t xml:space="preserve"> - Diabetic amyotrophy</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3">
    <w:nsid w:val="40776379"/>
    <w:multiLevelType w:val="hybridMultilevel"/>
    <w:tmpl w:val="C038A942"/>
    <w:lvl w:ilvl="0" w:tplc="6E1EEEB8">
      <w:numFmt w:val="bullet"/>
      <w:lvlText w:val="•"/>
      <w:lvlJc w:val="left"/>
      <w:pPr>
        <w:ind w:left="1080" w:hanging="72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B3747"/>
    <w:multiLevelType w:val="hybridMultilevel"/>
    <w:tmpl w:val="E1C4A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B44A15"/>
    <w:multiLevelType w:val="hybridMultilevel"/>
    <w:tmpl w:val="7C74FEF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0">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9"/>
  </w:num>
  <w:num w:numId="5">
    <w:abstractNumId w:val="15"/>
  </w:num>
  <w:num w:numId="6">
    <w:abstractNumId w:val="2"/>
  </w:num>
  <w:num w:numId="7">
    <w:abstractNumId w:val="1"/>
  </w:num>
  <w:num w:numId="8">
    <w:abstractNumId w:val="4"/>
  </w:num>
  <w:num w:numId="9">
    <w:abstractNumId w:val="0"/>
  </w:num>
  <w:num w:numId="10">
    <w:abstractNumId w:val="43"/>
  </w:num>
  <w:num w:numId="11">
    <w:abstractNumId w:val="30"/>
  </w:num>
  <w:num w:numId="12">
    <w:abstractNumId w:val="36"/>
  </w:num>
  <w:num w:numId="13">
    <w:abstractNumId w:val="12"/>
  </w:num>
  <w:num w:numId="14">
    <w:abstractNumId w:val="20"/>
  </w:num>
  <w:num w:numId="15">
    <w:abstractNumId w:val="11"/>
  </w:num>
  <w:num w:numId="16">
    <w:abstractNumId w:val="38"/>
  </w:num>
  <w:num w:numId="17">
    <w:abstractNumId w:val="5"/>
  </w:num>
  <w:num w:numId="18">
    <w:abstractNumId w:val="16"/>
  </w:num>
  <w:num w:numId="19">
    <w:abstractNumId w:val="34"/>
  </w:num>
  <w:num w:numId="20">
    <w:abstractNumId w:val="45"/>
  </w:num>
  <w:num w:numId="21">
    <w:abstractNumId w:val="13"/>
  </w:num>
  <w:num w:numId="22">
    <w:abstractNumId w:val="35"/>
  </w:num>
  <w:num w:numId="23">
    <w:abstractNumId w:val="10"/>
  </w:num>
  <w:num w:numId="24">
    <w:abstractNumId w:val="3"/>
  </w:num>
  <w:num w:numId="25">
    <w:abstractNumId w:val="37"/>
  </w:num>
  <w:num w:numId="26">
    <w:abstractNumId w:val="24"/>
  </w:num>
  <w:num w:numId="27">
    <w:abstractNumId w:val="41"/>
  </w:num>
  <w:num w:numId="28">
    <w:abstractNumId w:val="31"/>
  </w:num>
  <w:num w:numId="29">
    <w:abstractNumId w:val="32"/>
  </w:num>
  <w:num w:numId="30">
    <w:abstractNumId w:val="8"/>
  </w:num>
  <w:num w:numId="31">
    <w:abstractNumId w:val="9"/>
  </w:num>
  <w:num w:numId="32">
    <w:abstractNumId w:val="27"/>
  </w:num>
  <w:num w:numId="33">
    <w:abstractNumId w:val="44"/>
  </w:num>
  <w:num w:numId="34">
    <w:abstractNumId w:val="19"/>
  </w:num>
  <w:num w:numId="35">
    <w:abstractNumId w:val="33"/>
  </w:num>
  <w:num w:numId="36">
    <w:abstractNumId w:val="18"/>
  </w:num>
  <w:num w:numId="37">
    <w:abstractNumId w:val="14"/>
  </w:num>
  <w:num w:numId="38">
    <w:abstractNumId w:val="22"/>
  </w:num>
  <w:num w:numId="39">
    <w:abstractNumId w:val="26"/>
  </w:num>
  <w:num w:numId="40">
    <w:abstractNumId w:val="7"/>
  </w:num>
  <w:num w:numId="41">
    <w:abstractNumId w:val="40"/>
  </w:num>
  <w:num w:numId="42">
    <w:abstractNumId w:val="42"/>
  </w:num>
  <w:num w:numId="43">
    <w:abstractNumId w:val="25"/>
  </w:num>
  <w:num w:numId="44">
    <w:abstractNumId w:val="6"/>
  </w:num>
  <w:num w:numId="45">
    <w:abstractNumId w:val="46"/>
  </w:num>
  <w:num w:numId="46">
    <w:abstractNumId w:val="29"/>
  </w:num>
  <w:num w:numId="47">
    <w:abstractNumId w:val="2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7639A"/>
    <w:rsid w:val="000A3A69"/>
    <w:rsid w:val="000A65C9"/>
    <w:rsid w:val="000B27A7"/>
    <w:rsid w:val="000D416D"/>
    <w:rsid w:val="000D7049"/>
    <w:rsid w:val="000E09C4"/>
    <w:rsid w:val="000E4D1E"/>
    <w:rsid w:val="000E7382"/>
    <w:rsid w:val="00111E50"/>
    <w:rsid w:val="00115653"/>
    <w:rsid w:val="001176E5"/>
    <w:rsid w:val="00126428"/>
    <w:rsid w:val="00153753"/>
    <w:rsid w:val="00165F48"/>
    <w:rsid w:val="00167100"/>
    <w:rsid w:val="0017270F"/>
    <w:rsid w:val="001849B2"/>
    <w:rsid w:val="00184E12"/>
    <w:rsid w:val="00186CF7"/>
    <w:rsid w:val="001A2460"/>
    <w:rsid w:val="001C45B4"/>
    <w:rsid w:val="0021213D"/>
    <w:rsid w:val="00216823"/>
    <w:rsid w:val="0022664C"/>
    <w:rsid w:val="002306B2"/>
    <w:rsid w:val="00236B19"/>
    <w:rsid w:val="00240825"/>
    <w:rsid w:val="002506FF"/>
    <w:rsid w:val="00250EFE"/>
    <w:rsid w:val="002537F2"/>
    <w:rsid w:val="00255740"/>
    <w:rsid w:val="00275679"/>
    <w:rsid w:val="00282F66"/>
    <w:rsid w:val="002936DD"/>
    <w:rsid w:val="00295CD3"/>
    <w:rsid w:val="002C18ED"/>
    <w:rsid w:val="002C449A"/>
    <w:rsid w:val="002D2007"/>
    <w:rsid w:val="002D6179"/>
    <w:rsid w:val="002E1C4B"/>
    <w:rsid w:val="002F3325"/>
    <w:rsid w:val="00320BEB"/>
    <w:rsid w:val="00327526"/>
    <w:rsid w:val="0033060E"/>
    <w:rsid w:val="00360326"/>
    <w:rsid w:val="00364F23"/>
    <w:rsid w:val="00372577"/>
    <w:rsid w:val="00395032"/>
    <w:rsid w:val="003A1F9D"/>
    <w:rsid w:val="003D1795"/>
    <w:rsid w:val="003D27F1"/>
    <w:rsid w:val="003E014F"/>
    <w:rsid w:val="003E3235"/>
    <w:rsid w:val="003F11F8"/>
    <w:rsid w:val="00403201"/>
    <w:rsid w:val="00420DA8"/>
    <w:rsid w:val="00427667"/>
    <w:rsid w:val="004336C2"/>
    <w:rsid w:val="00433C78"/>
    <w:rsid w:val="00437609"/>
    <w:rsid w:val="00445EDE"/>
    <w:rsid w:val="00447869"/>
    <w:rsid w:val="00454FA8"/>
    <w:rsid w:val="00460325"/>
    <w:rsid w:val="00463B0C"/>
    <w:rsid w:val="0047615E"/>
    <w:rsid w:val="004856E4"/>
    <w:rsid w:val="004926F2"/>
    <w:rsid w:val="004A10A2"/>
    <w:rsid w:val="004B14F4"/>
    <w:rsid w:val="004C0ECF"/>
    <w:rsid w:val="004D4636"/>
    <w:rsid w:val="004E4A52"/>
    <w:rsid w:val="005023CE"/>
    <w:rsid w:val="00525C51"/>
    <w:rsid w:val="00531E6D"/>
    <w:rsid w:val="00540020"/>
    <w:rsid w:val="00543C69"/>
    <w:rsid w:val="005546AE"/>
    <w:rsid w:val="005629EE"/>
    <w:rsid w:val="00576017"/>
    <w:rsid w:val="00584BEC"/>
    <w:rsid w:val="005851ED"/>
    <w:rsid w:val="005960E7"/>
    <w:rsid w:val="005A547A"/>
    <w:rsid w:val="005C78F4"/>
    <w:rsid w:val="005D1CDA"/>
    <w:rsid w:val="005D2C3D"/>
    <w:rsid w:val="005E04F6"/>
    <w:rsid w:val="00602D7D"/>
    <w:rsid w:val="0061774A"/>
    <w:rsid w:val="00617D9D"/>
    <w:rsid w:val="006201B1"/>
    <w:rsid w:val="006427C2"/>
    <w:rsid w:val="00642A5C"/>
    <w:rsid w:val="00644285"/>
    <w:rsid w:val="00657F36"/>
    <w:rsid w:val="00660261"/>
    <w:rsid w:val="006627B5"/>
    <w:rsid w:val="00662862"/>
    <w:rsid w:val="006631E9"/>
    <w:rsid w:val="00666AA5"/>
    <w:rsid w:val="00670D34"/>
    <w:rsid w:val="006855AF"/>
    <w:rsid w:val="00695219"/>
    <w:rsid w:val="006B0323"/>
    <w:rsid w:val="006B4C33"/>
    <w:rsid w:val="006D2521"/>
    <w:rsid w:val="006D2FA8"/>
    <w:rsid w:val="006D36A9"/>
    <w:rsid w:val="006F1FA7"/>
    <w:rsid w:val="006F485E"/>
    <w:rsid w:val="00702EB0"/>
    <w:rsid w:val="007118EA"/>
    <w:rsid w:val="00722415"/>
    <w:rsid w:val="00755368"/>
    <w:rsid w:val="00764162"/>
    <w:rsid w:val="00780D9A"/>
    <w:rsid w:val="007830E1"/>
    <w:rsid w:val="00787242"/>
    <w:rsid w:val="00793EB5"/>
    <w:rsid w:val="007A1346"/>
    <w:rsid w:val="007B0C7B"/>
    <w:rsid w:val="007B2100"/>
    <w:rsid w:val="007C7B0F"/>
    <w:rsid w:val="007F3022"/>
    <w:rsid w:val="008041F6"/>
    <w:rsid w:val="00847EC8"/>
    <w:rsid w:val="0085141B"/>
    <w:rsid w:val="00853117"/>
    <w:rsid w:val="00856708"/>
    <w:rsid w:val="008612AB"/>
    <w:rsid w:val="00880ECB"/>
    <w:rsid w:val="00893E0A"/>
    <w:rsid w:val="00896241"/>
    <w:rsid w:val="008C14F2"/>
    <w:rsid w:val="008D40C3"/>
    <w:rsid w:val="00901446"/>
    <w:rsid w:val="00901F76"/>
    <w:rsid w:val="009025B7"/>
    <w:rsid w:val="009208EC"/>
    <w:rsid w:val="009304A1"/>
    <w:rsid w:val="00933536"/>
    <w:rsid w:val="009347BC"/>
    <w:rsid w:val="0093594E"/>
    <w:rsid w:val="00951B85"/>
    <w:rsid w:val="00982D63"/>
    <w:rsid w:val="009B04BD"/>
    <w:rsid w:val="009C1E09"/>
    <w:rsid w:val="009D6D50"/>
    <w:rsid w:val="009E0D07"/>
    <w:rsid w:val="009E38CC"/>
    <w:rsid w:val="009F4509"/>
    <w:rsid w:val="009F4B29"/>
    <w:rsid w:val="00A0276B"/>
    <w:rsid w:val="00A0352E"/>
    <w:rsid w:val="00A045B1"/>
    <w:rsid w:val="00A05745"/>
    <w:rsid w:val="00A23D1D"/>
    <w:rsid w:val="00A242F2"/>
    <w:rsid w:val="00A31C82"/>
    <w:rsid w:val="00A357C4"/>
    <w:rsid w:val="00A57D60"/>
    <w:rsid w:val="00A67CEB"/>
    <w:rsid w:val="00A7510F"/>
    <w:rsid w:val="00A80A19"/>
    <w:rsid w:val="00A81C38"/>
    <w:rsid w:val="00AA19C1"/>
    <w:rsid w:val="00AA4B7B"/>
    <w:rsid w:val="00AB120F"/>
    <w:rsid w:val="00AB1689"/>
    <w:rsid w:val="00AC0406"/>
    <w:rsid w:val="00AD086B"/>
    <w:rsid w:val="00AD1EF1"/>
    <w:rsid w:val="00AD4362"/>
    <w:rsid w:val="00AE5015"/>
    <w:rsid w:val="00AE63FA"/>
    <w:rsid w:val="00AF7FC0"/>
    <w:rsid w:val="00B214B1"/>
    <w:rsid w:val="00B22C94"/>
    <w:rsid w:val="00B2592B"/>
    <w:rsid w:val="00B32DD7"/>
    <w:rsid w:val="00B35BD7"/>
    <w:rsid w:val="00B3726E"/>
    <w:rsid w:val="00B97261"/>
    <w:rsid w:val="00BA76E3"/>
    <w:rsid w:val="00BD6C2D"/>
    <w:rsid w:val="00BD7111"/>
    <w:rsid w:val="00BD735D"/>
    <w:rsid w:val="00C21002"/>
    <w:rsid w:val="00C24E0B"/>
    <w:rsid w:val="00C30FD5"/>
    <w:rsid w:val="00C34D27"/>
    <w:rsid w:val="00C364CA"/>
    <w:rsid w:val="00C51E04"/>
    <w:rsid w:val="00C56B28"/>
    <w:rsid w:val="00C71BA5"/>
    <w:rsid w:val="00C92149"/>
    <w:rsid w:val="00CA4321"/>
    <w:rsid w:val="00CB47C1"/>
    <w:rsid w:val="00CB50C5"/>
    <w:rsid w:val="00CC00F7"/>
    <w:rsid w:val="00CC010C"/>
    <w:rsid w:val="00CC0FB4"/>
    <w:rsid w:val="00CC12B9"/>
    <w:rsid w:val="00CD489A"/>
    <w:rsid w:val="00CD5856"/>
    <w:rsid w:val="00CD7B8A"/>
    <w:rsid w:val="00CF3626"/>
    <w:rsid w:val="00D167AA"/>
    <w:rsid w:val="00D16B82"/>
    <w:rsid w:val="00D17E7A"/>
    <w:rsid w:val="00D17FEC"/>
    <w:rsid w:val="00D24193"/>
    <w:rsid w:val="00D51255"/>
    <w:rsid w:val="00D64E7C"/>
    <w:rsid w:val="00D67068"/>
    <w:rsid w:val="00D67CFD"/>
    <w:rsid w:val="00D874FD"/>
    <w:rsid w:val="00D87794"/>
    <w:rsid w:val="00D96987"/>
    <w:rsid w:val="00DB17C2"/>
    <w:rsid w:val="00DB1925"/>
    <w:rsid w:val="00DD166F"/>
    <w:rsid w:val="00DF0729"/>
    <w:rsid w:val="00E33378"/>
    <w:rsid w:val="00E337E6"/>
    <w:rsid w:val="00E62E16"/>
    <w:rsid w:val="00E672AA"/>
    <w:rsid w:val="00E7550D"/>
    <w:rsid w:val="00EA2E82"/>
    <w:rsid w:val="00EB78FB"/>
    <w:rsid w:val="00EC0889"/>
    <w:rsid w:val="00EE5454"/>
    <w:rsid w:val="00F11624"/>
    <w:rsid w:val="00F42816"/>
    <w:rsid w:val="00F66136"/>
    <w:rsid w:val="00F70578"/>
    <w:rsid w:val="00F81922"/>
    <w:rsid w:val="00F90BB1"/>
    <w:rsid w:val="00FB0239"/>
    <w:rsid w:val="00FC0E9B"/>
    <w:rsid w:val="00FC5CB0"/>
    <w:rsid w:val="00FD2CCD"/>
    <w:rsid w:val="00FE1B13"/>
    <w:rsid w:val="00FE1EE0"/>
    <w:rsid w:val="00FE1F53"/>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paragraph" w:styleId="FootnoteText">
    <w:name w:val="footnote text"/>
    <w:basedOn w:val="Normal"/>
    <w:link w:val="FootnoteTextChar"/>
    <w:uiPriority w:val="99"/>
    <w:unhideWhenUsed/>
    <w:rsid w:val="00660261"/>
    <w:pPr>
      <w:spacing w:after="0"/>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660261"/>
    <w:rPr>
      <w:sz w:val="24"/>
      <w:szCs w:val="24"/>
    </w:rPr>
  </w:style>
  <w:style w:type="character" w:styleId="FootnoteReference">
    <w:name w:val="footnote reference"/>
    <w:basedOn w:val="DefaultParagraphFont"/>
    <w:uiPriority w:val="99"/>
    <w:unhideWhenUsed/>
    <w:rsid w:val="00660261"/>
    <w:rPr>
      <w:vertAlign w:val="superscript"/>
    </w:rPr>
  </w:style>
  <w:style w:type="character" w:styleId="Hyperlink">
    <w:name w:val="Hyperlink"/>
    <w:basedOn w:val="DefaultParagraphFont"/>
    <w:uiPriority w:val="99"/>
    <w:unhideWhenUsed/>
    <w:rsid w:val="008D4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paragraph" w:styleId="FootnoteText">
    <w:name w:val="footnote text"/>
    <w:basedOn w:val="Normal"/>
    <w:link w:val="FootnoteTextChar"/>
    <w:uiPriority w:val="99"/>
    <w:unhideWhenUsed/>
    <w:rsid w:val="00660261"/>
    <w:pPr>
      <w:spacing w:after="0"/>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660261"/>
    <w:rPr>
      <w:sz w:val="24"/>
      <w:szCs w:val="24"/>
    </w:rPr>
  </w:style>
  <w:style w:type="character" w:styleId="FootnoteReference">
    <w:name w:val="footnote reference"/>
    <w:basedOn w:val="DefaultParagraphFont"/>
    <w:uiPriority w:val="99"/>
    <w:unhideWhenUsed/>
    <w:rsid w:val="00660261"/>
    <w:rPr>
      <w:vertAlign w:val="superscript"/>
    </w:rPr>
  </w:style>
  <w:style w:type="character" w:styleId="Hyperlink">
    <w:name w:val="Hyperlink"/>
    <w:basedOn w:val="DefaultParagraphFont"/>
    <w:uiPriority w:val="99"/>
    <w:unhideWhenUsed/>
    <w:rsid w:val="008D4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919365835">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447499612">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034/j.1600-0404.2003.02107.x/ful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nsfusionontario.org/en/download/ontario-intravenous-immune-globulin-ivig-utilization-ma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article/10.1007/s11940-010-0059-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ciencedirect.com/science/article/pii/S002561961163674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library.wiley.com/doi/10.1111/papr.12133/full" TargetMode="External"/><Relationship Id="rId14" Type="http://schemas.openxmlformats.org/officeDocument/2006/relationships/hyperlink" Target="https://academic.oup.com/painmedicine/article/15/9/1640/1894529/Diagnostic-and-Therapeutic-Pitfalls-in-Consid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845F-A933-4148-80FA-D234A551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2017-04-10T23:19:00Z</cp:lastPrinted>
  <dcterms:created xsi:type="dcterms:W3CDTF">2017-09-08T03:06:00Z</dcterms:created>
  <dcterms:modified xsi:type="dcterms:W3CDTF">2017-09-08T03:06:00Z</dcterms:modified>
</cp:coreProperties>
</file>