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7A299B" w:rsidRDefault="008812E6" w:rsidP="007A299B">
      <w:pPr>
        <w:pStyle w:val="Heading3"/>
        <w:ind w:left="-284"/>
        <w:rPr>
          <w:color w:val="auto"/>
        </w:rPr>
      </w:pPr>
      <w:bookmarkStart w:id="0" w:name="_GoBack"/>
      <w:bookmarkEnd w:id="0"/>
      <w:r w:rsidRPr="007A299B">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3687"/>
        <w:gridCol w:w="10914"/>
      </w:tblGrid>
      <w:tr w:rsidR="00793EB5" w:rsidRPr="00447869" w:rsidTr="00012B44">
        <w:trPr>
          <w:tblHeader/>
        </w:trPr>
        <w:tc>
          <w:tcPr>
            <w:tcW w:w="3687" w:type="dxa"/>
            <w:shd w:val="clear" w:color="auto" w:fill="DBE5F1" w:themeFill="accent1" w:themeFillTint="33"/>
          </w:tcPr>
          <w:p w:rsidR="00793EB5" w:rsidRPr="00447869" w:rsidRDefault="00793EB5" w:rsidP="008812E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NAME IN </w:t>
            </w:r>
            <w:r w:rsidR="008812E6">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0914" w:type="dxa"/>
            <w:shd w:val="clear" w:color="auto" w:fill="DBE5F1" w:themeFill="accent1" w:themeFillTint="33"/>
          </w:tcPr>
          <w:p w:rsidR="00793EB5" w:rsidRPr="00447869" w:rsidRDefault="00BB17AD" w:rsidP="007830E1">
            <w:pPr>
              <w:spacing w:before="120" w:after="120"/>
              <w:rPr>
                <w:rFonts w:asciiTheme="minorHAnsi" w:eastAsia="Times New Roman" w:hAnsiTheme="minorHAnsi" w:cs="Times New Roman"/>
                <w:b/>
                <w:bCs/>
                <w:lang w:eastAsia="en-AU"/>
              </w:rPr>
            </w:pPr>
            <w:r w:rsidRPr="00BB17AD">
              <w:rPr>
                <w:rFonts w:asciiTheme="minorHAnsi" w:eastAsia="Times New Roman" w:hAnsiTheme="minorHAnsi" w:cs="Times New Roman"/>
                <w:b/>
                <w:bCs/>
                <w:lang w:eastAsia="en-AU"/>
              </w:rPr>
              <w:t>HIV in children</w:t>
            </w:r>
          </w:p>
        </w:tc>
      </w:tr>
      <w:tr w:rsidR="00642A5C" w:rsidRPr="00447869" w:rsidTr="00012B44">
        <w:tc>
          <w:tcPr>
            <w:tcW w:w="3687" w:type="dxa"/>
            <w:shd w:val="clear" w:color="auto" w:fill="auto"/>
          </w:tcPr>
          <w:p w:rsidR="008812E6" w:rsidRPr="007A299B" w:rsidRDefault="008812E6" w:rsidP="008812E6">
            <w:pPr>
              <w:spacing w:before="120" w:after="120"/>
              <w:rPr>
                <w:rFonts w:asciiTheme="minorHAnsi" w:eastAsia="Times New Roman" w:hAnsiTheme="minorHAnsi" w:cs="Times New Roman"/>
                <w:b/>
                <w:bCs/>
                <w:lang w:eastAsia="en-AU"/>
              </w:rPr>
            </w:pPr>
            <w:r w:rsidRPr="007A299B">
              <w:rPr>
                <w:rFonts w:asciiTheme="minorHAnsi" w:eastAsia="Times New Roman" w:hAnsiTheme="minorHAnsi" w:cs="Times New Roman"/>
                <w:b/>
                <w:bCs/>
                <w:lang w:eastAsia="en-AU"/>
              </w:rPr>
              <w:t>PROPOSED APPROACH:</w:t>
            </w:r>
          </w:p>
          <w:p w:rsidR="008812E6" w:rsidRPr="00C92149" w:rsidRDefault="008812E6" w:rsidP="008812E6">
            <w:pPr>
              <w:spacing w:before="120" w:after="120"/>
              <w:rPr>
                <w:rFonts w:asciiTheme="minorHAnsi" w:eastAsia="Times New Roman" w:hAnsiTheme="minorHAnsi" w:cs="Times New Roman"/>
                <w:bCs/>
                <w:lang w:eastAsia="en-AU"/>
              </w:rPr>
            </w:pPr>
            <w:r w:rsidRPr="007A299B">
              <w:rPr>
                <w:rFonts w:asciiTheme="minorHAnsi" w:eastAsia="Times New Roman" w:hAnsiTheme="minorHAnsi" w:cs="Times New Roman"/>
                <w:b/>
                <w:bCs/>
                <w:lang w:eastAsia="en-AU"/>
              </w:rPr>
              <w:t xml:space="preserve">To move HIV in children from </w:t>
            </w:r>
            <w:r w:rsidRPr="007A299B">
              <w:rPr>
                <w:rFonts w:asciiTheme="minorHAnsi" w:eastAsia="Times New Roman" w:hAnsiTheme="minorHAnsi" w:cs="Times New Roman"/>
                <w:b/>
                <w:bCs/>
                <w:i/>
                <w:lang w:eastAsia="en-AU"/>
              </w:rPr>
              <w:t>Exceptional circumstances only</w:t>
            </w:r>
            <w:r w:rsidRPr="007A299B">
              <w:rPr>
                <w:rFonts w:asciiTheme="minorHAnsi" w:eastAsia="Times New Roman" w:hAnsiTheme="minorHAnsi" w:cs="Times New Roman"/>
                <w:b/>
                <w:bCs/>
                <w:lang w:eastAsia="en-AU"/>
              </w:rPr>
              <w:t xml:space="preserve"> to </w:t>
            </w:r>
            <w:r w:rsidRPr="007A299B">
              <w:rPr>
                <w:rFonts w:asciiTheme="minorHAnsi" w:eastAsia="Times New Roman" w:hAnsiTheme="minorHAnsi" w:cs="Times New Roman"/>
                <w:b/>
                <w:bCs/>
                <w:i/>
                <w:lang w:eastAsia="en-AU"/>
              </w:rPr>
              <w:t>Not supported.</w:t>
            </w:r>
            <w:r>
              <w:rPr>
                <w:rFonts w:asciiTheme="minorHAnsi" w:eastAsia="Times New Roman" w:hAnsiTheme="minorHAnsi" w:cs="Times New Roman"/>
                <w:bCs/>
                <w:lang w:eastAsia="en-AU"/>
              </w:rPr>
              <w:t xml:space="preserve"> </w:t>
            </w:r>
          </w:p>
        </w:tc>
        <w:tc>
          <w:tcPr>
            <w:tcW w:w="10914"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0649E0" w:rsidRPr="000649E0" w:rsidRDefault="000649E0" w:rsidP="000649E0">
            <w:pPr>
              <w:spacing w:before="120" w:after="120"/>
              <w:rPr>
                <w:rFonts w:eastAsia="Times New Roman" w:cs="Times New Roman"/>
                <w:bCs/>
                <w:lang w:eastAsia="en-AU"/>
              </w:rPr>
            </w:pPr>
            <w:r w:rsidRPr="000649E0">
              <w:rPr>
                <w:rFonts w:eastAsia="Times New Roman" w:cs="Times New Roman"/>
                <w:bCs/>
                <w:lang w:eastAsia="en-AU"/>
              </w:rPr>
              <w:t xml:space="preserve">The recommended changes are supported by factors including that: </w:t>
            </w:r>
          </w:p>
          <w:p w:rsidR="000649E0" w:rsidRPr="000649E0" w:rsidRDefault="000649E0" w:rsidP="000649E0">
            <w:pPr>
              <w:pStyle w:val="ListParagraph"/>
              <w:numPr>
                <w:ilvl w:val="0"/>
                <w:numId w:val="46"/>
              </w:numPr>
              <w:spacing w:before="120" w:after="120"/>
              <w:rPr>
                <w:rFonts w:asciiTheme="minorHAnsi" w:eastAsia="Times New Roman" w:hAnsiTheme="minorHAnsi" w:cs="Times New Roman"/>
                <w:bCs/>
                <w:lang w:eastAsia="en-AU"/>
              </w:rPr>
            </w:pPr>
            <w:r w:rsidRPr="000649E0">
              <w:rPr>
                <w:rFonts w:asciiTheme="minorHAnsi" w:eastAsia="Times New Roman" w:hAnsiTheme="minorHAnsi" w:cs="Times New Roman"/>
                <w:bCs/>
                <w:lang w:eastAsia="en-AU"/>
              </w:rPr>
              <w:t xml:space="preserve">Consultation with the Australian Society for Infectious Diseases has confirmed that Ig therapy is not indicated for this condition </w:t>
            </w:r>
            <w:r w:rsidRPr="000649E0">
              <w:rPr>
                <w:rFonts w:asciiTheme="minorHAnsi" w:hAnsiTheme="minorHAnsi" w:cs="Times"/>
              </w:rPr>
              <w:t>because preferable superior alternative treatments are available.</w:t>
            </w:r>
          </w:p>
          <w:p w:rsidR="008D13D0" w:rsidRPr="008D13D0" w:rsidRDefault="00B04287" w:rsidP="008D13D0">
            <w:pPr>
              <w:pStyle w:val="ListParagraph"/>
              <w:numPr>
                <w:ilvl w:val="0"/>
                <w:numId w:val="46"/>
              </w:numPr>
              <w:spacing w:before="120" w:after="120"/>
              <w:rPr>
                <w:rFonts w:asciiTheme="minorHAnsi" w:eastAsia="Times New Roman" w:hAnsiTheme="minorHAnsi" w:cs="Times New Roman"/>
                <w:bCs/>
                <w:lang w:eastAsia="en-AU"/>
              </w:rPr>
            </w:pPr>
            <w:r>
              <w:rPr>
                <w:rFonts w:asciiTheme="minorHAnsi" w:hAnsiTheme="minorHAnsi" w:cs="Times"/>
              </w:rPr>
              <w:t>IVIg</w:t>
            </w:r>
            <w:r w:rsidR="000649E0" w:rsidRPr="000649E0">
              <w:rPr>
                <w:rFonts w:asciiTheme="minorHAnsi" w:hAnsiTheme="minorHAnsi" w:cs="Times"/>
              </w:rPr>
              <w:t xml:space="preserve"> usage data confirms that no Ig therapy has been prescribed for this condition over the last five years</w:t>
            </w:r>
          </w:p>
          <w:p w:rsidR="00FF4718" w:rsidRPr="008D13D0" w:rsidRDefault="000649E0" w:rsidP="008D13D0">
            <w:pPr>
              <w:pStyle w:val="ListParagraph"/>
              <w:numPr>
                <w:ilvl w:val="0"/>
                <w:numId w:val="46"/>
              </w:numPr>
              <w:spacing w:before="120" w:after="120"/>
              <w:rPr>
                <w:rFonts w:asciiTheme="minorHAnsi" w:eastAsia="Times New Roman" w:hAnsiTheme="minorHAnsi" w:cs="Times New Roman"/>
                <w:bCs/>
                <w:lang w:eastAsia="en-AU"/>
              </w:rPr>
            </w:pPr>
            <w:r w:rsidRPr="008D13D0">
              <w:rPr>
                <w:rFonts w:asciiTheme="minorHAnsi" w:hAnsiTheme="minorHAnsi" w:cs="Times"/>
              </w:rPr>
              <w:t xml:space="preserve">The condition is allocated to ‘black’ indicating that Ig therapy is not funded in the UK NHS </w:t>
            </w:r>
            <w:r w:rsidRPr="000649E0">
              <w:t xml:space="preserve">NHS immunoglobulin Guidelines </w:t>
            </w:r>
            <w:r w:rsidRPr="008D13D0">
              <w:rPr>
                <w:rFonts w:asciiTheme="minorHAnsi" w:hAnsiTheme="minorHAnsi"/>
              </w:rPr>
              <w:t>(UK Department of Health, 2011)</w:t>
            </w:r>
            <w:r w:rsidRPr="000649E0">
              <w:t xml:space="preserve">, and is not included in the national Canadian </w:t>
            </w:r>
            <w:r w:rsidR="00B04287">
              <w:t>IVIg</w:t>
            </w:r>
            <w:r w:rsidRPr="000649E0">
              <w:t xml:space="preserve"> Utilisation Management Guidelines (</w:t>
            </w:r>
            <w:r w:rsidRPr="008D13D0">
              <w:rPr>
                <w:rFonts w:asciiTheme="minorHAnsi" w:hAnsiTheme="minorHAnsi"/>
              </w:rPr>
              <w:t>Ontario Regional Blood Coordinating Network, 2016)</w:t>
            </w:r>
            <w:r w:rsidRPr="000649E0">
              <w:t>.</w:t>
            </w:r>
            <w:r>
              <w:t xml:space="preserve"> </w:t>
            </w:r>
            <w:r w:rsidRPr="008012A0">
              <w:t xml:space="preserve"> </w:t>
            </w:r>
          </w:p>
        </w:tc>
      </w:tr>
      <w:tr w:rsidR="008612AB" w:rsidRPr="00447869" w:rsidTr="004F7976">
        <w:tc>
          <w:tcPr>
            <w:tcW w:w="14601" w:type="dxa"/>
            <w:gridSpan w:val="2"/>
            <w:shd w:val="clear" w:color="auto" w:fill="auto"/>
          </w:tcPr>
          <w:p w:rsidR="008612AB" w:rsidRPr="009E0D07" w:rsidRDefault="008612AB" w:rsidP="000649E0">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0649E0">
              <w:rPr>
                <w:rFonts w:asciiTheme="minorHAnsi" w:eastAsia="Times New Roman" w:hAnsiTheme="minorHAnsi" w:cs="Times New Roman"/>
                <w:b/>
                <w:bCs/>
                <w:lang w:eastAsia="en-AU"/>
              </w:rPr>
              <w:t xml:space="preserve">: Not applicable </w:t>
            </w:r>
          </w:p>
        </w:tc>
      </w:tr>
      <w:tr w:rsidR="00E7550D" w:rsidRPr="00447869" w:rsidTr="004F7976">
        <w:trPr>
          <w:trHeight w:val="515"/>
        </w:trPr>
        <w:tc>
          <w:tcPr>
            <w:tcW w:w="14601" w:type="dxa"/>
            <w:gridSpan w:val="2"/>
            <w:shd w:val="clear" w:color="auto" w:fill="DBE5F1" w:themeFill="accent1" w:themeFillTint="33"/>
          </w:tcPr>
          <w:p w:rsidR="00E7550D" w:rsidRDefault="00E7550D" w:rsidP="008812E6">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Access Information in </w:t>
            </w:r>
            <w:r w:rsidR="008812E6">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793EB5" w:rsidRPr="00447869" w:rsidTr="00012B44">
        <w:trPr>
          <w:trHeight w:val="515"/>
        </w:trPr>
        <w:tc>
          <w:tcPr>
            <w:tcW w:w="3687"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10914" w:type="dxa"/>
            <w:shd w:val="clear" w:color="auto" w:fill="auto"/>
          </w:tcPr>
          <w:p w:rsidR="00793EB5" w:rsidRPr="00E7550D" w:rsidRDefault="008812E6" w:rsidP="00793EB5">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Condition for which Ig use is in e</w:t>
            </w:r>
            <w:r w:rsidR="004F7976">
              <w:rPr>
                <w:rFonts w:asciiTheme="minorHAnsi" w:eastAsia="Times New Roman" w:hAnsiTheme="minorHAnsi" w:cs="Times New Roman"/>
                <w:bCs/>
                <w:lang w:eastAsia="en-AU"/>
              </w:rPr>
              <w:t xml:space="preserve">xceptional circumstances only </w:t>
            </w:r>
            <w:r>
              <w:rPr>
                <w:rFonts w:asciiTheme="minorHAnsi" w:eastAsia="Times New Roman" w:hAnsiTheme="minorHAnsi" w:cs="Times New Roman"/>
                <w:bCs/>
                <w:lang w:eastAsia="en-AU"/>
              </w:rPr>
              <w:t>(Chapter 7)</w:t>
            </w:r>
          </w:p>
        </w:tc>
      </w:tr>
      <w:tr w:rsidR="00E7550D" w:rsidRPr="00447869" w:rsidTr="00012B44">
        <w:trPr>
          <w:trHeight w:val="515"/>
        </w:trPr>
        <w:tc>
          <w:tcPr>
            <w:tcW w:w="3687"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0914" w:type="dxa"/>
            <w:shd w:val="clear" w:color="auto" w:fill="auto"/>
          </w:tcPr>
          <w:p w:rsidR="00E7550D" w:rsidRPr="00793EB5" w:rsidRDefault="00BB17AD" w:rsidP="007830E1">
            <w:pPr>
              <w:spacing w:before="120" w:after="120"/>
              <w:rPr>
                <w:rFonts w:asciiTheme="minorHAnsi" w:eastAsia="Times New Roman" w:hAnsiTheme="minorHAnsi" w:cs="Times New Roman"/>
                <w:bCs/>
                <w:lang w:eastAsia="en-AU"/>
              </w:rPr>
            </w:pPr>
            <w:r w:rsidRPr="00BB17AD">
              <w:rPr>
                <w:rFonts w:asciiTheme="minorHAnsi" w:eastAsia="Times New Roman" w:hAnsiTheme="minorHAnsi" w:cs="Times New Roman"/>
                <w:bCs/>
                <w:lang w:eastAsia="en-AU"/>
              </w:rPr>
              <w:t>Evidence of probable benefit – more research needed (Category 2a)</w:t>
            </w:r>
          </w:p>
        </w:tc>
      </w:tr>
      <w:tr w:rsidR="00793EB5" w:rsidRPr="00447869" w:rsidTr="00012B44">
        <w:trPr>
          <w:trHeight w:val="515"/>
        </w:trPr>
        <w:tc>
          <w:tcPr>
            <w:tcW w:w="3687"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0914" w:type="dxa"/>
            <w:shd w:val="clear" w:color="auto" w:fill="auto"/>
          </w:tcPr>
          <w:p w:rsidR="00793EB5" w:rsidRPr="00793EB5" w:rsidRDefault="009672E3" w:rsidP="007830E1">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(Blank)</w:t>
            </w:r>
          </w:p>
        </w:tc>
      </w:tr>
      <w:tr w:rsidR="00793EB5" w:rsidRPr="00447869" w:rsidTr="00012B44">
        <w:trPr>
          <w:trHeight w:val="515"/>
        </w:trPr>
        <w:tc>
          <w:tcPr>
            <w:tcW w:w="3687"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0914" w:type="dxa"/>
            <w:shd w:val="clear" w:color="auto" w:fill="auto"/>
          </w:tcPr>
          <w:p w:rsidR="00793EB5" w:rsidRPr="004F7976" w:rsidRDefault="004F7976" w:rsidP="00D87794">
            <w:pPr>
              <w:spacing w:before="120" w:after="120"/>
              <w:rPr>
                <w:rFonts w:asciiTheme="minorHAnsi" w:eastAsia="Times New Roman" w:hAnsiTheme="minorHAnsi" w:cs="Times New Roman"/>
                <w:bCs/>
                <w:lang w:eastAsia="en-AU"/>
              </w:rPr>
            </w:pPr>
            <w:r w:rsidRPr="004F7976">
              <w:rPr>
                <w:rFonts w:asciiTheme="minorHAnsi" w:eastAsia="Times New Roman" w:hAnsiTheme="minorHAnsi" w:cs="Times New Roman"/>
                <w:bCs/>
                <w:lang w:eastAsia="en-AU"/>
              </w:rPr>
              <w:t>The need for intravenous immunoglobulin (</w:t>
            </w:r>
            <w:r w:rsidR="00B04287">
              <w:rPr>
                <w:rFonts w:asciiTheme="minorHAnsi" w:eastAsia="Times New Roman" w:hAnsiTheme="minorHAnsi" w:cs="Times New Roman"/>
                <w:bCs/>
                <w:lang w:eastAsia="en-AU"/>
              </w:rPr>
              <w:t>IVIg</w:t>
            </w:r>
            <w:r w:rsidRPr="004F7976">
              <w:rPr>
                <w:rFonts w:asciiTheme="minorHAnsi" w:eastAsia="Times New Roman" w:hAnsiTheme="minorHAnsi" w:cs="Times New Roman"/>
                <w:bCs/>
                <w:lang w:eastAsia="en-AU"/>
              </w:rPr>
              <w:t>) in paediatric HIV has been substantially reduced with the advent of highly active antiretroviral therapy (HAART). A trial of therapy may, however, be considered in children with significant recurrent bacterial infections despite HAART.</w:t>
            </w:r>
          </w:p>
        </w:tc>
      </w:tr>
      <w:tr w:rsidR="008612AB" w:rsidRPr="00021243" w:rsidTr="004F7976">
        <w:tblPrEx>
          <w:tblLook w:val="04A0" w:firstRow="1" w:lastRow="0" w:firstColumn="1" w:lastColumn="0" w:noHBand="0" w:noVBand="1"/>
        </w:tblPrEx>
        <w:tc>
          <w:tcPr>
            <w:tcW w:w="14601" w:type="dxa"/>
            <w:gridSpan w:val="2"/>
            <w:shd w:val="clear" w:color="auto" w:fill="DBE5F1" w:themeFill="accent1" w:themeFillTint="33"/>
          </w:tcPr>
          <w:p w:rsidR="00377EB9" w:rsidRDefault="00F42816" w:rsidP="004F7976">
            <w:pPr>
              <w:spacing w:before="120" w:after="120"/>
              <w:jc w:val="center"/>
              <w:rPr>
                <w:rFonts w:asciiTheme="minorHAnsi" w:hAnsiTheme="minorHAnsi"/>
                <w:b/>
              </w:rPr>
            </w:pPr>
            <w:r>
              <w:rPr>
                <w:rFonts w:asciiTheme="minorHAnsi" w:hAnsiTheme="minorHAnsi"/>
                <w:b/>
              </w:rPr>
              <w:t>References</w:t>
            </w:r>
            <w:r w:rsidR="00E7550D">
              <w:rPr>
                <w:rFonts w:asciiTheme="minorHAnsi" w:hAnsiTheme="minorHAnsi"/>
                <w:b/>
              </w:rPr>
              <w:t xml:space="preserve"> </w:t>
            </w:r>
          </w:p>
          <w:p w:rsidR="00901F76" w:rsidRPr="00021243" w:rsidRDefault="00901F76" w:rsidP="000649E0">
            <w:pPr>
              <w:spacing w:before="120" w:after="120"/>
              <w:jc w:val="center"/>
              <w:rPr>
                <w:rFonts w:asciiTheme="minorHAnsi" w:hAnsiTheme="minorHAnsi"/>
                <w:b/>
              </w:rPr>
            </w:pPr>
            <w:r>
              <w:rPr>
                <w:rFonts w:asciiTheme="minorHAnsi" w:hAnsiTheme="minorHAnsi"/>
                <w:b/>
              </w:rPr>
              <w:t>(</w:t>
            </w:r>
            <w:r w:rsidR="00360326">
              <w:rPr>
                <w:rFonts w:asciiTheme="minorHAnsi" w:hAnsiTheme="minorHAnsi"/>
                <w:b/>
              </w:rPr>
              <w:t xml:space="preserve">most </w:t>
            </w:r>
            <w:r>
              <w:rPr>
                <w:rFonts w:asciiTheme="minorHAnsi" w:hAnsiTheme="minorHAnsi"/>
                <w:b/>
              </w:rPr>
              <w:t>recent update</w:t>
            </w:r>
            <w:r w:rsidR="00377EB9">
              <w:rPr>
                <w:rFonts w:asciiTheme="minorHAnsi" w:hAnsiTheme="minorHAnsi"/>
                <w:b/>
              </w:rPr>
              <w:t>:</w:t>
            </w:r>
            <w:r>
              <w:rPr>
                <w:rFonts w:asciiTheme="minorHAnsi" w:hAnsiTheme="minorHAnsi"/>
                <w:b/>
              </w:rPr>
              <w:t xml:space="preserve"> </w:t>
            </w:r>
            <w:r w:rsidR="004F7976">
              <w:rPr>
                <w:rFonts w:asciiTheme="minorHAnsi" w:hAnsiTheme="minorHAnsi"/>
                <w:b/>
              </w:rPr>
              <w:t xml:space="preserve"> </w:t>
            </w:r>
            <w:r w:rsidR="000649E0">
              <w:rPr>
                <w:rFonts w:asciiTheme="minorHAnsi" w:hAnsiTheme="minorHAnsi"/>
                <w:b/>
              </w:rPr>
              <w:t>August 2016</w:t>
            </w:r>
            <w:r>
              <w:rPr>
                <w:rFonts w:asciiTheme="minorHAnsi" w:hAnsiTheme="minorHAnsi"/>
                <w:b/>
              </w:rPr>
              <w:t>)</w:t>
            </w:r>
          </w:p>
        </w:tc>
      </w:tr>
      <w:tr w:rsidR="008612AB" w:rsidRPr="00255740" w:rsidTr="0081429A">
        <w:tblPrEx>
          <w:tblLook w:val="04A0" w:firstRow="1" w:lastRow="0" w:firstColumn="1" w:lastColumn="0" w:noHBand="0" w:noVBand="1"/>
        </w:tblPrEx>
        <w:trPr>
          <w:trHeight w:val="1559"/>
        </w:trPr>
        <w:tc>
          <w:tcPr>
            <w:tcW w:w="14601" w:type="dxa"/>
            <w:gridSpan w:val="2"/>
          </w:tcPr>
          <w:p w:rsidR="00901F76" w:rsidRDefault="00A4226F" w:rsidP="00A4226F">
            <w:pPr>
              <w:spacing w:before="120" w:after="120"/>
              <w:rPr>
                <w:rFonts w:asciiTheme="minorHAnsi" w:hAnsiTheme="minorHAnsi"/>
              </w:rPr>
            </w:pPr>
            <w:r>
              <w:rPr>
                <w:rFonts w:asciiTheme="minorHAnsi" w:hAnsiTheme="minorHAnsi"/>
              </w:rPr>
              <w:lastRenderedPageBreak/>
              <w:t>Orange</w:t>
            </w:r>
            <w:r w:rsidR="004F7976" w:rsidRPr="004F7976">
              <w:rPr>
                <w:rFonts w:asciiTheme="minorHAnsi" w:hAnsiTheme="minorHAnsi"/>
              </w:rPr>
              <w:t xml:space="preserve"> JS</w:t>
            </w:r>
            <w:r>
              <w:rPr>
                <w:rFonts w:asciiTheme="minorHAnsi" w:hAnsiTheme="minorHAnsi"/>
              </w:rPr>
              <w:t>, Hossny</w:t>
            </w:r>
            <w:r w:rsidR="004F7976" w:rsidRPr="004F7976">
              <w:rPr>
                <w:rFonts w:asciiTheme="minorHAnsi" w:hAnsiTheme="minorHAnsi"/>
              </w:rPr>
              <w:t xml:space="preserve"> EM</w:t>
            </w:r>
            <w:r>
              <w:rPr>
                <w:rFonts w:asciiTheme="minorHAnsi" w:hAnsiTheme="minorHAnsi"/>
              </w:rPr>
              <w:t>, Weiler</w:t>
            </w:r>
            <w:r w:rsidR="004F7976" w:rsidRPr="004F7976">
              <w:rPr>
                <w:rFonts w:asciiTheme="minorHAnsi" w:hAnsiTheme="minorHAnsi"/>
              </w:rPr>
              <w:t xml:space="preserve"> CR, </w:t>
            </w:r>
            <w:r>
              <w:rPr>
                <w:rFonts w:asciiTheme="minorHAnsi" w:hAnsiTheme="minorHAnsi"/>
              </w:rPr>
              <w:t xml:space="preserve">Ballow M, Berger M, Bonilla FA, et al </w:t>
            </w:r>
            <w:r w:rsidR="00E4673D">
              <w:rPr>
                <w:rFonts w:asciiTheme="minorHAnsi" w:hAnsiTheme="minorHAnsi"/>
              </w:rPr>
              <w:t>(</w:t>
            </w:r>
            <w:r w:rsidR="004F7976" w:rsidRPr="004F7976">
              <w:rPr>
                <w:rFonts w:asciiTheme="minorHAnsi" w:hAnsiTheme="minorHAnsi"/>
              </w:rPr>
              <w:t>2006</w:t>
            </w:r>
            <w:r>
              <w:rPr>
                <w:rFonts w:asciiTheme="minorHAnsi" w:hAnsiTheme="minorHAnsi"/>
              </w:rPr>
              <w:t>)</w:t>
            </w:r>
            <w:r w:rsidR="00E4673D">
              <w:rPr>
                <w:rFonts w:asciiTheme="minorHAnsi" w:hAnsiTheme="minorHAnsi"/>
              </w:rPr>
              <w:t xml:space="preserve"> </w:t>
            </w:r>
            <w:r w:rsidR="004F7976" w:rsidRPr="004F7976">
              <w:rPr>
                <w:rFonts w:asciiTheme="minorHAnsi" w:hAnsiTheme="minorHAnsi"/>
              </w:rPr>
              <w:t>Use of intravenous immunoglobulin in human disease: a review of evidence by members of the Primary Immunodeficiency Committee of the American Academy of</w:t>
            </w:r>
            <w:r w:rsidR="00E4673D">
              <w:rPr>
                <w:rFonts w:asciiTheme="minorHAnsi" w:hAnsiTheme="minorHAnsi"/>
              </w:rPr>
              <w:t xml:space="preserve"> Allergy, Asthma and Immunology</w:t>
            </w:r>
            <w:r w:rsidR="00E4673D" w:rsidRPr="00E4673D">
              <w:rPr>
                <w:rFonts w:asciiTheme="minorHAnsi" w:hAnsiTheme="minorHAnsi"/>
                <w:i/>
              </w:rPr>
              <w:t xml:space="preserve">. </w:t>
            </w:r>
            <w:r w:rsidR="004F7976" w:rsidRPr="00E4673D">
              <w:rPr>
                <w:rFonts w:asciiTheme="minorHAnsi" w:hAnsiTheme="minorHAnsi"/>
                <w:i/>
              </w:rPr>
              <w:t>Journal of Allergy and Clinical Immunology</w:t>
            </w:r>
            <w:r w:rsidR="00E4673D">
              <w:rPr>
                <w:rFonts w:asciiTheme="minorHAnsi" w:hAnsiTheme="minorHAnsi"/>
              </w:rPr>
              <w:t xml:space="preserve">, </w:t>
            </w:r>
            <w:r w:rsidR="004F7976" w:rsidRPr="004F7976">
              <w:rPr>
                <w:rFonts w:asciiTheme="minorHAnsi" w:hAnsiTheme="minorHAnsi"/>
              </w:rPr>
              <w:t>117</w:t>
            </w:r>
            <w:r w:rsidR="00E4673D">
              <w:rPr>
                <w:rFonts w:asciiTheme="minorHAnsi" w:hAnsiTheme="minorHAnsi"/>
              </w:rPr>
              <w:t>(</w:t>
            </w:r>
            <w:r w:rsidR="004F7976" w:rsidRPr="004F7976">
              <w:rPr>
                <w:rFonts w:asciiTheme="minorHAnsi" w:hAnsiTheme="minorHAnsi"/>
              </w:rPr>
              <w:t>4</w:t>
            </w:r>
            <w:r w:rsidR="00E4673D">
              <w:rPr>
                <w:rFonts w:asciiTheme="minorHAnsi" w:hAnsiTheme="minorHAnsi"/>
              </w:rPr>
              <w:t>)</w:t>
            </w:r>
            <w:r>
              <w:rPr>
                <w:rFonts w:asciiTheme="minorHAnsi" w:hAnsiTheme="minorHAnsi"/>
              </w:rPr>
              <w:t>:</w:t>
            </w:r>
            <w:r w:rsidR="004F7976" w:rsidRPr="004F7976">
              <w:rPr>
                <w:rFonts w:asciiTheme="minorHAnsi" w:hAnsiTheme="minorHAnsi"/>
              </w:rPr>
              <w:t xml:space="preserve"> S525–53.</w:t>
            </w:r>
          </w:p>
          <w:p w:rsidR="008245B5" w:rsidRPr="008245B5" w:rsidRDefault="008245B5" w:rsidP="00A4226F">
            <w:pPr>
              <w:spacing w:before="120" w:after="120"/>
              <w:rPr>
                <w:rFonts w:asciiTheme="minorHAnsi" w:hAnsiTheme="minorHAnsi"/>
                <w:color w:val="808080" w:themeColor="background1" w:themeShade="80"/>
              </w:rPr>
            </w:pPr>
            <w:r w:rsidRPr="008245B5">
              <w:rPr>
                <w:rFonts w:asciiTheme="minorHAnsi" w:hAnsiTheme="minorHAnsi"/>
              </w:rPr>
              <w:t>Ontario Regional Blood Coordinating Network (2016). Ontario Intravenous Immune Globulin (</w:t>
            </w:r>
            <w:r w:rsidR="00B04287">
              <w:rPr>
                <w:rFonts w:asciiTheme="minorHAnsi" w:hAnsiTheme="minorHAnsi"/>
              </w:rPr>
              <w:t>IVIG</w:t>
            </w:r>
            <w:r w:rsidRPr="008245B5">
              <w:rPr>
                <w:rFonts w:asciiTheme="minorHAnsi" w:hAnsiTheme="minorHAnsi"/>
              </w:rPr>
              <w:t xml:space="preserve">) Utilization Management Guidelines, Version 3.0. [online]. Available at: </w:t>
            </w:r>
            <w:r w:rsidRPr="008245B5">
              <w:rPr>
                <w:rFonts w:asciiTheme="minorHAnsi" w:hAnsiTheme="minorHAnsi"/>
                <w:color w:val="808080" w:themeColor="background1" w:themeShade="80"/>
              </w:rPr>
              <w:t>http://transfusionontario.org/en/download/ontario-intravenous-immune-globulin-</w:t>
            </w:r>
            <w:r w:rsidR="00B04287">
              <w:rPr>
                <w:rFonts w:asciiTheme="minorHAnsi" w:hAnsiTheme="minorHAnsi"/>
                <w:color w:val="808080" w:themeColor="background1" w:themeShade="80"/>
              </w:rPr>
              <w:t>IVIg</w:t>
            </w:r>
            <w:r w:rsidRPr="008245B5">
              <w:rPr>
                <w:rFonts w:asciiTheme="minorHAnsi" w:hAnsiTheme="minorHAnsi"/>
                <w:color w:val="808080" w:themeColor="background1" w:themeShade="80"/>
              </w:rPr>
              <w:t>-utilization-management-guidelines-2/.</w:t>
            </w:r>
          </w:p>
          <w:p w:rsidR="0081429A" w:rsidRPr="0081429A" w:rsidRDefault="00E82D74" w:rsidP="00A4226F">
            <w:pPr>
              <w:spacing w:before="120" w:after="120"/>
              <w:rPr>
                <w:rFonts w:asciiTheme="minorHAnsi" w:hAnsiTheme="minorHAnsi"/>
                <w:color w:val="808080" w:themeColor="background1" w:themeShade="80"/>
              </w:rPr>
            </w:pPr>
            <w:hyperlink r:id="rId9" w:history="1">
              <w:r w:rsidR="0081429A" w:rsidRPr="0081429A">
                <w:rPr>
                  <w:rStyle w:val="Hyperlink"/>
                  <w:rFonts w:asciiTheme="minorHAnsi" w:hAnsiTheme="minorHAnsi"/>
                  <w:color w:val="808080" w:themeColor="background1" w:themeShade="80"/>
                </w:rPr>
                <w:t>https://www.ncbi.nlm.nih.gov/pubmed/16580469</w:t>
              </w:r>
            </w:hyperlink>
          </w:p>
          <w:p w:rsidR="000649E0" w:rsidRPr="000649E0" w:rsidRDefault="000649E0" w:rsidP="000649E0">
            <w:pPr>
              <w:spacing w:before="120" w:after="120"/>
              <w:rPr>
                <w:rFonts w:asciiTheme="minorHAnsi" w:hAnsiTheme="minorHAnsi"/>
              </w:rPr>
            </w:pPr>
            <w:r w:rsidRPr="000649E0">
              <w:rPr>
                <w:rFonts w:asciiTheme="minorHAnsi" w:hAnsiTheme="minorHAnsi"/>
              </w:rPr>
              <w:t xml:space="preserve">UK Department of Health (2011) Clinical Guidelines for Immunoglobulin Use: Second Edition Update. Available at: </w:t>
            </w:r>
            <w:r w:rsidRPr="000649E0">
              <w:rPr>
                <w:rFonts w:asciiTheme="minorHAnsi" w:hAnsiTheme="minorHAnsi"/>
                <w:color w:val="808080" w:themeColor="background1" w:themeShade="80"/>
              </w:rPr>
              <w:t>https://www.gov.uk/government/uploads/system/uploads/attachment_data/file/216671/dh_131107.pdf</w:t>
            </w:r>
          </w:p>
          <w:p w:rsidR="0081429A" w:rsidRPr="00A80A19" w:rsidRDefault="000649E0" w:rsidP="000649E0">
            <w:pPr>
              <w:spacing w:before="120" w:after="120"/>
              <w:rPr>
                <w:rFonts w:asciiTheme="minorHAnsi" w:hAnsiTheme="minorHAnsi"/>
              </w:rPr>
            </w:pPr>
            <w:r w:rsidRPr="000649E0">
              <w:rPr>
                <w:rFonts w:asciiTheme="minorHAnsi" w:hAnsiTheme="minorHAnsi"/>
              </w:rPr>
              <w:t xml:space="preserve">UK Department of Health (2011) Clinical Guidelines for Immunoglobulin Use: Second Edition Update: Summary Poster. Available at: </w:t>
            </w:r>
            <w:r w:rsidRPr="000649E0">
              <w:rPr>
                <w:rFonts w:asciiTheme="minorHAnsi" w:hAnsiTheme="minorHAnsi"/>
                <w:color w:val="808080" w:themeColor="background1" w:themeShade="80"/>
              </w:rPr>
              <w:t>https://www.igd.nhs.uk/wp-content/uploads/2016/04/DemandManagementPoster_v4_February2016.pdf</w:t>
            </w:r>
          </w:p>
        </w:tc>
      </w:tr>
    </w:tbl>
    <w:p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843"/>
        <w:gridCol w:w="4252"/>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0649E0" w:rsidP="004A10A2">
            <w:pPr>
              <w:spacing w:before="120" w:after="120"/>
              <w:rPr>
                <w:rFonts w:asciiTheme="minorHAnsi" w:hAnsiTheme="minorHAnsi"/>
              </w:rPr>
            </w:pPr>
            <w:r w:rsidRPr="000649E0">
              <w:rPr>
                <w:rFonts w:asciiTheme="minorHAnsi" w:hAnsiTheme="minorHAnsi"/>
              </w:rPr>
              <w:t>There is not anticipated to be any operational impact as a result of this change as Ig therapy is not prescribed for these patients.</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0649E0" w:rsidRPr="0018285F" w:rsidTr="000649E0">
        <w:trPr>
          <w:trHeight w:val="250"/>
        </w:trPr>
        <w:tc>
          <w:tcPr>
            <w:tcW w:w="3545" w:type="dxa"/>
            <w:gridSpan w:val="2"/>
            <w:shd w:val="clear" w:color="auto" w:fill="auto"/>
          </w:tcPr>
          <w:p w:rsidR="000649E0" w:rsidRPr="000649E0" w:rsidRDefault="000649E0" w:rsidP="005006E3">
            <w:pPr>
              <w:spacing w:before="120" w:after="120"/>
              <w:rPr>
                <w:rFonts w:asciiTheme="minorHAnsi" w:hAnsiTheme="minorHAnsi"/>
                <w:b/>
              </w:rPr>
            </w:pPr>
            <w:r w:rsidRPr="000649E0">
              <w:rPr>
                <w:rFonts w:asciiTheme="minorHAnsi" w:hAnsiTheme="minorHAnsi"/>
                <w:b/>
              </w:rPr>
              <w:t xml:space="preserve">Potential impact on patients </w:t>
            </w:r>
          </w:p>
        </w:tc>
        <w:tc>
          <w:tcPr>
            <w:tcW w:w="11056" w:type="dxa"/>
            <w:gridSpan w:val="5"/>
            <w:shd w:val="clear" w:color="auto" w:fill="auto"/>
          </w:tcPr>
          <w:p w:rsidR="001B7C4D" w:rsidRDefault="001B7C4D" w:rsidP="001B7C4D">
            <w:pPr>
              <w:spacing w:before="120" w:after="120"/>
              <w:rPr>
                <w:rFonts w:asciiTheme="minorHAnsi" w:hAnsiTheme="minorHAnsi"/>
              </w:rPr>
            </w:pPr>
            <w:r>
              <w:rPr>
                <w:rFonts w:asciiTheme="minorHAnsi" w:eastAsia="Times New Roman" w:hAnsiTheme="minorHAnsi" w:cs="Times New Roman"/>
                <w:bCs/>
                <w:lang w:eastAsia="en-AU"/>
              </w:rPr>
              <w:t>The recommendation to no longer support this condition for access under the national blood arrangements has been made in c</w:t>
            </w:r>
            <w:r w:rsidRPr="001B7C4D">
              <w:rPr>
                <w:rFonts w:asciiTheme="minorHAnsi" w:eastAsia="Times New Roman" w:hAnsiTheme="minorHAnsi" w:cs="Times New Roman"/>
                <w:bCs/>
                <w:lang w:eastAsia="en-AU"/>
              </w:rPr>
              <w:t>onsultation with the Australian Society for Infectious Diseases</w:t>
            </w:r>
            <w:r>
              <w:rPr>
                <w:rFonts w:asciiTheme="minorHAnsi" w:eastAsia="Times New Roman" w:hAnsiTheme="minorHAnsi" w:cs="Times New Roman"/>
                <w:bCs/>
                <w:lang w:eastAsia="en-AU"/>
              </w:rPr>
              <w:t>. The Society</w:t>
            </w:r>
            <w:r w:rsidRPr="001B7C4D">
              <w:rPr>
                <w:rFonts w:asciiTheme="minorHAnsi" w:eastAsia="Times New Roman" w:hAnsiTheme="minorHAnsi" w:cs="Times New Roman"/>
                <w:bCs/>
                <w:lang w:eastAsia="en-AU"/>
              </w:rPr>
              <w:t xml:space="preserve"> has confirmed that Ig therapy is not indicated</w:t>
            </w:r>
            <w:r w:rsidR="006521A5">
              <w:rPr>
                <w:rFonts w:asciiTheme="minorHAnsi" w:eastAsia="Times New Roman" w:hAnsiTheme="minorHAnsi" w:cs="Times New Roman"/>
                <w:bCs/>
                <w:lang w:eastAsia="en-AU"/>
              </w:rPr>
              <w:t xml:space="preserve"> or used</w:t>
            </w:r>
            <w:r w:rsidRPr="001B7C4D">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 xml:space="preserve">in the treatment of HIV in children </w:t>
            </w:r>
            <w:r w:rsidRPr="001B7C4D">
              <w:rPr>
                <w:rFonts w:asciiTheme="minorHAnsi" w:hAnsiTheme="minorHAnsi" w:cs="Times"/>
              </w:rPr>
              <w:t>because preferable superior alternative treatments are available.</w:t>
            </w:r>
            <w:r>
              <w:rPr>
                <w:rFonts w:asciiTheme="minorHAnsi" w:hAnsiTheme="minorHAnsi" w:cs="Times"/>
              </w:rPr>
              <w:t xml:space="preserve"> </w:t>
            </w:r>
            <w:r>
              <w:rPr>
                <w:rFonts w:asciiTheme="minorHAnsi" w:hAnsiTheme="minorHAnsi"/>
              </w:rPr>
              <w:t xml:space="preserve">It is inappropriate to treat patients with conditions for which specific medications have no demonstrable benefit and in addition, there are small but not insignificant risks of harm from Ig therapy, as well as a high cost.  </w:t>
            </w:r>
          </w:p>
          <w:p w:rsidR="001B7C4D" w:rsidRDefault="001B7C4D" w:rsidP="001B7C4D">
            <w:pPr>
              <w:spacing w:before="120" w:after="120"/>
              <w:rPr>
                <w:rFonts w:asciiTheme="minorHAnsi" w:hAnsiTheme="minorHAnsi"/>
              </w:rPr>
            </w:pPr>
            <w:r>
              <w:rPr>
                <w:rFonts w:asciiTheme="minorHAnsi" w:hAnsiTheme="minorHAnsi"/>
              </w:rPr>
              <w:t xml:space="preserve">The recommendation is supported by the fact that there have been no requests for use to treat HIV in children over at least the last five years and therefore there is unlikely to be any impact on the clinical treatment of patients as a result of this change. </w:t>
            </w:r>
          </w:p>
          <w:p w:rsidR="001B7C4D" w:rsidRPr="001B7C4D" w:rsidRDefault="001B7C4D" w:rsidP="001B7C4D">
            <w:pPr>
              <w:spacing w:before="120" w:after="120"/>
              <w:rPr>
                <w:rFonts w:asciiTheme="minorHAnsi" w:eastAsia="Times New Roman" w:hAnsiTheme="minorHAnsi" w:cs="Times New Roman"/>
                <w:bCs/>
                <w:lang w:eastAsia="en-AU"/>
              </w:rPr>
            </w:pPr>
          </w:p>
          <w:p w:rsidR="000649E0" w:rsidRPr="000649E0" w:rsidRDefault="000649E0" w:rsidP="005006E3">
            <w:pPr>
              <w:spacing w:before="120" w:after="120"/>
              <w:rPr>
                <w:rFonts w:asciiTheme="minorHAnsi" w:hAnsiTheme="minorHAnsi"/>
                <w:b/>
              </w:rPr>
            </w:pPr>
          </w:p>
        </w:tc>
      </w:tr>
      <w:tr w:rsidR="000649E0" w:rsidRPr="00934F24" w:rsidTr="000649E0">
        <w:trPr>
          <w:trHeight w:val="250"/>
        </w:trPr>
        <w:tc>
          <w:tcPr>
            <w:tcW w:w="3545" w:type="dxa"/>
            <w:gridSpan w:val="2"/>
            <w:shd w:val="clear" w:color="auto" w:fill="auto"/>
          </w:tcPr>
          <w:p w:rsidR="000649E0" w:rsidRPr="000649E0" w:rsidRDefault="000649E0" w:rsidP="005006E3">
            <w:pPr>
              <w:spacing w:before="120" w:after="120"/>
              <w:rPr>
                <w:rFonts w:asciiTheme="minorHAnsi" w:hAnsiTheme="minorHAnsi"/>
                <w:b/>
              </w:rPr>
            </w:pPr>
            <w:r w:rsidRPr="000649E0">
              <w:rPr>
                <w:rFonts w:asciiTheme="minorHAnsi" w:hAnsiTheme="minorHAnsi"/>
                <w:b/>
              </w:rPr>
              <w:t>Impact on demand</w:t>
            </w:r>
          </w:p>
        </w:tc>
        <w:tc>
          <w:tcPr>
            <w:tcW w:w="11056" w:type="dxa"/>
            <w:gridSpan w:val="5"/>
            <w:shd w:val="clear" w:color="auto" w:fill="auto"/>
          </w:tcPr>
          <w:p w:rsidR="000649E0" w:rsidRPr="000649E0" w:rsidRDefault="000649E0" w:rsidP="005006E3">
            <w:pPr>
              <w:spacing w:before="120" w:after="120"/>
              <w:rPr>
                <w:rFonts w:asciiTheme="minorHAnsi" w:hAnsiTheme="minorHAnsi"/>
              </w:rPr>
            </w:pPr>
            <w:r w:rsidRPr="000649E0">
              <w:rPr>
                <w:rFonts w:asciiTheme="minorHAnsi" w:hAnsiTheme="minorHAnsi"/>
              </w:rPr>
              <w:t>No impact on demand as no usage over the last 5 years</w:t>
            </w:r>
          </w:p>
        </w:tc>
      </w:tr>
      <w:tr w:rsidR="00E72FF7" w:rsidRPr="00853117" w:rsidTr="00E72FF7">
        <w:tc>
          <w:tcPr>
            <w:tcW w:w="2161" w:type="dxa"/>
            <w:shd w:val="clear" w:color="auto" w:fill="auto"/>
          </w:tcPr>
          <w:p w:rsidR="00E72FF7" w:rsidRPr="00C92149" w:rsidRDefault="00E72FF7" w:rsidP="004A10A2">
            <w:pPr>
              <w:spacing w:before="120" w:after="120"/>
              <w:rPr>
                <w:rFonts w:asciiTheme="minorHAnsi" w:hAnsiTheme="minorHAnsi"/>
                <w:b/>
                <w:sz w:val="18"/>
                <w:szCs w:val="18"/>
              </w:rPr>
            </w:pPr>
          </w:p>
        </w:tc>
        <w:tc>
          <w:tcPr>
            <w:tcW w:w="1384"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E72FF7" w:rsidRPr="00C92149" w:rsidRDefault="00E72FF7" w:rsidP="00D6449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43" w:type="dxa"/>
            <w:shd w:val="clear" w:color="auto" w:fill="auto"/>
          </w:tcPr>
          <w:p w:rsidR="00E72FF7" w:rsidRPr="00E72FF7" w:rsidRDefault="00E72FF7"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252" w:type="dxa"/>
            <w:vMerge w:val="restart"/>
            <w:shd w:val="clear" w:color="auto" w:fill="auto"/>
          </w:tcPr>
          <w:p w:rsidR="00E72FF7" w:rsidRPr="005054A5" w:rsidRDefault="00E72FF7" w:rsidP="00E72FF7">
            <w:pPr>
              <w:rPr>
                <w:rFonts w:asciiTheme="minorHAnsi" w:hAnsiTheme="minorHAnsi"/>
                <w:sz w:val="18"/>
                <w:szCs w:val="18"/>
              </w:rPr>
            </w:pPr>
            <w:r w:rsidRPr="005054A5">
              <w:rPr>
                <w:rFonts w:asciiTheme="minorHAnsi" w:hAnsiTheme="minorHAnsi"/>
                <w:sz w:val="18"/>
                <w:szCs w:val="18"/>
              </w:rPr>
              <w:t>Estimated number of patients that will be affected. ZERO.</w:t>
            </w:r>
          </w:p>
          <w:p w:rsidR="00E72FF7" w:rsidRPr="005054A5" w:rsidRDefault="00E72FF7" w:rsidP="00695219">
            <w:pPr>
              <w:rPr>
                <w:rFonts w:asciiTheme="minorHAnsi" w:hAnsiTheme="minorHAnsi"/>
                <w:sz w:val="18"/>
                <w:szCs w:val="18"/>
              </w:rPr>
            </w:pPr>
          </w:p>
          <w:p w:rsidR="00E72FF7" w:rsidRPr="005054A5" w:rsidRDefault="00E72FF7" w:rsidP="00695219">
            <w:pPr>
              <w:rPr>
                <w:rFonts w:asciiTheme="minorHAnsi" w:hAnsiTheme="minorHAnsi"/>
                <w:sz w:val="18"/>
                <w:szCs w:val="18"/>
              </w:rPr>
            </w:pPr>
            <w:r w:rsidRPr="005054A5">
              <w:rPr>
                <w:rFonts w:asciiTheme="minorHAnsi" w:hAnsiTheme="minorHAnsi"/>
                <w:sz w:val="18"/>
                <w:szCs w:val="18"/>
              </w:rPr>
              <w:t xml:space="preserve">The </w:t>
            </w:r>
            <w:r w:rsidR="008812E6">
              <w:rPr>
                <w:rFonts w:asciiTheme="minorHAnsi" w:hAnsiTheme="minorHAnsi"/>
                <w:sz w:val="18"/>
                <w:szCs w:val="18"/>
              </w:rPr>
              <w:t xml:space="preserve">Specialist Working Group </w:t>
            </w:r>
            <w:r w:rsidRPr="005054A5">
              <w:rPr>
                <w:rFonts w:asciiTheme="minorHAnsi" w:hAnsiTheme="minorHAnsi"/>
                <w:sz w:val="18"/>
                <w:szCs w:val="18"/>
              </w:rPr>
              <w:t>estimated magnitude of effect:</w:t>
            </w:r>
          </w:p>
          <w:p w:rsidR="00E72FF7" w:rsidRPr="005054A5" w:rsidRDefault="00E72FF7" w:rsidP="00E72FF7">
            <w:pPr>
              <w:rPr>
                <w:rFonts w:asciiTheme="minorHAnsi" w:hAnsiTheme="minorHAnsi"/>
                <w:sz w:val="18"/>
                <w:szCs w:val="18"/>
              </w:rPr>
            </w:pPr>
            <w:r w:rsidRPr="005054A5">
              <w:rPr>
                <w:rFonts w:asciiTheme="minorHAnsi" w:hAnsiTheme="minorHAnsi"/>
                <w:sz w:val="18"/>
                <w:szCs w:val="18"/>
              </w:rPr>
              <w:t>No impact</w:t>
            </w:r>
            <w:r w:rsidR="00CF57E2">
              <w:rPr>
                <w:rFonts w:asciiTheme="minorHAnsi" w:hAnsiTheme="minorHAnsi"/>
                <w:sz w:val="18"/>
                <w:szCs w:val="18"/>
              </w:rPr>
              <w:t xml:space="preserve"> against projected demand</w:t>
            </w:r>
          </w:p>
          <w:p w:rsidR="00E72FF7" w:rsidRPr="00C92149" w:rsidRDefault="00E72FF7" w:rsidP="004A10A2">
            <w:pPr>
              <w:spacing w:before="120" w:after="120"/>
              <w:rPr>
                <w:rFonts w:asciiTheme="minorHAnsi" w:hAnsiTheme="minorHAnsi"/>
                <w:b/>
                <w:sz w:val="18"/>
                <w:szCs w:val="18"/>
              </w:rPr>
            </w:pPr>
          </w:p>
        </w:tc>
      </w:tr>
      <w:tr w:rsidR="00E72FF7" w:rsidRPr="00853117" w:rsidTr="00E72FF7">
        <w:tc>
          <w:tcPr>
            <w:tcW w:w="2161" w:type="dxa"/>
            <w:shd w:val="clear" w:color="auto" w:fill="auto"/>
          </w:tcPr>
          <w:p w:rsidR="00E72FF7" w:rsidRPr="00C92149" w:rsidRDefault="00E72FF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E72FF7" w:rsidRPr="00C92149" w:rsidRDefault="00E72FF7" w:rsidP="00D64491">
            <w:pPr>
              <w:spacing w:before="120" w:after="120"/>
              <w:jc w:val="right"/>
              <w:rPr>
                <w:rFonts w:asciiTheme="minorHAnsi" w:hAnsiTheme="minorHAnsi"/>
                <w:b/>
                <w:sz w:val="18"/>
                <w:szCs w:val="18"/>
              </w:rPr>
            </w:pPr>
            <w:r>
              <w:rPr>
                <w:rFonts w:asciiTheme="minorHAnsi" w:hAnsiTheme="minorHAnsi"/>
                <w:b/>
                <w:sz w:val="18"/>
                <w:szCs w:val="18"/>
              </w:rPr>
              <w:t>0</w:t>
            </w:r>
          </w:p>
        </w:tc>
        <w:tc>
          <w:tcPr>
            <w:tcW w:w="1843" w:type="dxa"/>
            <w:shd w:val="clear" w:color="auto" w:fill="auto"/>
          </w:tcPr>
          <w:p w:rsidR="00E72FF7" w:rsidRPr="00E72FF7" w:rsidRDefault="007A299B"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4252" w:type="dxa"/>
            <w:vMerge/>
            <w:shd w:val="clear" w:color="auto" w:fill="auto"/>
          </w:tcPr>
          <w:p w:rsidR="00E72FF7" w:rsidRPr="00C92149" w:rsidRDefault="00E72FF7" w:rsidP="004A10A2">
            <w:pPr>
              <w:spacing w:before="120" w:after="120"/>
              <w:rPr>
                <w:rFonts w:asciiTheme="minorHAnsi" w:hAnsiTheme="minorHAnsi"/>
                <w:b/>
                <w:sz w:val="18"/>
                <w:szCs w:val="18"/>
              </w:rPr>
            </w:pPr>
          </w:p>
        </w:tc>
      </w:tr>
      <w:tr w:rsidR="00E72FF7" w:rsidRPr="00853117" w:rsidTr="00E72FF7">
        <w:trPr>
          <w:trHeight w:val="535"/>
        </w:trPr>
        <w:tc>
          <w:tcPr>
            <w:tcW w:w="2161" w:type="dxa"/>
            <w:shd w:val="clear" w:color="auto" w:fill="auto"/>
          </w:tcPr>
          <w:p w:rsidR="00E72FF7" w:rsidRPr="00C92149" w:rsidRDefault="00E72FF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593"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667"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701"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p>
        </w:tc>
        <w:tc>
          <w:tcPr>
            <w:tcW w:w="1843" w:type="dxa"/>
            <w:shd w:val="clear" w:color="auto" w:fill="auto"/>
          </w:tcPr>
          <w:p w:rsidR="00E72FF7" w:rsidRPr="00E72FF7" w:rsidRDefault="007A299B"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p>
        </w:tc>
        <w:tc>
          <w:tcPr>
            <w:tcW w:w="4252" w:type="dxa"/>
            <w:vMerge/>
            <w:shd w:val="clear" w:color="auto" w:fill="auto"/>
          </w:tcPr>
          <w:p w:rsidR="00E72FF7" w:rsidRPr="00C92149" w:rsidRDefault="00E72FF7" w:rsidP="004A10A2">
            <w:pPr>
              <w:spacing w:before="120" w:after="120"/>
              <w:rPr>
                <w:rFonts w:asciiTheme="minorHAnsi" w:hAnsiTheme="minorHAnsi"/>
                <w:b/>
                <w:sz w:val="18"/>
                <w:szCs w:val="18"/>
              </w:rPr>
            </w:pPr>
          </w:p>
        </w:tc>
      </w:tr>
      <w:tr w:rsidR="00E72FF7" w:rsidRPr="00853117" w:rsidTr="00E72FF7">
        <w:tc>
          <w:tcPr>
            <w:tcW w:w="2161" w:type="dxa"/>
            <w:shd w:val="clear" w:color="auto" w:fill="auto"/>
          </w:tcPr>
          <w:p w:rsidR="00E72FF7" w:rsidRPr="00C92149" w:rsidRDefault="00E72FF7"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593"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667"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701" w:type="dxa"/>
            <w:shd w:val="clear" w:color="auto" w:fill="auto"/>
          </w:tcPr>
          <w:p w:rsidR="00E72FF7" w:rsidRPr="00C92149" w:rsidRDefault="00E72FF7" w:rsidP="00F6086F">
            <w:pPr>
              <w:spacing w:before="120" w:after="120"/>
              <w:jc w:val="right"/>
              <w:rPr>
                <w:rFonts w:asciiTheme="minorHAnsi" w:hAnsiTheme="minorHAnsi"/>
                <w:b/>
                <w:sz w:val="18"/>
                <w:szCs w:val="18"/>
              </w:rPr>
            </w:pPr>
            <w:r>
              <w:rPr>
                <w:rFonts w:asciiTheme="minorHAnsi" w:hAnsiTheme="minorHAnsi"/>
                <w:b/>
                <w:sz w:val="18"/>
                <w:szCs w:val="18"/>
              </w:rPr>
              <w:t>0</w:t>
            </w:r>
            <w:r w:rsidR="00712AD7">
              <w:rPr>
                <w:rFonts w:asciiTheme="minorHAnsi" w:hAnsiTheme="minorHAnsi"/>
                <w:b/>
                <w:sz w:val="18"/>
                <w:szCs w:val="18"/>
              </w:rPr>
              <w:t>%</w:t>
            </w:r>
          </w:p>
        </w:tc>
        <w:tc>
          <w:tcPr>
            <w:tcW w:w="1843" w:type="dxa"/>
            <w:shd w:val="clear" w:color="auto" w:fill="auto"/>
          </w:tcPr>
          <w:p w:rsidR="00E72FF7" w:rsidRPr="00E72FF7" w:rsidRDefault="007A299B" w:rsidP="00E72FF7">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712AD7">
              <w:rPr>
                <w:rFonts w:asciiTheme="minorHAnsi" w:hAnsiTheme="minorHAnsi" w:cs="Helvetica"/>
                <w:b/>
                <w:color w:val="333333"/>
                <w:sz w:val="18"/>
                <w:szCs w:val="18"/>
              </w:rPr>
              <w:t>%</w:t>
            </w:r>
          </w:p>
        </w:tc>
        <w:tc>
          <w:tcPr>
            <w:tcW w:w="4252" w:type="dxa"/>
            <w:vMerge/>
            <w:shd w:val="clear" w:color="auto" w:fill="auto"/>
          </w:tcPr>
          <w:p w:rsidR="00E72FF7" w:rsidRPr="00C92149" w:rsidRDefault="00E72FF7" w:rsidP="004A10A2">
            <w:pPr>
              <w:spacing w:before="120" w:after="120"/>
              <w:rPr>
                <w:rFonts w:asciiTheme="minorHAnsi" w:hAnsiTheme="minorHAnsi"/>
                <w:b/>
                <w:sz w:val="18"/>
                <w:szCs w:val="18"/>
              </w:rPr>
            </w:pPr>
          </w:p>
        </w:tc>
      </w:tr>
      <w:tr w:rsidR="00D64491" w:rsidRPr="00021243" w:rsidTr="005D45E6">
        <w:tc>
          <w:tcPr>
            <w:tcW w:w="14601" w:type="dxa"/>
            <w:gridSpan w:val="7"/>
            <w:shd w:val="clear" w:color="auto" w:fill="F79646" w:themeFill="accent6"/>
          </w:tcPr>
          <w:p w:rsidR="00D64491" w:rsidRDefault="008812E6" w:rsidP="005D45E6">
            <w:pPr>
              <w:spacing w:before="120" w:after="120"/>
              <w:rPr>
                <w:rFonts w:asciiTheme="minorHAnsi" w:hAnsiTheme="minorHAnsi"/>
                <w:b/>
              </w:rPr>
            </w:pPr>
            <w:r>
              <w:rPr>
                <w:rFonts w:asciiTheme="minorHAnsi" w:hAnsiTheme="minorHAnsi"/>
                <w:b/>
              </w:rPr>
              <w:t xml:space="preserve">Specialist Working Group  </w:t>
            </w:r>
            <w:r w:rsidR="00D64491">
              <w:rPr>
                <w:rFonts w:asciiTheme="minorHAnsi" w:hAnsiTheme="minorHAnsi"/>
                <w:b/>
              </w:rPr>
              <w:t>knowledge development opportunities and recommendations</w:t>
            </w:r>
          </w:p>
        </w:tc>
      </w:tr>
      <w:tr w:rsidR="00D64491" w:rsidRPr="00021243" w:rsidTr="005D45E6">
        <w:tc>
          <w:tcPr>
            <w:tcW w:w="14601" w:type="dxa"/>
            <w:gridSpan w:val="7"/>
            <w:shd w:val="clear" w:color="auto" w:fill="auto"/>
          </w:tcPr>
          <w:p w:rsidR="00D64491" w:rsidRPr="002506FF" w:rsidRDefault="000649E0" w:rsidP="005D45E6">
            <w:pPr>
              <w:spacing w:before="120" w:after="120"/>
              <w:rPr>
                <w:rFonts w:asciiTheme="minorHAnsi" w:hAnsiTheme="minorHAnsi"/>
              </w:rPr>
            </w:pPr>
            <w:r>
              <w:rPr>
                <w:rFonts w:asciiTheme="minorHAnsi" w:hAnsiTheme="minorHAnsi"/>
              </w:rPr>
              <w:t>None identified</w:t>
            </w:r>
            <w:r w:rsidR="00F42D96">
              <w:rPr>
                <w:rFonts w:asciiTheme="minorHAnsi" w:hAnsiTheme="minorHAnsi"/>
              </w:rPr>
              <w:t xml:space="preserve">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B04287">
              <w:rPr>
                <w:rFonts w:asciiTheme="minorHAnsi" w:hAnsiTheme="minorHAnsi"/>
                <w:b/>
              </w:rPr>
              <w:t>PUBLIC CONSULTATION</w:t>
            </w:r>
            <w:r>
              <w:rPr>
                <w:rFonts w:asciiTheme="minorHAnsi" w:hAnsiTheme="minorHAnsi"/>
                <w:b/>
              </w:rPr>
              <w:t xml:space="preserve"> DOCUMENT</w:t>
            </w:r>
          </w:p>
          <w:p w:rsidR="000E09C4" w:rsidRPr="00021243" w:rsidRDefault="000649E0" w:rsidP="000649E0">
            <w:pPr>
              <w:spacing w:before="120" w:after="120"/>
              <w:jc w:val="center"/>
              <w:rPr>
                <w:rFonts w:asciiTheme="minorHAnsi" w:hAnsiTheme="minorHAnsi"/>
                <w:b/>
              </w:rPr>
            </w:pPr>
            <w:r>
              <w:rPr>
                <w:rFonts w:asciiTheme="minorHAnsi" w:hAnsiTheme="minorHAnsi"/>
                <w:b/>
              </w:rPr>
              <w:t xml:space="preserve">Next review: </w:t>
            </w:r>
            <w:r w:rsidRPr="000649E0">
              <w:rPr>
                <w:rFonts w:asciiTheme="minorHAnsi" w:hAnsiTheme="minorHAnsi"/>
                <w:b/>
              </w:rPr>
              <w:t xml:space="preserve">Two years after BloodSTAR </w:t>
            </w:r>
            <w:r w:rsidR="008812E6">
              <w:rPr>
                <w:rFonts w:asciiTheme="minorHAnsi" w:hAnsiTheme="minorHAnsi"/>
                <w:b/>
              </w:rPr>
              <w:t>v</w:t>
            </w:r>
            <w:r w:rsidRPr="000649E0">
              <w:rPr>
                <w:rFonts w:asciiTheme="minorHAnsi" w:hAnsiTheme="minorHAnsi"/>
                <w:b/>
              </w:rPr>
              <w:t>3</w:t>
            </w:r>
            <w:r w:rsidR="0006085B">
              <w:rPr>
                <w:rFonts w:asciiTheme="minorHAnsi" w:hAnsiTheme="minorHAnsi"/>
                <w:b/>
              </w:rPr>
              <w:t>.0</w:t>
            </w:r>
            <w:r w:rsidRPr="000649E0">
              <w:rPr>
                <w:rFonts w:asciiTheme="minorHAnsi" w:hAnsiTheme="minorHAnsi"/>
                <w:b/>
              </w:rPr>
              <w:t xml:space="preserve"> implemented</w:t>
            </w:r>
          </w:p>
        </w:tc>
      </w:tr>
    </w:tbl>
    <w:p w:rsidR="006627B5" w:rsidRPr="00FD2CCD" w:rsidRDefault="006627B5" w:rsidP="007830E1">
      <w:pPr>
        <w:spacing w:line="276" w:lineRule="auto"/>
      </w:pPr>
    </w:p>
    <w:sectPr w:rsidR="006627B5" w:rsidRPr="00FD2CCD" w:rsidSect="000E09C4">
      <w:headerReference w:type="default" r:id="rId10"/>
      <w:footerReference w:type="default" r:id="rId11"/>
      <w:headerReference w:type="first" r:id="rId12"/>
      <w:footerReference w:type="first" r:id="rId13"/>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485007"/>
      <w:docPartObj>
        <w:docPartGallery w:val="Page Numbers (Bottom of Page)"/>
        <w:docPartUnique/>
      </w:docPartObj>
    </w:sdtPr>
    <w:sdtEndPr>
      <w:rPr>
        <w:noProof/>
      </w:rPr>
    </w:sdtEndPr>
    <w:sdtContent>
      <w:p w:rsidR="008B6931" w:rsidRDefault="008B6931">
        <w:pPr>
          <w:pStyle w:val="Footer"/>
          <w:jc w:val="right"/>
        </w:pPr>
        <w:r>
          <w:fldChar w:fldCharType="begin"/>
        </w:r>
        <w:r>
          <w:instrText xml:space="preserve"> PAGE   \* MERGEFORMAT </w:instrText>
        </w:r>
        <w:r>
          <w:fldChar w:fldCharType="separate"/>
        </w:r>
        <w:r w:rsidR="00E82D74">
          <w:rPr>
            <w:noProof/>
          </w:rPr>
          <w:t>2</w:t>
        </w:r>
        <w:r>
          <w:rPr>
            <w:noProof/>
          </w:rPr>
          <w:fldChar w:fldCharType="end"/>
        </w:r>
      </w:p>
    </w:sdtContent>
  </w:sdt>
  <w:p w:rsidR="0087483B" w:rsidRPr="0087483B" w:rsidRDefault="0087483B">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81896"/>
      <w:docPartObj>
        <w:docPartGallery w:val="Page Numbers (Bottom of Page)"/>
        <w:docPartUnique/>
      </w:docPartObj>
    </w:sdtPr>
    <w:sdtEndPr>
      <w:rPr>
        <w:noProof/>
      </w:rPr>
    </w:sdtEndPr>
    <w:sdtContent>
      <w:p w:rsidR="008B6931" w:rsidRDefault="008B6931">
        <w:pPr>
          <w:pStyle w:val="Footer"/>
          <w:jc w:val="right"/>
        </w:pPr>
        <w:r>
          <w:fldChar w:fldCharType="begin"/>
        </w:r>
        <w:r>
          <w:instrText xml:space="preserve"> PAGE   \* MERGEFORMAT </w:instrText>
        </w:r>
        <w:r>
          <w:fldChar w:fldCharType="separate"/>
        </w:r>
        <w:r w:rsidR="00E82D74">
          <w:rPr>
            <w:noProof/>
          </w:rPr>
          <w:t>1</w:t>
        </w:r>
        <w:r>
          <w:rPr>
            <w:noProof/>
          </w:rPr>
          <w:fldChar w:fldCharType="end"/>
        </w:r>
      </w:p>
    </w:sdtContent>
  </w:sdt>
  <w:p w:rsidR="0087483B" w:rsidRDefault="0087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31" w:rsidRPr="0087483B" w:rsidRDefault="00CF57E2" w:rsidP="008B6931">
    <w:pPr>
      <w:pStyle w:val="Footer"/>
      <w:rPr>
        <w:sz w:val="20"/>
        <w:szCs w:val="20"/>
      </w:rPr>
    </w:pPr>
    <w:r>
      <w:rPr>
        <w:sz w:val="20"/>
        <w:szCs w:val="20"/>
      </w:rPr>
      <w:t xml:space="preserve">PUBLIC CONSULTATION 2017 </w:t>
    </w:r>
    <w:r w:rsidR="008B6931" w:rsidRPr="009016FB">
      <w:rPr>
        <w:sz w:val="20"/>
        <w:szCs w:val="20"/>
      </w:rPr>
      <w:t xml:space="preserve"> </w:t>
    </w:r>
    <w:r w:rsidR="008B6931">
      <w:rPr>
        <w:sz w:val="20"/>
        <w:szCs w:val="20"/>
      </w:rPr>
      <w:t>–</w:t>
    </w:r>
    <w:r w:rsidR="008B6931" w:rsidRPr="009016FB">
      <w:rPr>
        <w:sz w:val="20"/>
        <w:szCs w:val="20"/>
      </w:rPr>
      <w:t xml:space="preserve"> </w:t>
    </w:r>
    <w:r w:rsidR="008B6931">
      <w:rPr>
        <w:sz w:val="20"/>
        <w:szCs w:val="20"/>
      </w:rPr>
      <w:t>HIV in children</w:t>
    </w:r>
  </w:p>
  <w:p w:rsidR="008B6931" w:rsidRDefault="008B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9C4" w:rsidRPr="00021243" w:rsidRDefault="000E09C4" w:rsidP="000E09C4">
    <w:pPr>
      <w:spacing w:before="120" w:after="120"/>
      <w:rPr>
        <w:rFonts w:asciiTheme="minorHAnsi" w:hAnsiTheme="minorHAnsi"/>
        <w:b/>
      </w:rPr>
    </w:pPr>
  </w:p>
  <w:p w:rsidR="008B6931" w:rsidRPr="0087483B" w:rsidRDefault="00CF57E2" w:rsidP="008B6931">
    <w:pPr>
      <w:pStyle w:val="Footer"/>
      <w:rPr>
        <w:sz w:val="20"/>
        <w:szCs w:val="20"/>
      </w:rPr>
    </w:pPr>
    <w:r>
      <w:rPr>
        <w:sz w:val="20"/>
        <w:szCs w:val="20"/>
      </w:rPr>
      <w:t>PUBLIC CONSULTATION 2017</w:t>
    </w:r>
    <w:r w:rsidR="008B6931" w:rsidRPr="009016FB">
      <w:rPr>
        <w:sz w:val="20"/>
        <w:szCs w:val="20"/>
      </w:rPr>
      <w:t xml:space="preserve"> </w:t>
    </w:r>
    <w:r w:rsidR="008B6931">
      <w:rPr>
        <w:sz w:val="20"/>
        <w:szCs w:val="20"/>
      </w:rPr>
      <w:t>–</w:t>
    </w:r>
    <w:r w:rsidR="008B6931" w:rsidRPr="009016FB">
      <w:rPr>
        <w:sz w:val="20"/>
        <w:szCs w:val="20"/>
      </w:rPr>
      <w:t xml:space="preserve"> </w:t>
    </w:r>
    <w:r w:rsidR="008B6931">
      <w:rPr>
        <w:sz w:val="20"/>
        <w:szCs w:val="20"/>
      </w:rPr>
      <w:t>HIV in children</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2C978BE"/>
    <w:multiLevelType w:val="hybridMultilevel"/>
    <w:tmpl w:val="DEEA68EC"/>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37"/>
  </w:num>
  <w:num w:numId="5">
    <w:abstractNumId w:val="15"/>
  </w:num>
  <w:num w:numId="6">
    <w:abstractNumId w:val="2"/>
  </w:num>
  <w:num w:numId="7">
    <w:abstractNumId w:val="1"/>
  </w:num>
  <w:num w:numId="8">
    <w:abstractNumId w:val="4"/>
  </w:num>
  <w:num w:numId="9">
    <w:abstractNumId w:val="0"/>
  </w:num>
  <w:num w:numId="10">
    <w:abstractNumId w:val="41"/>
  </w:num>
  <w:num w:numId="11">
    <w:abstractNumId w:val="28"/>
  </w:num>
  <w:num w:numId="12">
    <w:abstractNumId w:val="34"/>
  </w:num>
  <w:num w:numId="13">
    <w:abstractNumId w:val="12"/>
  </w:num>
  <w:num w:numId="14">
    <w:abstractNumId w:val="21"/>
  </w:num>
  <w:num w:numId="15">
    <w:abstractNumId w:val="11"/>
  </w:num>
  <w:num w:numId="16">
    <w:abstractNumId w:val="36"/>
  </w:num>
  <w:num w:numId="17">
    <w:abstractNumId w:val="5"/>
  </w:num>
  <w:num w:numId="18">
    <w:abstractNumId w:val="16"/>
  </w:num>
  <w:num w:numId="19">
    <w:abstractNumId w:val="32"/>
  </w:num>
  <w:num w:numId="20">
    <w:abstractNumId w:val="43"/>
  </w:num>
  <w:num w:numId="21">
    <w:abstractNumId w:val="13"/>
  </w:num>
  <w:num w:numId="22">
    <w:abstractNumId w:val="33"/>
  </w:num>
  <w:num w:numId="23">
    <w:abstractNumId w:val="10"/>
  </w:num>
  <w:num w:numId="24">
    <w:abstractNumId w:val="3"/>
  </w:num>
  <w:num w:numId="25">
    <w:abstractNumId w:val="35"/>
  </w:num>
  <w:num w:numId="26">
    <w:abstractNumId w:val="24"/>
  </w:num>
  <w:num w:numId="27">
    <w:abstractNumId w:val="39"/>
  </w:num>
  <w:num w:numId="28">
    <w:abstractNumId w:val="29"/>
  </w:num>
  <w:num w:numId="29">
    <w:abstractNumId w:val="30"/>
  </w:num>
  <w:num w:numId="30">
    <w:abstractNumId w:val="8"/>
  </w:num>
  <w:num w:numId="31">
    <w:abstractNumId w:val="9"/>
  </w:num>
  <w:num w:numId="32">
    <w:abstractNumId w:val="27"/>
  </w:num>
  <w:num w:numId="33">
    <w:abstractNumId w:val="42"/>
  </w:num>
  <w:num w:numId="34">
    <w:abstractNumId w:val="20"/>
  </w:num>
  <w:num w:numId="35">
    <w:abstractNumId w:val="31"/>
  </w:num>
  <w:num w:numId="36">
    <w:abstractNumId w:val="19"/>
  </w:num>
  <w:num w:numId="37">
    <w:abstractNumId w:val="14"/>
  </w:num>
  <w:num w:numId="38">
    <w:abstractNumId w:val="23"/>
  </w:num>
  <w:num w:numId="39">
    <w:abstractNumId w:val="26"/>
  </w:num>
  <w:num w:numId="40">
    <w:abstractNumId w:val="7"/>
  </w:num>
  <w:num w:numId="41">
    <w:abstractNumId w:val="38"/>
  </w:num>
  <w:num w:numId="42">
    <w:abstractNumId w:val="40"/>
  </w:num>
  <w:num w:numId="43">
    <w:abstractNumId w:val="25"/>
  </w:num>
  <w:num w:numId="44">
    <w:abstractNumId w:val="6"/>
  </w:num>
  <w:num w:numId="45">
    <w:abstractNumId w:val="4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2B44"/>
    <w:rsid w:val="00013C2F"/>
    <w:rsid w:val="00021243"/>
    <w:rsid w:val="00022A4A"/>
    <w:rsid w:val="00036EDC"/>
    <w:rsid w:val="0006085B"/>
    <w:rsid w:val="000649E0"/>
    <w:rsid w:val="0007639A"/>
    <w:rsid w:val="000A3A69"/>
    <w:rsid w:val="000A65C9"/>
    <w:rsid w:val="000B27A7"/>
    <w:rsid w:val="000E09C4"/>
    <w:rsid w:val="000E4D1E"/>
    <w:rsid w:val="00153753"/>
    <w:rsid w:val="00165F48"/>
    <w:rsid w:val="0017270F"/>
    <w:rsid w:val="001849B2"/>
    <w:rsid w:val="00184E12"/>
    <w:rsid w:val="00186CF7"/>
    <w:rsid w:val="001A2460"/>
    <w:rsid w:val="001B7C4D"/>
    <w:rsid w:val="001C45B4"/>
    <w:rsid w:val="0021213D"/>
    <w:rsid w:val="00216823"/>
    <w:rsid w:val="0022664C"/>
    <w:rsid w:val="002306B2"/>
    <w:rsid w:val="00236B19"/>
    <w:rsid w:val="00240825"/>
    <w:rsid w:val="002506FF"/>
    <w:rsid w:val="002537F2"/>
    <w:rsid w:val="00255740"/>
    <w:rsid w:val="00275679"/>
    <w:rsid w:val="00282F66"/>
    <w:rsid w:val="002936DD"/>
    <w:rsid w:val="00295CD3"/>
    <w:rsid w:val="002D2007"/>
    <w:rsid w:val="002F3325"/>
    <w:rsid w:val="00320BEB"/>
    <w:rsid w:val="00327526"/>
    <w:rsid w:val="0033060E"/>
    <w:rsid w:val="00360326"/>
    <w:rsid w:val="00377EB9"/>
    <w:rsid w:val="00395032"/>
    <w:rsid w:val="003A1F9D"/>
    <w:rsid w:val="003D1795"/>
    <w:rsid w:val="003D27F1"/>
    <w:rsid w:val="003E3235"/>
    <w:rsid w:val="003F11F8"/>
    <w:rsid w:val="00403201"/>
    <w:rsid w:val="00420DA8"/>
    <w:rsid w:val="00433C78"/>
    <w:rsid w:val="00445EDE"/>
    <w:rsid w:val="00447869"/>
    <w:rsid w:val="00454FA8"/>
    <w:rsid w:val="00460325"/>
    <w:rsid w:val="00463B0C"/>
    <w:rsid w:val="0047615E"/>
    <w:rsid w:val="004856E4"/>
    <w:rsid w:val="004926F2"/>
    <w:rsid w:val="004A10A2"/>
    <w:rsid w:val="004B14F4"/>
    <w:rsid w:val="004D4636"/>
    <w:rsid w:val="004E4A52"/>
    <w:rsid w:val="004F7976"/>
    <w:rsid w:val="005023CE"/>
    <w:rsid w:val="005054A5"/>
    <w:rsid w:val="00525C51"/>
    <w:rsid w:val="00531E6D"/>
    <w:rsid w:val="00540020"/>
    <w:rsid w:val="00543C69"/>
    <w:rsid w:val="005546AE"/>
    <w:rsid w:val="005629EE"/>
    <w:rsid w:val="00584BEC"/>
    <w:rsid w:val="005851ED"/>
    <w:rsid w:val="005960E7"/>
    <w:rsid w:val="005C78F4"/>
    <w:rsid w:val="005D2C3D"/>
    <w:rsid w:val="005E04F6"/>
    <w:rsid w:val="00602D7D"/>
    <w:rsid w:val="00617D9D"/>
    <w:rsid w:val="006201B1"/>
    <w:rsid w:val="006427C2"/>
    <w:rsid w:val="00642A5C"/>
    <w:rsid w:val="00644285"/>
    <w:rsid w:val="006521A5"/>
    <w:rsid w:val="00657F36"/>
    <w:rsid w:val="006627B5"/>
    <w:rsid w:val="006631E9"/>
    <w:rsid w:val="00666AA5"/>
    <w:rsid w:val="00670D34"/>
    <w:rsid w:val="006855AF"/>
    <w:rsid w:val="00695219"/>
    <w:rsid w:val="006B0323"/>
    <w:rsid w:val="006B4C33"/>
    <w:rsid w:val="006D2521"/>
    <w:rsid w:val="006D2FA8"/>
    <w:rsid w:val="006D36A9"/>
    <w:rsid w:val="006F1FA7"/>
    <w:rsid w:val="006F366E"/>
    <w:rsid w:val="006F485E"/>
    <w:rsid w:val="00702EB0"/>
    <w:rsid w:val="00712AD7"/>
    <w:rsid w:val="00722415"/>
    <w:rsid w:val="00780D9A"/>
    <w:rsid w:val="007830E1"/>
    <w:rsid w:val="00787242"/>
    <w:rsid w:val="00793EB5"/>
    <w:rsid w:val="007A299B"/>
    <w:rsid w:val="007B0C7B"/>
    <w:rsid w:val="007B2100"/>
    <w:rsid w:val="007C7B0F"/>
    <w:rsid w:val="007F3022"/>
    <w:rsid w:val="008041F6"/>
    <w:rsid w:val="0081429A"/>
    <w:rsid w:val="008245B5"/>
    <w:rsid w:val="00847EC8"/>
    <w:rsid w:val="0085141B"/>
    <w:rsid w:val="00853117"/>
    <w:rsid w:val="00856708"/>
    <w:rsid w:val="008612AB"/>
    <w:rsid w:val="0087483B"/>
    <w:rsid w:val="00880ECB"/>
    <w:rsid w:val="008812E6"/>
    <w:rsid w:val="00893E0A"/>
    <w:rsid w:val="00896241"/>
    <w:rsid w:val="008B6931"/>
    <w:rsid w:val="008D13D0"/>
    <w:rsid w:val="00901446"/>
    <w:rsid w:val="00901F76"/>
    <w:rsid w:val="009025B7"/>
    <w:rsid w:val="009208EC"/>
    <w:rsid w:val="00933536"/>
    <w:rsid w:val="009347BC"/>
    <w:rsid w:val="0093594E"/>
    <w:rsid w:val="00951B85"/>
    <w:rsid w:val="009672E3"/>
    <w:rsid w:val="00982D63"/>
    <w:rsid w:val="009B04BD"/>
    <w:rsid w:val="009C1E09"/>
    <w:rsid w:val="009E0D07"/>
    <w:rsid w:val="009E38CC"/>
    <w:rsid w:val="009F4509"/>
    <w:rsid w:val="00A0276B"/>
    <w:rsid w:val="00A0352E"/>
    <w:rsid w:val="00A05745"/>
    <w:rsid w:val="00A23D1D"/>
    <w:rsid w:val="00A31C82"/>
    <w:rsid w:val="00A357C4"/>
    <w:rsid w:val="00A37912"/>
    <w:rsid w:val="00A4226F"/>
    <w:rsid w:val="00A57D60"/>
    <w:rsid w:val="00A7510F"/>
    <w:rsid w:val="00A80A19"/>
    <w:rsid w:val="00A81C38"/>
    <w:rsid w:val="00AA19C1"/>
    <w:rsid w:val="00AB120F"/>
    <w:rsid w:val="00AD086B"/>
    <w:rsid w:val="00AD1EF1"/>
    <w:rsid w:val="00AD4362"/>
    <w:rsid w:val="00AE5015"/>
    <w:rsid w:val="00AE63FA"/>
    <w:rsid w:val="00B04287"/>
    <w:rsid w:val="00B35BD7"/>
    <w:rsid w:val="00B3726E"/>
    <w:rsid w:val="00B97261"/>
    <w:rsid w:val="00BA76E3"/>
    <w:rsid w:val="00BB17AD"/>
    <w:rsid w:val="00BD6C2D"/>
    <w:rsid w:val="00BD7111"/>
    <w:rsid w:val="00BD735D"/>
    <w:rsid w:val="00C21002"/>
    <w:rsid w:val="00C24E0B"/>
    <w:rsid w:val="00C30FD5"/>
    <w:rsid w:val="00C34D27"/>
    <w:rsid w:val="00C3518E"/>
    <w:rsid w:val="00C364CA"/>
    <w:rsid w:val="00C51E04"/>
    <w:rsid w:val="00C92149"/>
    <w:rsid w:val="00CA4321"/>
    <w:rsid w:val="00CA53B5"/>
    <w:rsid w:val="00CB47C1"/>
    <w:rsid w:val="00CB50C5"/>
    <w:rsid w:val="00CC12B9"/>
    <w:rsid w:val="00CD489A"/>
    <w:rsid w:val="00CD5856"/>
    <w:rsid w:val="00CD7B8A"/>
    <w:rsid w:val="00CF3337"/>
    <w:rsid w:val="00CF57E2"/>
    <w:rsid w:val="00D16B82"/>
    <w:rsid w:val="00D17E7A"/>
    <w:rsid w:val="00D17FEC"/>
    <w:rsid w:val="00D24193"/>
    <w:rsid w:val="00D64491"/>
    <w:rsid w:val="00D67CFD"/>
    <w:rsid w:val="00D874FD"/>
    <w:rsid w:val="00D87794"/>
    <w:rsid w:val="00D96987"/>
    <w:rsid w:val="00DB17C2"/>
    <w:rsid w:val="00DB1925"/>
    <w:rsid w:val="00DD166F"/>
    <w:rsid w:val="00E337E6"/>
    <w:rsid w:val="00E4673D"/>
    <w:rsid w:val="00E62E16"/>
    <w:rsid w:val="00E672AA"/>
    <w:rsid w:val="00E72FF7"/>
    <w:rsid w:val="00E7550D"/>
    <w:rsid w:val="00E82D74"/>
    <w:rsid w:val="00EA2E82"/>
    <w:rsid w:val="00EB78FB"/>
    <w:rsid w:val="00EC0889"/>
    <w:rsid w:val="00F279A7"/>
    <w:rsid w:val="00F42816"/>
    <w:rsid w:val="00F42D96"/>
    <w:rsid w:val="00F66136"/>
    <w:rsid w:val="00F70578"/>
    <w:rsid w:val="00FC0E9B"/>
    <w:rsid w:val="00FC5CB0"/>
    <w:rsid w:val="00FD2CCD"/>
    <w:rsid w:val="00FD4B16"/>
    <w:rsid w:val="00FE1B13"/>
    <w:rsid w:val="00FE1EE0"/>
    <w:rsid w:val="00FE5B6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14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14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cbi.nlm.nih.gov/pubmed/165804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3148-E251-4F44-939B-EFCB92E6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2017-04-10T03:55:00Z</cp:lastPrinted>
  <dcterms:created xsi:type="dcterms:W3CDTF">2017-09-08T02:58:00Z</dcterms:created>
  <dcterms:modified xsi:type="dcterms:W3CDTF">2017-09-08T02:58:00Z</dcterms:modified>
</cp:coreProperties>
</file>