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63419" w14:textId="7E4B6EA7" w:rsidR="00447869" w:rsidRPr="00DA43EC" w:rsidRDefault="00E11660" w:rsidP="00DA43EC">
      <w:pPr>
        <w:ind w:left="-284"/>
        <w:rPr>
          <w:rFonts w:ascii="Arial" w:hAnsi="Arial" w:cs="Arial"/>
        </w:rPr>
      </w:pPr>
      <w:bookmarkStart w:id="0" w:name="_GoBack"/>
      <w:bookmarkEnd w:id="0"/>
      <w:r w:rsidRPr="00DA43EC">
        <w:rPr>
          <w:rStyle w:val="Heading3Char"/>
          <w:color w:val="auto"/>
        </w:rPr>
        <w:t>2017 (v3.0) proposed changes to v2.1 of the Criteria for the Clinical use of Intravenous Immunoglobulin in Australia</w:t>
      </w:r>
      <w:r w:rsidRPr="00DA43EC" w:rsidDel="00E11660">
        <w:rPr>
          <w:rStyle w:val="Heading3Char"/>
          <w:color w:val="auto"/>
        </w:rPr>
        <w:t xml:space="preserve"> </w:t>
      </w:r>
    </w:p>
    <w:tbl>
      <w:tblPr>
        <w:tblStyle w:val="TableGrid"/>
        <w:tblW w:w="14601" w:type="dxa"/>
        <w:tblInd w:w="-318" w:type="dxa"/>
        <w:tblLook w:val="0680" w:firstRow="0" w:lastRow="0" w:firstColumn="1" w:lastColumn="0" w:noHBand="1" w:noVBand="1"/>
      </w:tblPr>
      <w:tblGrid>
        <w:gridCol w:w="4537"/>
        <w:gridCol w:w="10064"/>
      </w:tblGrid>
      <w:tr w:rsidR="008612AB" w:rsidRPr="00447869" w14:paraId="486BEAC8" w14:textId="77777777" w:rsidTr="00832D0D">
        <w:trPr>
          <w:tblHeader/>
        </w:trPr>
        <w:tc>
          <w:tcPr>
            <w:tcW w:w="14601" w:type="dxa"/>
            <w:gridSpan w:val="2"/>
            <w:shd w:val="clear" w:color="auto" w:fill="DBE5F1" w:themeFill="accent1" w:themeFillTint="33"/>
          </w:tcPr>
          <w:p w14:paraId="3DE9ABAD" w14:textId="17BC23DF" w:rsidR="008612AB" w:rsidRPr="00447869" w:rsidRDefault="00A209FE" w:rsidP="00631E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631EAB">
              <w:rPr>
                <w:rFonts w:asciiTheme="minorHAnsi" w:eastAsia="Times New Roman" w:hAnsiTheme="minorHAnsi" w:cs="Times New Roman"/>
                <w:b/>
                <w:bCs/>
                <w:lang w:eastAsia="en-AU"/>
              </w:rPr>
              <w:t xml:space="preserve">2.1 </w:t>
            </w:r>
            <w:r w:rsidR="008612AB">
              <w:rPr>
                <w:rFonts w:asciiTheme="minorHAnsi" w:eastAsia="Times New Roman" w:hAnsiTheme="minorHAnsi" w:cs="Times New Roman"/>
                <w:b/>
                <w:bCs/>
                <w:lang w:eastAsia="en-AU"/>
              </w:rPr>
              <w:t>CONDITION NAME</w:t>
            </w:r>
            <w:r w:rsidR="00D32E23">
              <w:t xml:space="preserve"> :</w:t>
            </w:r>
            <w:r w:rsidR="00D63F4D">
              <w:t xml:space="preserve"> </w:t>
            </w:r>
            <w:r w:rsidR="006A2CA8" w:rsidRPr="006A2CA8">
              <w:rPr>
                <w:rFonts w:asciiTheme="minorHAnsi" w:eastAsia="Times New Roman" w:hAnsiTheme="minorHAnsi" w:cs="Times New Roman"/>
                <w:b/>
                <w:bCs/>
                <w:lang w:eastAsia="en-AU"/>
              </w:rPr>
              <w:t>Autoimmune neutropenia</w:t>
            </w:r>
          </w:p>
        </w:tc>
      </w:tr>
      <w:tr w:rsidR="00526380" w:rsidRPr="00447869" w14:paraId="7422F4A0" w14:textId="77777777" w:rsidTr="00832D0D">
        <w:trPr>
          <w:tblHeader/>
        </w:trPr>
        <w:tc>
          <w:tcPr>
            <w:tcW w:w="14601" w:type="dxa"/>
            <w:gridSpan w:val="2"/>
            <w:shd w:val="clear" w:color="auto" w:fill="DBE5F1" w:themeFill="accent1" w:themeFillTint="33"/>
          </w:tcPr>
          <w:p w14:paraId="6F1AD9D0" w14:textId="3ED27562" w:rsidR="00526380" w:rsidRDefault="00A209FE" w:rsidP="00631E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526380">
              <w:rPr>
                <w:rFonts w:asciiTheme="minorHAnsi" w:eastAsia="Times New Roman" w:hAnsiTheme="minorHAnsi" w:cs="Times New Roman"/>
                <w:b/>
                <w:bCs/>
                <w:lang w:eastAsia="en-AU"/>
              </w:rPr>
              <w:t>3</w:t>
            </w:r>
            <w:r w:rsidR="008E31FD">
              <w:rPr>
                <w:rFonts w:asciiTheme="minorHAnsi" w:eastAsia="Times New Roman" w:hAnsiTheme="minorHAnsi" w:cs="Times New Roman"/>
                <w:b/>
                <w:bCs/>
                <w:lang w:eastAsia="en-AU"/>
              </w:rPr>
              <w:t>.0</w:t>
            </w:r>
            <w:r w:rsidR="00526380">
              <w:rPr>
                <w:rFonts w:asciiTheme="minorHAnsi" w:eastAsia="Times New Roman" w:hAnsiTheme="minorHAnsi" w:cs="Times New Roman"/>
                <w:b/>
                <w:bCs/>
                <w:lang w:eastAsia="en-AU"/>
              </w:rPr>
              <w:t xml:space="preserve"> CONDITION NAME: </w:t>
            </w:r>
            <w:r w:rsidR="006A2CA8" w:rsidRPr="006A2CA8">
              <w:rPr>
                <w:rFonts w:asciiTheme="minorHAnsi" w:eastAsia="Times New Roman" w:hAnsiTheme="minorHAnsi" w:cs="Times New Roman"/>
                <w:b/>
                <w:bCs/>
                <w:lang w:eastAsia="en-AU"/>
              </w:rPr>
              <w:t>Autoimmune neutropenia</w:t>
            </w:r>
          </w:p>
        </w:tc>
      </w:tr>
      <w:tr w:rsidR="00642A5C" w:rsidRPr="00447869" w14:paraId="381F41FF" w14:textId="77777777" w:rsidTr="009F4F64">
        <w:trPr>
          <w:tblHeader/>
        </w:trPr>
        <w:tc>
          <w:tcPr>
            <w:tcW w:w="4537" w:type="dxa"/>
            <w:shd w:val="clear" w:color="auto" w:fill="auto"/>
          </w:tcPr>
          <w:p w14:paraId="20841AFA" w14:textId="2758B47A" w:rsidR="00526380" w:rsidRDefault="00A96DC8" w:rsidP="00526380">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PROPOSED APPROACH:</w:t>
            </w:r>
          </w:p>
          <w:p w14:paraId="46C2D3D9" w14:textId="331AD3C9" w:rsidR="00EB6C11" w:rsidRPr="008709E6" w:rsidRDefault="00A96DC8" w:rsidP="00EB6C11">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To retain </w:t>
            </w:r>
            <w:r w:rsidR="00EB6C11" w:rsidRPr="006A2CA8">
              <w:rPr>
                <w:rFonts w:asciiTheme="minorHAnsi" w:eastAsia="Times New Roman" w:hAnsiTheme="minorHAnsi" w:cs="Times New Roman"/>
                <w:b/>
                <w:bCs/>
                <w:lang w:eastAsia="en-AU"/>
              </w:rPr>
              <w:t>Autoimmune neutropenia</w:t>
            </w:r>
            <w:r w:rsidR="00EB6C11" w:rsidRPr="008709E6">
              <w:rPr>
                <w:rFonts w:asciiTheme="minorHAnsi" w:eastAsia="Times New Roman" w:hAnsiTheme="minorHAnsi" w:cs="Times New Roman"/>
                <w:b/>
                <w:bCs/>
                <w:lang w:eastAsia="en-AU"/>
              </w:rPr>
              <w:t xml:space="preserve"> as a condition in </w:t>
            </w:r>
            <w:r w:rsidR="003B2515">
              <w:rPr>
                <w:rFonts w:asciiTheme="minorHAnsi" w:eastAsia="Times New Roman" w:hAnsiTheme="minorHAnsi" w:cs="Times New Roman"/>
                <w:b/>
                <w:bCs/>
                <w:i/>
                <w:lang w:eastAsia="en-AU"/>
              </w:rPr>
              <w:t>E</w:t>
            </w:r>
            <w:r w:rsidR="00EB6C11" w:rsidRPr="00C91C6E">
              <w:rPr>
                <w:rFonts w:asciiTheme="minorHAnsi" w:eastAsia="Times New Roman" w:hAnsiTheme="minorHAnsi" w:cs="Times New Roman"/>
                <w:b/>
                <w:bCs/>
                <w:i/>
                <w:lang w:eastAsia="en-AU"/>
              </w:rPr>
              <w:t>xceptional circumstances</w:t>
            </w:r>
            <w:r w:rsidR="00EB6C11" w:rsidRPr="008709E6">
              <w:rPr>
                <w:rFonts w:asciiTheme="minorHAnsi" w:eastAsia="Times New Roman" w:hAnsiTheme="minorHAnsi" w:cs="Times New Roman"/>
                <w:b/>
                <w:bCs/>
                <w:lang w:eastAsia="en-AU"/>
              </w:rPr>
              <w:t xml:space="preserve"> </w:t>
            </w:r>
            <w:r w:rsidR="00A209FE">
              <w:rPr>
                <w:rFonts w:asciiTheme="minorHAnsi" w:eastAsia="Times New Roman" w:hAnsiTheme="minorHAnsi" w:cs="Times New Roman"/>
                <w:b/>
                <w:bCs/>
                <w:lang w:eastAsia="en-AU"/>
              </w:rPr>
              <w:t xml:space="preserve">only with the changes as outlined. </w:t>
            </w:r>
          </w:p>
          <w:p w14:paraId="5EED0AC3" w14:textId="77777777" w:rsidR="00EB6C11" w:rsidRDefault="00EB6C11" w:rsidP="00526380">
            <w:pPr>
              <w:spacing w:before="120" w:after="120"/>
              <w:rPr>
                <w:rFonts w:asciiTheme="minorHAnsi" w:eastAsia="Times New Roman" w:hAnsiTheme="minorHAnsi" w:cs="Times New Roman"/>
                <w:b/>
                <w:bCs/>
                <w:lang w:eastAsia="en-AU"/>
              </w:rPr>
            </w:pPr>
          </w:p>
          <w:p w14:paraId="60E64525" w14:textId="100971B4" w:rsidR="003E3235" w:rsidRPr="00C92149" w:rsidRDefault="003E3235" w:rsidP="008612AB">
            <w:pPr>
              <w:spacing w:before="120" w:after="120"/>
              <w:rPr>
                <w:rFonts w:asciiTheme="minorHAnsi" w:eastAsia="Times New Roman" w:hAnsiTheme="minorHAnsi" w:cs="Times New Roman"/>
                <w:bCs/>
                <w:lang w:eastAsia="en-AU"/>
              </w:rPr>
            </w:pPr>
          </w:p>
        </w:tc>
        <w:tc>
          <w:tcPr>
            <w:tcW w:w="10064" w:type="dxa"/>
            <w:shd w:val="clear" w:color="auto" w:fill="auto"/>
          </w:tcPr>
          <w:p w14:paraId="7CF77394" w14:textId="77777777" w:rsidR="00642A5C" w:rsidRDefault="00642A5C"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SUMMARY OF RATIONALE: </w:t>
            </w:r>
          </w:p>
          <w:p w14:paraId="3067819F" w14:textId="77777777" w:rsidR="00EB6C11" w:rsidRPr="004813E2" w:rsidRDefault="00EB6C11" w:rsidP="00EB6C11">
            <w:pPr>
              <w:spacing w:before="120" w:after="120"/>
              <w:rPr>
                <w:rFonts w:asciiTheme="minorHAnsi" w:eastAsia="Times New Roman" w:hAnsiTheme="minorHAnsi" w:cs="Times New Roman"/>
                <w:bCs/>
                <w:lang w:eastAsia="en-AU"/>
              </w:rPr>
            </w:pPr>
            <w:r w:rsidRPr="004813E2">
              <w:rPr>
                <w:rFonts w:asciiTheme="minorHAnsi" w:eastAsia="Times New Roman" w:hAnsiTheme="minorHAnsi" w:cs="Times New Roman"/>
                <w:bCs/>
                <w:lang w:eastAsia="en-AU"/>
              </w:rPr>
              <w:t xml:space="preserve">The </w:t>
            </w:r>
            <w:r>
              <w:rPr>
                <w:rFonts w:asciiTheme="minorHAnsi" w:eastAsia="Times New Roman" w:hAnsiTheme="minorHAnsi" w:cs="Times New Roman"/>
                <w:bCs/>
                <w:lang w:eastAsia="en-AU"/>
              </w:rPr>
              <w:t xml:space="preserve">recommended changes are supported by factors including that: </w:t>
            </w:r>
          </w:p>
          <w:p w14:paraId="0DE48D4D" w14:textId="77777777" w:rsidR="00EB6C11" w:rsidRPr="00711A47" w:rsidRDefault="00EB6C11" w:rsidP="00EB6C11">
            <w:pPr>
              <w:pStyle w:val="ListParagraph"/>
              <w:numPr>
                <w:ilvl w:val="0"/>
                <w:numId w:val="4"/>
              </w:numPr>
              <w:spacing w:before="120" w:after="120"/>
              <w:rPr>
                <w:rFonts w:asciiTheme="minorHAnsi" w:eastAsia="Times New Roman" w:hAnsiTheme="minorHAnsi" w:cs="Times New Roman"/>
                <w:b/>
                <w:bCs/>
                <w:lang w:eastAsia="en-AU"/>
              </w:rPr>
            </w:pPr>
            <w:r>
              <w:rPr>
                <w:rFonts w:asciiTheme="minorHAnsi" w:eastAsia="Times New Roman" w:hAnsiTheme="minorHAnsi" w:cs="Times New Roman"/>
                <w:bCs/>
                <w:lang w:eastAsia="en-AU"/>
              </w:rPr>
              <w:t xml:space="preserve">Ig therapy is not used as first line treatment in this rare condition and will be limited to patients with severe or recurrent infections that have not responded to first and second line treatments. </w:t>
            </w:r>
          </w:p>
          <w:p w14:paraId="140D82F7" w14:textId="77777777" w:rsidR="00EB6C11" w:rsidRPr="00711A47" w:rsidRDefault="00EB6C11" w:rsidP="00EB6C11">
            <w:pPr>
              <w:pStyle w:val="ListParagraph"/>
              <w:numPr>
                <w:ilvl w:val="0"/>
                <w:numId w:val="4"/>
              </w:numPr>
              <w:spacing w:before="120" w:after="120"/>
              <w:rPr>
                <w:rFonts w:asciiTheme="minorHAnsi" w:eastAsia="Times New Roman" w:hAnsiTheme="minorHAnsi" w:cs="Times New Roman"/>
                <w:b/>
                <w:bCs/>
                <w:lang w:eastAsia="en-AU"/>
              </w:rPr>
            </w:pPr>
            <w:r>
              <w:rPr>
                <w:rFonts w:asciiTheme="minorHAnsi" w:eastAsia="Times New Roman" w:hAnsiTheme="minorHAnsi" w:cs="Times New Roman"/>
                <w:bCs/>
                <w:lang w:eastAsia="en-AU"/>
              </w:rPr>
              <w:t xml:space="preserve">The opportunity to correct the neutrophil cell count, even if only for a short period, remains an important therapeutic option in these critically ill (usually adult) patients. </w:t>
            </w:r>
          </w:p>
          <w:p w14:paraId="6565F5DA" w14:textId="77777777" w:rsidR="00EB6C11" w:rsidRPr="00711A47" w:rsidRDefault="00EB6C11" w:rsidP="00EB6C11">
            <w:pPr>
              <w:pStyle w:val="ListParagraph"/>
              <w:numPr>
                <w:ilvl w:val="0"/>
                <w:numId w:val="4"/>
              </w:numPr>
              <w:spacing w:before="120" w:after="120"/>
              <w:rPr>
                <w:rFonts w:asciiTheme="minorHAnsi" w:eastAsia="Times New Roman" w:hAnsiTheme="minorHAnsi" w:cs="Times New Roman"/>
                <w:b/>
                <w:bCs/>
                <w:lang w:eastAsia="en-AU"/>
              </w:rPr>
            </w:pPr>
            <w:r>
              <w:rPr>
                <w:rFonts w:asciiTheme="minorHAnsi" w:eastAsia="Times New Roman" w:hAnsiTheme="minorHAnsi" w:cs="Times New Roman"/>
                <w:bCs/>
                <w:lang w:eastAsia="en-AU"/>
              </w:rPr>
              <w:t xml:space="preserve">The criteria will limit access to patients with severe or recurrent infection as third line treatment and will limit subsequent doses to responding patients. </w:t>
            </w:r>
          </w:p>
          <w:p w14:paraId="139587E9" w14:textId="77777777" w:rsidR="00EB6C11" w:rsidRPr="00711A47" w:rsidRDefault="00EB6C11" w:rsidP="00EB6C11">
            <w:pPr>
              <w:pStyle w:val="ListParagraph"/>
              <w:numPr>
                <w:ilvl w:val="0"/>
                <w:numId w:val="4"/>
              </w:numPr>
              <w:spacing w:before="120" w:after="120"/>
              <w:rPr>
                <w:rFonts w:asciiTheme="minorHAnsi" w:eastAsia="Times New Roman" w:hAnsiTheme="minorHAnsi" w:cs="Times New Roman"/>
                <w:b/>
                <w:bCs/>
                <w:lang w:eastAsia="en-AU"/>
              </w:rPr>
            </w:pPr>
            <w:r>
              <w:rPr>
                <w:rFonts w:asciiTheme="minorHAnsi" w:eastAsia="Times New Roman" w:hAnsiTheme="minorHAnsi" w:cs="Times New Roman"/>
                <w:bCs/>
                <w:lang w:eastAsia="en-AU"/>
              </w:rPr>
              <w:t>Ig use is low and not expected to increase as a result of these changes</w:t>
            </w:r>
          </w:p>
          <w:p w14:paraId="589A7249" w14:textId="2B4BD3B2" w:rsidR="00FF4718" w:rsidRPr="00EB6C11" w:rsidRDefault="00EB6C11" w:rsidP="009F4F64">
            <w:pPr>
              <w:pStyle w:val="ListParagraph"/>
              <w:numPr>
                <w:ilvl w:val="0"/>
                <w:numId w:val="4"/>
              </w:numPr>
            </w:pPr>
            <w:r w:rsidRPr="003D3366">
              <w:rPr>
                <w:rFonts w:eastAsiaTheme="minorHAnsi"/>
                <w:lang w:val="en-US"/>
              </w:rPr>
              <w:t xml:space="preserve">This condition is listed as a ‘grey’ </w:t>
            </w:r>
            <w:r w:rsidR="002F6A83" w:rsidRPr="002F6A83">
              <w:rPr>
                <w:rFonts w:eastAsiaTheme="minorHAnsi"/>
                <w:lang w:val="en-US"/>
              </w:rPr>
              <w:t xml:space="preserve">condition </w:t>
            </w:r>
            <w:r w:rsidRPr="003D3366">
              <w:rPr>
                <w:rFonts w:eastAsiaTheme="minorHAnsi"/>
                <w:lang w:val="en-US"/>
              </w:rPr>
              <w:t xml:space="preserve">in the UK NHS immunoglobulin guidelines </w:t>
            </w:r>
            <w:r>
              <w:rPr>
                <w:rFonts w:eastAsiaTheme="minorHAnsi"/>
                <w:lang w:val="en-US"/>
              </w:rPr>
              <w:t>(</w:t>
            </w:r>
            <w:r>
              <w:rPr>
                <w:rFonts w:asciiTheme="minorHAnsi" w:hAnsiTheme="minorHAnsi"/>
              </w:rPr>
              <w:t>UK Department of Health, 2011)</w:t>
            </w:r>
            <w:r w:rsidR="009F4F64">
              <w:rPr>
                <w:rFonts w:asciiTheme="minorHAnsi" w:hAnsiTheme="minorHAnsi"/>
              </w:rPr>
              <w:t xml:space="preserve">. </w:t>
            </w:r>
            <w:r w:rsidR="009F4F64">
              <w:rPr>
                <w:rFonts w:asciiTheme="minorHAnsi" w:eastAsia="Times New Roman" w:hAnsiTheme="minorHAnsi" w:cs="Times New Roman"/>
                <w:bCs/>
                <w:lang w:eastAsia="en-AU"/>
              </w:rPr>
              <w:t xml:space="preserve">Indications are categorised as ‘grey’ if evidence is weak. The UK guidelines acknowledge that in many cases, this is because the disease is rare. Local approval is required to access </w:t>
            </w:r>
            <w:proofErr w:type="spellStart"/>
            <w:r w:rsidR="009F4F64">
              <w:rPr>
                <w:rFonts w:asciiTheme="minorHAnsi" w:eastAsia="Times New Roman" w:hAnsiTheme="minorHAnsi" w:cs="Times New Roman"/>
                <w:bCs/>
                <w:lang w:eastAsia="en-AU"/>
              </w:rPr>
              <w:t>IVIg</w:t>
            </w:r>
            <w:proofErr w:type="spellEnd"/>
            <w:r w:rsidR="009F4F64">
              <w:rPr>
                <w:rFonts w:asciiTheme="minorHAnsi" w:eastAsia="Times New Roman" w:hAnsiTheme="minorHAnsi" w:cs="Times New Roman"/>
                <w:bCs/>
                <w:lang w:eastAsia="en-AU"/>
              </w:rPr>
              <w:t xml:space="preserve"> for ‘grey’ indications.</w:t>
            </w:r>
            <w:r w:rsidR="009F4F64" w:rsidRPr="00A33DC9">
              <w:rPr>
                <w:rFonts w:asciiTheme="minorHAnsi" w:eastAsia="Times New Roman" w:hAnsiTheme="minorHAnsi" w:cs="Times New Roman"/>
                <w:bCs/>
                <w:lang w:eastAsia="en-AU"/>
              </w:rPr>
              <w:t xml:space="preserve"> </w:t>
            </w:r>
            <w:r w:rsidRPr="003D3366">
              <w:rPr>
                <w:rFonts w:eastAsiaTheme="minorHAnsi"/>
                <w:lang w:val="en-US"/>
              </w:rPr>
              <w:t xml:space="preserve"> It is </w:t>
            </w:r>
            <w:r>
              <w:rPr>
                <w:rFonts w:eastAsiaTheme="minorHAnsi"/>
                <w:lang w:val="en-US"/>
              </w:rPr>
              <w:t>also</w:t>
            </w:r>
            <w:r w:rsidRPr="003D3366">
              <w:rPr>
                <w:rFonts w:eastAsiaTheme="minorHAnsi"/>
                <w:lang w:val="en-US"/>
              </w:rPr>
              <w:t xml:space="preserve"> </w:t>
            </w:r>
            <w:r>
              <w:rPr>
                <w:rFonts w:eastAsiaTheme="minorHAnsi"/>
                <w:lang w:val="en-US"/>
              </w:rPr>
              <w:t>listed</w:t>
            </w:r>
            <w:r w:rsidRPr="003D3366">
              <w:rPr>
                <w:rFonts w:eastAsiaTheme="minorHAnsi"/>
                <w:lang w:val="en-US"/>
              </w:rPr>
              <w:t xml:space="preserve"> in the national Canadian </w:t>
            </w:r>
            <w:proofErr w:type="spellStart"/>
            <w:r w:rsidR="00F51134">
              <w:rPr>
                <w:rFonts w:eastAsiaTheme="minorHAnsi"/>
                <w:lang w:val="en-US"/>
              </w:rPr>
              <w:t>IVIg</w:t>
            </w:r>
            <w:proofErr w:type="spellEnd"/>
            <w:r w:rsidRPr="003D3366">
              <w:rPr>
                <w:rFonts w:eastAsiaTheme="minorHAnsi"/>
                <w:lang w:val="en-US"/>
              </w:rPr>
              <w:t xml:space="preserve"> </w:t>
            </w:r>
            <w:proofErr w:type="spellStart"/>
            <w:r w:rsidRPr="003D3366">
              <w:rPr>
                <w:rFonts w:eastAsiaTheme="minorHAnsi"/>
                <w:lang w:val="en-US"/>
              </w:rPr>
              <w:t>Utilisation</w:t>
            </w:r>
            <w:proofErr w:type="spellEnd"/>
            <w:r w:rsidRPr="003D3366">
              <w:rPr>
                <w:rFonts w:eastAsiaTheme="minorHAnsi"/>
                <w:lang w:val="en-US"/>
              </w:rPr>
              <w:t xml:space="preserve"> Management guidelines</w:t>
            </w:r>
            <w:r>
              <w:rPr>
                <w:rFonts w:eastAsiaTheme="minorHAnsi"/>
                <w:lang w:val="en-US"/>
              </w:rPr>
              <w:t xml:space="preserve"> (</w:t>
            </w:r>
            <w:r w:rsidRPr="002A1261">
              <w:rPr>
                <w:rFonts w:asciiTheme="minorHAnsi" w:hAnsiTheme="minorHAnsi"/>
              </w:rPr>
              <w:t>Ontario Regional Blood Coordinating Network</w:t>
            </w:r>
            <w:r>
              <w:rPr>
                <w:rFonts w:asciiTheme="minorHAnsi" w:hAnsiTheme="minorHAnsi"/>
              </w:rPr>
              <w:t xml:space="preserve">, 2016) </w:t>
            </w:r>
            <w:r>
              <w:rPr>
                <w:rFonts w:eastAsiaTheme="minorHAnsi"/>
                <w:lang w:val="en-US"/>
              </w:rPr>
              <w:t xml:space="preserve">as recommended adjunctive therapy in urgent situations. </w:t>
            </w:r>
            <w:r w:rsidR="009B4C83" w:rsidRPr="00EB6C11">
              <w:rPr>
                <w:rFonts w:asciiTheme="minorHAnsi" w:eastAsia="Times New Roman" w:hAnsiTheme="minorHAnsi" w:cs="Times New Roman"/>
                <w:bCs/>
                <w:lang w:eastAsia="en-AU"/>
              </w:rPr>
              <w:t xml:space="preserve"> </w:t>
            </w:r>
          </w:p>
        </w:tc>
      </w:tr>
      <w:tr w:rsidR="00631EAB" w:rsidRPr="00447869" w14:paraId="32AFDD36" w14:textId="77777777" w:rsidTr="008612AB">
        <w:trPr>
          <w:tblHeader/>
        </w:trPr>
        <w:tc>
          <w:tcPr>
            <w:tcW w:w="14601" w:type="dxa"/>
            <w:gridSpan w:val="2"/>
            <w:shd w:val="clear" w:color="auto" w:fill="auto"/>
          </w:tcPr>
          <w:p w14:paraId="350ED943" w14:textId="7718259F" w:rsidR="00631EAB" w:rsidRDefault="00E11660" w:rsidP="008612AB">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v</w:t>
            </w:r>
            <w:r w:rsidR="00631EAB">
              <w:rPr>
                <w:rFonts w:asciiTheme="minorHAnsi" w:eastAsia="Times New Roman" w:hAnsiTheme="minorHAnsi" w:cs="Times New Roman"/>
                <w:b/>
                <w:bCs/>
                <w:lang w:eastAsia="en-AU"/>
              </w:rPr>
              <w:t>2.1 CONDITION CATE</w:t>
            </w:r>
            <w:r w:rsidR="00526380">
              <w:rPr>
                <w:rFonts w:asciiTheme="minorHAnsi" w:eastAsia="Times New Roman" w:hAnsiTheme="minorHAnsi" w:cs="Times New Roman"/>
                <w:b/>
                <w:bCs/>
                <w:lang w:eastAsia="en-AU"/>
              </w:rPr>
              <w:t>G</w:t>
            </w:r>
            <w:r w:rsidR="00631EAB">
              <w:rPr>
                <w:rFonts w:asciiTheme="minorHAnsi" w:eastAsia="Times New Roman" w:hAnsiTheme="minorHAnsi" w:cs="Times New Roman"/>
                <w:b/>
                <w:bCs/>
                <w:lang w:eastAsia="en-AU"/>
              </w:rPr>
              <w:t xml:space="preserve">ORY: </w:t>
            </w:r>
            <w:r w:rsidR="00C012B0" w:rsidRPr="00C91C6E">
              <w:rPr>
                <w:rFonts w:asciiTheme="minorHAnsi" w:eastAsia="Times New Roman" w:hAnsiTheme="minorHAnsi" w:cs="Times New Roman"/>
                <w:bCs/>
                <w:lang w:eastAsia="en-AU"/>
              </w:rPr>
              <w:t xml:space="preserve">Condition for which Ig is used in </w:t>
            </w:r>
            <w:r w:rsidR="00C012B0">
              <w:rPr>
                <w:rFonts w:asciiTheme="minorHAnsi" w:eastAsia="Times New Roman" w:hAnsiTheme="minorHAnsi" w:cs="Times New Roman"/>
                <w:bCs/>
                <w:lang w:eastAsia="en-AU"/>
              </w:rPr>
              <w:t>e</w:t>
            </w:r>
            <w:r w:rsidR="00832D0D" w:rsidRPr="00C91C6E">
              <w:rPr>
                <w:rFonts w:asciiTheme="minorHAnsi" w:eastAsia="Times New Roman" w:hAnsiTheme="minorHAnsi" w:cs="Times New Roman"/>
                <w:bCs/>
                <w:lang w:eastAsia="en-AU"/>
              </w:rPr>
              <w:t xml:space="preserve">xceptional </w:t>
            </w:r>
            <w:r w:rsidR="00A96DC8" w:rsidRPr="00C91C6E">
              <w:rPr>
                <w:rFonts w:asciiTheme="minorHAnsi" w:eastAsia="Times New Roman" w:hAnsiTheme="minorHAnsi" w:cs="Times New Roman"/>
                <w:bCs/>
                <w:lang w:eastAsia="en-AU"/>
              </w:rPr>
              <w:t>c</w:t>
            </w:r>
            <w:r w:rsidR="00832D0D" w:rsidRPr="00C91C6E">
              <w:rPr>
                <w:rFonts w:asciiTheme="minorHAnsi" w:eastAsia="Times New Roman" w:hAnsiTheme="minorHAnsi" w:cs="Times New Roman"/>
                <w:bCs/>
                <w:lang w:eastAsia="en-AU"/>
              </w:rPr>
              <w:t>ircumstances</w:t>
            </w:r>
            <w:r w:rsidR="00A209FE" w:rsidRPr="00C012B0">
              <w:rPr>
                <w:rFonts w:asciiTheme="minorHAnsi" w:eastAsia="Times New Roman" w:hAnsiTheme="minorHAnsi" w:cs="Times New Roman"/>
                <w:bCs/>
                <w:lang w:eastAsia="en-AU"/>
              </w:rPr>
              <w:t xml:space="preserve"> </w:t>
            </w:r>
            <w:r w:rsidR="00A209FE" w:rsidRPr="00C91C6E">
              <w:rPr>
                <w:rFonts w:asciiTheme="minorHAnsi" w:eastAsia="Times New Roman" w:hAnsiTheme="minorHAnsi" w:cs="Times New Roman"/>
                <w:bCs/>
                <w:lang w:eastAsia="en-AU"/>
              </w:rPr>
              <w:t>only</w:t>
            </w:r>
            <w:r w:rsidR="00A209FE">
              <w:rPr>
                <w:rFonts w:asciiTheme="minorHAnsi" w:eastAsia="Times New Roman" w:hAnsiTheme="minorHAnsi" w:cs="Times New Roman"/>
                <w:bCs/>
                <w:lang w:eastAsia="en-AU"/>
              </w:rPr>
              <w:t xml:space="preserve"> (Chapter 7)</w:t>
            </w:r>
          </w:p>
          <w:p w14:paraId="2233A78F" w14:textId="60979920" w:rsidR="00A96DC8" w:rsidRDefault="00A96DC8" w:rsidP="008612AB">
            <w:pPr>
              <w:spacing w:before="120" w:after="120"/>
              <w:rPr>
                <w:rFonts w:asciiTheme="minorHAnsi" w:eastAsia="Times New Roman" w:hAnsiTheme="minorHAnsi" w:cs="Times New Roman"/>
                <w:b/>
                <w:bCs/>
                <w:lang w:eastAsia="en-AU"/>
              </w:rPr>
            </w:pPr>
            <w:r w:rsidRPr="00C91C6E">
              <w:rPr>
                <w:rFonts w:asciiTheme="minorHAnsi" w:eastAsia="Times New Roman" w:hAnsiTheme="minorHAnsi" w:cs="Times New Roman"/>
                <w:b/>
                <w:bCs/>
                <w:lang w:eastAsia="en-AU"/>
              </w:rPr>
              <w:t>v3.0 CONDITION CATEGORY:</w:t>
            </w:r>
            <w:r>
              <w:rPr>
                <w:rFonts w:asciiTheme="minorHAnsi" w:eastAsia="Times New Roman" w:hAnsiTheme="minorHAnsi" w:cs="Times New Roman"/>
                <w:bCs/>
                <w:lang w:eastAsia="en-AU"/>
              </w:rPr>
              <w:t xml:space="preserve"> </w:t>
            </w:r>
            <w:r w:rsidR="00C012B0">
              <w:rPr>
                <w:rFonts w:asciiTheme="minorHAnsi" w:eastAsia="Times New Roman" w:hAnsiTheme="minorHAnsi" w:cs="Times New Roman"/>
                <w:bCs/>
                <w:lang w:eastAsia="en-AU"/>
              </w:rPr>
              <w:t>Condition for which Ig is used in e</w:t>
            </w:r>
            <w:r w:rsidR="00A209FE" w:rsidRPr="00C91C6E">
              <w:rPr>
                <w:rFonts w:asciiTheme="minorHAnsi" w:eastAsia="Times New Roman" w:hAnsiTheme="minorHAnsi" w:cs="Times New Roman"/>
                <w:bCs/>
                <w:lang w:eastAsia="en-AU"/>
              </w:rPr>
              <w:t xml:space="preserve">xceptional circumstances </w:t>
            </w:r>
            <w:r w:rsidR="00A209FE" w:rsidRPr="00C012B0">
              <w:rPr>
                <w:rFonts w:asciiTheme="minorHAnsi" w:eastAsia="Times New Roman" w:hAnsiTheme="minorHAnsi" w:cs="Times New Roman"/>
                <w:bCs/>
                <w:lang w:eastAsia="en-AU"/>
              </w:rPr>
              <w:t>only</w:t>
            </w:r>
            <w:r w:rsidR="00A209FE">
              <w:rPr>
                <w:rFonts w:asciiTheme="minorHAnsi" w:eastAsia="Times New Roman" w:hAnsiTheme="minorHAnsi" w:cs="Times New Roman"/>
                <w:bCs/>
                <w:lang w:eastAsia="en-AU"/>
              </w:rPr>
              <w:t xml:space="preserve"> (Chapter 7)</w:t>
            </w:r>
          </w:p>
        </w:tc>
      </w:tr>
      <w:tr w:rsidR="008612AB" w:rsidRPr="00447869" w14:paraId="0FB82EF8" w14:textId="77777777" w:rsidTr="008612AB">
        <w:trPr>
          <w:tblHeader/>
        </w:trPr>
        <w:tc>
          <w:tcPr>
            <w:tcW w:w="14601" w:type="dxa"/>
            <w:gridSpan w:val="2"/>
            <w:shd w:val="clear" w:color="auto" w:fill="auto"/>
          </w:tcPr>
          <w:p w14:paraId="03ABE719" w14:textId="77777777" w:rsidR="00EB6C11" w:rsidRDefault="008612AB" w:rsidP="00EB6C11">
            <w:pPr>
              <w:spacing w:before="120" w:after="120"/>
            </w:pPr>
            <w:r>
              <w:rPr>
                <w:rFonts w:asciiTheme="minorHAnsi" w:eastAsia="Times New Roman" w:hAnsiTheme="minorHAnsi" w:cs="Times New Roman"/>
                <w:b/>
                <w:bCs/>
                <w:lang w:eastAsia="en-AU"/>
              </w:rPr>
              <w:t>Role of Ig therapy</w:t>
            </w:r>
            <w:r w:rsidR="008D3E83">
              <w:rPr>
                <w:rFonts w:asciiTheme="minorHAnsi" w:eastAsia="Times New Roman" w:hAnsiTheme="minorHAnsi" w:cs="Times New Roman"/>
                <w:b/>
                <w:bCs/>
                <w:lang w:eastAsia="en-AU"/>
              </w:rPr>
              <w:t xml:space="preserve">: </w:t>
            </w:r>
            <w:r w:rsidR="008D3E83">
              <w:t xml:space="preserve"> </w:t>
            </w:r>
            <w:r w:rsidR="00EB6C11">
              <w:t xml:space="preserve">When treatment of autoimmune neutropenia is required, first line therapy is recognised to be Granulocyte-colony stimulating factor (G-CSF), followed by immunosuppression using steroids, methotrexate or cyclosporine. It is noted that steroids would not be used in children, however, they would usually respond to G-CSF.  In the presence of severe or recurrent infection, Ig therapy can be an important option to treat the severe underlying infection without further immunosuppression. While it is recognised that the response is usually short lived, it provides an opportunity to improve the neutrophil count to fight the infection in these rare instances, occurring more commonly in adults than children.    </w:t>
            </w:r>
          </w:p>
          <w:p w14:paraId="1FC6264E" w14:textId="393ABF1A" w:rsidR="00831038" w:rsidRPr="00447869" w:rsidRDefault="00EB6C11" w:rsidP="00EB6C11">
            <w:pPr>
              <w:spacing w:before="120" w:after="120"/>
              <w:rPr>
                <w:rFonts w:asciiTheme="minorHAnsi" w:eastAsia="Times New Roman" w:hAnsiTheme="minorHAnsi" w:cs="Times New Roman"/>
                <w:b/>
                <w:bCs/>
                <w:lang w:eastAsia="en-AU"/>
              </w:rPr>
            </w:pPr>
            <w:r>
              <w:t>The potential mechanism of action is the temporary blocking of macrophage receptors, the anti-</w:t>
            </w:r>
            <w:proofErr w:type="spellStart"/>
            <w:r>
              <w:t>idiotype</w:t>
            </w:r>
            <w:proofErr w:type="spellEnd"/>
            <w:r>
              <w:t xml:space="preserve"> suppression of autoantibodies and immune modulation of T and B cell function (</w:t>
            </w:r>
            <w:proofErr w:type="spellStart"/>
            <w:r>
              <w:t>Shastri</w:t>
            </w:r>
            <w:proofErr w:type="spellEnd"/>
            <w:r>
              <w:t xml:space="preserve"> </w:t>
            </w:r>
            <w:r w:rsidR="00E97FFA">
              <w:t>&amp; Logue, 1993 and</w:t>
            </w:r>
            <w:r>
              <w:t xml:space="preserve"> </w:t>
            </w:r>
            <w:proofErr w:type="spellStart"/>
            <w:r>
              <w:t>Capsoni</w:t>
            </w:r>
            <w:proofErr w:type="spellEnd"/>
            <w:r>
              <w:t xml:space="preserve"> </w:t>
            </w:r>
            <w:r w:rsidR="00E97FFA">
              <w:t xml:space="preserve">et al, </w:t>
            </w:r>
            <w:r>
              <w:t>2005).</w:t>
            </w:r>
          </w:p>
        </w:tc>
      </w:tr>
    </w:tbl>
    <w:p w14:paraId="27EE8F27" w14:textId="77777777" w:rsidR="005851ED" w:rsidRDefault="005851ED"/>
    <w:tbl>
      <w:tblPr>
        <w:tblStyle w:val="TableGrid"/>
        <w:tblW w:w="14601" w:type="dxa"/>
        <w:tblInd w:w="-318" w:type="dxa"/>
        <w:tblLook w:val="0680" w:firstRow="0" w:lastRow="0" w:firstColumn="1" w:lastColumn="0" w:noHBand="1" w:noVBand="1"/>
      </w:tblPr>
      <w:tblGrid>
        <w:gridCol w:w="1560"/>
        <w:gridCol w:w="2977"/>
        <w:gridCol w:w="1890"/>
        <w:gridCol w:w="1890"/>
        <w:gridCol w:w="1890"/>
        <w:gridCol w:w="4394"/>
      </w:tblGrid>
      <w:tr w:rsidR="00447869" w:rsidRPr="00853117" w14:paraId="0F17C865" w14:textId="77777777" w:rsidTr="00D11061">
        <w:trPr>
          <w:trHeight w:val="406"/>
          <w:tblHeader/>
        </w:trPr>
        <w:tc>
          <w:tcPr>
            <w:tcW w:w="1560" w:type="dxa"/>
            <w:shd w:val="clear" w:color="auto" w:fill="DBE5F1" w:themeFill="accent1" w:themeFillTint="33"/>
          </w:tcPr>
          <w:p w14:paraId="05F68158" w14:textId="77777777"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lastRenderedPageBreak/>
              <w:t>ITEM</w:t>
            </w:r>
          </w:p>
        </w:tc>
        <w:tc>
          <w:tcPr>
            <w:tcW w:w="2977" w:type="dxa"/>
            <w:shd w:val="clear" w:color="auto" w:fill="DBE5F1" w:themeFill="accent1" w:themeFillTint="33"/>
          </w:tcPr>
          <w:p w14:paraId="5CCCCCF5" w14:textId="7D1809D3" w:rsidR="00526380" w:rsidRDefault="00C012B0" w:rsidP="00526380">
            <w:pPr>
              <w:spacing w:before="120" w:after="120"/>
              <w:jc w:val="center"/>
              <w:rPr>
                <w:rFonts w:asciiTheme="minorHAnsi" w:hAnsiTheme="minorHAnsi"/>
                <w:b/>
                <w:sz w:val="20"/>
                <w:szCs w:val="18"/>
              </w:rPr>
            </w:pPr>
            <w:r>
              <w:rPr>
                <w:rFonts w:asciiTheme="minorHAnsi" w:hAnsiTheme="minorHAnsi"/>
                <w:b/>
                <w:sz w:val="20"/>
                <w:szCs w:val="18"/>
              </w:rPr>
              <w:t xml:space="preserve">CRITERIA </w:t>
            </w:r>
            <w:r w:rsidR="00DE4C13">
              <w:rPr>
                <w:rFonts w:asciiTheme="minorHAnsi" w:hAnsiTheme="minorHAnsi"/>
                <w:b/>
                <w:sz w:val="20"/>
                <w:szCs w:val="18"/>
              </w:rPr>
              <w:t>v2.1</w:t>
            </w:r>
          </w:p>
          <w:p w14:paraId="37DFB17D" w14:textId="26EC4005" w:rsidR="004A10A2" w:rsidRPr="00C92149" w:rsidRDefault="004A10A2" w:rsidP="00526380">
            <w:pPr>
              <w:spacing w:before="120" w:after="120"/>
              <w:jc w:val="center"/>
              <w:rPr>
                <w:rFonts w:asciiTheme="minorHAnsi" w:hAnsiTheme="minorHAnsi"/>
                <w:b/>
                <w:sz w:val="20"/>
                <w:szCs w:val="18"/>
              </w:rPr>
            </w:pPr>
          </w:p>
        </w:tc>
        <w:tc>
          <w:tcPr>
            <w:tcW w:w="5670" w:type="dxa"/>
            <w:gridSpan w:val="3"/>
            <w:shd w:val="clear" w:color="auto" w:fill="DBE5F1" w:themeFill="accent1" w:themeFillTint="33"/>
          </w:tcPr>
          <w:p w14:paraId="1BA8E420" w14:textId="33A3FF49" w:rsidR="00447869" w:rsidRPr="00C92149" w:rsidRDefault="00DE4C13" w:rsidP="00D11061">
            <w:pPr>
              <w:spacing w:before="120" w:after="120"/>
              <w:jc w:val="center"/>
              <w:rPr>
                <w:rFonts w:asciiTheme="minorHAnsi" w:hAnsiTheme="minorHAnsi"/>
                <w:b/>
                <w:sz w:val="20"/>
                <w:szCs w:val="18"/>
              </w:rPr>
            </w:pPr>
            <w:r>
              <w:rPr>
                <w:rFonts w:asciiTheme="minorHAnsi" w:hAnsiTheme="minorHAnsi"/>
                <w:b/>
                <w:sz w:val="20"/>
                <w:szCs w:val="18"/>
              </w:rPr>
              <w:t>PROPOSED REVISIONS TO THE CRITERIA</w:t>
            </w:r>
          </w:p>
        </w:tc>
        <w:tc>
          <w:tcPr>
            <w:tcW w:w="4394" w:type="dxa"/>
            <w:shd w:val="clear" w:color="auto" w:fill="DBE5F1" w:themeFill="accent1" w:themeFillTint="33"/>
          </w:tcPr>
          <w:p w14:paraId="39445FB0" w14:textId="22F2A518" w:rsidR="00447869" w:rsidRPr="00C92149" w:rsidRDefault="003B2515">
            <w:pPr>
              <w:spacing w:before="120" w:after="120"/>
              <w:jc w:val="center"/>
              <w:rPr>
                <w:rFonts w:asciiTheme="minorHAnsi" w:hAnsiTheme="minorHAnsi"/>
                <w:b/>
                <w:sz w:val="20"/>
                <w:szCs w:val="20"/>
              </w:rPr>
            </w:pPr>
            <w:r>
              <w:rPr>
                <w:rFonts w:asciiTheme="minorHAnsi" w:eastAsia="Times New Roman" w:hAnsiTheme="minorHAnsi" w:cs="Times New Roman"/>
                <w:b/>
                <w:bCs/>
                <w:sz w:val="20"/>
                <w:szCs w:val="20"/>
                <w:lang w:eastAsia="en-AU"/>
              </w:rPr>
              <w:t>SPECIALIST WORKING GROUP</w:t>
            </w:r>
            <w:r w:rsidRPr="00DC4C7B">
              <w:rPr>
                <w:rFonts w:asciiTheme="minorHAnsi" w:eastAsia="Times New Roman" w:hAnsiTheme="minorHAnsi" w:cs="Times New Roman"/>
                <w:b/>
                <w:bCs/>
                <w:sz w:val="20"/>
                <w:szCs w:val="20"/>
                <w:lang w:eastAsia="en-AU"/>
              </w:rPr>
              <w:t xml:space="preserve"> </w:t>
            </w:r>
            <w:r w:rsidR="00DC4C7B" w:rsidRPr="00DC4C7B">
              <w:rPr>
                <w:rFonts w:asciiTheme="minorHAnsi" w:eastAsia="Times New Roman" w:hAnsiTheme="minorHAnsi" w:cs="Times New Roman"/>
                <w:b/>
                <w:bCs/>
                <w:sz w:val="20"/>
                <w:szCs w:val="20"/>
                <w:lang w:eastAsia="en-AU"/>
              </w:rPr>
              <w:t>RATIONALE FOR ADDITIONS/CLARIFICATIONS</w:t>
            </w:r>
          </w:p>
        </w:tc>
      </w:tr>
      <w:tr w:rsidR="00EB6C11" w:rsidRPr="00447869" w14:paraId="1B797F9F" w14:textId="77777777" w:rsidTr="00D11061">
        <w:tc>
          <w:tcPr>
            <w:tcW w:w="1560" w:type="dxa"/>
            <w:shd w:val="clear" w:color="auto" w:fill="D9D9D9" w:themeFill="background1" w:themeFillShade="D9"/>
          </w:tcPr>
          <w:p w14:paraId="1E6F7BEC" w14:textId="77777777" w:rsidR="00EB6C11" w:rsidRPr="00447869" w:rsidRDefault="00EB6C11" w:rsidP="00021243">
            <w:pPr>
              <w:spacing w:before="120" w:after="120"/>
              <w:rPr>
                <w:rFonts w:asciiTheme="minorHAnsi" w:hAnsiTheme="minorHAnsi"/>
                <w:b/>
              </w:rPr>
            </w:pPr>
            <w:r w:rsidRPr="00447869">
              <w:rPr>
                <w:rFonts w:asciiTheme="minorHAnsi" w:hAnsiTheme="minorHAnsi"/>
                <w:b/>
              </w:rPr>
              <w:t>Condition Name</w:t>
            </w:r>
          </w:p>
        </w:tc>
        <w:tc>
          <w:tcPr>
            <w:tcW w:w="2977" w:type="dxa"/>
          </w:tcPr>
          <w:p w14:paraId="1858F2EB" w14:textId="3A574FB8" w:rsidR="00EB6C11" w:rsidRPr="00896241" w:rsidRDefault="00EB6C11" w:rsidP="00021243">
            <w:pPr>
              <w:spacing w:before="120" w:after="120"/>
              <w:rPr>
                <w:rFonts w:asciiTheme="minorHAnsi" w:hAnsiTheme="minorHAnsi"/>
                <w:b/>
              </w:rPr>
            </w:pPr>
            <w:r w:rsidRPr="00C0329D">
              <w:rPr>
                <w:rFonts w:asciiTheme="minorHAnsi" w:eastAsia="Times New Roman" w:hAnsiTheme="minorHAnsi" w:cs="Times New Roman"/>
                <w:b/>
                <w:bCs/>
                <w:lang w:eastAsia="en-AU"/>
              </w:rPr>
              <w:t>Autoimmune neutropenia</w:t>
            </w:r>
          </w:p>
        </w:tc>
        <w:tc>
          <w:tcPr>
            <w:tcW w:w="5670" w:type="dxa"/>
            <w:gridSpan w:val="3"/>
          </w:tcPr>
          <w:p w14:paraId="276BE45C" w14:textId="11D9A5BB" w:rsidR="00EB6C11" w:rsidRPr="008C1497" w:rsidRDefault="00EB6C11" w:rsidP="00021243">
            <w:pPr>
              <w:spacing w:before="120" w:after="120"/>
              <w:rPr>
                <w:rFonts w:asciiTheme="minorHAnsi" w:hAnsiTheme="minorHAnsi"/>
              </w:rPr>
            </w:pPr>
            <w:r w:rsidRPr="0019679F">
              <w:rPr>
                <w:rFonts w:asciiTheme="minorHAnsi" w:eastAsia="Times New Roman" w:hAnsiTheme="minorHAnsi" w:cs="Times New Roman"/>
                <w:b/>
                <w:bCs/>
                <w:lang w:eastAsia="en-AU"/>
              </w:rPr>
              <w:t>Autoimmune neutropenia</w:t>
            </w:r>
          </w:p>
        </w:tc>
        <w:tc>
          <w:tcPr>
            <w:tcW w:w="4394" w:type="dxa"/>
          </w:tcPr>
          <w:p w14:paraId="71245FBB" w14:textId="4377D27E" w:rsidR="00EB6C11" w:rsidRPr="00C92149" w:rsidRDefault="00EB6C11" w:rsidP="005960E7">
            <w:pPr>
              <w:pStyle w:val="heading"/>
              <w:spacing w:before="0" w:beforeAutospacing="0" w:after="225" w:afterAutospacing="0" w:line="293" w:lineRule="atLeast"/>
              <w:rPr>
                <w:rFonts w:asciiTheme="minorHAnsi" w:hAnsiTheme="minorHAnsi"/>
                <w:sz w:val="22"/>
              </w:rPr>
            </w:pPr>
            <w:r>
              <w:rPr>
                <w:rFonts w:asciiTheme="minorHAnsi" w:hAnsiTheme="minorHAnsi"/>
                <w:sz w:val="22"/>
              </w:rPr>
              <w:t xml:space="preserve">Unchanged </w:t>
            </w:r>
          </w:p>
        </w:tc>
      </w:tr>
      <w:tr w:rsidR="00EB6C11" w:rsidRPr="00447869" w14:paraId="3BA74D29" w14:textId="77777777" w:rsidTr="00D11061">
        <w:tc>
          <w:tcPr>
            <w:tcW w:w="1560" w:type="dxa"/>
            <w:shd w:val="clear" w:color="auto" w:fill="D9D9D9" w:themeFill="background1" w:themeFillShade="D9"/>
          </w:tcPr>
          <w:p w14:paraId="1F21C5D0" w14:textId="77777777" w:rsidR="00EB6C11" w:rsidRPr="00447869" w:rsidRDefault="00EB6C11" w:rsidP="00021243">
            <w:pPr>
              <w:spacing w:before="120" w:after="120"/>
              <w:rPr>
                <w:rFonts w:asciiTheme="minorHAnsi" w:hAnsiTheme="minorHAnsi"/>
              </w:rPr>
            </w:pPr>
            <w:r w:rsidRPr="00447869">
              <w:rPr>
                <w:rFonts w:asciiTheme="minorHAnsi" w:hAnsiTheme="minorHAnsi"/>
                <w:b/>
              </w:rPr>
              <w:t>Specialty</w:t>
            </w:r>
          </w:p>
        </w:tc>
        <w:tc>
          <w:tcPr>
            <w:tcW w:w="2977" w:type="dxa"/>
          </w:tcPr>
          <w:p w14:paraId="6DAE883D" w14:textId="77777777" w:rsidR="00EB6C11" w:rsidRPr="00447869" w:rsidRDefault="00EB6C11" w:rsidP="00021243">
            <w:pPr>
              <w:spacing w:before="120" w:after="120"/>
              <w:rPr>
                <w:rFonts w:asciiTheme="minorHAnsi" w:hAnsiTheme="minorHAnsi"/>
              </w:rPr>
            </w:pPr>
            <w:r>
              <w:rPr>
                <w:rFonts w:asciiTheme="minorHAnsi" w:hAnsiTheme="minorHAnsi"/>
              </w:rPr>
              <w:t xml:space="preserve">Haematology </w:t>
            </w:r>
          </w:p>
        </w:tc>
        <w:tc>
          <w:tcPr>
            <w:tcW w:w="5670" w:type="dxa"/>
            <w:gridSpan w:val="3"/>
          </w:tcPr>
          <w:p w14:paraId="5BAD7788" w14:textId="077C72CA" w:rsidR="00EB6C11" w:rsidRPr="00447869" w:rsidRDefault="00EB6C11" w:rsidP="00021243">
            <w:pPr>
              <w:spacing w:before="120" w:after="120"/>
              <w:rPr>
                <w:rFonts w:asciiTheme="minorHAnsi" w:hAnsiTheme="minorHAnsi"/>
              </w:rPr>
            </w:pPr>
            <w:r w:rsidRPr="0019679F">
              <w:rPr>
                <w:rFonts w:asciiTheme="minorHAnsi" w:hAnsiTheme="minorHAnsi"/>
              </w:rPr>
              <w:t>Haematology</w:t>
            </w:r>
          </w:p>
        </w:tc>
        <w:tc>
          <w:tcPr>
            <w:tcW w:w="4394" w:type="dxa"/>
          </w:tcPr>
          <w:p w14:paraId="28CF817C" w14:textId="4729999D" w:rsidR="00EB6C11" w:rsidRPr="009208EC" w:rsidRDefault="00EB6C11" w:rsidP="00021243">
            <w:pPr>
              <w:spacing w:before="120" w:after="120"/>
              <w:rPr>
                <w:rFonts w:asciiTheme="minorHAnsi" w:hAnsiTheme="minorHAnsi"/>
                <w:szCs w:val="20"/>
              </w:rPr>
            </w:pPr>
            <w:r>
              <w:rPr>
                <w:rFonts w:asciiTheme="minorHAnsi" w:hAnsiTheme="minorHAnsi"/>
                <w:szCs w:val="20"/>
              </w:rPr>
              <w:t xml:space="preserve">Unchanged </w:t>
            </w:r>
          </w:p>
        </w:tc>
      </w:tr>
      <w:tr w:rsidR="00EB6C11" w:rsidRPr="00447869" w14:paraId="790C5B90" w14:textId="77777777" w:rsidTr="00D11061">
        <w:tc>
          <w:tcPr>
            <w:tcW w:w="1560" w:type="dxa"/>
            <w:shd w:val="clear" w:color="auto" w:fill="D9D9D9" w:themeFill="background1" w:themeFillShade="D9"/>
          </w:tcPr>
          <w:p w14:paraId="1C47F2F1" w14:textId="51B45FD0" w:rsidR="00EB6C11" w:rsidRPr="00447869" w:rsidRDefault="00A209FE" w:rsidP="00021243">
            <w:pPr>
              <w:spacing w:before="120" w:after="120"/>
              <w:rPr>
                <w:rFonts w:asciiTheme="minorHAnsi" w:hAnsiTheme="minorHAnsi"/>
              </w:rPr>
            </w:pPr>
            <w:r>
              <w:rPr>
                <w:rFonts w:asciiTheme="minorHAnsi" w:hAnsiTheme="minorHAnsi"/>
                <w:b/>
              </w:rPr>
              <w:t>Category</w:t>
            </w:r>
          </w:p>
        </w:tc>
        <w:tc>
          <w:tcPr>
            <w:tcW w:w="2977" w:type="dxa"/>
          </w:tcPr>
          <w:p w14:paraId="0F3FC140" w14:textId="0FCC7D17" w:rsidR="00EB6C11" w:rsidRPr="00E11660" w:rsidRDefault="00A96DC8" w:rsidP="008515FF">
            <w:pPr>
              <w:spacing w:before="120" w:after="120"/>
              <w:rPr>
                <w:rFonts w:asciiTheme="minorHAnsi" w:hAnsiTheme="minorHAnsi"/>
                <w:i/>
              </w:rPr>
            </w:pPr>
            <w:r w:rsidRPr="00E11660">
              <w:rPr>
                <w:rFonts w:asciiTheme="minorHAnsi" w:hAnsiTheme="minorHAnsi"/>
                <w:i/>
              </w:rPr>
              <w:t>Exceptional circumstances</w:t>
            </w:r>
            <w:r w:rsidR="00A209FE" w:rsidRPr="00E11660">
              <w:rPr>
                <w:rFonts w:asciiTheme="minorHAnsi" w:hAnsiTheme="minorHAnsi"/>
                <w:i/>
              </w:rPr>
              <w:t xml:space="preserve"> only</w:t>
            </w:r>
          </w:p>
        </w:tc>
        <w:tc>
          <w:tcPr>
            <w:tcW w:w="5670" w:type="dxa"/>
            <w:gridSpan w:val="3"/>
          </w:tcPr>
          <w:p w14:paraId="1BE5627C" w14:textId="3E9E0EFF" w:rsidR="00EB6C11" w:rsidRPr="00447869" w:rsidRDefault="00A209FE" w:rsidP="00B83780">
            <w:pPr>
              <w:spacing w:before="120" w:after="120"/>
              <w:rPr>
                <w:rFonts w:asciiTheme="minorHAnsi" w:hAnsiTheme="minorHAnsi"/>
              </w:rPr>
            </w:pPr>
            <w:r w:rsidRPr="009C63BE">
              <w:rPr>
                <w:rFonts w:asciiTheme="minorHAnsi" w:hAnsiTheme="minorHAnsi"/>
                <w:i/>
              </w:rPr>
              <w:t>Exceptional circumstances only</w:t>
            </w:r>
          </w:p>
        </w:tc>
        <w:tc>
          <w:tcPr>
            <w:tcW w:w="4394" w:type="dxa"/>
          </w:tcPr>
          <w:p w14:paraId="49FFE54B" w14:textId="1B6B76BB" w:rsidR="00EB6C11" w:rsidRPr="009208EC" w:rsidRDefault="00EB6C11" w:rsidP="00631EAB">
            <w:pPr>
              <w:spacing w:before="120" w:after="120"/>
              <w:rPr>
                <w:rFonts w:asciiTheme="minorHAnsi" w:hAnsiTheme="minorHAnsi"/>
                <w:szCs w:val="20"/>
              </w:rPr>
            </w:pPr>
            <w:r>
              <w:rPr>
                <w:rFonts w:asciiTheme="minorHAnsi" w:hAnsiTheme="minorHAnsi"/>
                <w:szCs w:val="20"/>
              </w:rPr>
              <w:t>Unchanged</w:t>
            </w:r>
          </w:p>
        </w:tc>
      </w:tr>
      <w:tr w:rsidR="00EB6C11" w:rsidRPr="00447869" w14:paraId="16136D74" w14:textId="77777777" w:rsidTr="00D11061">
        <w:tc>
          <w:tcPr>
            <w:tcW w:w="1560" w:type="dxa"/>
            <w:shd w:val="clear" w:color="auto" w:fill="D9D9D9" w:themeFill="background1" w:themeFillShade="D9"/>
          </w:tcPr>
          <w:p w14:paraId="6A21A409" w14:textId="77777777" w:rsidR="00EB6C11" w:rsidRPr="008515FF" w:rsidRDefault="00EB6C11" w:rsidP="00021243">
            <w:pPr>
              <w:spacing w:before="120" w:after="120"/>
              <w:rPr>
                <w:rFonts w:asciiTheme="minorHAnsi" w:hAnsiTheme="minorHAnsi"/>
                <w:b/>
              </w:rPr>
            </w:pPr>
            <w:r w:rsidRPr="00447869">
              <w:rPr>
                <w:rFonts w:asciiTheme="minorHAnsi" w:hAnsiTheme="minorHAnsi"/>
                <w:b/>
              </w:rPr>
              <w:t>Specific Conditions</w:t>
            </w:r>
          </w:p>
        </w:tc>
        <w:tc>
          <w:tcPr>
            <w:tcW w:w="2977" w:type="dxa"/>
          </w:tcPr>
          <w:p w14:paraId="279EEFDF" w14:textId="044BEF22" w:rsidR="00EB6C11" w:rsidRPr="00447869" w:rsidRDefault="00EB6C11" w:rsidP="00D32E23">
            <w:pPr>
              <w:spacing w:before="120" w:after="120"/>
              <w:rPr>
                <w:rFonts w:asciiTheme="minorHAnsi" w:hAnsiTheme="minorHAnsi"/>
              </w:rPr>
            </w:pPr>
          </w:p>
        </w:tc>
        <w:tc>
          <w:tcPr>
            <w:tcW w:w="5670" w:type="dxa"/>
            <w:gridSpan w:val="3"/>
          </w:tcPr>
          <w:p w14:paraId="1765087E" w14:textId="561CF4B6" w:rsidR="00EB6C11" w:rsidRPr="00C91C6E" w:rsidRDefault="00EB6C11" w:rsidP="008515FF">
            <w:pPr>
              <w:rPr>
                <w:rFonts w:asciiTheme="minorHAnsi" w:hAnsiTheme="minorHAnsi"/>
              </w:rPr>
            </w:pPr>
            <w:r w:rsidRPr="00C91C6E">
              <w:rPr>
                <w:rFonts w:asciiTheme="minorHAnsi" w:eastAsia="Times New Roman" w:hAnsiTheme="minorHAnsi" w:cs="Times New Roman"/>
                <w:bCs/>
                <w:lang w:eastAsia="en-AU"/>
              </w:rPr>
              <w:t>Autoimmune neutropenia</w:t>
            </w:r>
          </w:p>
        </w:tc>
        <w:tc>
          <w:tcPr>
            <w:tcW w:w="4394" w:type="dxa"/>
          </w:tcPr>
          <w:p w14:paraId="1A039262" w14:textId="6B6B4DDC" w:rsidR="00EB6C11" w:rsidRPr="00C92149" w:rsidRDefault="00EB6C11" w:rsidP="00021243">
            <w:pPr>
              <w:spacing w:before="120" w:after="120"/>
              <w:rPr>
                <w:rFonts w:asciiTheme="minorHAnsi" w:hAnsiTheme="minorHAnsi"/>
                <w:szCs w:val="20"/>
              </w:rPr>
            </w:pPr>
            <w:r>
              <w:rPr>
                <w:rFonts w:asciiTheme="minorHAnsi" w:hAnsiTheme="minorHAnsi"/>
                <w:szCs w:val="20"/>
              </w:rPr>
              <w:t xml:space="preserve">Specific condition must be defined </w:t>
            </w:r>
          </w:p>
        </w:tc>
      </w:tr>
      <w:tr w:rsidR="00EB6C11" w:rsidRPr="00447869" w14:paraId="5D95AC67" w14:textId="77777777" w:rsidTr="00D11061">
        <w:tc>
          <w:tcPr>
            <w:tcW w:w="1560" w:type="dxa"/>
            <w:shd w:val="clear" w:color="auto" w:fill="D9D9D9" w:themeFill="background1" w:themeFillShade="D9"/>
          </w:tcPr>
          <w:p w14:paraId="6FE90707" w14:textId="74009DB3" w:rsidR="00EB6C11" w:rsidRPr="000A554D" w:rsidRDefault="00EB6C11" w:rsidP="00021243">
            <w:pPr>
              <w:spacing w:before="120" w:after="120"/>
              <w:rPr>
                <w:rFonts w:asciiTheme="minorHAnsi" w:hAnsiTheme="minorHAnsi"/>
                <w:b/>
              </w:rPr>
            </w:pPr>
            <w:r w:rsidRPr="00447869">
              <w:rPr>
                <w:rFonts w:asciiTheme="minorHAnsi" w:hAnsiTheme="minorHAnsi"/>
                <w:b/>
              </w:rPr>
              <w:t>Level of Evidence</w:t>
            </w:r>
          </w:p>
        </w:tc>
        <w:tc>
          <w:tcPr>
            <w:tcW w:w="2977" w:type="dxa"/>
          </w:tcPr>
          <w:p w14:paraId="59BF8E01" w14:textId="6BA52AE2" w:rsidR="00EB6C11" w:rsidRPr="00447869" w:rsidRDefault="00EB6C11" w:rsidP="00021243">
            <w:pPr>
              <w:spacing w:before="120" w:after="120"/>
              <w:rPr>
                <w:rFonts w:asciiTheme="minorHAnsi" w:hAnsiTheme="minorHAnsi"/>
              </w:rPr>
            </w:pPr>
            <w:r>
              <w:rPr>
                <w:rFonts w:asciiTheme="minorHAnsi" w:hAnsiTheme="minorHAnsi"/>
              </w:rPr>
              <w:t>I</w:t>
            </w:r>
            <w:r w:rsidRPr="00D11061">
              <w:rPr>
                <w:rFonts w:asciiTheme="minorHAnsi" w:hAnsiTheme="minorHAnsi"/>
              </w:rPr>
              <w:t>nsufficient data (Category 4a)</w:t>
            </w:r>
          </w:p>
        </w:tc>
        <w:tc>
          <w:tcPr>
            <w:tcW w:w="5670" w:type="dxa"/>
            <w:gridSpan w:val="3"/>
          </w:tcPr>
          <w:p w14:paraId="24B7B3E0" w14:textId="07F76B3C" w:rsidR="00EB6C11" w:rsidRPr="00447869" w:rsidRDefault="00EB6C11" w:rsidP="008515FF">
            <w:pPr>
              <w:spacing w:before="120" w:after="120"/>
              <w:rPr>
                <w:rFonts w:asciiTheme="minorHAnsi" w:hAnsiTheme="minorHAnsi"/>
              </w:rPr>
            </w:pPr>
            <w:r>
              <w:t xml:space="preserve"> Insufficient data (Category 4a)</w:t>
            </w:r>
          </w:p>
        </w:tc>
        <w:tc>
          <w:tcPr>
            <w:tcW w:w="4394" w:type="dxa"/>
          </w:tcPr>
          <w:p w14:paraId="367C675A" w14:textId="38EDDFA4" w:rsidR="00EB6C11" w:rsidRPr="009208EC" w:rsidRDefault="00EB6C11" w:rsidP="00021243">
            <w:pPr>
              <w:spacing w:before="120" w:after="120"/>
              <w:rPr>
                <w:rFonts w:asciiTheme="minorHAnsi" w:hAnsiTheme="minorHAnsi"/>
                <w:szCs w:val="20"/>
              </w:rPr>
            </w:pPr>
            <w:r>
              <w:rPr>
                <w:rFonts w:asciiTheme="minorHAnsi" w:hAnsiTheme="minorHAnsi"/>
                <w:szCs w:val="20"/>
              </w:rPr>
              <w:t>Unchanged</w:t>
            </w:r>
          </w:p>
        </w:tc>
      </w:tr>
      <w:tr w:rsidR="00EB6C11" w:rsidRPr="00447869" w14:paraId="7C9346B7" w14:textId="77777777" w:rsidTr="00D11061">
        <w:tc>
          <w:tcPr>
            <w:tcW w:w="1560" w:type="dxa"/>
            <w:shd w:val="clear" w:color="auto" w:fill="D9D9D9" w:themeFill="background1" w:themeFillShade="D9"/>
          </w:tcPr>
          <w:p w14:paraId="78F20145" w14:textId="30CB6811" w:rsidR="00EB6C11" w:rsidRPr="006A2CA8" w:rsidRDefault="00EB6C11" w:rsidP="00CE69D0">
            <w:pPr>
              <w:spacing w:before="120" w:after="120"/>
              <w:rPr>
                <w:rFonts w:asciiTheme="minorHAnsi" w:hAnsiTheme="minorHAnsi"/>
                <w:b/>
              </w:rPr>
            </w:pPr>
            <w:r w:rsidRPr="00447869">
              <w:rPr>
                <w:rFonts w:asciiTheme="minorHAnsi" w:hAnsiTheme="minorHAnsi"/>
                <w:b/>
              </w:rPr>
              <w:t>Justification for Evidence Category</w:t>
            </w:r>
          </w:p>
        </w:tc>
        <w:tc>
          <w:tcPr>
            <w:tcW w:w="2977" w:type="dxa"/>
          </w:tcPr>
          <w:p w14:paraId="2670E134" w14:textId="45E389EB" w:rsidR="00EB6C11" w:rsidRPr="00447869" w:rsidRDefault="00EB6C11" w:rsidP="006A2CA8">
            <w:pPr>
              <w:spacing w:before="120" w:after="120"/>
              <w:rPr>
                <w:rFonts w:asciiTheme="minorHAnsi" w:hAnsiTheme="minorHAnsi"/>
              </w:rPr>
            </w:pPr>
            <w:r>
              <w:rPr>
                <w:rFonts w:asciiTheme="minorHAnsi" w:hAnsiTheme="minorHAnsi"/>
              </w:rPr>
              <w:t xml:space="preserve"> </w:t>
            </w:r>
          </w:p>
          <w:p w14:paraId="7727B218" w14:textId="3A6B1404" w:rsidR="00EB6C11" w:rsidRPr="00447869" w:rsidRDefault="00EB6C11" w:rsidP="00D11061">
            <w:pPr>
              <w:spacing w:before="120" w:after="120"/>
              <w:rPr>
                <w:rFonts w:asciiTheme="minorHAnsi" w:hAnsiTheme="minorHAnsi"/>
              </w:rPr>
            </w:pPr>
          </w:p>
        </w:tc>
        <w:tc>
          <w:tcPr>
            <w:tcW w:w="5670" w:type="dxa"/>
            <w:gridSpan w:val="3"/>
          </w:tcPr>
          <w:p w14:paraId="48E830A3" w14:textId="6D62F026" w:rsidR="00EB6C11" w:rsidRPr="00447869" w:rsidRDefault="00EB6C11" w:rsidP="00E97FFA">
            <w:pPr>
              <w:spacing w:before="120" w:after="120"/>
              <w:rPr>
                <w:rFonts w:asciiTheme="minorHAnsi" w:hAnsiTheme="minorHAnsi"/>
              </w:rPr>
            </w:pPr>
            <w:r w:rsidRPr="00711A47">
              <w:rPr>
                <w:rFonts w:asciiTheme="minorHAnsi" w:hAnsiTheme="minorHAnsi" w:cs="Lucida Grande"/>
                <w:color w:val="000000"/>
              </w:rPr>
              <w:t xml:space="preserve">First line treatment of Autoimmune neutropenia is G-CSF and antibiotics </w:t>
            </w:r>
            <w:r w:rsidR="00E97FFA" w:rsidRPr="00711A47">
              <w:rPr>
                <w:rFonts w:asciiTheme="minorHAnsi" w:hAnsiTheme="minorHAnsi" w:cs="Lucida Grande"/>
                <w:color w:val="000000"/>
              </w:rPr>
              <w:t>to</w:t>
            </w:r>
            <w:r w:rsidRPr="00711A47">
              <w:rPr>
                <w:rFonts w:asciiTheme="minorHAnsi" w:hAnsiTheme="minorHAnsi" w:cs="Lucida Grande"/>
                <w:color w:val="000000"/>
              </w:rPr>
              <w:t xml:space="preserve"> treat any infection. In patients with severe infection, there are multiple small case reports and case series s</w:t>
            </w:r>
            <w:r w:rsidR="00E97FFA">
              <w:rPr>
                <w:rFonts w:asciiTheme="minorHAnsi" w:hAnsiTheme="minorHAnsi" w:cs="Lucida Grande"/>
                <w:color w:val="000000"/>
              </w:rPr>
              <w:t>upporting the use of Ig therapy</w:t>
            </w:r>
            <w:r w:rsidRPr="00711A47">
              <w:rPr>
                <w:rFonts w:asciiTheme="minorHAnsi" w:hAnsiTheme="minorHAnsi" w:cs="Lucida Grande"/>
                <w:color w:val="000000"/>
              </w:rPr>
              <w:t xml:space="preserve"> (</w:t>
            </w:r>
            <w:proofErr w:type="spellStart"/>
            <w:r w:rsidRPr="00711A47">
              <w:rPr>
                <w:rFonts w:asciiTheme="minorHAnsi" w:hAnsiTheme="minorHAnsi" w:cs="Lucida Grande"/>
                <w:color w:val="000000"/>
              </w:rPr>
              <w:t>Bux</w:t>
            </w:r>
            <w:proofErr w:type="spellEnd"/>
            <w:r w:rsidR="00E97FFA">
              <w:rPr>
                <w:rFonts w:asciiTheme="minorHAnsi" w:hAnsiTheme="minorHAnsi" w:cs="Lucida Grande"/>
                <w:color w:val="000000"/>
              </w:rPr>
              <w:t xml:space="preserve"> et al, 1991 and </w:t>
            </w:r>
            <w:proofErr w:type="spellStart"/>
            <w:r w:rsidR="00E97FFA">
              <w:rPr>
                <w:rFonts w:asciiTheme="minorHAnsi" w:hAnsiTheme="minorHAnsi" w:cs="Lucida Grande"/>
                <w:color w:val="000000"/>
              </w:rPr>
              <w:t>Bux</w:t>
            </w:r>
            <w:proofErr w:type="spellEnd"/>
            <w:r w:rsidR="00E97FFA">
              <w:rPr>
                <w:rFonts w:asciiTheme="minorHAnsi" w:hAnsiTheme="minorHAnsi" w:cs="Lucida Grande"/>
                <w:color w:val="000000"/>
              </w:rPr>
              <w:t xml:space="preserve"> et al, </w:t>
            </w:r>
            <w:r w:rsidRPr="00711A47">
              <w:rPr>
                <w:rFonts w:asciiTheme="minorHAnsi" w:hAnsiTheme="minorHAnsi" w:cs="Lucida Grande"/>
                <w:color w:val="000000"/>
              </w:rPr>
              <w:t>1998</w:t>
            </w:r>
            <w:r w:rsidR="00E97FFA">
              <w:rPr>
                <w:rFonts w:asciiTheme="minorHAnsi" w:hAnsiTheme="minorHAnsi" w:cs="Lucida Grande"/>
                <w:color w:val="000000"/>
              </w:rPr>
              <w:t xml:space="preserve"> and</w:t>
            </w:r>
            <w:r w:rsidRPr="00711A47">
              <w:rPr>
                <w:rFonts w:asciiTheme="minorHAnsi" w:hAnsiTheme="minorHAnsi" w:cs="Lucida Grande"/>
                <w:color w:val="000000"/>
              </w:rPr>
              <w:t xml:space="preserve"> </w:t>
            </w:r>
            <w:proofErr w:type="spellStart"/>
            <w:r w:rsidRPr="00711A47">
              <w:rPr>
                <w:rFonts w:asciiTheme="minorHAnsi" w:hAnsiTheme="minorHAnsi" w:cs="Lucida Grande"/>
                <w:color w:val="000000"/>
              </w:rPr>
              <w:t>Getta</w:t>
            </w:r>
            <w:proofErr w:type="spellEnd"/>
            <w:r w:rsidR="00E97FFA">
              <w:rPr>
                <w:rFonts w:asciiTheme="minorHAnsi" w:hAnsiTheme="minorHAnsi" w:cs="Lucida Grande"/>
                <w:color w:val="000000"/>
              </w:rPr>
              <w:t xml:space="preserve"> et al,</w:t>
            </w:r>
            <w:r w:rsidRPr="00711A47">
              <w:rPr>
                <w:rFonts w:asciiTheme="minorHAnsi" w:hAnsiTheme="minorHAnsi" w:cs="Lucida Grande"/>
                <w:color w:val="000000"/>
              </w:rPr>
              <w:t xml:space="preserve"> 2015). Corticosteroids, cy</w:t>
            </w:r>
            <w:r w:rsidR="002F6A83">
              <w:rPr>
                <w:rFonts w:asciiTheme="minorHAnsi" w:hAnsiTheme="minorHAnsi" w:cs="Lucida Grande"/>
                <w:color w:val="000000"/>
              </w:rPr>
              <w:t>to</w:t>
            </w:r>
            <w:r w:rsidRPr="00711A47">
              <w:rPr>
                <w:rFonts w:asciiTheme="minorHAnsi" w:hAnsiTheme="minorHAnsi" w:cs="Lucida Grande"/>
                <w:color w:val="000000"/>
              </w:rPr>
              <w:t xml:space="preserve">toxic and immunosuppressant medication and rarely, splenectomy have also been described. </w:t>
            </w:r>
            <w:r w:rsidRPr="00E97FFA">
              <w:rPr>
                <w:rFonts w:asciiTheme="minorHAnsi" w:hAnsiTheme="minorHAnsi" w:cs="Lucida Grande"/>
                <w:color w:val="000000"/>
                <w:lang w:val="fr-FR"/>
              </w:rPr>
              <w:t>(</w:t>
            </w:r>
            <w:proofErr w:type="spellStart"/>
            <w:r w:rsidRPr="00E97FFA">
              <w:rPr>
                <w:rFonts w:asciiTheme="minorHAnsi" w:hAnsiTheme="minorHAnsi" w:cs="Lucida Grande"/>
                <w:color w:val="000000"/>
                <w:lang w:val="fr-FR"/>
              </w:rPr>
              <w:t>Shastri</w:t>
            </w:r>
            <w:proofErr w:type="spellEnd"/>
            <w:r w:rsidRPr="00E97FFA">
              <w:rPr>
                <w:rFonts w:asciiTheme="minorHAnsi" w:hAnsiTheme="minorHAnsi" w:cs="Lucida Grande"/>
                <w:color w:val="000000"/>
                <w:lang w:val="fr-FR"/>
              </w:rPr>
              <w:t xml:space="preserve"> </w:t>
            </w:r>
            <w:r w:rsidR="00E97FFA" w:rsidRPr="00E97FFA">
              <w:rPr>
                <w:rFonts w:asciiTheme="minorHAnsi" w:hAnsiTheme="minorHAnsi" w:cs="Lucida Grande"/>
                <w:color w:val="000000"/>
                <w:lang w:val="fr-FR"/>
              </w:rPr>
              <w:t xml:space="preserve">&amp; Logue, 1993 and </w:t>
            </w:r>
            <w:proofErr w:type="spellStart"/>
            <w:r w:rsidRPr="00E97FFA">
              <w:rPr>
                <w:rFonts w:asciiTheme="minorHAnsi" w:hAnsiTheme="minorHAnsi" w:cs="Lucida Grande"/>
                <w:color w:val="000000"/>
                <w:lang w:val="fr-FR"/>
              </w:rPr>
              <w:t>Capsoni</w:t>
            </w:r>
            <w:proofErr w:type="spellEnd"/>
            <w:r w:rsidRPr="00E97FFA">
              <w:rPr>
                <w:rFonts w:asciiTheme="minorHAnsi" w:hAnsiTheme="minorHAnsi" w:cs="Lucida Grande"/>
                <w:color w:val="000000"/>
                <w:lang w:val="fr-FR"/>
              </w:rPr>
              <w:t xml:space="preserve"> </w:t>
            </w:r>
            <w:r w:rsidR="00E97FFA" w:rsidRPr="00E97FFA">
              <w:rPr>
                <w:rFonts w:asciiTheme="minorHAnsi" w:hAnsiTheme="minorHAnsi" w:cs="Lucida Grande"/>
                <w:color w:val="000000"/>
                <w:lang w:val="fr-FR"/>
              </w:rPr>
              <w:t>et al, 2005 and</w:t>
            </w:r>
            <w:r w:rsidRPr="00E97FFA">
              <w:rPr>
                <w:rFonts w:asciiTheme="minorHAnsi" w:hAnsiTheme="minorHAnsi" w:cs="Lucida Grande"/>
                <w:color w:val="000000"/>
                <w:lang w:val="fr-FR"/>
              </w:rPr>
              <w:t xml:space="preserve"> </w:t>
            </w:r>
            <w:proofErr w:type="spellStart"/>
            <w:r w:rsidRPr="00E97FFA">
              <w:rPr>
                <w:rFonts w:asciiTheme="minorHAnsi" w:hAnsiTheme="minorHAnsi" w:cs="Lucida Grande"/>
                <w:color w:val="000000"/>
                <w:lang w:val="fr-FR"/>
              </w:rPr>
              <w:t>Bux</w:t>
            </w:r>
            <w:proofErr w:type="spellEnd"/>
            <w:r w:rsidRPr="00E97FFA">
              <w:rPr>
                <w:rFonts w:asciiTheme="minorHAnsi" w:hAnsiTheme="minorHAnsi" w:cs="Lucida Grande"/>
                <w:color w:val="000000"/>
                <w:lang w:val="fr-FR"/>
              </w:rPr>
              <w:t xml:space="preserve"> </w:t>
            </w:r>
            <w:r w:rsidR="00E97FFA" w:rsidRPr="00E97FFA">
              <w:rPr>
                <w:rFonts w:asciiTheme="minorHAnsi" w:hAnsiTheme="minorHAnsi" w:cs="Lucida Grande"/>
                <w:color w:val="000000"/>
                <w:lang w:val="fr-FR"/>
              </w:rPr>
              <w:t xml:space="preserve">et al, </w:t>
            </w:r>
            <w:r w:rsidRPr="00E97FFA">
              <w:rPr>
                <w:rFonts w:asciiTheme="minorHAnsi" w:hAnsiTheme="minorHAnsi" w:cs="Lucida Grande"/>
                <w:color w:val="000000"/>
                <w:lang w:val="fr-FR"/>
              </w:rPr>
              <w:t>1998)</w:t>
            </w:r>
            <w:r w:rsidR="00E97FFA" w:rsidRPr="00E97FFA">
              <w:rPr>
                <w:rFonts w:asciiTheme="minorHAnsi" w:hAnsiTheme="minorHAnsi" w:cs="Lucida Grande"/>
                <w:color w:val="000000"/>
                <w:lang w:val="fr-FR"/>
              </w:rPr>
              <w:t>.</w:t>
            </w:r>
            <w:r w:rsidRPr="00E97FFA">
              <w:rPr>
                <w:rFonts w:asciiTheme="minorHAnsi" w:hAnsiTheme="minorHAnsi" w:cs="Lucida Grande"/>
                <w:color w:val="000000"/>
                <w:lang w:val="fr-FR"/>
              </w:rPr>
              <w:t xml:space="preserve"> </w:t>
            </w:r>
            <w:r w:rsidRPr="00711A47">
              <w:rPr>
                <w:rFonts w:asciiTheme="minorHAnsi" w:hAnsiTheme="minorHAnsi" w:cs="Lucida Grande"/>
                <w:color w:val="000000"/>
              </w:rPr>
              <w:t xml:space="preserve">Although some long lasting </w:t>
            </w:r>
            <w:r w:rsidR="00E97FFA" w:rsidRPr="00711A47">
              <w:rPr>
                <w:rFonts w:asciiTheme="minorHAnsi" w:hAnsiTheme="minorHAnsi" w:cs="Lucida Grande"/>
                <w:color w:val="000000"/>
              </w:rPr>
              <w:t>responses</w:t>
            </w:r>
            <w:r w:rsidRPr="00711A47">
              <w:rPr>
                <w:rFonts w:asciiTheme="minorHAnsi" w:hAnsiTheme="minorHAnsi" w:cs="Lucida Grande"/>
                <w:color w:val="000000"/>
              </w:rPr>
              <w:t xml:space="preserve"> have </w:t>
            </w:r>
            <w:r w:rsidR="00E97FFA" w:rsidRPr="00711A47">
              <w:rPr>
                <w:rFonts w:asciiTheme="minorHAnsi" w:hAnsiTheme="minorHAnsi" w:cs="Lucida Grande"/>
                <w:color w:val="000000"/>
              </w:rPr>
              <w:t>occasionally</w:t>
            </w:r>
            <w:r w:rsidRPr="00711A47">
              <w:rPr>
                <w:rFonts w:asciiTheme="minorHAnsi" w:hAnsiTheme="minorHAnsi" w:cs="Lucida Grande"/>
                <w:color w:val="000000"/>
              </w:rPr>
              <w:t xml:space="preserve"> been reported following Ig therapy, the overall response is generally short lived and providing an opportunity to treat severe underlying infection.   </w:t>
            </w:r>
          </w:p>
        </w:tc>
        <w:tc>
          <w:tcPr>
            <w:tcW w:w="4394" w:type="dxa"/>
          </w:tcPr>
          <w:p w14:paraId="0E9EC90A" w14:textId="399793C8" w:rsidR="00EB6C11" w:rsidRPr="00C92149" w:rsidRDefault="00EB6C11" w:rsidP="00F0750D">
            <w:pPr>
              <w:spacing w:before="120" w:after="120"/>
              <w:rPr>
                <w:rFonts w:asciiTheme="minorHAnsi" w:hAnsiTheme="minorHAnsi"/>
                <w:szCs w:val="20"/>
              </w:rPr>
            </w:pPr>
            <w:r>
              <w:rPr>
                <w:rFonts w:asciiTheme="minorHAnsi" w:hAnsiTheme="minorHAnsi"/>
                <w:szCs w:val="20"/>
              </w:rPr>
              <w:t xml:space="preserve">This section has been drafted in line with the literature </w:t>
            </w:r>
          </w:p>
        </w:tc>
      </w:tr>
      <w:tr w:rsidR="00AB120F" w:rsidRPr="00447869" w14:paraId="31C57878" w14:textId="77777777" w:rsidTr="00D11061">
        <w:tc>
          <w:tcPr>
            <w:tcW w:w="1560" w:type="dxa"/>
            <w:shd w:val="clear" w:color="auto" w:fill="D9D9D9" w:themeFill="background1" w:themeFillShade="D9"/>
          </w:tcPr>
          <w:p w14:paraId="390CE2A0" w14:textId="77777777" w:rsidR="00AB120F" w:rsidRPr="00447869" w:rsidRDefault="00AB120F" w:rsidP="0019679F">
            <w:pPr>
              <w:spacing w:before="120" w:after="120"/>
              <w:rPr>
                <w:rFonts w:asciiTheme="minorHAnsi" w:hAnsiTheme="minorHAnsi"/>
              </w:rPr>
            </w:pPr>
            <w:r w:rsidRPr="00447869">
              <w:rPr>
                <w:rFonts w:asciiTheme="minorHAnsi" w:hAnsiTheme="minorHAnsi"/>
                <w:b/>
              </w:rPr>
              <w:t>Indications</w:t>
            </w:r>
          </w:p>
        </w:tc>
        <w:tc>
          <w:tcPr>
            <w:tcW w:w="2977" w:type="dxa"/>
          </w:tcPr>
          <w:p w14:paraId="3E5EEF9D" w14:textId="77777777" w:rsidR="00AB120F" w:rsidRPr="00447869" w:rsidRDefault="00AB120F" w:rsidP="00CE69D0">
            <w:pPr>
              <w:spacing w:before="120" w:after="120"/>
              <w:rPr>
                <w:rFonts w:asciiTheme="minorHAnsi" w:hAnsiTheme="minorHAnsi"/>
              </w:rPr>
            </w:pPr>
            <w:r>
              <w:t xml:space="preserve"> </w:t>
            </w:r>
          </w:p>
        </w:tc>
        <w:tc>
          <w:tcPr>
            <w:tcW w:w="5670" w:type="dxa"/>
            <w:gridSpan w:val="3"/>
          </w:tcPr>
          <w:p w14:paraId="1F970B93" w14:textId="4D45776F" w:rsidR="00227191" w:rsidRPr="00711A47" w:rsidRDefault="00EB6C11" w:rsidP="00EB6C11">
            <w:pPr>
              <w:rPr>
                <w:b/>
              </w:rPr>
            </w:pPr>
            <w:r w:rsidRPr="00711A47">
              <w:rPr>
                <w:b/>
              </w:rPr>
              <w:t>Severe autoimmune neutropenia unresponsive to treatment with G-CSF</w:t>
            </w:r>
          </w:p>
          <w:p w14:paraId="70DB981C" w14:textId="77777777" w:rsidR="00227191" w:rsidRDefault="00227191" w:rsidP="000A554D">
            <w:pPr>
              <w:rPr>
                <w:b/>
              </w:rPr>
            </w:pPr>
          </w:p>
          <w:p w14:paraId="5B1B2B8E" w14:textId="1F82B258" w:rsidR="00AB120F" w:rsidRPr="000A554D" w:rsidRDefault="00EB6C11" w:rsidP="000A554D">
            <w:pPr>
              <w:rPr>
                <w:b/>
              </w:rPr>
            </w:pPr>
            <w:r w:rsidRPr="00711A47">
              <w:rPr>
                <w:b/>
              </w:rPr>
              <w:t xml:space="preserve">Relapse of severe autoimmune neutropenia in a patient </w:t>
            </w:r>
            <w:r w:rsidRPr="00711A47">
              <w:rPr>
                <w:b/>
              </w:rPr>
              <w:lastRenderedPageBreak/>
              <w:t>demonstrated to have previously responded to Ig therapy</w:t>
            </w:r>
          </w:p>
        </w:tc>
        <w:tc>
          <w:tcPr>
            <w:tcW w:w="4394" w:type="dxa"/>
          </w:tcPr>
          <w:p w14:paraId="3714BDE3" w14:textId="7D03B1EA" w:rsidR="00AB120F" w:rsidRPr="00C92149" w:rsidRDefault="00AB120F">
            <w:pPr>
              <w:spacing w:before="120" w:after="120"/>
              <w:rPr>
                <w:rFonts w:asciiTheme="minorHAnsi" w:hAnsiTheme="minorHAnsi"/>
                <w:sz w:val="20"/>
                <w:szCs w:val="20"/>
              </w:rPr>
            </w:pPr>
            <w:r w:rsidRPr="00C92149">
              <w:rPr>
                <w:sz w:val="20"/>
                <w:szCs w:val="20"/>
              </w:rPr>
              <w:lastRenderedPageBreak/>
              <w:t xml:space="preserve"> </w:t>
            </w:r>
            <w:r w:rsidR="00EB6C11" w:rsidRPr="00711A47">
              <w:t xml:space="preserve">Two indications have been developed in order to limit </w:t>
            </w:r>
            <w:r w:rsidR="00EB6C11">
              <w:t xml:space="preserve">any </w:t>
            </w:r>
            <w:r w:rsidR="00EB6C11" w:rsidRPr="00711A47">
              <w:t>subsequent treatment to responding patients only.</w:t>
            </w:r>
          </w:p>
        </w:tc>
      </w:tr>
      <w:tr w:rsidR="00BA76E3" w:rsidRPr="00447869" w14:paraId="7AD53318" w14:textId="77777777" w:rsidTr="00004662">
        <w:trPr>
          <w:trHeight w:val="3474"/>
        </w:trPr>
        <w:tc>
          <w:tcPr>
            <w:tcW w:w="1560" w:type="dxa"/>
            <w:shd w:val="clear" w:color="auto" w:fill="D9D9D9" w:themeFill="background1" w:themeFillShade="D9"/>
          </w:tcPr>
          <w:p w14:paraId="6D8C78C3" w14:textId="65D8898B" w:rsidR="00BA76E3" w:rsidRPr="006A2CA8" w:rsidRDefault="00BA76E3" w:rsidP="00282F66">
            <w:pPr>
              <w:spacing w:before="120" w:after="120"/>
              <w:rPr>
                <w:rFonts w:asciiTheme="minorHAnsi" w:hAnsiTheme="minorHAnsi"/>
                <w:b/>
              </w:rPr>
            </w:pPr>
            <w:r w:rsidRPr="00447869">
              <w:rPr>
                <w:rFonts w:asciiTheme="minorHAnsi" w:hAnsiTheme="minorHAnsi"/>
                <w:b/>
              </w:rPr>
              <w:lastRenderedPageBreak/>
              <w:t>Description and Diagnostic Criteria</w:t>
            </w:r>
          </w:p>
        </w:tc>
        <w:tc>
          <w:tcPr>
            <w:tcW w:w="2977" w:type="dxa"/>
          </w:tcPr>
          <w:p w14:paraId="34CD0A81" w14:textId="461C7ADE" w:rsidR="00BA76E3" w:rsidRPr="00D32E23" w:rsidRDefault="00DE4C13" w:rsidP="00004662">
            <w:pPr>
              <w:spacing w:line="293" w:lineRule="atLeast"/>
              <w:rPr>
                <w:rFonts w:asciiTheme="minorHAnsi" w:eastAsiaTheme="minorHAnsi" w:hAnsiTheme="minorHAnsi" w:cs="Times New Roman"/>
                <w:color w:val="000000"/>
              </w:rPr>
            </w:pPr>
            <w:r w:rsidRPr="00C0329D">
              <w:rPr>
                <w:rFonts w:asciiTheme="minorHAnsi" w:eastAsia="Times New Roman" w:hAnsiTheme="minorHAnsi" w:cs="Times New Roman"/>
                <w:bCs/>
                <w:lang w:eastAsia="en-AU"/>
              </w:rPr>
              <w:t>Autoimmune neutropenia is a rare disorder caused by peripheral destruction of antibody-sensitised neutrophils by cells of the reticuloendothelial system. Intravenous immunoglobulin (</w:t>
            </w:r>
            <w:proofErr w:type="spellStart"/>
            <w:r w:rsidR="00F51134">
              <w:rPr>
                <w:rFonts w:asciiTheme="minorHAnsi" w:eastAsia="Times New Roman" w:hAnsiTheme="minorHAnsi" w:cs="Times New Roman"/>
                <w:bCs/>
                <w:lang w:eastAsia="en-AU"/>
              </w:rPr>
              <w:t>IVIgIVIg</w:t>
            </w:r>
            <w:proofErr w:type="spellEnd"/>
            <w:r w:rsidRPr="00C0329D">
              <w:rPr>
                <w:rFonts w:asciiTheme="minorHAnsi" w:eastAsia="Times New Roman" w:hAnsiTheme="minorHAnsi" w:cs="Times New Roman"/>
                <w:bCs/>
                <w:lang w:eastAsia="en-AU"/>
              </w:rPr>
              <w:t>) may be considered among treatment options in rare circumstances when the sta</w:t>
            </w:r>
            <w:r>
              <w:rPr>
                <w:rFonts w:asciiTheme="minorHAnsi" w:eastAsia="Times New Roman" w:hAnsiTheme="minorHAnsi" w:cs="Times New Roman"/>
                <w:bCs/>
                <w:lang w:eastAsia="en-AU"/>
              </w:rPr>
              <w:t>ndard treatment of G-CSF fails.</w:t>
            </w:r>
          </w:p>
        </w:tc>
        <w:tc>
          <w:tcPr>
            <w:tcW w:w="5670" w:type="dxa"/>
            <w:gridSpan w:val="3"/>
          </w:tcPr>
          <w:p w14:paraId="305F9ED7" w14:textId="3E529736" w:rsidR="0019679F" w:rsidRPr="0019679F" w:rsidRDefault="00282F66" w:rsidP="0019679F">
            <w:pPr>
              <w:rPr>
                <w:rFonts w:asciiTheme="minorHAnsi" w:hAnsiTheme="minorHAnsi"/>
              </w:rPr>
            </w:pPr>
            <w:r w:rsidRPr="00282F66">
              <w:rPr>
                <w:rFonts w:asciiTheme="minorHAnsi" w:eastAsia="Times New Roman" w:hAnsiTheme="minorHAnsi" w:cs="Times New Roman"/>
                <w:color w:val="000000"/>
                <w:lang w:eastAsia="en-AU"/>
              </w:rPr>
              <w:t xml:space="preserve"> </w:t>
            </w:r>
            <w:r w:rsidR="0019679F" w:rsidRPr="0019679F">
              <w:rPr>
                <w:rFonts w:asciiTheme="minorHAnsi" w:hAnsiTheme="minorHAnsi"/>
              </w:rPr>
              <w:t xml:space="preserve">Autoimmune neutropenia is a rare disorder </w:t>
            </w:r>
            <w:r w:rsidR="00FC105A" w:rsidRPr="0019679F">
              <w:rPr>
                <w:rFonts w:asciiTheme="minorHAnsi" w:hAnsiTheme="minorHAnsi"/>
              </w:rPr>
              <w:t>caused</w:t>
            </w:r>
            <w:r w:rsidR="0019679F" w:rsidRPr="0019679F">
              <w:rPr>
                <w:rFonts w:asciiTheme="minorHAnsi" w:hAnsiTheme="minorHAnsi"/>
              </w:rPr>
              <w:t xml:space="preserve"> by peripheral destruction of autoantibody-sensitised neutrophils by the reticuloendothelial system.</w:t>
            </w:r>
          </w:p>
          <w:p w14:paraId="5F5D5C85" w14:textId="1BF95707" w:rsidR="0019679F" w:rsidRPr="0019679F" w:rsidRDefault="0019679F" w:rsidP="0019679F">
            <w:pPr>
              <w:rPr>
                <w:rFonts w:asciiTheme="minorHAnsi" w:hAnsiTheme="minorHAnsi"/>
              </w:rPr>
            </w:pPr>
            <w:r w:rsidRPr="0019679F">
              <w:rPr>
                <w:rFonts w:asciiTheme="minorHAnsi" w:hAnsiTheme="minorHAnsi"/>
              </w:rPr>
              <w:t xml:space="preserve">While autoantibodies to neutrophil surface </w:t>
            </w:r>
            <w:r w:rsidR="00FC105A" w:rsidRPr="0019679F">
              <w:rPr>
                <w:rFonts w:asciiTheme="minorHAnsi" w:hAnsiTheme="minorHAnsi"/>
              </w:rPr>
              <w:t>antigens</w:t>
            </w:r>
            <w:r w:rsidRPr="0019679F">
              <w:rPr>
                <w:rFonts w:asciiTheme="minorHAnsi" w:hAnsiTheme="minorHAnsi"/>
              </w:rPr>
              <w:t xml:space="preserve"> may be present they are not specific and do not need to be demonstrated.      </w:t>
            </w:r>
          </w:p>
          <w:p w14:paraId="04B88159" w14:textId="79845C5E" w:rsidR="00BA76E3" w:rsidRPr="00447869" w:rsidRDefault="00BA76E3" w:rsidP="008C1497">
            <w:pPr>
              <w:rPr>
                <w:rFonts w:asciiTheme="minorHAnsi" w:hAnsiTheme="minorHAnsi"/>
              </w:rPr>
            </w:pPr>
          </w:p>
        </w:tc>
        <w:tc>
          <w:tcPr>
            <w:tcW w:w="4394" w:type="dxa"/>
          </w:tcPr>
          <w:p w14:paraId="3546DE91" w14:textId="4252C1E8" w:rsidR="00BA76E3" w:rsidRPr="00C92149" w:rsidRDefault="00EB6C11" w:rsidP="00282F66">
            <w:pPr>
              <w:spacing w:before="120" w:after="120"/>
              <w:rPr>
                <w:rFonts w:asciiTheme="minorHAnsi" w:hAnsiTheme="minorHAnsi"/>
                <w:sz w:val="20"/>
                <w:szCs w:val="20"/>
              </w:rPr>
            </w:pPr>
            <w:r>
              <w:rPr>
                <w:rFonts w:asciiTheme="minorHAnsi" w:hAnsiTheme="minorHAnsi"/>
              </w:rPr>
              <w:t xml:space="preserve">Amended to recognise that the autoantibodies are difficult to demonstrate. </w:t>
            </w:r>
            <w:r w:rsidRPr="00711A47">
              <w:rPr>
                <w:rFonts w:asciiTheme="minorHAnsi" w:hAnsiTheme="minorHAnsi"/>
              </w:rPr>
              <w:t xml:space="preserve"> </w:t>
            </w:r>
          </w:p>
        </w:tc>
      </w:tr>
      <w:tr w:rsidR="00447869" w:rsidRPr="00853117" w14:paraId="501983A5" w14:textId="77777777" w:rsidTr="0019679F">
        <w:tc>
          <w:tcPr>
            <w:tcW w:w="1560" w:type="dxa"/>
            <w:shd w:val="clear" w:color="auto" w:fill="D9D9D9" w:themeFill="background1" w:themeFillShade="D9"/>
          </w:tcPr>
          <w:p w14:paraId="6016186D" w14:textId="77777777" w:rsidR="00447869" w:rsidRPr="00447869" w:rsidRDefault="00447869" w:rsidP="00021243">
            <w:pPr>
              <w:spacing w:before="120" w:after="120"/>
              <w:rPr>
                <w:rFonts w:asciiTheme="minorHAnsi" w:hAnsiTheme="minorHAnsi"/>
                <w:b/>
              </w:rPr>
            </w:pPr>
            <w:r w:rsidRPr="00447869">
              <w:rPr>
                <w:rFonts w:asciiTheme="minorHAnsi" w:hAnsiTheme="minorHAnsi"/>
                <w:b/>
              </w:rPr>
              <w:t>Diagnosis is required</w:t>
            </w:r>
          </w:p>
        </w:tc>
        <w:tc>
          <w:tcPr>
            <w:tcW w:w="2977" w:type="dxa"/>
            <w:vMerge w:val="restart"/>
          </w:tcPr>
          <w:p w14:paraId="4AB3FF6A" w14:textId="77777777" w:rsidR="00447869" w:rsidRPr="00447869" w:rsidRDefault="00282F66" w:rsidP="00021243">
            <w:pPr>
              <w:spacing w:before="120" w:after="120"/>
              <w:rPr>
                <w:rFonts w:asciiTheme="minorHAnsi" w:hAnsiTheme="minorHAnsi"/>
                <w:b/>
              </w:rPr>
            </w:pPr>
            <w:r>
              <w:t xml:space="preserve"> </w:t>
            </w:r>
          </w:p>
        </w:tc>
        <w:tc>
          <w:tcPr>
            <w:tcW w:w="1890" w:type="dxa"/>
          </w:tcPr>
          <w:p w14:paraId="765A5BF9" w14:textId="3610F91D" w:rsidR="00447869" w:rsidRPr="00447869" w:rsidRDefault="0019679F" w:rsidP="00021243">
            <w:pPr>
              <w:spacing w:before="120" w:after="120"/>
              <w:rPr>
                <w:rFonts w:asciiTheme="minorHAnsi" w:hAnsiTheme="minorHAnsi"/>
              </w:rPr>
            </w:pPr>
            <w:r>
              <w:rPr>
                <w:rFonts w:asciiTheme="minorHAnsi" w:hAnsiTheme="minorHAnsi"/>
              </w:rPr>
              <w:t>Yes</w:t>
            </w:r>
          </w:p>
        </w:tc>
        <w:tc>
          <w:tcPr>
            <w:tcW w:w="1890" w:type="dxa"/>
            <w:shd w:val="clear" w:color="auto" w:fill="BFBFBF" w:themeFill="background1" w:themeFillShade="BF"/>
          </w:tcPr>
          <w:p w14:paraId="038750D4" w14:textId="77777777"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1890" w:type="dxa"/>
          </w:tcPr>
          <w:p w14:paraId="793481BF" w14:textId="41421049" w:rsidR="00447869" w:rsidRPr="00447869" w:rsidRDefault="0019679F" w:rsidP="0019679F">
            <w:pPr>
              <w:rPr>
                <w:rFonts w:asciiTheme="minorHAnsi" w:hAnsiTheme="minorHAnsi"/>
              </w:rPr>
            </w:pPr>
            <w:r w:rsidRPr="0019679F">
              <w:rPr>
                <w:rFonts w:asciiTheme="minorHAnsi" w:hAnsiTheme="minorHAnsi"/>
              </w:rPr>
              <w:t>Haematologist</w:t>
            </w:r>
          </w:p>
        </w:tc>
        <w:tc>
          <w:tcPr>
            <w:tcW w:w="4394" w:type="dxa"/>
            <w:vMerge w:val="restart"/>
          </w:tcPr>
          <w:p w14:paraId="6E626715" w14:textId="3A2C7F65" w:rsidR="00447869" w:rsidRPr="00C92149" w:rsidRDefault="00EB6C11" w:rsidP="008515FF">
            <w:pPr>
              <w:spacing w:before="120" w:after="120"/>
              <w:ind w:right="90"/>
              <w:rPr>
                <w:rFonts w:asciiTheme="minorHAnsi" w:hAnsiTheme="minorHAnsi"/>
                <w:szCs w:val="20"/>
              </w:rPr>
            </w:pPr>
            <w:r>
              <w:rPr>
                <w:rFonts w:asciiTheme="minorHAnsi" w:hAnsiTheme="minorHAnsi"/>
                <w:szCs w:val="20"/>
              </w:rPr>
              <w:t xml:space="preserve">The diagnosis of this rare condition will be limited to </w:t>
            </w:r>
            <w:r w:rsidR="00E97FFA">
              <w:rPr>
                <w:rFonts w:asciiTheme="minorHAnsi" w:hAnsiTheme="minorHAnsi"/>
                <w:szCs w:val="20"/>
              </w:rPr>
              <w:t>haematologists</w:t>
            </w:r>
            <w:r>
              <w:rPr>
                <w:rFonts w:asciiTheme="minorHAnsi" w:hAnsiTheme="minorHAnsi"/>
                <w:szCs w:val="20"/>
              </w:rPr>
              <w:t xml:space="preserve"> due to the </w:t>
            </w:r>
            <w:r w:rsidR="00E97FFA">
              <w:rPr>
                <w:rFonts w:asciiTheme="minorHAnsi" w:hAnsiTheme="minorHAnsi"/>
                <w:szCs w:val="20"/>
              </w:rPr>
              <w:t>rarity</w:t>
            </w:r>
            <w:r>
              <w:rPr>
                <w:rFonts w:asciiTheme="minorHAnsi" w:hAnsiTheme="minorHAnsi"/>
                <w:szCs w:val="20"/>
              </w:rPr>
              <w:t xml:space="preserve"> of the condition and requirement for bone marrow biopsy.</w:t>
            </w:r>
          </w:p>
        </w:tc>
      </w:tr>
      <w:tr w:rsidR="00447869" w:rsidRPr="00853117" w14:paraId="2CDF9FA7" w14:textId="77777777" w:rsidTr="0019679F">
        <w:tc>
          <w:tcPr>
            <w:tcW w:w="1560" w:type="dxa"/>
            <w:shd w:val="clear" w:color="auto" w:fill="D9D9D9" w:themeFill="background1" w:themeFillShade="D9"/>
          </w:tcPr>
          <w:p w14:paraId="7DDC23E2" w14:textId="77777777" w:rsidR="00447869" w:rsidRPr="00447869" w:rsidRDefault="00447869" w:rsidP="00021243">
            <w:pPr>
              <w:spacing w:before="120" w:after="120"/>
              <w:rPr>
                <w:rFonts w:asciiTheme="minorHAnsi" w:hAnsiTheme="minorHAnsi"/>
                <w:b/>
              </w:rPr>
            </w:pPr>
            <w:r w:rsidRPr="00447869">
              <w:rPr>
                <w:rFonts w:asciiTheme="minorHAnsi" w:hAnsiTheme="minorHAnsi"/>
                <w:b/>
              </w:rPr>
              <w:t>Diagnosis must be verified</w:t>
            </w:r>
          </w:p>
        </w:tc>
        <w:tc>
          <w:tcPr>
            <w:tcW w:w="2977" w:type="dxa"/>
            <w:vMerge/>
          </w:tcPr>
          <w:p w14:paraId="0159983B" w14:textId="77777777" w:rsidR="00447869" w:rsidRPr="00447869" w:rsidRDefault="00447869" w:rsidP="00021243">
            <w:pPr>
              <w:spacing w:before="120" w:after="120"/>
              <w:rPr>
                <w:rFonts w:asciiTheme="minorHAnsi" w:hAnsiTheme="minorHAnsi"/>
              </w:rPr>
            </w:pPr>
          </w:p>
        </w:tc>
        <w:tc>
          <w:tcPr>
            <w:tcW w:w="1890" w:type="dxa"/>
          </w:tcPr>
          <w:p w14:paraId="6531BE1D" w14:textId="4431B037" w:rsidR="00447869" w:rsidRPr="00447869" w:rsidRDefault="0019679F" w:rsidP="00021243">
            <w:pPr>
              <w:spacing w:before="120" w:after="120"/>
              <w:rPr>
                <w:rFonts w:asciiTheme="minorHAnsi" w:hAnsiTheme="minorHAnsi"/>
              </w:rPr>
            </w:pPr>
            <w:r>
              <w:rPr>
                <w:rFonts w:asciiTheme="minorHAnsi" w:hAnsiTheme="minorHAnsi"/>
              </w:rPr>
              <w:t>No</w:t>
            </w:r>
          </w:p>
        </w:tc>
        <w:tc>
          <w:tcPr>
            <w:tcW w:w="1890" w:type="dxa"/>
            <w:shd w:val="clear" w:color="auto" w:fill="BFBFBF" w:themeFill="background1" w:themeFillShade="BF"/>
          </w:tcPr>
          <w:p w14:paraId="40573E98" w14:textId="77777777"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1890" w:type="dxa"/>
          </w:tcPr>
          <w:p w14:paraId="6E092D46" w14:textId="77777777" w:rsidR="00447869" w:rsidRPr="00447869" w:rsidRDefault="00447869" w:rsidP="00021243">
            <w:pPr>
              <w:spacing w:before="120" w:after="120"/>
              <w:rPr>
                <w:rFonts w:asciiTheme="minorHAnsi" w:hAnsiTheme="minorHAnsi"/>
              </w:rPr>
            </w:pPr>
          </w:p>
        </w:tc>
        <w:tc>
          <w:tcPr>
            <w:tcW w:w="4394" w:type="dxa"/>
            <w:vMerge/>
          </w:tcPr>
          <w:p w14:paraId="711AD162" w14:textId="77777777" w:rsidR="00447869" w:rsidRPr="00C92149" w:rsidRDefault="00447869" w:rsidP="00021243">
            <w:pPr>
              <w:spacing w:before="120" w:after="120"/>
              <w:rPr>
                <w:rFonts w:asciiTheme="minorHAnsi" w:hAnsiTheme="minorHAnsi"/>
                <w:szCs w:val="20"/>
              </w:rPr>
            </w:pPr>
          </w:p>
        </w:tc>
      </w:tr>
      <w:tr w:rsidR="00447869" w:rsidRPr="00853117" w14:paraId="69918123" w14:textId="77777777" w:rsidTr="00D11061">
        <w:tc>
          <w:tcPr>
            <w:tcW w:w="1560" w:type="dxa"/>
            <w:shd w:val="clear" w:color="auto" w:fill="D9D9D9" w:themeFill="background1" w:themeFillShade="D9"/>
          </w:tcPr>
          <w:p w14:paraId="0A535856" w14:textId="4C5094B7" w:rsidR="00447869" w:rsidRPr="006A2CA8" w:rsidRDefault="00447869" w:rsidP="00021243">
            <w:pPr>
              <w:spacing w:before="120" w:after="120"/>
              <w:rPr>
                <w:rFonts w:asciiTheme="minorHAnsi" w:hAnsiTheme="minorHAnsi"/>
                <w:b/>
              </w:rPr>
            </w:pPr>
            <w:r w:rsidRPr="00447869">
              <w:rPr>
                <w:rFonts w:asciiTheme="minorHAnsi" w:hAnsiTheme="minorHAnsi"/>
                <w:b/>
              </w:rPr>
              <w:t>Exclusion Criteria</w:t>
            </w:r>
          </w:p>
        </w:tc>
        <w:tc>
          <w:tcPr>
            <w:tcW w:w="2977" w:type="dxa"/>
          </w:tcPr>
          <w:p w14:paraId="3A708D38" w14:textId="77777777" w:rsidR="00447869" w:rsidRPr="00447869" w:rsidRDefault="00282F66" w:rsidP="00021243">
            <w:pPr>
              <w:spacing w:before="120" w:after="120"/>
              <w:rPr>
                <w:rFonts w:asciiTheme="minorHAnsi" w:hAnsiTheme="minorHAnsi"/>
              </w:rPr>
            </w:pPr>
            <w:r>
              <w:rPr>
                <w:rFonts w:asciiTheme="minorHAnsi" w:hAnsiTheme="minorHAnsi"/>
              </w:rPr>
              <w:t xml:space="preserve"> </w:t>
            </w:r>
          </w:p>
        </w:tc>
        <w:tc>
          <w:tcPr>
            <w:tcW w:w="5670" w:type="dxa"/>
            <w:gridSpan w:val="3"/>
          </w:tcPr>
          <w:p w14:paraId="0AE67D1B" w14:textId="029FECEB" w:rsidR="00447869" w:rsidRPr="006320BB" w:rsidRDefault="00447869" w:rsidP="00021243">
            <w:pPr>
              <w:spacing w:before="120" w:after="120"/>
              <w:rPr>
                <w:rFonts w:asciiTheme="minorHAnsi" w:hAnsiTheme="minorHAnsi"/>
              </w:rPr>
            </w:pPr>
          </w:p>
        </w:tc>
        <w:tc>
          <w:tcPr>
            <w:tcW w:w="4394" w:type="dxa"/>
          </w:tcPr>
          <w:p w14:paraId="475A2D87" w14:textId="77777777" w:rsidR="00447869" w:rsidRPr="00C92149" w:rsidRDefault="00447869" w:rsidP="003A1F9D">
            <w:pPr>
              <w:spacing w:before="120" w:after="120"/>
              <w:rPr>
                <w:rFonts w:asciiTheme="minorHAnsi" w:hAnsiTheme="minorHAnsi"/>
                <w:szCs w:val="20"/>
              </w:rPr>
            </w:pPr>
          </w:p>
        </w:tc>
      </w:tr>
      <w:tr w:rsidR="00021243" w:rsidRPr="00853117" w14:paraId="6183882E" w14:textId="77777777" w:rsidTr="00D11061">
        <w:tc>
          <w:tcPr>
            <w:tcW w:w="1560" w:type="dxa"/>
            <w:shd w:val="clear" w:color="auto" w:fill="D9D9D9" w:themeFill="background1" w:themeFillShade="D9"/>
          </w:tcPr>
          <w:p w14:paraId="0E14078A" w14:textId="77777777" w:rsidR="00021243" w:rsidRPr="0019679F" w:rsidRDefault="00021243" w:rsidP="0019679F">
            <w:pPr>
              <w:spacing w:before="120" w:after="120"/>
              <w:rPr>
                <w:rFonts w:asciiTheme="minorHAnsi" w:hAnsiTheme="minorHAnsi"/>
                <w:b/>
                <w:bCs/>
              </w:rPr>
            </w:pPr>
            <w:r w:rsidRPr="0019679F">
              <w:rPr>
                <w:rFonts w:asciiTheme="minorHAnsi" w:hAnsiTheme="minorHAnsi"/>
                <w:b/>
              </w:rPr>
              <w:t>Qualifying Criteria</w:t>
            </w:r>
          </w:p>
        </w:tc>
        <w:tc>
          <w:tcPr>
            <w:tcW w:w="2977" w:type="dxa"/>
          </w:tcPr>
          <w:p w14:paraId="7CBF751F" w14:textId="77777777" w:rsidR="00021243" w:rsidRPr="00447869" w:rsidRDefault="00021243" w:rsidP="006A2CA8">
            <w:pPr>
              <w:pStyle w:val="Default"/>
              <w:spacing w:before="120" w:after="120"/>
              <w:ind w:left="318"/>
              <w:rPr>
                <w:rFonts w:asciiTheme="minorHAnsi" w:hAnsiTheme="minorHAnsi"/>
              </w:rPr>
            </w:pPr>
          </w:p>
        </w:tc>
        <w:tc>
          <w:tcPr>
            <w:tcW w:w="5670" w:type="dxa"/>
            <w:gridSpan w:val="3"/>
          </w:tcPr>
          <w:p w14:paraId="7B40FAB7" w14:textId="77777777" w:rsidR="0019679F" w:rsidRPr="0019679F" w:rsidRDefault="0019679F" w:rsidP="0019679F">
            <w:pPr>
              <w:pStyle w:val="ListParagraph"/>
              <w:spacing w:before="100" w:beforeAutospacing="1"/>
              <w:ind w:left="34"/>
              <w:rPr>
                <w:rFonts w:asciiTheme="minorHAnsi" w:hAnsiTheme="minorHAnsi"/>
                <w:b/>
              </w:rPr>
            </w:pPr>
            <w:r w:rsidRPr="0019679F">
              <w:rPr>
                <w:rFonts w:asciiTheme="minorHAnsi" w:hAnsiTheme="minorHAnsi"/>
                <w:b/>
              </w:rPr>
              <w:t>Severe autoimmune neutropenia unresponsive to treatment with G-CSF</w:t>
            </w:r>
          </w:p>
          <w:p w14:paraId="0B551482" w14:textId="697712BD" w:rsidR="0019679F" w:rsidRDefault="0019679F" w:rsidP="00EB6C11">
            <w:pPr>
              <w:pStyle w:val="ListParagraph"/>
              <w:numPr>
                <w:ilvl w:val="0"/>
                <w:numId w:val="2"/>
              </w:numPr>
              <w:spacing w:before="100" w:beforeAutospacing="1"/>
              <w:rPr>
                <w:rFonts w:asciiTheme="minorHAnsi" w:hAnsiTheme="minorHAnsi"/>
              </w:rPr>
            </w:pPr>
            <w:r w:rsidRPr="0019679F">
              <w:rPr>
                <w:rFonts w:asciiTheme="minorHAnsi" w:hAnsiTheme="minorHAnsi"/>
              </w:rPr>
              <w:t>Persistent severe autoimmune neutropenia</w:t>
            </w:r>
            <w:r w:rsidR="00EB6C11">
              <w:rPr>
                <w:rFonts w:asciiTheme="minorHAnsi" w:hAnsiTheme="minorHAnsi"/>
              </w:rPr>
              <w:t xml:space="preserve"> </w:t>
            </w:r>
            <w:r w:rsidR="00EB6C11" w:rsidRPr="00711A47">
              <w:rPr>
                <w:rFonts w:asciiTheme="minorHAnsi" w:hAnsiTheme="minorHAnsi"/>
              </w:rPr>
              <w:t xml:space="preserve">with a </w:t>
            </w:r>
            <w:r w:rsidR="00EB6C11">
              <w:rPr>
                <w:rFonts w:asciiTheme="minorHAnsi" w:hAnsiTheme="minorHAnsi"/>
              </w:rPr>
              <w:t>neutrophil</w:t>
            </w:r>
            <w:r w:rsidR="00EB6C11" w:rsidRPr="00711A47">
              <w:rPr>
                <w:rFonts w:asciiTheme="minorHAnsi" w:hAnsiTheme="minorHAnsi"/>
              </w:rPr>
              <w:t xml:space="preserve"> count less than 0.5 x10</w:t>
            </w:r>
            <w:r w:rsidR="00EB6C11" w:rsidRPr="00711A47">
              <w:rPr>
                <w:rFonts w:asciiTheme="minorHAnsi" w:hAnsiTheme="minorHAnsi"/>
                <w:vertAlign w:val="superscript"/>
              </w:rPr>
              <w:t>9</w:t>
            </w:r>
            <w:r w:rsidR="00EB6C11">
              <w:rPr>
                <w:rFonts w:asciiTheme="minorHAnsi" w:hAnsiTheme="minorHAnsi"/>
              </w:rPr>
              <w:t xml:space="preserve"> /L</w:t>
            </w:r>
          </w:p>
          <w:p w14:paraId="1C89A301" w14:textId="77777777" w:rsidR="002F662E" w:rsidRPr="00EB6C11" w:rsidRDefault="002F662E" w:rsidP="002F662E">
            <w:pPr>
              <w:pStyle w:val="ListParagraph"/>
              <w:spacing w:before="100" w:beforeAutospacing="1"/>
              <w:ind w:left="754"/>
              <w:rPr>
                <w:rFonts w:asciiTheme="minorHAnsi" w:hAnsiTheme="minorHAnsi"/>
              </w:rPr>
            </w:pPr>
          </w:p>
          <w:p w14:paraId="5A0064D7" w14:textId="1816D60C" w:rsidR="0019679F" w:rsidRPr="0019679F" w:rsidRDefault="0019679F" w:rsidP="0019679F">
            <w:pPr>
              <w:pStyle w:val="ListParagraph"/>
              <w:spacing w:before="100" w:beforeAutospacing="1"/>
              <w:ind w:left="34"/>
              <w:jc w:val="center"/>
              <w:rPr>
                <w:rFonts w:asciiTheme="minorHAnsi" w:hAnsiTheme="minorHAnsi"/>
              </w:rPr>
            </w:pPr>
            <w:r w:rsidRPr="0019679F">
              <w:rPr>
                <w:rFonts w:asciiTheme="minorHAnsi" w:hAnsiTheme="minorHAnsi"/>
              </w:rPr>
              <w:t>AND</w:t>
            </w:r>
          </w:p>
          <w:p w14:paraId="5C73FBF4" w14:textId="6E78C838" w:rsidR="0019679F" w:rsidRPr="00EB6C11" w:rsidRDefault="002F6A83" w:rsidP="00EB6C11">
            <w:pPr>
              <w:pStyle w:val="ListParagraph"/>
              <w:numPr>
                <w:ilvl w:val="0"/>
                <w:numId w:val="2"/>
              </w:numPr>
              <w:spacing w:before="100" w:beforeAutospacing="1"/>
              <w:rPr>
                <w:rFonts w:asciiTheme="minorHAnsi" w:hAnsiTheme="minorHAnsi"/>
              </w:rPr>
            </w:pPr>
            <w:r>
              <w:rPr>
                <w:rFonts w:asciiTheme="minorHAnsi" w:hAnsiTheme="minorHAnsi"/>
              </w:rPr>
              <w:t>R</w:t>
            </w:r>
            <w:r w:rsidR="0019679F" w:rsidRPr="0019679F">
              <w:rPr>
                <w:rFonts w:asciiTheme="minorHAnsi" w:hAnsiTheme="minorHAnsi"/>
              </w:rPr>
              <w:t>ecurrent or severe bacteria</w:t>
            </w:r>
            <w:r w:rsidR="0019679F">
              <w:rPr>
                <w:rFonts w:asciiTheme="minorHAnsi" w:hAnsiTheme="minorHAnsi"/>
              </w:rPr>
              <w:t xml:space="preserve">l infection(s) in last 6 </w:t>
            </w:r>
            <w:r w:rsidR="0019679F">
              <w:rPr>
                <w:rFonts w:asciiTheme="minorHAnsi" w:hAnsiTheme="minorHAnsi"/>
              </w:rPr>
              <w:lastRenderedPageBreak/>
              <w:t>months</w:t>
            </w:r>
          </w:p>
          <w:p w14:paraId="68959F3F" w14:textId="06E606B0" w:rsidR="0019679F" w:rsidRDefault="0019679F" w:rsidP="00EB6C11">
            <w:pPr>
              <w:pStyle w:val="ListParagraph"/>
              <w:spacing w:before="100" w:beforeAutospacing="1"/>
              <w:ind w:left="34"/>
              <w:jc w:val="center"/>
              <w:rPr>
                <w:rFonts w:asciiTheme="minorHAnsi" w:hAnsiTheme="minorHAnsi"/>
              </w:rPr>
            </w:pPr>
            <w:r w:rsidRPr="0019679F">
              <w:rPr>
                <w:rFonts w:asciiTheme="minorHAnsi" w:hAnsiTheme="minorHAnsi"/>
              </w:rPr>
              <w:t>AND</w:t>
            </w:r>
          </w:p>
          <w:p w14:paraId="0356729F" w14:textId="2C470273" w:rsidR="0019679F" w:rsidRPr="00EB6C11" w:rsidRDefault="0019679F" w:rsidP="00EB6C11">
            <w:pPr>
              <w:pStyle w:val="ListParagraph"/>
              <w:numPr>
                <w:ilvl w:val="0"/>
                <w:numId w:val="2"/>
              </w:numPr>
              <w:spacing w:before="100" w:beforeAutospacing="1"/>
              <w:rPr>
                <w:rFonts w:asciiTheme="minorHAnsi" w:hAnsiTheme="minorHAnsi"/>
              </w:rPr>
            </w:pPr>
            <w:r w:rsidRPr="0019679F">
              <w:rPr>
                <w:rFonts w:asciiTheme="minorHAnsi" w:hAnsiTheme="minorHAnsi"/>
              </w:rPr>
              <w:t xml:space="preserve">Failure to respond to G-CSF treatment  </w:t>
            </w:r>
          </w:p>
          <w:p w14:paraId="0A2990B1" w14:textId="2677E09B" w:rsidR="0019679F" w:rsidRPr="0019679F" w:rsidRDefault="0019679F" w:rsidP="00EB6C11">
            <w:pPr>
              <w:pStyle w:val="ListParagraph"/>
              <w:spacing w:before="100" w:beforeAutospacing="1"/>
              <w:ind w:left="34"/>
              <w:rPr>
                <w:rFonts w:asciiTheme="minorHAnsi" w:hAnsiTheme="minorHAnsi"/>
              </w:rPr>
            </w:pPr>
            <w:r w:rsidRPr="0019679F">
              <w:rPr>
                <w:rFonts w:asciiTheme="minorHAnsi" w:hAnsiTheme="minorHAnsi"/>
              </w:rPr>
              <w:t>AND</w:t>
            </w:r>
          </w:p>
          <w:p w14:paraId="08F50896" w14:textId="61CC01B0" w:rsidR="0019679F" w:rsidRPr="00EB6C11" w:rsidRDefault="0019679F" w:rsidP="00EB6C11">
            <w:pPr>
              <w:pStyle w:val="ListParagraph"/>
              <w:numPr>
                <w:ilvl w:val="0"/>
                <w:numId w:val="2"/>
              </w:numPr>
              <w:spacing w:before="100" w:beforeAutospacing="1"/>
              <w:rPr>
                <w:rFonts w:asciiTheme="minorHAnsi" w:hAnsiTheme="minorHAnsi"/>
              </w:rPr>
            </w:pPr>
            <w:r w:rsidRPr="0019679F">
              <w:rPr>
                <w:rFonts w:asciiTheme="minorHAnsi" w:hAnsiTheme="minorHAnsi"/>
              </w:rPr>
              <w:t>Non responsive to other immunosuppressant therapy</w:t>
            </w:r>
          </w:p>
          <w:p w14:paraId="3B571140" w14:textId="6A6996A0" w:rsidR="0019679F" w:rsidRDefault="0019679F" w:rsidP="00EB6C11">
            <w:pPr>
              <w:pStyle w:val="ListParagraph"/>
              <w:spacing w:before="100" w:beforeAutospacing="1"/>
              <w:ind w:left="34"/>
              <w:jc w:val="center"/>
              <w:rPr>
                <w:rFonts w:asciiTheme="minorHAnsi" w:hAnsiTheme="minorHAnsi"/>
              </w:rPr>
            </w:pPr>
            <w:r w:rsidRPr="0019679F">
              <w:rPr>
                <w:rFonts w:asciiTheme="minorHAnsi" w:hAnsiTheme="minorHAnsi"/>
              </w:rPr>
              <w:t>OR</w:t>
            </w:r>
          </w:p>
          <w:p w14:paraId="15110593" w14:textId="77777777" w:rsidR="0019679F" w:rsidRDefault="0019679F" w:rsidP="00EB6C11">
            <w:pPr>
              <w:pStyle w:val="ListParagraph"/>
              <w:numPr>
                <w:ilvl w:val="0"/>
                <w:numId w:val="2"/>
              </w:numPr>
              <w:spacing w:before="100" w:beforeAutospacing="1"/>
              <w:rPr>
                <w:rFonts w:asciiTheme="minorHAnsi" w:hAnsiTheme="minorHAnsi"/>
              </w:rPr>
            </w:pPr>
            <w:r w:rsidRPr="0019679F">
              <w:rPr>
                <w:rFonts w:asciiTheme="minorHAnsi" w:hAnsiTheme="minorHAnsi"/>
              </w:rPr>
              <w:t>Immunosuppressant therapy is  contraindicated</w:t>
            </w:r>
          </w:p>
          <w:p w14:paraId="490F8BBA" w14:textId="77777777" w:rsidR="0019679F" w:rsidRDefault="0019679F" w:rsidP="0019679F">
            <w:pPr>
              <w:pStyle w:val="ListParagraph"/>
              <w:spacing w:before="100" w:beforeAutospacing="1"/>
              <w:ind w:left="34"/>
              <w:rPr>
                <w:rFonts w:asciiTheme="minorHAnsi" w:hAnsiTheme="minorHAnsi"/>
              </w:rPr>
            </w:pPr>
          </w:p>
          <w:p w14:paraId="6F3EC97E" w14:textId="77777777" w:rsidR="0019679F" w:rsidRPr="0019679F" w:rsidRDefault="0019679F" w:rsidP="0019679F">
            <w:pPr>
              <w:pStyle w:val="ListParagraph"/>
              <w:spacing w:before="100" w:beforeAutospacing="1"/>
              <w:ind w:left="34"/>
              <w:rPr>
                <w:rFonts w:asciiTheme="minorHAnsi" w:hAnsiTheme="minorHAnsi"/>
                <w:b/>
              </w:rPr>
            </w:pPr>
            <w:r w:rsidRPr="0019679F">
              <w:rPr>
                <w:rFonts w:asciiTheme="minorHAnsi" w:hAnsiTheme="minorHAnsi"/>
                <w:b/>
              </w:rPr>
              <w:t>Relapse of severe autoimmune neutropenia in a patient demonstrated to have previously responded to Ig therapy</w:t>
            </w:r>
          </w:p>
          <w:p w14:paraId="73AAACAB" w14:textId="77777777" w:rsidR="0019679F" w:rsidRDefault="0019679F" w:rsidP="0019679F">
            <w:pPr>
              <w:pStyle w:val="ListParagraph"/>
              <w:spacing w:before="100" w:beforeAutospacing="1"/>
              <w:ind w:left="34"/>
              <w:rPr>
                <w:rFonts w:asciiTheme="minorHAnsi" w:hAnsiTheme="minorHAnsi"/>
              </w:rPr>
            </w:pPr>
          </w:p>
          <w:p w14:paraId="4A1A29F5" w14:textId="51300150" w:rsidR="0019679F" w:rsidRPr="00EB6C11" w:rsidRDefault="0019679F" w:rsidP="00EB6C11">
            <w:pPr>
              <w:pStyle w:val="ListParagraph"/>
              <w:numPr>
                <w:ilvl w:val="0"/>
                <w:numId w:val="2"/>
              </w:numPr>
              <w:spacing w:before="100" w:beforeAutospacing="1"/>
              <w:rPr>
                <w:rFonts w:asciiTheme="minorHAnsi" w:hAnsiTheme="minorHAnsi"/>
              </w:rPr>
            </w:pPr>
            <w:r w:rsidRPr="0019679F">
              <w:rPr>
                <w:rFonts w:asciiTheme="minorHAnsi" w:hAnsiTheme="minorHAnsi"/>
              </w:rPr>
              <w:t>Persistent severe autoimmune neutropenia</w:t>
            </w:r>
          </w:p>
          <w:p w14:paraId="68C865E2" w14:textId="39AF4609" w:rsidR="0019679F" w:rsidRDefault="0019679F" w:rsidP="0019679F">
            <w:pPr>
              <w:pStyle w:val="ListParagraph"/>
              <w:spacing w:before="100" w:beforeAutospacing="1"/>
              <w:ind w:left="34"/>
              <w:rPr>
                <w:rFonts w:asciiTheme="minorHAnsi" w:hAnsiTheme="minorHAnsi"/>
              </w:rPr>
            </w:pPr>
            <w:r w:rsidRPr="0019679F">
              <w:rPr>
                <w:rFonts w:asciiTheme="minorHAnsi" w:hAnsiTheme="minorHAnsi"/>
              </w:rPr>
              <w:t>AND</w:t>
            </w:r>
          </w:p>
          <w:p w14:paraId="6AF96CAF" w14:textId="694842F6" w:rsidR="0019679F" w:rsidRPr="00EB6C11" w:rsidRDefault="0019679F" w:rsidP="00EB6C11">
            <w:pPr>
              <w:pStyle w:val="ListParagraph"/>
              <w:numPr>
                <w:ilvl w:val="0"/>
                <w:numId w:val="2"/>
              </w:numPr>
              <w:spacing w:before="100" w:beforeAutospacing="1"/>
              <w:rPr>
                <w:rFonts w:asciiTheme="minorHAnsi" w:hAnsiTheme="minorHAnsi"/>
              </w:rPr>
            </w:pPr>
            <w:r w:rsidRPr="0019679F">
              <w:rPr>
                <w:rFonts w:asciiTheme="minorHAnsi" w:hAnsiTheme="minorHAnsi"/>
              </w:rPr>
              <w:t>Recurrent or severe bacterial infection(s) in last 6 months;</w:t>
            </w:r>
          </w:p>
          <w:p w14:paraId="7DCB70C1" w14:textId="56AEE405" w:rsidR="0019679F" w:rsidRDefault="0019679F" w:rsidP="0019679F">
            <w:pPr>
              <w:pStyle w:val="ListParagraph"/>
              <w:spacing w:before="100" w:beforeAutospacing="1"/>
              <w:ind w:left="34"/>
              <w:rPr>
                <w:rFonts w:asciiTheme="minorHAnsi" w:hAnsiTheme="minorHAnsi"/>
              </w:rPr>
            </w:pPr>
            <w:r w:rsidRPr="0019679F">
              <w:rPr>
                <w:rFonts w:asciiTheme="minorHAnsi" w:hAnsiTheme="minorHAnsi"/>
              </w:rPr>
              <w:t>AND</w:t>
            </w:r>
          </w:p>
          <w:p w14:paraId="57FD2809" w14:textId="281B261D" w:rsidR="0019679F" w:rsidRPr="000A554D" w:rsidRDefault="00EB6C11" w:rsidP="000A554D">
            <w:pPr>
              <w:pStyle w:val="ListParagraph"/>
              <w:numPr>
                <w:ilvl w:val="0"/>
                <w:numId w:val="2"/>
              </w:numPr>
              <w:spacing w:before="100" w:beforeAutospacing="1"/>
              <w:rPr>
                <w:rFonts w:asciiTheme="minorHAnsi" w:hAnsiTheme="minorHAnsi"/>
              </w:rPr>
            </w:pPr>
            <w:r>
              <w:rPr>
                <w:rFonts w:asciiTheme="minorHAnsi" w:hAnsiTheme="minorHAnsi"/>
              </w:rPr>
              <w:t>Previous r</w:t>
            </w:r>
            <w:r w:rsidR="0019679F" w:rsidRPr="0019679F">
              <w:rPr>
                <w:rFonts w:asciiTheme="minorHAnsi" w:hAnsiTheme="minorHAnsi"/>
              </w:rPr>
              <w:t>esponse following four w</w:t>
            </w:r>
            <w:r>
              <w:rPr>
                <w:rFonts w:asciiTheme="minorHAnsi" w:hAnsiTheme="minorHAnsi"/>
              </w:rPr>
              <w:t>eeks of Ig therapy demonstrated</w:t>
            </w:r>
            <w:r w:rsidR="002F6A83">
              <w:rPr>
                <w:rFonts w:asciiTheme="minorHAnsi" w:hAnsiTheme="minorHAnsi"/>
              </w:rPr>
              <w:t xml:space="preserve"> by</w:t>
            </w:r>
            <w:r w:rsidR="0019679F" w:rsidRPr="0019679F">
              <w:rPr>
                <w:rFonts w:asciiTheme="minorHAnsi" w:hAnsiTheme="minorHAnsi"/>
              </w:rPr>
              <w:t xml:space="preserve"> improvement in neutrophil count (&gt;0.5x10 9/L) or a reduction in infections</w:t>
            </w:r>
          </w:p>
        </w:tc>
        <w:tc>
          <w:tcPr>
            <w:tcW w:w="4394" w:type="dxa"/>
          </w:tcPr>
          <w:p w14:paraId="51E336BD" w14:textId="50B21325" w:rsidR="00EB6C11" w:rsidRPr="00C92149" w:rsidRDefault="00282F66" w:rsidP="00EB6C11">
            <w:pPr>
              <w:spacing w:before="120" w:after="120"/>
              <w:rPr>
                <w:szCs w:val="20"/>
              </w:rPr>
            </w:pPr>
            <w:r w:rsidRPr="009208EC">
              <w:rPr>
                <w:szCs w:val="20"/>
              </w:rPr>
              <w:lastRenderedPageBreak/>
              <w:t xml:space="preserve"> </w:t>
            </w:r>
            <w:r w:rsidR="00EB6C11">
              <w:rPr>
                <w:szCs w:val="20"/>
              </w:rPr>
              <w:t>The qualifying criteria have been developed in accordance with the literature and S</w:t>
            </w:r>
            <w:r w:rsidR="0090340B">
              <w:rPr>
                <w:szCs w:val="20"/>
              </w:rPr>
              <w:t>pecial</w:t>
            </w:r>
            <w:r w:rsidR="00E11660">
              <w:rPr>
                <w:szCs w:val="20"/>
              </w:rPr>
              <w:t>i</w:t>
            </w:r>
            <w:r w:rsidR="0090340B">
              <w:rPr>
                <w:szCs w:val="20"/>
              </w:rPr>
              <w:t xml:space="preserve">st </w:t>
            </w:r>
            <w:r w:rsidR="00EB6C11">
              <w:rPr>
                <w:szCs w:val="20"/>
              </w:rPr>
              <w:t>W</w:t>
            </w:r>
            <w:r w:rsidR="0090340B">
              <w:rPr>
                <w:szCs w:val="20"/>
              </w:rPr>
              <w:t xml:space="preserve">orking </w:t>
            </w:r>
            <w:r w:rsidR="00EB6C11">
              <w:rPr>
                <w:szCs w:val="20"/>
              </w:rPr>
              <w:t>G</w:t>
            </w:r>
            <w:r w:rsidR="0090340B">
              <w:rPr>
                <w:szCs w:val="20"/>
              </w:rPr>
              <w:t>roup</w:t>
            </w:r>
            <w:r w:rsidR="00EB6C11">
              <w:rPr>
                <w:szCs w:val="20"/>
              </w:rPr>
              <w:t xml:space="preserve"> consensus decision making. </w:t>
            </w:r>
          </w:p>
          <w:p w14:paraId="25F5D230" w14:textId="77777777" w:rsidR="008515FF" w:rsidRPr="00C92149" w:rsidRDefault="008515FF" w:rsidP="008515FF">
            <w:pPr>
              <w:spacing w:before="120" w:after="120"/>
              <w:rPr>
                <w:rFonts w:asciiTheme="minorHAnsi" w:hAnsiTheme="minorHAnsi"/>
                <w:szCs w:val="20"/>
              </w:rPr>
            </w:pPr>
          </w:p>
          <w:p w14:paraId="6D3CA554" w14:textId="77777777" w:rsidR="00880ECB" w:rsidRDefault="00880ECB" w:rsidP="003A1F9D">
            <w:pPr>
              <w:spacing w:before="120" w:after="120"/>
              <w:rPr>
                <w:rFonts w:asciiTheme="minorHAnsi" w:hAnsiTheme="minorHAnsi"/>
                <w:szCs w:val="20"/>
              </w:rPr>
            </w:pPr>
          </w:p>
          <w:p w14:paraId="4A9F7D61" w14:textId="77777777" w:rsidR="00EB6C11" w:rsidRDefault="00EB6C11" w:rsidP="003A1F9D">
            <w:pPr>
              <w:spacing w:before="120" w:after="120"/>
              <w:rPr>
                <w:rFonts w:asciiTheme="minorHAnsi" w:hAnsiTheme="minorHAnsi"/>
                <w:szCs w:val="20"/>
              </w:rPr>
            </w:pPr>
          </w:p>
          <w:p w14:paraId="6399C170" w14:textId="77777777" w:rsidR="00EB6C11" w:rsidRDefault="00EB6C11" w:rsidP="003A1F9D">
            <w:pPr>
              <w:spacing w:before="120" w:after="120"/>
              <w:rPr>
                <w:rFonts w:asciiTheme="minorHAnsi" w:hAnsiTheme="minorHAnsi"/>
                <w:szCs w:val="20"/>
              </w:rPr>
            </w:pPr>
          </w:p>
          <w:p w14:paraId="1C9EBF4E" w14:textId="77777777" w:rsidR="00EB6C11" w:rsidRDefault="00EB6C11" w:rsidP="003A1F9D">
            <w:pPr>
              <w:spacing w:before="120" w:after="120"/>
              <w:rPr>
                <w:rFonts w:asciiTheme="minorHAnsi" w:hAnsiTheme="minorHAnsi"/>
                <w:szCs w:val="20"/>
              </w:rPr>
            </w:pPr>
          </w:p>
          <w:p w14:paraId="111DD01B" w14:textId="77777777" w:rsidR="00EB6C11" w:rsidRDefault="00EB6C11" w:rsidP="003A1F9D">
            <w:pPr>
              <w:spacing w:before="120" w:after="120"/>
              <w:rPr>
                <w:rFonts w:asciiTheme="minorHAnsi" w:hAnsiTheme="minorHAnsi"/>
                <w:szCs w:val="20"/>
              </w:rPr>
            </w:pPr>
          </w:p>
          <w:p w14:paraId="3FC55B33" w14:textId="77777777" w:rsidR="00EB6C11" w:rsidRDefault="00EB6C11" w:rsidP="003A1F9D">
            <w:pPr>
              <w:spacing w:before="120" w:after="120"/>
              <w:rPr>
                <w:rFonts w:asciiTheme="minorHAnsi" w:hAnsiTheme="minorHAnsi"/>
                <w:szCs w:val="20"/>
              </w:rPr>
            </w:pPr>
          </w:p>
          <w:p w14:paraId="114880A2" w14:textId="77777777" w:rsidR="00EB6C11" w:rsidRDefault="00EB6C11" w:rsidP="003A1F9D">
            <w:pPr>
              <w:spacing w:before="120" w:after="120"/>
              <w:rPr>
                <w:rFonts w:asciiTheme="minorHAnsi" w:hAnsiTheme="minorHAnsi"/>
                <w:szCs w:val="20"/>
              </w:rPr>
            </w:pPr>
          </w:p>
          <w:p w14:paraId="257B76CF" w14:textId="77777777" w:rsidR="00EB6C11" w:rsidRDefault="00EB6C11" w:rsidP="003A1F9D">
            <w:pPr>
              <w:spacing w:before="120" w:after="120"/>
              <w:rPr>
                <w:rFonts w:asciiTheme="minorHAnsi" w:hAnsiTheme="minorHAnsi"/>
                <w:szCs w:val="20"/>
              </w:rPr>
            </w:pPr>
          </w:p>
          <w:p w14:paraId="0C89A045" w14:textId="77777777" w:rsidR="00EB6C11" w:rsidRDefault="00EB6C11" w:rsidP="003A1F9D">
            <w:pPr>
              <w:spacing w:before="120" w:after="120"/>
              <w:rPr>
                <w:rFonts w:asciiTheme="minorHAnsi" w:hAnsiTheme="minorHAnsi"/>
                <w:szCs w:val="20"/>
              </w:rPr>
            </w:pPr>
          </w:p>
          <w:p w14:paraId="16D62BF8" w14:textId="77777777" w:rsidR="00EB6C11" w:rsidRDefault="00EB6C11" w:rsidP="003A1F9D">
            <w:pPr>
              <w:spacing w:before="120" w:after="120"/>
              <w:rPr>
                <w:rFonts w:asciiTheme="minorHAnsi" w:hAnsiTheme="minorHAnsi"/>
                <w:szCs w:val="20"/>
              </w:rPr>
            </w:pPr>
          </w:p>
          <w:p w14:paraId="316185B6" w14:textId="77777777" w:rsidR="00EB6C11" w:rsidRDefault="00EB6C11" w:rsidP="00EB6C11">
            <w:pPr>
              <w:spacing w:before="120" w:after="120"/>
              <w:rPr>
                <w:rFonts w:asciiTheme="minorHAnsi" w:hAnsiTheme="minorHAnsi"/>
                <w:szCs w:val="20"/>
              </w:rPr>
            </w:pPr>
          </w:p>
          <w:p w14:paraId="05536EF0" w14:textId="77777777" w:rsidR="00EB6C11" w:rsidRDefault="00EB6C11" w:rsidP="00EB6C11">
            <w:pPr>
              <w:spacing w:before="120" w:after="120"/>
              <w:rPr>
                <w:rFonts w:asciiTheme="minorHAnsi" w:hAnsiTheme="minorHAnsi"/>
                <w:szCs w:val="20"/>
              </w:rPr>
            </w:pPr>
            <w:r>
              <w:rPr>
                <w:rFonts w:asciiTheme="minorHAnsi" w:hAnsiTheme="minorHAnsi"/>
                <w:szCs w:val="20"/>
              </w:rPr>
              <w:t xml:space="preserve">Further Ig therapy will be limited to patients in whom a clinical response was demonstrated. </w:t>
            </w:r>
          </w:p>
          <w:p w14:paraId="628D4B02" w14:textId="77777777" w:rsidR="00EB6C11" w:rsidRPr="00C92149" w:rsidRDefault="00EB6C11" w:rsidP="003A1F9D">
            <w:pPr>
              <w:spacing w:before="120" w:after="120"/>
              <w:rPr>
                <w:rFonts w:asciiTheme="minorHAnsi" w:hAnsiTheme="minorHAnsi"/>
                <w:szCs w:val="20"/>
              </w:rPr>
            </w:pPr>
          </w:p>
        </w:tc>
      </w:tr>
      <w:tr w:rsidR="00021243" w:rsidRPr="00853117" w14:paraId="593B081D" w14:textId="77777777" w:rsidTr="00D11061">
        <w:tc>
          <w:tcPr>
            <w:tcW w:w="1560" w:type="dxa"/>
            <w:shd w:val="clear" w:color="auto" w:fill="D9D9D9" w:themeFill="background1" w:themeFillShade="D9"/>
          </w:tcPr>
          <w:p w14:paraId="0E0C419A" w14:textId="77777777" w:rsidR="00021243" w:rsidRPr="0019679F" w:rsidRDefault="00021243" w:rsidP="0019679F">
            <w:pPr>
              <w:spacing w:before="120" w:after="120"/>
              <w:rPr>
                <w:rFonts w:asciiTheme="minorHAnsi" w:hAnsiTheme="minorHAnsi"/>
                <w:b/>
                <w:bCs/>
              </w:rPr>
            </w:pPr>
            <w:r w:rsidRPr="0019679F">
              <w:rPr>
                <w:rFonts w:asciiTheme="minorHAnsi" w:hAnsiTheme="minorHAnsi"/>
                <w:b/>
              </w:rPr>
              <w:lastRenderedPageBreak/>
              <w:t>Review Criteria</w:t>
            </w:r>
          </w:p>
        </w:tc>
        <w:tc>
          <w:tcPr>
            <w:tcW w:w="2977" w:type="dxa"/>
          </w:tcPr>
          <w:p w14:paraId="073D7236" w14:textId="77777777" w:rsidR="00021243" w:rsidRPr="00991850" w:rsidRDefault="00282F66" w:rsidP="00021243">
            <w:pPr>
              <w:pStyle w:val="Default"/>
              <w:spacing w:before="120" w:after="120"/>
              <w:rPr>
                <w:rFonts w:asciiTheme="minorHAnsi" w:hAnsiTheme="minorHAnsi"/>
                <w:sz w:val="22"/>
                <w:szCs w:val="22"/>
              </w:rPr>
            </w:pPr>
            <w:r>
              <w:rPr>
                <w:rFonts w:asciiTheme="minorHAnsi" w:hAnsiTheme="minorHAnsi"/>
                <w:sz w:val="22"/>
                <w:szCs w:val="22"/>
              </w:rPr>
              <w:t xml:space="preserve"> </w:t>
            </w:r>
          </w:p>
          <w:p w14:paraId="5B533D1C" w14:textId="77777777" w:rsidR="00021243" w:rsidRPr="00447869" w:rsidRDefault="00021243" w:rsidP="00021243">
            <w:pPr>
              <w:spacing w:before="120" w:after="120"/>
              <w:rPr>
                <w:rFonts w:asciiTheme="minorHAnsi" w:hAnsiTheme="minorHAnsi"/>
              </w:rPr>
            </w:pPr>
          </w:p>
        </w:tc>
        <w:tc>
          <w:tcPr>
            <w:tcW w:w="5670" w:type="dxa"/>
            <w:gridSpan w:val="3"/>
          </w:tcPr>
          <w:p w14:paraId="1807BA46" w14:textId="6797AC7A" w:rsidR="006A2CA8" w:rsidRPr="00FC105A" w:rsidRDefault="0019679F" w:rsidP="006A2CA8">
            <w:pPr>
              <w:spacing w:before="120" w:after="120"/>
              <w:rPr>
                <w:rFonts w:eastAsiaTheme="minorHAnsi" w:cs="DIN-Light"/>
                <w:b/>
                <w:color w:val="000000"/>
              </w:rPr>
            </w:pPr>
            <w:r w:rsidRPr="00FC105A">
              <w:rPr>
                <w:rFonts w:eastAsiaTheme="minorHAnsi" w:cs="DIN-Light"/>
                <w:b/>
                <w:color w:val="000000"/>
              </w:rPr>
              <w:t>Severe autoimmune neutropenia unresponsive to treatment with G-CSF</w:t>
            </w:r>
          </w:p>
          <w:p w14:paraId="0B284163" w14:textId="77777777" w:rsidR="0019679F" w:rsidRPr="0019679F" w:rsidRDefault="0019679F" w:rsidP="0019679F">
            <w:pPr>
              <w:spacing w:before="120" w:after="120"/>
              <w:rPr>
                <w:rFonts w:eastAsiaTheme="minorHAnsi" w:cs="DIN-Light"/>
                <w:color w:val="000000"/>
              </w:rPr>
            </w:pPr>
            <w:r w:rsidRPr="0019679F">
              <w:rPr>
                <w:rFonts w:eastAsiaTheme="minorHAnsi" w:cs="DIN-Light"/>
                <w:color w:val="000000"/>
              </w:rPr>
              <w:t xml:space="preserve">Review is not mandated for this condition. </w:t>
            </w:r>
          </w:p>
          <w:p w14:paraId="754B8A4E" w14:textId="6CE9CF07" w:rsidR="0019679F" w:rsidRDefault="00FC105A" w:rsidP="0019679F">
            <w:pPr>
              <w:spacing w:before="120" w:after="120"/>
              <w:rPr>
                <w:rFonts w:eastAsiaTheme="minorHAnsi" w:cs="DIN-Light"/>
                <w:color w:val="000000"/>
              </w:rPr>
            </w:pPr>
            <w:r>
              <w:rPr>
                <w:rFonts w:eastAsiaTheme="minorHAnsi" w:cs="DIN-Light"/>
                <w:color w:val="000000"/>
              </w:rPr>
              <w:t xml:space="preserve"> </w:t>
            </w:r>
            <w:r w:rsidR="0019679F" w:rsidRPr="0019679F">
              <w:rPr>
                <w:rFonts w:eastAsiaTheme="minorHAnsi" w:cs="DIN-Light"/>
                <w:color w:val="000000"/>
              </w:rPr>
              <w:t>Clinical effectiveness of Ig therapy can be demonstrated by:</w:t>
            </w:r>
          </w:p>
          <w:p w14:paraId="1F899018" w14:textId="4299D28A" w:rsidR="0019679F" w:rsidRDefault="0019679F" w:rsidP="00EB6C11">
            <w:pPr>
              <w:pStyle w:val="ListParagraph"/>
              <w:numPr>
                <w:ilvl w:val="0"/>
                <w:numId w:val="2"/>
              </w:numPr>
              <w:spacing w:before="120" w:after="120"/>
              <w:rPr>
                <w:rFonts w:eastAsiaTheme="minorHAnsi" w:cs="DIN-Light"/>
                <w:color w:val="000000"/>
              </w:rPr>
            </w:pPr>
            <w:r w:rsidRPr="0019679F">
              <w:rPr>
                <w:rFonts w:eastAsiaTheme="minorHAnsi" w:cs="DIN-Light"/>
                <w:color w:val="000000"/>
              </w:rPr>
              <w:t>Improvement in neutrophil count compared to the qualifying assessment</w:t>
            </w:r>
          </w:p>
          <w:p w14:paraId="4B9252D3" w14:textId="77777777" w:rsidR="00FC105A" w:rsidRPr="0019679F" w:rsidRDefault="00FC105A" w:rsidP="00FC105A">
            <w:pPr>
              <w:pStyle w:val="ListParagraph"/>
              <w:spacing w:before="120" w:after="120"/>
              <w:ind w:left="754"/>
              <w:rPr>
                <w:rFonts w:eastAsiaTheme="minorHAnsi" w:cs="DIN-Light"/>
                <w:color w:val="000000"/>
              </w:rPr>
            </w:pPr>
          </w:p>
          <w:p w14:paraId="222ECC5B" w14:textId="6F6E7545" w:rsidR="0019679F" w:rsidRPr="0019679F" w:rsidRDefault="0019679F" w:rsidP="00EB6C11">
            <w:pPr>
              <w:pStyle w:val="ListParagraph"/>
              <w:numPr>
                <w:ilvl w:val="0"/>
                <w:numId w:val="2"/>
              </w:numPr>
              <w:spacing w:before="120" w:after="120"/>
              <w:rPr>
                <w:rFonts w:eastAsiaTheme="minorHAnsi" w:cs="DIN-Light"/>
                <w:color w:val="000000"/>
              </w:rPr>
            </w:pPr>
            <w:r w:rsidRPr="0019679F">
              <w:rPr>
                <w:rFonts w:eastAsiaTheme="minorHAnsi" w:cs="DIN-Light"/>
                <w:color w:val="000000"/>
              </w:rPr>
              <w:t>Reduction in ongoing infections compared to the qualifying assessment</w:t>
            </w:r>
          </w:p>
          <w:p w14:paraId="60B83388" w14:textId="77777777" w:rsidR="00FC105A" w:rsidRDefault="00FC105A" w:rsidP="006320BB">
            <w:pPr>
              <w:rPr>
                <w:rFonts w:eastAsiaTheme="minorHAnsi" w:cs="DIN-Light"/>
                <w:b/>
                <w:color w:val="000000"/>
              </w:rPr>
            </w:pPr>
          </w:p>
          <w:p w14:paraId="5B698144" w14:textId="5937F221" w:rsidR="006320BB" w:rsidRDefault="0019679F" w:rsidP="006320BB">
            <w:pPr>
              <w:rPr>
                <w:rFonts w:eastAsiaTheme="minorHAnsi" w:cs="DIN-Light"/>
                <w:b/>
                <w:color w:val="000000"/>
              </w:rPr>
            </w:pPr>
            <w:r w:rsidRPr="00FC105A">
              <w:rPr>
                <w:rFonts w:eastAsiaTheme="minorHAnsi" w:cs="DIN-Light"/>
                <w:b/>
                <w:color w:val="000000"/>
              </w:rPr>
              <w:t>Relapse of severe autoimmune neutropenia in a patient demonstrated to have previously responded to Ig therapy</w:t>
            </w:r>
          </w:p>
          <w:p w14:paraId="159DC924" w14:textId="77777777" w:rsidR="00FC105A" w:rsidRDefault="00FC105A" w:rsidP="006320BB">
            <w:pPr>
              <w:rPr>
                <w:rFonts w:eastAsiaTheme="minorHAnsi" w:cs="DIN-Light"/>
                <w:b/>
                <w:color w:val="000000"/>
              </w:rPr>
            </w:pPr>
          </w:p>
          <w:p w14:paraId="2001D652" w14:textId="77777777" w:rsidR="00FC105A" w:rsidRPr="00FC105A" w:rsidRDefault="00FC105A" w:rsidP="00FC105A">
            <w:pPr>
              <w:rPr>
                <w:rFonts w:eastAsiaTheme="minorHAnsi" w:cs="DIN-Light"/>
                <w:color w:val="000000"/>
              </w:rPr>
            </w:pPr>
            <w:r w:rsidRPr="00FC105A">
              <w:rPr>
                <w:rFonts w:eastAsiaTheme="minorHAnsi" w:cs="DIN-Light"/>
                <w:color w:val="000000"/>
              </w:rPr>
              <w:t xml:space="preserve">Review is not mandated for this condition. </w:t>
            </w:r>
          </w:p>
          <w:p w14:paraId="0187D053" w14:textId="77777777" w:rsidR="00FC105A" w:rsidRPr="00FC105A" w:rsidRDefault="00FC105A" w:rsidP="00FC105A">
            <w:pPr>
              <w:rPr>
                <w:rFonts w:eastAsiaTheme="minorHAnsi" w:cs="DIN-Light"/>
                <w:color w:val="000000"/>
              </w:rPr>
            </w:pPr>
            <w:r w:rsidRPr="00FC105A">
              <w:rPr>
                <w:rFonts w:eastAsiaTheme="minorHAnsi" w:cs="DIN-Light"/>
                <w:color w:val="000000"/>
              </w:rPr>
              <w:t xml:space="preserve"> </w:t>
            </w:r>
          </w:p>
          <w:p w14:paraId="524FAD09" w14:textId="77777777" w:rsidR="00FC105A" w:rsidRPr="00FC105A" w:rsidRDefault="00FC105A" w:rsidP="00FC105A">
            <w:pPr>
              <w:rPr>
                <w:rFonts w:eastAsiaTheme="minorHAnsi" w:cs="DIN-Light"/>
                <w:color w:val="000000"/>
              </w:rPr>
            </w:pPr>
            <w:r w:rsidRPr="00FC105A">
              <w:rPr>
                <w:rFonts w:eastAsiaTheme="minorHAnsi" w:cs="DIN-Light"/>
                <w:color w:val="000000"/>
              </w:rPr>
              <w:t xml:space="preserve">Clinical effectiveness of Ig therapy can be demonstrated by: </w:t>
            </w:r>
          </w:p>
          <w:p w14:paraId="55AE048A" w14:textId="77777777" w:rsidR="00FC105A" w:rsidRPr="00FC105A" w:rsidRDefault="00FC105A" w:rsidP="00FC105A">
            <w:pPr>
              <w:rPr>
                <w:rFonts w:eastAsiaTheme="minorHAnsi" w:cs="DIN-Light"/>
                <w:color w:val="000000"/>
              </w:rPr>
            </w:pPr>
            <w:r w:rsidRPr="00FC105A">
              <w:rPr>
                <w:rFonts w:eastAsiaTheme="minorHAnsi" w:cs="DIN-Light"/>
                <w:color w:val="000000"/>
              </w:rPr>
              <w:t xml:space="preserve"> </w:t>
            </w:r>
          </w:p>
          <w:p w14:paraId="613A30A9" w14:textId="3DA533A5" w:rsidR="00FC105A" w:rsidRDefault="00FC105A" w:rsidP="00EB6C11">
            <w:pPr>
              <w:pStyle w:val="ListParagraph"/>
              <w:numPr>
                <w:ilvl w:val="0"/>
                <w:numId w:val="3"/>
              </w:numPr>
              <w:rPr>
                <w:rFonts w:eastAsiaTheme="minorHAnsi" w:cs="DIN-Light"/>
                <w:color w:val="000000"/>
              </w:rPr>
            </w:pPr>
            <w:r w:rsidRPr="00FC105A">
              <w:rPr>
                <w:rFonts w:eastAsiaTheme="minorHAnsi" w:cs="DIN-Light"/>
                <w:color w:val="000000"/>
              </w:rPr>
              <w:t>Improvement in neutrophil count compared to the qualifying assessment</w:t>
            </w:r>
          </w:p>
          <w:p w14:paraId="4236CE3A" w14:textId="77777777" w:rsidR="00FC105A" w:rsidRPr="00FC105A" w:rsidRDefault="00FC105A" w:rsidP="00FC105A">
            <w:pPr>
              <w:pStyle w:val="ListParagraph"/>
              <w:rPr>
                <w:rFonts w:eastAsiaTheme="minorHAnsi" w:cs="DIN-Light"/>
                <w:color w:val="000000"/>
              </w:rPr>
            </w:pPr>
          </w:p>
          <w:p w14:paraId="26F26C50" w14:textId="3A73576D" w:rsidR="00FC105A" w:rsidRPr="00FC105A" w:rsidRDefault="00FC105A" w:rsidP="00EB6C11">
            <w:pPr>
              <w:pStyle w:val="ListParagraph"/>
              <w:numPr>
                <w:ilvl w:val="0"/>
                <w:numId w:val="3"/>
              </w:numPr>
              <w:rPr>
                <w:rFonts w:eastAsiaTheme="minorHAnsi" w:cs="DIN-Light"/>
                <w:color w:val="000000"/>
              </w:rPr>
            </w:pPr>
            <w:r w:rsidRPr="00FC105A">
              <w:rPr>
                <w:rFonts w:eastAsiaTheme="minorHAnsi" w:cs="DIN-Light"/>
                <w:color w:val="000000"/>
              </w:rPr>
              <w:t>Reduction in ongoing infections compared to the qualifying assessment</w:t>
            </w:r>
          </w:p>
          <w:p w14:paraId="63F58AC3" w14:textId="42E4B6CA" w:rsidR="00021243" w:rsidRPr="006320BB" w:rsidRDefault="00021243" w:rsidP="006A2CA8">
            <w:pPr>
              <w:pStyle w:val="ListParagraph"/>
              <w:rPr>
                <w:rFonts w:eastAsiaTheme="minorHAnsi" w:cs="DIN-Light"/>
                <w:color w:val="000000"/>
              </w:rPr>
            </w:pPr>
          </w:p>
        </w:tc>
        <w:tc>
          <w:tcPr>
            <w:tcW w:w="4394" w:type="dxa"/>
          </w:tcPr>
          <w:p w14:paraId="5DD953C6" w14:textId="21AE4B73" w:rsidR="00BD6C2D" w:rsidRPr="00C92149" w:rsidRDefault="00282F66" w:rsidP="00021243">
            <w:pPr>
              <w:spacing w:before="120" w:after="120"/>
              <w:rPr>
                <w:szCs w:val="20"/>
              </w:rPr>
            </w:pPr>
            <w:r w:rsidRPr="009208EC">
              <w:rPr>
                <w:szCs w:val="20"/>
              </w:rPr>
              <w:t xml:space="preserve"> </w:t>
            </w:r>
            <w:r w:rsidR="00EB6C11">
              <w:rPr>
                <w:szCs w:val="20"/>
              </w:rPr>
              <w:t>Review periods have been considered in line with the literature. The initial treatment period is defined as four weeks. As this is short term treatment not requiring formal review for re-qualification, therefore clinical outcome data have been developed rather than review criteria.</w:t>
            </w:r>
          </w:p>
          <w:p w14:paraId="756FB336" w14:textId="77777777" w:rsidR="00BD6C2D" w:rsidRPr="00C92149" w:rsidRDefault="00BD6C2D" w:rsidP="00021243">
            <w:pPr>
              <w:spacing w:before="120" w:after="120"/>
              <w:rPr>
                <w:rFonts w:asciiTheme="minorHAnsi" w:hAnsiTheme="minorHAnsi"/>
                <w:szCs w:val="20"/>
              </w:rPr>
            </w:pPr>
          </w:p>
        </w:tc>
      </w:tr>
      <w:tr w:rsidR="00021243" w:rsidRPr="00853117" w14:paraId="1DBED716" w14:textId="77777777" w:rsidTr="00D11061">
        <w:tc>
          <w:tcPr>
            <w:tcW w:w="1560" w:type="dxa"/>
            <w:shd w:val="clear" w:color="auto" w:fill="D9D9D9" w:themeFill="background1" w:themeFillShade="D9"/>
          </w:tcPr>
          <w:p w14:paraId="48B33725" w14:textId="77777777" w:rsidR="00021243" w:rsidRPr="0019679F" w:rsidRDefault="00021243" w:rsidP="0019679F">
            <w:pPr>
              <w:spacing w:before="120" w:after="120"/>
              <w:rPr>
                <w:rFonts w:asciiTheme="minorHAnsi" w:hAnsiTheme="minorHAnsi"/>
                <w:b/>
                <w:bCs/>
              </w:rPr>
            </w:pPr>
            <w:r w:rsidRPr="0019679F">
              <w:rPr>
                <w:rFonts w:asciiTheme="minorHAnsi" w:hAnsiTheme="minorHAnsi"/>
                <w:b/>
              </w:rPr>
              <w:t>Dose</w:t>
            </w:r>
          </w:p>
        </w:tc>
        <w:tc>
          <w:tcPr>
            <w:tcW w:w="2977" w:type="dxa"/>
          </w:tcPr>
          <w:p w14:paraId="4A009510" w14:textId="77777777" w:rsidR="00E0285F" w:rsidRPr="00E0285F" w:rsidRDefault="00E0285F" w:rsidP="00E0285F">
            <w:pPr>
              <w:spacing w:before="120" w:after="120"/>
              <w:rPr>
                <w:rFonts w:asciiTheme="minorHAnsi" w:hAnsiTheme="minorHAnsi"/>
                <w:b/>
              </w:rPr>
            </w:pPr>
            <w:r w:rsidRPr="00E0285F">
              <w:rPr>
                <w:rFonts w:asciiTheme="minorHAnsi" w:hAnsiTheme="minorHAnsi"/>
                <w:b/>
              </w:rPr>
              <w:t>Refer to the current product information sheet for further information.</w:t>
            </w:r>
          </w:p>
          <w:p w14:paraId="13636F57" w14:textId="77777777" w:rsidR="00E0285F" w:rsidRPr="00E0285F" w:rsidRDefault="00E0285F" w:rsidP="00E0285F">
            <w:pPr>
              <w:spacing w:before="120" w:after="120"/>
              <w:rPr>
                <w:rFonts w:asciiTheme="minorHAnsi" w:hAnsiTheme="minorHAnsi"/>
                <w:b/>
              </w:rPr>
            </w:pPr>
          </w:p>
          <w:p w14:paraId="5DE00D56" w14:textId="55B546D4" w:rsidR="00021243" w:rsidRPr="00447869" w:rsidRDefault="00E0285F" w:rsidP="00E0285F">
            <w:pPr>
              <w:spacing w:before="120" w:after="120"/>
              <w:rPr>
                <w:rFonts w:asciiTheme="minorHAnsi" w:hAnsiTheme="minorHAnsi"/>
                <w:b/>
              </w:rPr>
            </w:pPr>
            <w:r w:rsidRPr="00E0285F">
              <w:rPr>
                <w:rFonts w:asciiTheme="minorHAnsi" w:hAnsiTheme="minorHAnsi"/>
                <w:b/>
              </w:rPr>
              <w:t>The aim should be to use the lowest dose possible that achieves the appropriate clinical outcome for each patient.</w:t>
            </w:r>
          </w:p>
        </w:tc>
        <w:tc>
          <w:tcPr>
            <w:tcW w:w="5670" w:type="dxa"/>
            <w:gridSpan w:val="3"/>
          </w:tcPr>
          <w:p w14:paraId="28169820" w14:textId="77777777" w:rsidR="00021243" w:rsidRPr="00FC105A" w:rsidRDefault="00FC105A" w:rsidP="006320BB">
            <w:pPr>
              <w:spacing w:before="120" w:after="120"/>
              <w:rPr>
                <w:rFonts w:asciiTheme="minorHAnsi" w:hAnsiTheme="minorHAnsi"/>
                <w:b/>
              </w:rPr>
            </w:pPr>
            <w:r w:rsidRPr="00FC105A">
              <w:rPr>
                <w:rFonts w:asciiTheme="minorHAnsi" w:hAnsiTheme="minorHAnsi"/>
                <w:b/>
              </w:rPr>
              <w:t>Severe autoimmune neutropenia unresponsive to treatment with G-CSF</w:t>
            </w:r>
          </w:p>
          <w:p w14:paraId="03096290" w14:textId="1E3DDF83" w:rsidR="00FC105A" w:rsidRDefault="00FC105A" w:rsidP="006320BB">
            <w:pPr>
              <w:spacing w:before="120" w:after="120"/>
              <w:rPr>
                <w:rFonts w:asciiTheme="minorHAnsi" w:hAnsiTheme="minorHAnsi"/>
                <w:b/>
              </w:rPr>
            </w:pPr>
            <w:r w:rsidRPr="00FC105A">
              <w:rPr>
                <w:rFonts w:asciiTheme="minorHAnsi" w:hAnsiTheme="minorHAnsi"/>
                <w:b/>
              </w:rPr>
              <w:t>Dose: Up to 2 g/kg in a single or divided dose</w:t>
            </w:r>
            <w:r w:rsidR="00EB6C11">
              <w:rPr>
                <w:rFonts w:asciiTheme="minorHAnsi" w:hAnsiTheme="minorHAnsi"/>
                <w:b/>
              </w:rPr>
              <w:t>, weekly for 4 weeks</w:t>
            </w:r>
          </w:p>
          <w:p w14:paraId="38D1ACC6" w14:textId="64BA49D0" w:rsidR="00FC105A" w:rsidRPr="00FC105A" w:rsidRDefault="00FC105A" w:rsidP="00FC105A">
            <w:pPr>
              <w:spacing w:before="120" w:after="120"/>
              <w:rPr>
                <w:rFonts w:asciiTheme="minorHAnsi" w:hAnsiTheme="minorHAnsi"/>
              </w:rPr>
            </w:pPr>
            <w:r w:rsidRPr="00FC105A">
              <w:rPr>
                <w:rFonts w:asciiTheme="minorHAnsi" w:hAnsiTheme="minorHAnsi"/>
              </w:rPr>
              <w:t>The aim should be to use the lowest dose possible that achieves the appropriate cli</w:t>
            </w:r>
            <w:r>
              <w:rPr>
                <w:rFonts w:asciiTheme="minorHAnsi" w:hAnsiTheme="minorHAnsi"/>
              </w:rPr>
              <w:t>nical outcome for each patient.</w:t>
            </w:r>
          </w:p>
          <w:p w14:paraId="5EDDFB19" w14:textId="2922E933" w:rsidR="00FC105A" w:rsidRPr="00FC105A" w:rsidRDefault="00FC105A" w:rsidP="00FC105A">
            <w:pPr>
              <w:spacing w:before="120" w:after="120"/>
              <w:rPr>
                <w:rFonts w:asciiTheme="minorHAnsi" w:hAnsiTheme="minorHAnsi"/>
              </w:rPr>
            </w:pPr>
            <w:r w:rsidRPr="00FC105A">
              <w:rPr>
                <w:rFonts w:asciiTheme="minorHAnsi" w:hAnsiTheme="minorHAnsi"/>
              </w:rPr>
              <w:t>Refer to the current product information sheet for further information</w:t>
            </w:r>
            <w:r>
              <w:rPr>
                <w:rFonts w:asciiTheme="minorHAnsi" w:hAnsiTheme="minorHAnsi"/>
              </w:rPr>
              <w:t xml:space="preserve"> on dose, administration and contraindications</w:t>
            </w:r>
            <w:r w:rsidRPr="00FC105A">
              <w:rPr>
                <w:rFonts w:asciiTheme="minorHAnsi" w:hAnsiTheme="minorHAnsi"/>
              </w:rPr>
              <w:t>.</w:t>
            </w:r>
          </w:p>
          <w:p w14:paraId="59AE8EF9" w14:textId="77777777" w:rsidR="00FC105A" w:rsidRDefault="00FC105A" w:rsidP="00FC105A">
            <w:pPr>
              <w:spacing w:before="120" w:after="120"/>
              <w:rPr>
                <w:rFonts w:asciiTheme="minorHAnsi" w:hAnsiTheme="minorHAnsi"/>
                <w:b/>
              </w:rPr>
            </w:pPr>
          </w:p>
          <w:p w14:paraId="478901B6" w14:textId="77777777" w:rsidR="00FC105A" w:rsidRPr="00FC105A" w:rsidRDefault="00FC105A" w:rsidP="00FC105A">
            <w:pPr>
              <w:spacing w:before="120" w:after="120"/>
              <w:rPr>
                <w:rFonts w:asciiTheme="minorHAnsi" w:hAnsiTheme="minorHAnsi"/>
                <w:b/>
              </w:rPr>
            </w:pPr>
            <w:r w:rsidRPr="00FC105A">
              <w:rPr>
                <w:rFonts w:asciiTheme="minorHAnsi" w:hAnsiTheme="minorHAnsi"/>
                <w:b/>
              </w:rPr>
              <w:t>Relapse of severe autoimmune neutropenia in a patient demonstrated to have previously responded to Ig therapy</w:t>
            </w:r>
          </w:p>
          <w:p w14:paraId="0916F18B" w14:textId="335C77AC" w:rsidR="00EB6C11" w:rsidRDefault="00FC105A" w:rsidP="00FC105A">
            <w:pPr>
              <w:spacing w:before="120" w:after="120"/>
              <w:rPr>
                <w:rFonts w:asciiTheme="minorHAnsi" w:hAnsiTheme="minorHAnsi"/>
                <w:b/>
              </w:rPr>
            </w:pPr>
            <w:r w:rsidRPr="00FC105A">
              <w:rPr>
                <w:rFonts w:asciiTheme="minorHAnsi" w:hAnsiTheme="minorHAnsi"/>
                <w:b/>
              </w:rPr>
              <w:t>Dose:  Up to 2 g/kg in a single or divided dose</w:t>
            </w:r>
            <w:r w:rsidR="00EB6C11">
              <w:rPr>
                <w:rFonts w:asciiTheme="minorHAnsi" w:hAnsiTheme="minorHAnsi"/>
                <w:b/>
              </w:rPr>
              <w:t xml:space="preserve"> weekly for 4 weeks</w:t>
            </w:r>
          </w:p>
          <w:p w14:paraId="503D157F" w14:textId="77777777" w:rsidR="00EB6C11" w:rsidRPr="00FC105A" w:rsidRDefault="00EB6C11" w:rsidP="00EB6C11">
            <w:pPr>
              <w:spacing w:before="120" w:after="120"/>
              <w:rPr>
                <w:rFonts w:asciiTheme="minorHAnsi" w:hAnsiTheme="minorHAnsi"/>
              </w:rPr>
            </w:pPr>
            <w:r w:rsidRPr="00FC105A">
              <w:rPr>
                <w:rFonts w:asciiTheme="minorHAnsi" w:hAnsiTheme="minorHAnsi"/>
              </w:rPr>
              <w:t>The aim should be to use the lowest dose possible that achieves the appropriate cli</w:t>
            </w:r>
            <w:r>
              <w:rPr>
                <w:rFonts w:asciiTheme="minorHAnsi" w:hAnsiTheme="minorHAnsi"/>
              </w:rPr>
              <w:t>nical outcome for each patient.</w:t>
            </w:r>
          </w:p>
          <w:p w14:paraId="776C84C4" w14:textId="526E8539" w:rsidR="00EB6C11" w:rsidRPr="00447869" w:rsidRDefault="00EB6C11" w:rsidP="00EB6C11">
            <w:pPr>
              <w:spacing w:before="120" w:after="120"/>
              <w:rPr>
                <w:rFonts w:asciiTheme="minorHAnsi" w:hAnsiTheme="minorHAnsi"/>
              </w:rPr>
            </w:pPr>
            <w:r w:rsidRPr="00711A47">
              <w:rPr>
                <w:rFonts w:asciiTheme="minorHAnsi" w:hAnsiTheme="minorHAnsi"/>
                <w:b/>
              </w:rPr>
              <w:t>Refer to the current product information sheet for further information on dose, administration and contraindications.</w:t>
            </w:r>
          </w:p>
        </w:tc>
        <w:tc>
          <w:tcPr>
            <w:tcW w:w="4394" w:type="dxa"/>
          </w:tcPr>
          <w:p w14:paraId="192E3BF5" w14:textId="46B461CE" w:rsidR="00021243" w:rsidRPr="00C92149" w:rsidRDefault="00EB6C11" w:rsidP="00C012B0">
            <w:pPr>
              <w:spacing w:before="120" w:after="120"/>
              <w:rPr>
                <w:rFonts w:asciiTheme="minorHAnsi" w:hAnsiTheme="minorHAnsi"/>
                <w:szCs w:val="20"/>
              </w:rPr>
            </w:pPr>
            <w:r>
              <w:rPr>
                <w:rFonts w:asciiTheme="minorHAnsi" w:hAnsiTheme="minorHAnsi"/>
                <w:szCs w:val="20"/>
              </w:rPr>
              <w:t xml:space="preserve">Dosing has been defined in line with the literature and by </w:t>
            </w:r>
            <w:r w:rsidR="00C012B0">
              <w:rPr>
                <w:rFonts w:asciiTheme="minorHAnsi" w:hAnsiTheme="minorHAnsi"/>
                <w:szCs w:val="20"/>
              </w:rPr>
              <w:t xml:space="preserve">Specialist Working Group </w:t>
            </w:r>
            <w:r>
              <w:rPr>
                <w:rFonts w:asciiTheme="minorHAnsi" w:hAnsiTheme="minorHAnsi"/>
                <w:szCs w:val="20"/>
              </w:rPr>
              <w:t>consensus.</w:t>
            </w:r>
          </w:p>
        </w:tc>
      </w:tr>
    </w:tbl>
    <w:p w14:paraId="3D4E197F" w14:textId="77777777" w:rsidR="00447869" w:rsidRDefault="00447869" w:rsidP="00447869">
      <w:pPr>
        <w:spacing w:before="120" w:after="120"/>
        <w:rPr>
          <w:rFonts w:asciiTheme="minorHAnsi" w:hAnsiTheme="minorHAnsi"/>
        </w:rPr>
        <w:sectPr w:rsidR="00447869" w:rsidSect="00447869">
          <w:headerReference w:type="default" r:id="rId9"/>
          <w:footerReference w:type="default" r:id="rId10"/>
          <w:headerReference w:type="first" r:id="rId11"/>
          <w:footerReference w:type="first" r:id="rId12"/>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4A0" w:firstRow="1" w:lastRow="0" w:firstColumn="1" w:lastColumn="0" w:noHBand="0" w:noVBand="1"/>
      </w:tblPr>
      <w:tblGrid>
        <w:gridCol w:w="14601"/>
      </w:tblGrid>
      <w:tr w:rsidR="008612AB" w:rsidRPr="00021243" w14:paraId="53696D4F" w14:textId="77777777" w:rsidTr="008612AB">
        <w:tc>
          <w:tcPr>
            <w:tcW w:w="14601" w:type="dxa"/>
            <w:shd w:val="clear" w:color="auto" w:fill="B8CCE4" w:themeFill="accent1" w:themeFillTint="66"/>
          </w:tcPr>
          <w:p w14:paraId="7834E0F2" w14:textId="77777777" w:rsidR="00A80A19" w:rsidRDefault="00F42816" w:rsidP="009F1DFC">
            <w:pPr>
              <w:spacing w:before="120" w:after="120"/>
              <w:jc w:val="center"/>
              <w:rPr>
                <w:rFonts w:asciiTheme="minorHAnsi" w:hAnsiTheme="minorHAnsi"/>
                <w:b/>
              </w:rPr>
            </w:pPr>
            <w:r>
              <w:rPr>
                <w:rFonts w:asciiTheme="minorHAnsi" w:hAnsiTheme="minorHAnsi"/>
                <w:b/>
              </w:rPr>
              <w:t>References</w:t>
            </w:r>
          </w:p>
          <w:p w14:paraId="1FA68C84" w14:textId="4157F121" w:rsidR="00901F76" w:rsidRPr="00021243" w:rsidRDefault="00901F76" w:rsidP="00E97FFA">
            <w:pPr>
              <w:spacing w:before="120" w:after="120"/>
              <w:jc w:val="center"/>
              <w:rPr>
                <w:rFonts w:asciiTheme="minorHAnsi" w:hAnsiTheme="minorHAnsi"/>
                <w:b/>
              </w:rPr>
            </w:pPr>
            <w:r>
              <w:rPr>
                <w:rFonts w:asciiTheme="minorHAnsi" w:hAnsiTheme="minorHAnsi"/>
                <w:b/>
              </w:rPr>
              <w:t>(</w:t>
            </w:r>
            <w:r w:rsidR="007C3B01">
              <w:rPr>
                <w:rFonts w:asciiTheme="minorHAnsi" w:hAnsiTheme="minorHAnsi"/>
                <w:b/>
              </w:rPr>
              <w:t xml:space="preserve">most </w:t>
            </w:r>
            <w:r>
              <w:rPr>
                <w:rFonts w:asciiTheme="minorHAnsi" w:hAnsiTheme="minorHAnsi"/>
                <w:b/>
              </w:rPr>
              <w:t>recent update</w:t>
            </w:r>
            <w:r w:rsidR="007C3B01">
              <w:rPr>
                <w:rFonts w:asciiTheme="minorHAnsi" w:hAnsiTheme="minorHAnsi"/>
                <w:b/>
              </w:rPr>
              <w:t xml:space="preserve">: </w:t>
            </w:r>
            <w:r w:rsidR="00E97FFA">
              <w:rPr>
                <w:rFonts w:asciiTheme="minorHAnsi" w:hAnsiTheme="minorHAnsi"/>
                <w:b/>
              </w:rPr>
              <w:t>August 2016</w:t>
            </w:r>
            <w:r>
              <w:rPr>
                <w:rFonts w:asciiTheme="minorHAnsi" w:hAnsiTheme="minorHAnsi"/>
                <w:b/>
              </w:rPr>
              <w:t>)</w:t>
            </w:r>
          </w:p>
        </w:tc>
      </w:tr>
      <w:tr w:rsidR="008612AB" w:rsidRPr="00255740" w14:paraId="1FB79940" w14:textId="77777777" w:rsidTr="008612AB">
        <w:tc>
          <w:tcPr>
            <w:tcW w:w="14601" w:type="dxa"/>
          </w:tcPr>
          <w:p w14:paraId="4E360F4C" w14:textId="147F917F" w:rsidR="008625E0" w:rsidRDefault="001800BE" w:rsidP="006A2CA8">
            <w:pPr>
              <w:pStyle w:val="ListParagraph"/>
              <w:spacing w:after="225" w:line="360" w:lineRule="atLeast"/>
              <w:rPr>
                <w:rFonts w:asciiTheme="minorHAnsi" w:hAnsiTheme="minorHAnsi"/>
              </w:rPr>
            </w:pPr>
            <w:r>
              <w:rPr>
                <w:rFonts w:asciiTheme="minorHAnsi" w:hAnsiTheme="minorHAnsi"/>
              </w:rPr>
              <w:t xml:space="preserve">Anderson D, Ali K, </w:t>
            </w:r>
            <w:proofErr w:type="spellStart"/>
            <w:r>
              <w:rPr>
                <w:rFonts w:asciiTheme="minorHAnsi" w:hAnsiTheme="minorHAnsi"/>
              </w:rPr>
              <w:t>Blanchette</w:t>
            </w:r>
            <w:proofErr w:type="spellEnd"/>
            <w:r w:rsidR="00DE4C13" w:rsidRPr="00C0329D">
              <w:rPr>
                <w:rFonts w:asciiTheme="minorHAnsi" w:hAnsiTheme="minorHAnsi"/>
              </w:rPr>
              <w:t xml:space="preserve"> V, et al </w:t>
            </w:r>
            <w:r>
              <w:rPr>
                <w:rFonts w:asciiTheme="minorHAnsi" w:hAnsiTheme="minorHAnsi"/>
              </w:rPr>
              <w:t>(</w:t>
            </w:r>
            <w:r w:rsidR="00DE4C13" w:rsidRPr="00C0329D">
              <w:rPr>
                <w:rFonts w:asciiTheme="minorHAnsi" w:hAnsiTheme="minorHAnsi"/>
              </w:rPr>
              <w:t>2007</w:t>
            </w:r>
            <w:r>
              <w:rPr>
                <w:rFonts w:asciiTheme="minorHAnsi" w:hAnsiTheme="minorHAnsi"/>
              </w:rPr>
              <w:t xml:space="preserve">) </w:t>
            </w:r>
            <w:r w:rsidR="00DE4C13" w:rsidRPr="00C0329D">
              <w:rPr>
                <w:rFonts w:asciiTheme="minorHAnsi" w:hAnsiTheme="minorHAnsi"/>
              </w:rPr>
              <w:t xml:space="preserve">Guidelines on the use of intravenous immune globulin for hematologic </w:t>
            </w:r>
            <w:r>
              <w:rPr>
                <w:rFonts w:asciiTheme="minorHAnsi" w:hAnsiTheme="minorHAnsi"/>
              </w:rPr>
              <w:t xml:space="preserve">conditions. </w:t>
            </w:r>
            <w:r w:rsidR="00DE4C13" w:rsidRPr="001800BE">
              <w:rPr>
                <w:rFonts w:asciiTheme="minorHAnsi" w:hAnsiTheme="minorHAnsi"/>
                <w:i/>
              </w:rPr>
              <w:t>Transfusion Medicine Reviews</w:t>
            </w:r>
            <w:r w:rsidR="00DE4C13" w:rsidRPr="00C0329D">
              <w:rPr>
                <w:rFonts w:asciiTheme="minorHAnsi" w:hAnsiTheme="minorHAnsi"/>
              </w:rPr>
              <w:t xml:space="preserve">, </w:t>
            </w:r>
            <w:r>
              <w:rPr>
                <w:rFonts w:asciiTheme="minorHAnsi" w:hAnsiTheme="minorHAnsi"/>
              </w:rPr>
              <w:t>21(2)</w:t>
            </w:r>
            <w:r w:rsidR="00EB6C11">
              <w:rPr>
                <w:rFonts w:asciiTheme="minorHAnsi" w:hAnsiTheme="minorHAnsi"/>
              </w:rPr>
              <w:t>:</w:t>
            </w:r>
            <w:r w:rsidR="00DE4C13" w:rsidRPr="00C0329D">
              <w:rPr>
                <w:rFonts w:asciiTheme="minorHAnsi" w:hAnsiTheme="minorHAnsi"/>
              </w:rPr>
              <w:t>S9–56.</w:t>
            </w:r>
          </w:p>
          <w:p w14:paraId="1994249D" w14:textId="162B8D9B" w:rsidR="001800BE" w:rsidRDefault="00D9394B" w:rsidP="00FC105A">
            <w:pPr>
              <w:pStyle w:val="ListParagraph"/>
              <w:spacing w:after="225" w:line="360" w:lineRule="atLeast"/>
              <w:rPr>
                <w:rStyle w:val="Hyperlink"/>
                <w:rFonts w:asciiTheme="minorHAnsi" w:hAnsiTheme="minorHAnsi"/>
                <w:color w:val="808080" w:themeColor="background1" w:themeShade="80"/>
              </w:rPr>
            </w:pPr>
            <w:hyperlink r:id="rId13" w:history="1">
              <w:r w:rsidR="001800BE" w:rsidRPr="001800BE">
                <w:rPr>
                  <w:rStyle w:val="Hyperlink"/>
                  <w:rFonts w:asciiTheme="minorHAnsi" w:hAnsiTheme="minorHAnsi"/>
                  <w:color w:val="808080" w:themeColor="background1" w:themeShade="80"/>
                </w:rPr>
                <w:t>https://www.ncbi.nlm.nih.gov/pubmed/17397769</w:t>
              </w:r>
            </w:hyperlink>
          </w:p>
          <w:p w14:paraId="51C77BE0" w14:textId="77777777" w:rsidR="00EB6C11" w:rsidRDefault="00EB6C11" w:rsidP="00FC105A">
            <w:pPr>
              <w:pStyle w:val="ListParagraph"/>
              <w:spacing w:after="225" w:line="360" w:lineRule="atLeast"/>
              <w:rPr>
                <w:rStyle w:val="Hyperlink"/>
                <w:rFonts w:asciiTheme="minorHAnsi" w:hAnsiTheme="minorHAnsi"/>
                <w:color w:val="808080" w:themeColor="background1" w:themeShade="80"/>
              </w:rPr>
            </w:pPr>
          </w:p>
          <w:p w14:paraId="36D62EA0" w14:textId="5B852BC7" w:rsidR="00EB6C11" w:rsidRDefault="00EB6C11" w:rsidP="00EB6C11">
            <w:pPr>
              <w:pStyle w:val="ListParagraph"/>
              <w:spacing w:after="225" w:line="360" w:lineRule="atLeast"/>
              <w:rPr>
                <w:rFonts w:asciiTheme="minorHAnsi" w:hAnsiTheme="minorHAnsi"/>
              </w:rPr>
            </w:pPr>
            <w:proofErr w:type="spellStart"/>
            <w:r w:rsidRPr="00EB6C11">
              <w:rPr>
                <w:rFonts w:asciiTheme="minorHAnsi" w:hAnsiTheme="minorHAnsi"/>
              </w:rPr>
              <w:t>Bux</w:t>
            </w:r>
            <w:proofErr w:type="spellEnd"/>
            <w:r w:rsidRPr="00EB6C11">
              <w:rPr>
                <w:rFonts w:asciiTheme="minorHAnsi" w:hAnsiTheme="minorHAnsi"/>
              </w:rPr>
              <w:t xml:space="preserve"> J, Behrens G</w:t>
            </w:r>
            <w:r>
              <w:rPr>
                <w:rFonts w:asciiTheme="minorHAnsi" w:hAnsiTheme="minorHAnsi"/>
              </w:rPr>
              <w:t>,</w:t>
            </w:r>
            <w:r w:rsidRPr="00EB6C11">
              <w:rPr>
                <w:rFonts w:asciiTheme="minorHAnsi" w:hAnsiTheme="minorHAnsi"/>
              </w:rPr>
              <w:t xml:space="preserve"> Jaeger G at </w:t>
            </w:r>
            <w:proofErr w:type="spellStart"/>
            <w:r w:rsidRPr="00EB6C11">
              <w:rPr>
                <w:rFonts w:asciiTheme="minorHAnsi" w:hAnsiTheme="minorHAnsi"/>
              </w:rPr>
              <w:t>al</w:t>
            </w:r>
            <w:proofErr w:type="spellEnd"/>
            <w:r w:rsidRPr="00EB6C11">
              <w:rPr>
                <w:rFonts w:asciiTheme="minorHAnsi" w:hAnsiTheme="minorHAnsi"/>
              </w:rPr>
              <w:t xml:space="preserve">, </w:t>
            </w:r>
            <w:r>
              <w:rPr>
                <w:rFonts w:asciiTheme="minorHAnsi" w:hAnsiTheme="minorHAnsi"/>
              </w:rPr>
              <w:t>(</w:t>
            </w:r>
            <w:r w:rsidRPr="00EB6C11">
              <w:rPr>
                <w:rFonts w:asciiTheme="minorHAnsi" w:hAnsiTheme="minorHAnsi"/>
              </w:rPr>
              <w:t>1998</w:t>
            </w:r>
            <w:r>
              <w:rPr>
                <w:rFonts w:asciiTheme="minorHAnsi" w:hAnsiTheme="minorHAnsi"/>
              </w:rPr>
              <w:t>)</w:t>
            </w:r>
            <w:r w:rsidRPr="00EB6C11">
              <w:rPr>
                <w:rFonts w:asciiTheme="minorHAnsi" w:hAnsiTheme="minorHAnsi"/>
              </w:rPr>
              <w:t xml:space="preserve"> Diagnosis and course of </w:t>
            </w:r>
            <w:proofErr w:type="spellStart"/>
            <w:r w:rsidRPr="00EB6C11">
              <w:rPr>
                <w:rFonts w:asciiTheme="minorHAnsi" w:hAnsiTheme="minorHAnsi"/>
              </w:rPr>
              <w:t>anutoimmune</w:t>
            </w:r>
            <w:proofErr w:type="spellEnd"/>
            <w:r w:rsidRPr="00EB6C11">
              <w:rPr>
                <w:rFonts w:asciiTheme="minorHAnsi" w:hAnsiTheme="minorHAnsi"/>
              </w:rPr>
              <w:t xml:space="preserve"> neutropenia in infancy: analysis of 240 cases</w:t>
            </w:r>
            <w:r>
              <w:rPr>
                <w:rFonts w:asciiTheme="minorHAnsi" w:hAnsiTheme="minorHAnsi"/>
              </w:rPr>
              <w:t>.</w:t>
            </w:r>
            <w:r w:rsidRPr="00EB6C11">
              <w:rPr>
                <w:rFonts w:asciiTheme="minorHAnsi" w:hAnsiTheme="minorHAnsi"/>
              </w:rPr>
              <w:t xml:space="preserve"> </w:t>
            </w:r>
            <w:r w:rsidRPr="00EB6C11">
              <w:rPr>
                <w:rFonts w:asciiTheme="minorHAnsi" w:hAnsiTheme="minorHAnsi"/>
                <w:i/>
              </w:rPr>
              <w:t>Blood</w:t>
            </w:r>
            <w:proofErr w:type="gramStart"/>
            <w:r>
              <w:rPr>
                <w:rFonts w:asciiTheme="minorHAnsi" w:hAnsiTheme="minorHAnsi"/>
              </w:rPr>
              <w:t>,91</w:t>
            </w:r>
            <w:proofErr w:type="gramEnd"/>
            <w:r w:rsidRPr="00EB6C11">
              <w:rPr>
                <w:rFonts w:asciiTheme="minorHAnsi" w:hAnsiTheme="minorHAnsi"/>
              </w:rPr>
              <w:t>(1)</w:t>
            </w:r>
            <w:r>
              <w:rPr>
                <w:rFonts w:asciiTheme="minorHAnsi" w:hAnsiTheme="minorHAnsi"/>
              </w:rPr>
              <w:t>:181</w:t>
            </w:r>
            <w:r w:rsidRPr="00EB6C11">
              <w:rPr>
                <w:rFonts w:asciiTheme="minorHAnsi" w:hAnsiTheme="minorHAnsi"/>
              </w:rPr>
              <w:t>-86</w:t>
            </w:r>
            <w:r>
              <w:rPr>
                <w:rFonts w:asciiTheme="minorHAnsi" w:hAnsiTheme="minorHAnsi"/>
              </w:rPr>
              <w:t>.</w:t>
            </w:r>
          </w:p>
          <w:p w14:paraId="75436DBF" w14:textId="2EAEB34A" w:rsidR="00EB6C11" w:rsidRPr="00EB6C11" w:rsidRDefault="00D9394B" w:rsidP="00FC105A">
            <w:pPr>
              <w:pStyle w:val="ListParagraph"/>
              <w:spacing w:after="225" w:line="360" w:lineRule="atLeast"/>
              <w:rPr>
                <w:rFonts w:asciiTheme="minorHAnsi" w:hAnsiTheme="minorHAnsi"/>
                <w:color w:val="808080" w:themeColor="background1" w:themeShade="80"/>
              </w:rPr>
            </w:pPr>
            <w:hyperlink r:id="rId14" w:history="1">
              <w:r w:rsidR="00EB6C11" w:rsidRPr="00EB6C11">
                <w:rPr>
                  <w:rStyle w:val="Hyperlink"/>
                  <w:rFonts w:asciiTheme="minorHAnsi" w:hAnsiTheme="minorHAnsi"/>
                  <w:color w:val="808080" w:themeColor="background1" w:themeShade="80"/>
                </w:rPr>
                <w:t>https://www.ncbi.nlm.nih.gov/pubmed/17397769</w:t>
              </w:r>
            </w:hyperlink>
          </w:p>
          <w:p w14:paraId="4ABA176A" w14:textId="77777777" w:rsidR="00EB6C11" w:rsidRPr="001800BE" w:rsidRDefault="00EB6C11" w:rsidP="00FC105A">
            <w:pPr>
              <w:pStyle w:val="ListParagraph"/>
              <w:spacing w:after="225" w:line="360" w:lineRule="atLeast"/>
              <w:rPr>
                <w:rFonts w:asciiTheme="minorHAnsi" w:hAnsiTheme="minorHAnsi"/>
                <w:color w:val="808080" w:themeColor="background1" w:themeShade="80"/>
              </w:rPr>
            </w:pPr>
          </w:p>
          <w:p w14:paraId="65277817" w14:textId="03F7CBB1" w:rsidR="001800BE" w:rsidRDefault="001800BE" w:rsidP="00FC105A">
            <w:pPr>
              <w:pStyle w:val="ListParagraph"/>
              <w:spacing w:after="225" w:line="360" w:lineRule="atLeast"/>
              <w:rPr>
                <w:rFonts w:asciiTheme="minorHAnsi" w:hAnsiTheme="minorHAnsi"/>
              </w:rPr>
            </w:pPr>
            <w:proofErr w:type="spellStart"/>
            <w:r w:rsidRPr="001800BE">
              <w:rPr>
                <w:rFonts w:asciiTheme="minorHAnsi" w:hAnsiTheme="minorHAnsi"/>
              </w:rPr>
              <w:t>Bux</w:t>
            </w:r>
            <w:proofErr w:type="spellEnd"/>
            <w:r w:rsidRPr="001800BE">
              <w:rPr>
                <w:rFonts w:asciiTheme="minorHAnsi" w:hAnsiTheme="minorHAnsi"/>
              </w:rPr>
              <w:t xml:space="preserve"> J, </w:t>
            </w:r>
            <w:proofErr w:type="spellStart"/>
            <w:r w:rsidRPr="001800BE">
              <w:rPr>
                <w:rFonts w:asciiTheme="minorHAnsi" w:hAnsiTheme="minorHAnsi"/>
              </w:rPr>
              <w:t>Kissel</w:t>
            </w:r>
            <w:proofErr w:type="spellEnd"/>
            <w:r w:rsidRPr="001800BE">
              <w:rPr>
                <w:rFonts w:asciiTheme="minorHAnsi" w:hAnsiTheme="minorHAnsi"/>
              </w:rPr>
              <w:t xml:space="preserve"> K, Nowak K, </w:t>
            </w:r>
            <w:proofErr w:type="spellStart"/>
            <w:r w:rsidRPr="001800BE">
              <w:rPr>
                <w:rFonts w:asciiTheme="minorHAnsi" w:hAnsiTheme="minorHAnsi"/>
              </w:rPr>
              <w:t>Spengel</w:t>
            </w:r>
            <w:proofErr w:type="spellEnd"/>
            <w:r w:rsidRPr="001800BE">
              <w:rPr>
                <w:rFonts w:asciiTheme="minorHAnsi" w:hAnsiTheme="minorHAnsi"/>
              </w:rPr>
              <w:t xml:space="preserve"> U and Mueller-</w:t>
            </w:r>
            <w:proofErr w:type="spellStart"/>
            <w:r w:rsidRPr="001800BE">
              <w:rPr>
                <w:rFonts w:asciiTheme="minorHAnsi" w:hAnsiTheme="minorHAnsi"/>
              </w:rPr>
              <w:t>Eckhardt</w:t>
            </w:r>
            <w:proofErr w:type="spellEnd"/>
            <w:r w:rsidRPr="001800BE">
              <w:rPr>
                <w:rFonts w:asciiTheme="minorHAnsi" w:hAnsiTheme="minorHAnsi"/>
              </w:rPr>
              <w:t xml:space="preserve"> C (1991) Autoimmune neutropenia: clinical and laboratory studies in 143 patients. </w:t>
            </w:r>
            <w:r w:rsidRPr="00EB6C11">
              <w:rPr>
                <w:rFonts w:asciiTheme="minorHAnsi" w:hAnsiTheme="minorHAnsi"/>
                <w:i/>
              </w:rPr>
              <w:t xml:space="preserve">Annals of </w:t>
            </w:r>
            <w:proofErr w:type="spellStart"/>
            <w:r w:rsidRPr="00EB6C11">
              <w:rPr>
                <w:rFonts w:asciiTheme="minorHAnsi" w:hAnsiTheme="minorHAnsi"/>
                <w:i/>
              </w:rPr>
              <w:t>Hematology</w:t>
            </w:r>
            <w:proofErr w:type="spellEnd"/>
            <w:r w:rsidRPr="001800BE">
              <w:rPr>
                <w:rFonts w:asciiTheme="minorHAnsi" w:hAnsiTheme="minorHAnsi"/>
              </w:rPr>
              <w:t>, 63:249-52.</w:t>
            </w:r>
          </w:p>
          <w:p w14:paraId="2C28F56B" w14:textId="27CB35C6" w:rsidR="00551DC8" w:rsidRPr="00551DC8" w:rsidRDefault="00D9394B" w:rsidP="00FC105A">
            <w:pPr>
              <w:pStyle w:val="ListParagraph"/>
              <w:spacing w:after="225" w:line="360" w:lineRule="atLeast"/>
              <w:rPr>
                <w:rFonts w:asciiTheme="minorHAnsi" w:hAnsiTheme="minorHAnsi"/>
                <w:color w:val="808080" w:themeColor="background1" w:themeShade="80"/>
              </w:rPr>
            </w:pPr>
            <w:hyperlink r:id="rId15" w:history="1">
              <w:r w:rsidR="00551DC8" w:rsidRPr="00551DC8">
                <w:rPr>
                  <w:rStyle w:val="Hyperlink"/>
                  <w:rFonts w:asciiTheme="minorHAnsi" w:hAnsiTheme="minorHAnsi"/>
                  <w:color w:val="808080" w:themeColor="background1" w:themeShade="80"/>
                </w:rPr>
                <w:t>https://www.ncbi.nlm.nih.gov/pubmed/1958748</w:t>
              </w:r>
            </w:hyperlink>
          </w:p>
          <w:p w14:paraId="674371BD" w14:textId="77777777" w:rsidR="00EB6C11" w:rsidRDefault="00EB6C11" w:rsidP="00FC105A">
            <w:pPr>
              <w:pStyle w:val="ListParagraph"/>
              <w:spacing w:after="225" w:line="360" w:lineRule="atLeast"/>
              <w:rPr>
                <w:rFonts w:asciiTheme="minorHAnsi" w:hAnsiTheme="minorHAnsi"/>
              </w:rPr>
            </w:pPr>
          </w:p>
          <w:p w14:paraId="3165FF61" w14:textId="67CF5C98" w:rsidR="00EB6C11" w:rsidRDefault="00EB6C11" w:rsidP="00EB6C11">
            <w:pPr>
              <w:pStyle w:val="ListParagraph"/>
              <w:spacing w:after="225" w:line="360" w:lineRule="atLeast"/>
              <w:rPr>
                <w:rFonts w:asciiTheme="minorHAnsi" w:hAnsiTheme="minorHAnsi"/>
              </w:rPr>
            </w:pPr>
            <w:proofErr w:type="spellStart"/>
            <w:r w:rsidRPr="00EB6C11">
              <w:rPr>
                <w:rFonts w:asciiTheme="minorHAnsi" w:hAnsiTheme="minorHAnsi"/>
              </w:rPr>
              <w:t>Capsoni</w:t>
            </w:r>
            <w:proofErr w:type="spellEnd"/>
            <w:r w:rsidRPr="00EB6C11">
              <w:rPr>
                <w:rFonts w:asciiTheme="minorHAnsi" w:hAnsiTheme="minorHAnsi"/>
              </w:rPr>
              <w:t xml:space="preserve"> F, </w:t>
            </w:r>
            <w:proofErr w:type="spellStart"/>
            <w:r w:rsidRPr="00EB6C11">
              <w:rPr>
                <w:rFonts w:asciiTheme="minorHAnsi" w:hAnsiTheme="minorHAnsi"/>
              </w:rPr>
              <w:t>Sarzi-Puttini</w:t>
            </w:r>
            <w:proofErr w:type="spellEnd"/>
            <w:r w:rsidRPr="00EB6C11">
              <w:rPr>
                <w:rFonts w:asciiTheme="minorHAnsi" w:hAnsiTheme="minorHAnsi"/>
              </w:rPr>
              <w:t xml:space="preserve"> P, </w:t>
            </w:r>
            <w:proofErr w:type="spellStart"/>
            <w:r w:rsidRPr="00EB6C11">
              <w:rPr>
                <w:rFonts w:asciiTheme="minorHAnsi" w:hAnsiTheme="minorHAnsi"/>
              </w:rPr>
              <w:t>Zanella</w:t>
            </w:r>
            <w:proofErr w:type="spellEnd"/>
            <w:r w:rsidRPr="00EB6C11">
              <w:rPr>
                <w:rFonts w:asciiTheme="minorHAnsi" w:hAnsiTheme="minorHAnsi"/>
              </w:rPr>
              <w:t xml:space="preserve"> A </w:t>
            </w:r>
            <w:r>
              <w:rPr>
                <w:rFonts w:asciiTheme="minorHAnsi" w:hAnsiTheme="minorHAnsi"/>
              </w:rPr>
              <w:t>(</w:t>
            </w:r>
            <w:r w:rsidRPr="00EB6C11">
              <w:rPr>
                <w:rFonts w:asciiTheme="minorHAnsi" w:hAnsiTheme="minorHAnsi"/>
              </w:rPr>
              <w:t>2005</w:t>
            </w:r>
            <w:r>
              <w:rPr>
                <w:rFonts w:asciiTheme="minorHAnsi" w:hAnsiTheme="minorHAnsi"/>
              </w:rPr>
              <w:t>)</w:t>
            </w:r>
            <w:r w:rsidRPr="00EB6C11">
              <w:rPr>
                <w:rFonts w:asciiTheme="minorHAnsi" w:hAnsiTheme="minorHAnsi"/>
              </w:rPr>
              <w:t xml:space="preserve"> Primary and secondary neutro</w:t>
            </w:r>
            <w:r>
              <w:rPr>
                <w:rFonts w:asciiTheme="minorHAnsi" w:hAnsiTheme="minorHAnsi"/>
              </w:rPr>
              <w:t xml:space="preserve">penia. </w:t>
            </w:r>
            <w:r w:rsidRPr="00EB6C11">
              <w:rPr>
                <w:rFonts w:asciiTheme="minorHAnsi" w:hAnsiTheme="minorHAnsi"/>
                <w:i/>
              </w:rPr>
              <w:t>Arthritis Research &amp; Therapy</w:t>
            </w:r>
            <w:r>
              <w:rPr>
                <w:rFonts w:asciiTheme="minorHAnsi" w:hAnsiTheme="minorHAnsi"/>
              </w:rPr>
              <w:t>, 7 (5):</w:t>
            </w:r>
            <w:r w:rsidRPr="00EB6C11">
              <w:rPr>
                <w:rFonts w:asciiTheme="minorHAnsi" w:hAnsiTheme="minorHAnsi"/>
              </w:rPr>
              <w:t>208-14</w:t>
            </w:r>
            <w:r>
              <w:rPr>
                <w:rFonts w:asciiTheme="minorHAnsi" w:hAnsiTheme="minorHAnsi"/>
              </w:rPr>
              <w:t>.</w:t>
            </w:r>
          </w:p>
          <w:p w14:paraId="310308DA" w14:textId="39B1D9BC" w:rsidR="00EB6C11" w:rsidRPr="00EB6C11" w:rsidRDefault="00D9394B" w:rsidP="00EB6C11">
            <w:pPr>
              <w:pStyle w:val="ListParagraph"/>
              <w:spacing w:after="225" w:line="360" w:lineRule="atLeast"/>
              <w:rPr>
                <w:rFonts w:asciiTheme="minorHAnsi" w:hAnsiTheme="minorHAnsi"/>
                <w:color w:val="808080" w:themeColor="background1" w:themeShade="80"/>
              </w:rPr>
            </w:pPr>
            <w:hyperlink r:id="rId16" w:history="1">
              <w:r w:rsidR="00EB6C11" w:rsidRPr="00EB6C11">
                <w:rPr>
                  <w:rStyle w:val="Hyperlink"/>
                  <w:rFonts w:asciiTheme="minorHAnsi" w:hAnsiTheme="minorHAnsi"/>
                  <w:color w:val="808080" w:themeColor="background1" w:themeShade="80"/>
                </w:rPr>
                <w:t>https://arthritis-research.biomedcentral.com/articles/10.1186/ar1803</w:t>
              </w:r>
            </w:hyperlink>
          </w:p>
          <w:p w14:paraId="22F04259" w14:textId="77777777" w:rsidR="00EB6C11" w:rsidRPr="00EB6C11" w:rsidRDefault="00EB6C11" w:rsidP="00EB6C11">
            <w:pPr>
              <w:pStyle w:val="ListParagraph"/>
              <w:spacing w:after="225" w:line="360" w:lineRule="atLeast"/>
              <w:rPr>
                <w:rFonts w:asciiTheme="minorHAnsi" w:hAnsiTheme="minorHAnsi"/>
              </w:rPr>
            </w:pPr>
          </w:p>
          <w:p w14:paraId="5B45518D" w14:textId="3B89DD3C" w:rsidR="00FC105A" w:rsidRPr="00FC105A" w:rsidRDefault="001800BE" w:rsidP="00FC105A">
            <w:pPr>
              <w:pStyle w:val="ListParagraph"/>
              <w:spacing w:after="225" w:line="360" w:lineRule="atLeast"/>
              <w:rPr>
                <w:rFonts w:asciiTheme="minorHAnsi" w:hAnsiTheme="minorHAnsi"/>
              </w:rPr>
            </w:pPr>
            <w:proofErr w:type="spellStart"/>
            <w:r>
              <w:rPr>
                <w:rFonts w:asciiTheme="minorHAnsi" w:hAnsiTheme="minorHAnsi"/>
              </w:rPr>
              <w:t>Getta</w:t>
            </w:r>
            <w:proofErr w:type="spellEnd"/>
            <w:r>
              <w:rPr>
                <w:rFonts w:asciiTheme="minorHAnsi" w:hAnsiTheme="minorHAnsi"/>
              </w:rPr>
              <w:t xml:space="preserve"> B, </w:t>
            </w:r>
            <w:proofErr w:type="spellStart"/>
            <w:r>
              <w:rPr>
                <w:rFonts w:asciiTheme="minorHAnsi" w:hAnsiTheme="minorHAnsi"/>
              </w:rPr>
              <w:t>Ponniah</w:t>
            </w:r>
            <w:proofErr w:type="spellEnd"/>
            <w:r>
              <w:rPr>
                <w:rFonts w:asciiTheme="minorHAnsi" w:hAnsiTheme="minorHAnsi"/>
              </w:rPr>
              <w:t xml:space="preserve"> G and Ling S (2015)</w:t>
            </w:r>
            <w:r w:rsidR="00FC105A" w:rsidRPr="00FC105A">
              <w:rPr>
                <w:rFonts w:asciiTheme="minorHAnsi" w:hAnsiTheme="minorHAnsi"/>
              </w:rPr>
              <w:t xml:space="preserve"> Intravenous immunoglobulin induces short-term reversal of drug-induced autoimmune neutropenia. </w:t>
            </w:r>
            <w:proofErr w:type="gramStart"/>
            <w:r w:rsidR="00FC105A" w:rsidRPr="001800BE">
              <w:rPr>
                <w:rFonts w:asciiTheme="minorHAnsi" w:hAnsiTheme="minorHAnsi"/>
                <w:i/>
              </w:rPr>
              <w:t>Transfus</w:t>
            </w:r>
            <w:r w:rsidRPr="001800BE">
              <w:rPr>
                <w:rFonts w:asciiTheme="minorHAnsi" w:hAnsiTheme="minorHAnsi"/>
                <w:i/>
              </w:rPr>
              <w:t xml:space="preserve">ion </w:t>
            </w:r>
            <w:r w:rsidR="00FC105A" w:rsidRPr="001800BE">
              <w:rPr>
                <w:rFonts w:asciiTheme="minorHAnsi" w:hAnsiTheme="minorHAnsi"/>
                <w:i/>
              </w:rPr>
              <w:t xml:space="preserve"> Med</w:t>
            </w:r>
            <w:r w:rsidRPr="001800BE">
              <w:rPr>
                <w:rFonts w:asciiTheme="minorHAnsi" w:hAnsiTheme="minorHAnsi"/>
                <w:i/>
              </w:rPr>
              <w:t>icine</w:t>
            </w:r>
            <w:proofErr w:type="gramEnd"/>
            <w:r>
              <w:rPr>
                <w:rFonts w:asciiTheme="minorHAnsi" w:hAnsiTheme="minorHAnsi"/>
              </w:rPr>
              <w:t>,</w:t>
            </w:r>
            <w:r w:rsidR="00FC105A" w:rsidRPr="00FC105A">
              <w:rPr>
                <w:rFonts w:asciiTheme="minorHAnsi" w:hAnsiTheme="minorHAnsi"/>
              </w:rPr>
              <w:t xml:space="preserve"> 25:347-8.</w:t>
            </w:r>
          </w:p>
          <w:p w14:paraId="4E604655" w14:textId="23A877AF" w:rsidR="00FC105A" w:rsidRDefault="00D9394B" w:rsidP="001800BE">
            <w:pPr>
              <w:pStyle w:val="ListParagraph"/>
              <w:spacing w:after="225" w:line="360" w:lineRule="atLeast"/>
              <w:rPr>
                <w:rStyle w:val="Hyperlink"/>
                <w:rFonts w:asciiTheme="minorHAnsi" w:hAnsiTheme="minorHAnsi"/>
                <w:color w:val="808080" w:themeColor="background1" w:themeShade="80"/>
              </w:rPr>
            </w:pPr>
            <w:hyperlink r:id="rId17" w:history="1">
              <w:r w:rsidR="00551DC8" w:rsidRPr="00551DC8">
                <w:rPr>
                  <w:rStyle w:val="Hyperlink"/>
                  <w:rFonts w:asciiTheme="minorHAnsi" w:hAnsiTheme="minorHAnsi"/>
                  <w:color w:val="808080" w:themeColor="background1" w:themeShade="80"/>
                </w:rPr>
                <w:t>https://www.ncbi.nlm.nih.gov/pubmed/26192766</w:t>
              </w:r>
            </w:hyperlink>
          </w:p>
          <w:p w14:paraId="216F4A6F" w14:textId="77777777" w:rsidR="00EB6C11" w:rsidRDefault="00EB6C11" w:rsidP="001800BE">
            <w:pPr>
              <w:pStyle w:val="ListParagraph"/>
              <w:spacing w:after="225" w:line="360" w:lineRule="atLeast"/>
              <w:rPr>
                <w:rFonts w:asciiTheme="minorHAnsi" w:hAnsiTheme="minorHAnsi"/>
              </w:rPr>
            </w:pPr>
          </w:p>
          <w:p w14:paraId="6EFF072F" w14:textId="2C20F045" w:rsidR="00EB6C11" w:rsidRPr="00551DC8" w:rsidRDefault="00EB6C11" w:rsidP="001800BE">
            <w:pPr>
              <w:pStyle w:val="ListParagraph"/>
              <w:spacing w:after="225" w:line="360" w:lineRule="atLeast"/>
              <w:rPr>
                <w:rFonts w:asciiTheme="minorHAnsi" w:hAnsiTheme="minorHAnsi"/>
                <w:color w:val="808080" w:themeColor="background1" w:themeShade="80"/>
              </w:rPr>
            </w:pPr>
            <w:r w:rsidRPr="00EB6C11">
              <w:rPr>
                <w:rFonts w:asciiTheme="minorHAnsi" w:hAnsiTheme="minorHAnsi"/>
              </w:rPr>
              <w:t>Ontario Regional Blood Coordinating Network (2016). Ontario Intravenous Immune Globulin (</w:t>
            </w:r>
            <w:r w:rsidR="00F51134">
              <w:rPr>
                <w:rFonts w:asciiTheme="minorHAnsi" w:hAnsiTheme="minorHAnsi"/>
              </w:rPr>
              <w:t>IVIGIVIG</w:t>
            </w:r>
            <w:r w:rsidRPr="00EB6C11">
              <w:rPr>
                <w:rFonts w:asciiTheme="minorHAnsi" w:hAnsiTheme="minorHAnsi"/>
              </w:rPr>
              <w:t>) Utilization Management Guidelines, Version 3.0. [</w:t>
            </w:r>
            <w:proofErr w:type="gramStart"/>
            <w:r w:rsidRPr="00EB6C11">
              <w:rPr>
                <w:rFonts w:asciiTheme="minorHAnsi" w:hAnsiTheme="minorHAnsi"/>
              </w:rPr>
              <w:t>online</w:t>
            </w:r>
            <w:proofErr w:type="gramEnd"/>
            <w:r w:rsidRPr="00EB6C11">
              <w:rPr>
                <w:rFonts w:asciiTheme="minorHAnsi" w:hAnsiTheme="minorHAnsi"/>
              </w:rPr>
              <w:t>]. Available at</w:t>
            </w:r>
            <w:r w:rsidRPr="00EB6C11">
              <w:rPr>
                <w:rFonts w:asciiTheme="minorHAnsi" w:hAnsiTheme="minorHAnsi"/>
                <w:color w:val="808080" w:themeColor="background1" w:themeShade="80"/>
              </w:rPr>
              <w:t>: http://transfusionontario.org/en/download/ontario-intravenous-immune-globulin-</w:t>
            </w:r>
            <w:r w:rsidR="00F51134">
              <w:rPr>
                <w:rFonts w:asciiTheme="minorHAnsi" w:hAnsiTheme="minorHAnsi"/>
                <w:color w:val="808080" w:themeColor="background1" w:themeShade="80"/>
              </w:rPr>
              <w:t>IVIgIVIg</w:t>
            </w:r>
            <w:r w:rsidRPr="00EB6C11">
              <w:rPr>
                <w:rFonts w:asciiTheme="minorHAnsi" w:hAnsiTheme="minorHAnsi"/>
                <w:color w:val="808080" w:themeColor="background1" w:themeShade="80"/>
              </w:rPr>
              <w:t>-utilization-management-guidelines-2/.</w:t>
            </w:r>
          </w:p>
          <w:p w14:paraId="458757F2" w14:textId="77777777" w:rsidR="00EB6C11" w:rsidRDefault="00EB6C11" w:rsidP="00EB6C11">
            <w:pPr>
              <w:pStyle w:val="ListParagraph"/>
              <w:spacing w:after="225" w:line="360" w:lineRule="atLeast"/>
              <w:rPr>
                <w:rFonts w:asciiTheme="minorHAnsi" w:hAnsiTheme="minorHAnsi"/>
              </w:rPr>
            </w:pPr>
          </w:p>
          <w:p w14:paraId="7EDB0119" w14:textId="5E8ADED0" w:rsidR="00EB6C11" w:rsidRDefault="00EB6C11" w:rsidP="00EB6C11">
            <w:pPr>
              <w:pStyle w:val="ListParagraph"/>
              <w:spacing w:after="225" w:line="360" w:lineRule="atLeast"/>
              <w:rPr>
                <w:rFonts w:asciiTheme="minorHAnsi" w:hAnsiTheme="minorHAnsi"/>
              </w:rPr>
            </w:pPr>
            <w:proofErr w:type="spellStart"/>
            <w:r>
              <w:rPr>
                <w:rFonts w:asciiTheme="minorHAnsi" w:hAnsiTheme="minorHAnsi"/>
              </w:rPr>
              <w:t>Shastri</w:t>
            </w:r>
            <w:proofErr w:type="spellEnd"/>
            <w:r>
              <w:rPr>
                <w:rFonts w:asciiTheme="minorHAnsi" w:hAnsiTheme="minorHAnsi"/>
              </w:rPr>
              <w:t xml:space="preserve"> KA and Logue GL</w:t>
            </w:r>
            <w:r w:rsidRPr="00EB6C11">
              <w:rPr>
                <w:rFonts w:asciiTheme="minorHAnsi" w:hAnsiTheme="minorHAnsi"/>
              </w:rPr>
              <w:t xml:space="preserve"> </w:t>
            </w:r>
            <w:r>
              <w:rPr>
                <w:rFonts w:asciiTheme="minorHAnsi" w:hAnsiTheme="minorHAnsi"/>
              </w:rPr>
              <w:t>(</w:t>
            </w:r>
            <w:r w:rsidRPr="00EB6C11">
              <w:rPr>
                <w:rFonts w:asciiTheme="minorHAnsi" w:hAnsiTheme="minorHAnsi"/>
              </w:rPr>
              <w:t>1993</w:t>
            </w:r>
            <w:r>
              <w:rPr>
                <w:rFonts w:asciiTheme="minorHAnsi" w:hAnsiTheme="minorHAnsi"/>
              </w:rPr>
              <w:t xml:space="preserve">) </w:t>
            </w:r>
            <w:r w:rsidRPr="00EB6C11">
              <w:rPr>
                <w:rFonts w:asciiTheme="minorHAnsi" w:hAnsiTheme="minorHAnsi"/>
              </w:rPr>
              <w:t>Autoimmune neut</w:t>
            </w:r>
            <w:r>
              <w:rPr>
                <w:rFonts w:asciiTheme="minorHAnsi" w:hAnsiTheme="minorHAnsi"/>
              </w:rPr>
              <w:t xml:space="preserve">ropenia. </w:t>
            </w:r>
            <w:r w:rsidRPr="00EB6C11">
              <w:rPr>
                <w:rFonts w:asciiTheme="minorHAnsi" w:hAnsiTheme="minorHAnsi"/>
                <w:i/>
              </w:rPr>
              <w:t>Blood</w:t>
            </w:r>
            <w:r>
              <w:rPr>
                <w:rFonts w:asciiTheme="minorHAnsi" w:hAnsiTheme="minorHAnsi"/>
              </w:rPr>
              <w:t>, 81(8):1984-95.</w:t>
            </w:r>
          </w:p>
          <w:p w14:paraId="7FA05E78" w14:textId="59579DE5" w:rsidR="00EB6C11" w:rsidRPr="00EB6C11" w:rsidRDefault="00D9394B" w:rsidP="00EB6C11">
            <w:pPr>
              <w:pStyle w:val="ListParagraph"/>
              <w:spacing w:after="225" w:line="360" w:lineRule="atLeast"/>
              <w:rPr>
                <w:rFonts w:asciiTheme="minorHAnsi" w:hAnsiTheme="minorHAnsi"/>
                <w:color w:val="808080" w:themeColor="background1" w:themeShade="80"/>
              </w:rPr>
            </w:pPr>
            <w:hyperlink r:id="rId18" w:history="1">
              <w:r w:rsidR="00EB6C11" w:rsidRPr="00EB6C11">
                <w:rPr>
                  <w:rStyle w:val="Hyperlink"/>
                  <w:rFonts w:asciiTheme="minorHAnsi" w:hAnsiTheme="minorHAnsi"/>
                  <w:color w:val="808080" w:themeColor="background1" w:themeShade="80"/>
                </w:rPr>
                <w:t>https://www.ncbi.nlm.nih.gov/pubmed/8471760</w:t>
              </w:r>
            </w:hyperlink>
          </w:p>
          <w:p w14:paraId="4EBF18DC" w14:textId="77777777" w:rsidR="00EB6C11" w:rsidRDefault="00EB6C11" w:rsidP="00EB6C11">
            <w:pPr>
              <w:pStyle w:val="ListParagraph"/>
              <w:spacing w:after="225" w:line="360" w:lineRule="atLeast"/>
              <w:rPr>
                <w:rFonts w:asciiTheme="minorHAnsi" w:hAnsiTheme="minorHAnsi"/>
              </w:rPr>
            </w:pPr>
          </w:p>
          <w:p w14:paraId="0FFE4AAF" w14:textId="77777777" w:rsidR="00EB6C11" w:rsidRPr="00EB6C11" w:rsidRDefault="00EB6C11" w:rsidP="00EB6C11">
            <w:pPr>
              <w:pStyle w:val="ListParagraph"/>
              <w:spacing w:after="225" w:line="360" w:lineRule="atLeast"/>
              <w:rPr>
                <w:rFonts w:asciiTheme="minorHAnsi" w:hAnsiTheme="minorHAnsi"/>
                <w:color w:val="808080" w:themeColor="background1" w:themeShade="80"/>
              </w:rPr>
            </w:pPr>
            <w:r w:rsidRPr="00EB6C11">
              <w:rPr>
                <w:rFonts w:asciiTheme="minorHAnsi" w:hAnsiTheme="minorHAnsi"/>
              </w:rPr>
              <w:t xml:space="preserve">UK Department of Health (2011) Clinical Guidelines for Immunoglobulin Use: Second Edition Update. Available at: </w:t>
            </w:r>
            <w:r w:rsidRPr="00EB6C11">
              <w:rPr>
                <w:rFonts w:asciiTheme="minorHAnsi" w:hAnsiTheme="minorHAnsi"/>
                <w:color w:val="808080" w:themeColor="background1" w:themeShade="80"/>
              </w:rPr>
              <w:t>https://www.gov.uk/government/uploads/system/uploads/attachment_data/file/216671/dh_131107.pdf</w:t>
            </w:r>
          </w:p>
          <w:p w14:paraId="2983D80B" w14:textId="77777777" w:rsidR="00EB6C11" w:rsidRPr="00EB6C11" w:rsidRDefault="00EB6C11" w:rsidP="00EB6C11">
            <w:pPr>
              <w:pStyle w:val="ListParagraph"/>
              <w:spacing w:after="225" w:line="360" w:lineRule="atLeast"/>
              <w:rPr>
                <w:rFonts w:asciiTheme="minorHAnsi" w:hAnsiTheme="minorHAnsi"/>
              </w:rPr>
            </w:pPr>
          </w:p>
          <w:p w14:paraId="3E3F5BF5" w14:textId="4203E7E0" w:rsidR="00EB6C11" w:rsidRPr="00A80A19" w:rsidRDefault="00EB6C11" w:rsidP="00EB6C11">
            <w:pPr>
              <w:pStyle w:val="ListParagraph"/>
              <w:spacing w:after="225" w:line="360" w:lineRule="atLeast"/>
              <w:rPr>
                <w:rFonts w:asciiTheme="minorHAnsi" w:hAnsiTheme="minorHAnsi"/>
              </w:rPr>
            </w:pPr>
            <w:r w:rsidRPr="00EB6C11">
              <w:rPr>
                <w:rFonts w:asciiTheme="minorHAnsi" w:hAnsiTheme="minorHAnsi"/>
              </w:rPr>
              <w:t xml:space="preserve">UK Department of Health (2011) Clinical Guidelines for Immunoglobulin Use: Second Edition Update: Summary Poster. Available at: </w:t>
            </w:r>
            <w:r w:rsidRPr="00EB6C11">
              <w:rPr>
                <w:rFonts w:asciiTheme="minorHAnsi" w:hAnsiTheme="minorHAnsi"/>
                <w:color w:val="808080" w:themeColor="background1" w:themeShade="80"/>
              </w:rPr>
              <w:t>https://www.igd.nhs.uk/wp-content/uploads/2016/04/DemandManagementPoster_v4_February2016.pdf</w:t>
            </w:r>
          </w:p>
        </w:tc>
      </w:tr>
    </w:tbl>
    <w:p w14:paraId="267088FA" w14:textId="77777777" w:rsidR="000E09C4" w:rsidRDefault="000E09C4">
      <w:pPr>
        <w:sectPr w:rsidR="000E09C4" w:rsidSect="00447869">
          <w:type w:val="continuous"/>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680" w:firstRow="0" w:lastRow="0" w:firstColumn="1" w:lastColumn="0" w:noHBand="1" w:noVBand="1"/>
      </w:tblPr>
      <w:tblGrid>
        <w:gridCol w:w="2161"/>
        <w:gridCol w:w="1384"/>
        <w:gridCol w:w="1593"/>
        <w:gridCol w:w="1667"/>
        <w:gridCol w:w="1701"/>
        <w:gridCol w:w="1985"/>
        <w:gridCol w:w="4110"/>
      </w:tblGrid>
      <w:tr w:rsidR="004A10A2" w:rsidRPr="00021243" w14:paraId="2D669035" w14:textId="77777777" w:rsidTr="008612AB">
        <w:tc>
          <w:tcPr>
            <w:tcW w:w="14601" w:type="dxa"/>
            <w:gridSpan w:val="7"/>
            <w:shd w:val="clear" w:color="auto" w:fill="F79646" w:themeFill="accent6"/>
          </w:tcPr>
          <w:p w14:paraId="4643AD92" w14:textId="77777777" w:rsidR="004A10A2" w:rsidRDefault="004A10A2" w:rsidP="004A10A2">
            <w:pPr>
              <w:spacing w:before="120" w:after="120"/>
              <w:rPr>
                <w:rFonts w:asciiTheme="minorHAnsi" w:hAnsiTheme="minorHAnsi"/>
                <w:b/>
              </w:rPr>
            </w:pPr>
            <w:r w:rsidRPr="00BF6734">
              <w:rPr>
                <w:rFonts w:asciiTheme="minorHAnsi" w:hAnsiTheme="minorHAnsi"/>
                <w:b/>
              </w:rPr>
              <w:t>POTENTIAL OPERATIONAL IMPACT</w:t>
            </w:r>
          </w:p>
        </w:tc>
      </w:tr>
      <w:tr w:rsidR="004A10A2" w:rsidRPr="00021243" w14:paraId="03EA81A7" w14:textId="77777777" w:rsidTr="008612AB">
        <w:tc>
          <w:tcPr>
            <w:tcW w:w="14601" w:type="dxa"/>
            <w:gridSpan w:val="7"/>
            <w:shd w:val="clear" w:color="auto" w:fill="auto"/>
          </w:tcPr>
          <w:p w14:paraId="024749E5" w14:textId="7D67C118" w:rsidR="00EA2E82" w:rsidRPr="00EA2E82" w:rsidRDefault="00F5513B" w:rsidP="006A2CA8">
            <w:pPr>
              <w:spacing w:before="120" w:after="120"/>
              <w:rPr>
                <w:rFonts w:asciiTheme="minorHAnsi" w:hAnsiTheme="minorHAnsi"/>
              </w:rPr>
            </w:pPr>
            <w:r w:rsidRPr="00F5513B">
              <w:rPr>
                <w:rFonts w:asciiTheme="minorHAnsi" w:hAnsiTheme="minorHAnsi"/>
              </w:rPr>
              <w:t>There is not expected to be any significant operational impact as a result of this change.  The revised criteria provide significantly greater guidance for access to Ig therapy and patient management than currently. There will be increased data entry required (e.g. compliance with the international consensus diagnostic criteria) compared to the previous Ig request process. These changes will form part of the communication strategy regardi</w:t>
            </w:r>
            <w:r w:rsidR="008E31FD">
              <w:rPr>
                <w:rFonts w:asciiTheme="minorHAnsi" w:hAnsiTheme="minorHAnsi"/>
              </w:rPr>
              <w:t xml:space="preserve">ng the release of </w:t>
            </w:r>
            <w:proofErr w:type="spellStart"/>
            <w:r w:rsidR="008E31FD">
              <w:rPr>
                <w:rFonts w:asciiTheme="minorHAnsi" w:hAnsiTheme="minorHAnsi"/>
              </w:rPr>
              <w:t>BloodSTAR</w:t>
            </w:r>
            <w:proofErr w:type="spellEnd"/>
            <w:r w:rsidR="008E31FD">
              <w:rPr>
                <w:rFonts w:asciiTheme="minorHAnsi" w:hAnsiTheme="minorHAnsi"/>
              </w:rPr>
              <w:t xml:space="preserve"> </w:t>
            </w:r>
            <w:r w:rsidR="00910E6B">
              <w:rPr>
                <w:rFonts w:asciiTheme="minorHAnsi" w:hAnsiTheme="minorHAnsi"/>
              </w:rPr>
              <w:t>v</w:t>
            </w:r>
            <w:r w:rsidR="008E31FD">
              <w:rPr>
                <w:rFonts w:asciiTheme="minorHAnsi" w:hAnsiTheme="minorHAnsi"/>
              </w:rPr>
              <w:t>3.0</w:t>
            </w:r>
            <w:r w:rsidRPr="00F5513B">
              <w:rPr>
                <w:rFonts w:asciiTheme="minorHAnsi" w:hAnsiTheme="minorHAnsi"/>
              </w:rPr>
              <w:t>.</w:t>
            </w:r>
          </w:p>
        </w:tc>
      </w:tr>
      <w:tr w:rsidR="004A10A2" w:rsidRPr="00021243" w14:paraId="06C4B7D5" w14:textId="77777777" w:rsidTr="008612AB">
        <w:tc>
          <w:tcPr>
            <w:tcW w:w="14601" w:type="dxa"/>
            <w:gridSpan w:val="7"/>
            <w:shd w:val="clear" w:color="auto" w:fill="F79646" w:themeFill="accent6"/>
          </w:tcPr>
          <w:p w14:paraId="567CA4A2" w14:textId="77777777" w:rsidR="004A10A2" w:rsidRDefault="004A10A2" w:rsidP="004A10A2">
            <w:pPr>
              <w:spacing w:before="120" w:after="120"/>
              <w:rPr>
                <w:rFonts w:asciiTheme="minorHAnsi" w:hAnsiTheme="minorHAnsi"/>
                <w:b/>
              </w:rPr>
            </w:pPr>
            <w:r w:rsidRPr="00BF6734">
              <w:rPr>
                <w:rFonts w:asciiTheme="minorHAnsi" w:hAnsiTheme="minorHAnsi"/>
                <w:b/>
              </w:rPr>
              <w:t xml:space="preserve">POTENTIAL IMPACT ON </w:t>
            </w:r>
            <w:r w:rsidR="00832D0D">
              <w:rPr>
                <w:rFonts w:asciiTheme="minorHAnsi" w:hAnsiTheme="minorHAnsi"/>
                <w:b/>
              </w:rPr>
              <w:t xml:space="preserve">PATIENTS, </w:t>
            </w:r>
            <w:r w:rsidRPr="00BF6734">
              <w:rPr>
                <w:rFonts w:asciiTheme="minorHAnsi" w:hAnsiTheme="minorHAnsi"/>
                <w:b/>
              </w:rPr>
              <w:t>DEMAND</w:t>
            </w:r>
            <w:r w:rsidR="00695219">
              <w:rPr>
                <w:rFonts w:asciiTheme="minorHAnsi" w:hAnsiTheme="minorHAnsi"/>
                <w:b/>
              </w:rPr>
              <w:t xml:space="preserve"> AND EXPENDITURE</w:t>
            </w:r>
          </w:p>
        </w:tc>
      </w:tr>
      <w:tr w:rsidR="00F5513B" w:rsidRPr="00021243" w14:paraId="6FD341D6" w14:textId="77777777" w:rsidTr="00832D0D">
        <w:tc>
          <w:tcPr>
            <w:tcW w:w="3545" w:type="dxa"/>
            <w:gridSpan w:val="2"/>
            <w:shd w:val="clear" w:color="auto" w:fill="auto"/>
          </w:tcPr>
          <w:p w14:paraId="43CD1A87" w14:textId="77777777" w:rsidR="00F5513B" w:rsidRDefault="00F5513B" w:rsidP="004A10A2">
            <w:pPr>
              <w:spacing w:before="120" w:after="120"/>
              <w:rPr>
                <w:rFonts w:asciiTheme="minorHAnsi" w:hAnsiTheme="minorHAnsi"/>
                <w:b/>
              </w:rPr>
            </w:pPr>
            <w:r>
              <w:rPr>
                <w:rFonts w:asciiTheme="minorHAnsi" w:hAnsiTheme="minorHAnsi"/>
                <w:b/>
              </w:rPr>
              <w:t>Description of impact on patients:</w:t>
            </w:r>
          </w:p>
        </w:tc>
        <w:tc>
          <w:tcPr>
            <w:tcW w:w="11056" w:type="dxa"/>
            <w:gridSpan w:val="5"/>
            <w:shd w:val="clear" w:color="auto" w:fill="auto"/>
          </w:tcPr>
          <w:p w14:paraId="2E7F9711" w14:textId="37E3CAE8" w:rsidR="00F5513B" w:rsidRPr="00832D0D" w:rsidRDefault="00925FB1" w:rsidP="00FF552D">
            <w:pPr>
              <w:spacing w:before="120" w:after="120"/>
              <w:rPr>
                <w:rFonts w:asciiTheme="minorHAnsi" w:hAnsiTheme="minorHAnsi"/>
              </w:rPr>
            </w:pPr>
            <w:r>
              <w:t>Ig therapy is not f</w:t>
            </w:r>
            <w:r w:rsidR="002F662E">
              <w:t>irst line treatment for pat</w:t>
            </w:r>
            <w:r>
              <w:t>ients with this condition</w:t>
            </w:r>
            <w:r w:rsidR="002F662E">
              <w:t xml:space="preserve">, however, </w:t>
            </w:r>
            <w:r w:rsidR="00E42CAD">
              <w:t xml:space="preserve">it is recognised that </w:t>
            </w:r>
            <w:r w:rsidR="002F662E">
              <w:t xml:space="preserve">there may be occasional circumstances when it </w:t>
            </w:r>
            <w:r w:rsidR="000E26C4">
              <w:t>may</w:t>
            </w:r>
            <w:r w:rsidR="002F662E">
              <w:t xml:space="preserve"> be useful as an option although the response is understood to be short lived.</w:t>
            </w:r>
            <w:r w:rsidR="000E26C4">
              <w:t xml:space="preserve"> </w:t>
            </w:r>
            <w:r w:rsidR="000E26C4">
              <w:rPr>
                <w:rFonts w:asciiTheme="minorHAnsi" w:hAnsiTheme="minorHAnsi"/>
              </w:rPr>
              <w:t xml:space="preserve">The formal access criteria now proposed for this condition require that a haematologist makes the diagnosis and manages the ongoing treatment, which is in line with current clinical practice. This is because it is a very rare condition and it is important </w:t>
            </w:r>
            <w:r w:rsidR="005067A7">
              <w:rPr>
                <w:rFonts w:asciiTheme="minorHAnsi" w:hAnsiTheme="minorHAnsi"/>
              </w:rPr>
              <w:t>to ensure its</w:t>
            </w:r>
            <w:r w:rsidR="000E26C4">
              <w:rPr>
                <w:rFonts w:asciiTheme="minorHAnsi" w:hAnsiTheme="minorHAnsi"/>
              </w:rPr>
              <w:t xml:space="preserve"> correct</w:t>
            </w:r>
            <w:r w:rsidR="005067A7">
              <w:rPr>
                <w:rFonts w:asciiTheme="minorHAnsi" w:hAnsiTheme="minorHAnsi"/>
              </w:rPr>
              <w:t xml:space="preserve"> diagnosis and</w:t>
            </w:r>
            <w:r w:rsidR="000E26C4">
              <w:rPr>
                <w:rFonts w:asciiTheme="minorHAnsi" w:hAnsiTheme="minorHAnsi"/>
              </w:rPr>
              <w:t xml:space="preserve"> treatment.</w:t>
            </w:r>
            <w:r w:rsidR="00FF552D">
              <w:t xml:space="preserve"> </w:t>
            </w:r>
            <w:r w:rsidR="00FF552D" w:rsidRPr="002B0724">
              <w:t xml:space="preserve"> </w:t>
            </w:r>
            <w:r w:rsidR="00143AF9">
              <w:rPr>
                <w:rFonts w:asciiTheme="minorHAnsi" w:hAnsiTheme="minorHAnsi"/>
              </w:rPr>
              <w:t>Most patients will respond to Ig therapy, and, if symptoms return after treatment, a further requ</w:t>
            </w:r>
            <w:r w:rsidR="000E26C4">
              <w:rPr>
                <w:rFonts w:asciiTheme="minorHAnsi" w:hAnsiTheme="minorHAnsi"/>
              </w:rPr>
              <w:t>est for Ig therapy can be made.</w:t>
            </w:r>
            <w:r w:rsidR="00143AF9">
              <w:rPr>
                <w:rFonts w:asciiTheme="minorHAnsi" w:hAnsiTheme="minorHAnsi"/>
              </w:rPr>
              <w:t xml:space="preserve"> </w:t>
            </w:r>
            <w:r w:rsidR="00FF552D" w:rsidRPr="002B0724">
              <w:t xml:space="preserve">Given that treatment is for periods of up to four weeks, </w:t>
            </w:r>
            <w:r w:rsidR="00FF552D">
              <w:t xml:space="preserve">transition planning will ensure that any existing </w:t>
            </w:r>
            <w:r w:rsidR="00FF552D" w:rsidRPr="002B0724">
              <w:t xml:space="preserve">patients will be able to continue treatment </w:t>
            </w:r>
            <w:r w:rsidR="00FF552D">
              <w:t>for</w:t>
            </w:r>
            <w:r w:rsidR="00FF552D" w:rsidRPr="002B0724">
              <w:t xml:space="preserve"> that timeframe</w:t>
            </w:r>
            <w:r w:rsidR="00FF552D">
              <w:t xml:space="preserve"> during implementation.</w:t>
            </w:r>
            <w:r w:rsidR="00FF552D">
              <w:rPr>
                <w:rFonts w:asciiTheme="minorHAnsi" w:hAnsiTheme="minorHAnsi"/>
              </w:rPr>
              <w:t xml:space="preserve"> </w:t>
            </w:r>
            <w:r w:rsidR="005067A7">
              <w:rPr>
                <w:rFonts w:asciiTheme="minorHAnsi" w:hAnsiTheme="minorHAnsi"/>
              </w:rPr>
              <w:t xml:space="preserve">Long term Ig therapy is not required to manage this condition and therefore is no longer supported. </w:t>
            </w:r>
            <w:r w:rsidR="00F5513B" w:rsidRPr="008B52B9">
              <w:t xml:space="preserve">If any patients are identified as receiving </w:t>
            </w:r>
            <w:r w:rsidR="005067A7">
              <w:t>long term</w:t>
            </w:r>
            <w:r w:rsidR="005067A7" w:rsidRPr="008B52B9">
              <w:t xml:space="preserve"> </w:t>
            </w:r>
            <w:r w:rsidR="00F5513B" w:rsidRPr="008B52B9">
              <w:t xml:space="preserve">Ig treatment at the time of transition planning, a communication and transition strategy will be developed to ensure that the </w:t>
            </w:r>
            <w:r w:rsidR="005067A7">
              <w:t>doctor has an appropriate and safe plan to manage these patients ahead of implementation of v3.0</w:t>
            </w:r>
            <w:proofErr w:type="gramStart"/>
            <w:r w:rsidR="005067A7">
              <w:t>.</w:t>
            </w:r>
            <w:r w:rsidR="00F5513B" w:rsidRPr="008B52B9">
              <w:t>.</w:t>
            </w:r>
            <w:proofErr w:type="gramEnd"/>
            <w:r w:rsidR="00F5513B" w:rsidRPr="008B52B9">
              <w:t xml:space="preserve"> </w:t>
            </w:r>
          </w:p>
        </w:tc>
      </w:tr>
      <w:tr w:rsidR="00F5513B" w:rsidRPr="00021243" w14:paraId="4596E9D8" w14:textId="77777777" w:rsidTr="00832D0D">
        <w:tc>
          <w:tcPr>
            <w:tcW w:w="3545" w:type="dxa"/>
            <w:gridSpan w:val="2"/>
            <w:shd w:val="clear" w:color="auto" w:fill="auto"/>
          </w:tcPr>
          <w:p w14:paraId="4D17822F" w14:textId="4995DB96" w:rsidR="00F5513B" w:rsidRDefault="00F5513B" w:rsidP="004A10A2">
            <w:pPr>
              <w:spacing w:before="120" w:after="120"/>
              <w:rPr>
                <w:rFonts w:asciiTheme="minorHAnsi" w:hAnsiTheme="minorHAnsi"/>
                <w:b/>
              </w:rPr>
            </w:pPr>
            <w:r>
              <w:rPr>
                <w:rFonts w:asciiTheme="minorHAnsi" w:hAnsiTheme="minorHAnsi"/>
                <w:b/>
              </w:rPr>
              <w:t>Impact on demand:</w:t>
            </w:r>
          </w:p>
        </w:tc>
        <w:tc>
          <w:tcPr>
            <w:tcW w:w="11056" w:type="dxa"/>
            <w:gridSpan w:val="5"/>
            <w:shd w:val="clear" w:color="auto" w:fill="auto"/>
          </w:tcPr>
          <w:p w14:paraId="19EA1E3E" w14:textId="5D9A9281" w:rsidR="00F5513B" w:rsidRDefault="00F5513B" w:rsidP="004A10A2">
            <w:pPr>
              <w:spacing w:before="120" w:after="120"/>
              <w:rPr>
                <w:rFonts w:asciiTheme="minorHAnsi" w:hAnsiTheme="minorHAnsi"/>
              </w:rPr>
            </w:pPr>
            <w:r w:rsidRPr="008B52B9">
              <w:t>Ig usage is noted to be low and reasonably stable for this rare condition. Demand is not expected to be affected as a result of these criteria, as they are expected to be in line with current clinical practice.</w:t>
            </w:r>
          </w:p>
        </w:tc>
      </w:tr>
      <w:tr w:rsidR="00DA1553" w:rsidRPr="00853117" w14:paraId="21A6BAE1" w14:textId="77777777" w:rsidTr="00DA1553">
        <w:tc>
          <w:tcPr>
            <w:tcW w:w="2161" w:type="dxa"/>
            <w:shd w:val="clear" w:color="auto" w:fill="auto"/>
          </w:tcPr>
          <w:p w14:paraId="1691A6B5" w14:textId="77777777" w:rsidR="00DA1553" w:rsidRPr="00C92149" w:rsidRDefault="00DA1553" w:rsidP="004A10A2">
            <w:pPr>
              <w:spacing w:before="120" w:after="120"/>
              <w:rPr>
                <w:rFonts w:asciiTheme="minorHAnsi" w:hAnsiTheme="minorHAnsi"/>
                <w:b/>
                <w:sz w:val="18"/>
                <w:szCs w:val="18"/>
              </w:rPr>
            </w:pPr>
          </w:p>
        </w:tc>
        <w:tc>
          <w:tcPr>
            <w:tcW w:w="1384" w:type="dxa"/>
            <w:shd w:val="clear" w:color="auto" w:fill="auto"/>
          </w:tcPr>
          <w:p w14:paraId="6CB519E2" w14:textId="77777777" w:rsidR="00DA1553" w:rsidRPr="00C92149" w:rsidRDefault="00DA1553" w:rsidP="004B3893">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2011-12</w:t>
            </w:r>
          </w:p>
        </w:tc>
        <w:tc>
          <w:tcPr>
            <w:tcW w:w="1593" w:type="dxa"/>
            <w:shd w:val="clear" w:color="auto" w:fill="auto"/>
          </w:tcPr>
          <w:p w14:paraId="7AAEF2C7" w14:textId="77777777" w:rsidR="00DA1553" w:rsidRPr="00C92149" w:rsidRDefault="00DA1553" w:rsidP="004B3893">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2012-13</w:t>
            </w:r>
          </w:p>
        </w:tc>
        <w:tc>
          <w:tcPr>
            <w:tcW w:w="1667" w:type="dxa"/>
            <w:shd w:val="clear" w:color="auto" w:fill="auto"/>
          </w:tcPr>
          <w:p w14:paraId="24A4A9EA" w14:textId="77777777" w:rsidR="00DA1553" w:rsidRPr="00C92149" w:rsidRDefault="00DA1553" w:rsidP="004B3893">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2013-14</w:t>
            </w:r>
          </w:p>
        </w:tc>
        <w:tc>
          <w:tcPr>
            <w:tcW w:w="1701" w:type="dxa"/>
            <w:shd w:val="clear" w:color="auto" w:fill="auto"/>
          </w:tcPr>
          <w:p w14:paraId="5C1745F4" w14:textId="77777777" w:rsidR="00DA1553" w:rsidRPr="00C92149" w:rsidRDefault="00DA1553" w:rsidP="004B3893">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2014-15</w:t>
            </w:r>
          </w:p>
        </w:tc>
        <w:tc>
          <w:tcPr>
            <w:tcW w:w="1985" w:type="dxa"/>
            <w:shd w:val="clear" w:color="auto" w:fill="auto"/>
          </w:tcPr>
          <w:p w14:paraId="06430A6E" w14:textId="039D1DF7" w:rsidR="00DA1553" w:rsidRPr="00C92149" w:rsidRDefault="00DA1553" w:rsidP="00DA1553">
            <w:pPr>
              <w:spacing w:before="120" w:after="120"/>
              <w:jc w:val="right"/>
              <w:rPr>
                <w:rFonts w:ascii="Gill Sans MT" w:hAnsi="Gill Sans MT"/>
                <w:sz w:val="18"/>
                <w:szCs w:val="18"/>
              </w:rPr>
            </w:pPr>
            <w:r>
              <w:rPr>
                <w:rFonts w:asciiTheme="minorHAnsi" w:hAnsiTheme="minorHAnsi" w:cs="Helvetica"/>
                <w:b/>
                <w:color w:val="333333"/>
                <w:sz w:val="18"/>
                <w:szCs w:val="18"/>
              </w:rPr>
              <w:t>2015-16</w:t>
            </w:r>
          </w:p>
        </w:tc>
        <w:tc>
          <w:tcPr>
            <w:tcW w:w="4110" w:type="dxa"/>
            <w:vMerge w:val="restart"/>
            <w:shd w:val="clear" w:color="auto" w:fill="auto"/>
          </w:tcPr>
          <w:p w14:paraId="6CCDAA97" w14:textId="77777777" w:rsidR="006A2CA8" w:rsidRPr="00D6407F" w:rsidRDefault="006A2CA8" w:rsidP="006A2CA8">
            <w:pPr>
              <w:rPr>
                <w:rFonts w:asciiTheme="minorHAnsi" w:hAnsiTheme="minorHAnsi"/>
                <w:sz w:val="18"/>
                <w:szCs w:val="18"/>
              </w:rPr>
            </w:pPr>
            <w:r w:rsidRPr="00D6407F">
              <w:rPr>
                <w:rFonts w:asciiTheme="minorHAnsi" w:hAnsiTheme="minorHAnsi"/>
                <w:sz w:val="18"/>
                <w:szCs w:val="18"/>
              </w:rPr>
              <w:t>Estimated number of patients that will be affected.</w:t>
            </w:r>
          </w:p>
          <w:p w14:paraId="2916525A" w14:textId="77777777" w:rsidR="006A2CA8" w:rsidRPr="00D6407F" w:rsidRDefault="006A2CA8" w:rsidP="006A2CA8">
            <w:pPr>
              <w:rPr>
                <w:rFonts w:asciiTheme="minorHAnsi" w:hAnsiTheme="minorHAnsi"/>
                <w:sz w:val="18"/>
                <w:szCs w:val="18"/>
              </w:rPr>
            </w:pPr>
          </w:p>
          <w:p w14:paraId="2F4DEB1C" w14:textId="38EBF2A2" w:rsidR="00AA2A5F" w:rsidRPr="00F5513B" w:rsidRDefault="00F5513B" w:rsidP="00F5513B">
            <w:pPr>
              <w:rPr>
                <w:rFonts w:asciiTheme="minorHAnsi" w:hAnsiTheme="minorHAnsi"/>
                <w:sz w:val="18"/>
                <w:szCs w:val="18"/>
              </w:rPr>
            </w:pPr>
            <w:r w:rsidRPr="00F5513B">
              <w:rPr>
                <w:rFonts w:asciiTheme="minorHAnsi" w:hAnsiTheme="minorHAnsi"/>
                <w:sz w:val="18"/>
                <w:szCs w:val="18"/>
              </w:rPr>
              <w:t xml:space="preserve">The </w:t>
            </w:r>
            <w:r w:rsidR="00910E6B">
              <w:rPr>
                <w:rFonts w:asciiTheme="minorHAnsi" w:hAnsiTheme="minorHAnsi"/>
                <w:sz w:val="18"/>
                <w:szCs w:val="18"/>
              </w:rPr>
              <w:t xml:space="preserve">Specialist Working Group </w:t>
            </w:r>
            <w:r w:rsidRPr="00F5513B">
              <w:rPr>
                <w:rFonts w:asciiTheme="minorHAnsi" w:hAnsiTheme="minorHAnsi"/>
                <w:sz w:val="18"/>
                <w:szCs w:val="18"/>
              </w:rPr>
              <w:t>estimated magnitude of effect:</w:t>
            </w:r>
          </w:p>
          <w:p w14:paraId="7D9D9695" w14:textId="79811DF8" w:rsidR="00DA1553" w:rsidRPr="00C92149" w:rsidRDefault="00F5513B" w:rsidP="00AA2A5F">
            <w:pPr>
              <w:rPr>
                <w:rFonts w:asciiTheme="minorHAnsi" w:hAnsiTheme="minorHAnsi"/>
                <w:b/>
                <w:sz w:val="18"/>
                <w:szCs w:val="18"/>
              </w:rPr>
            </w:pPr>
            <w:r w:rsidRPr="00F5513B">
              <w:rPr>
                <w:rFonts w:asciiTheme="minorHAnsi" w:hAnsiTheme="minorHAnsi"/>
                <w:sz w:val="18"/>
                <w:szCs w:val="18"/>
              </w:rPr>
              <w:t>No impact</w:t>
            </w:r>
            <w:r w:rsidR="00D63F4D">
              <w:rPr>
                <w:rFonts w:asciiTheme="minorHAnsi" w:hAnsiTheme="minorHAnsi"/>
                <w:sz w:val="18"/>
                <w:szCs w:val="18"/>
              </w:rPr>
              <w:t xml:space="preserve"> against projected demand</w:t>
            </w:r>
          </w:p>
        </w:tc>
      </w:tr>
      <w:tr w:rsidR="006A2CA8" w:rsidRPr="00853117" w14:paraId="0F06BCC2" w14:textId="77777777" w:rsidTr="00DA1553">
        <w:tc>
          <w:tcPr>
            <w:tcW w:w="2161" w:type="dxa"/>
            <w:shd w:val="clear" w:color="auto" w:fill="auto"/>
          </w:tcPr>
          <w:p w14:paraId="145C212F" w14:textId="77777777" w:rsidR="006A2CA8" w:rsidRPr="00C92149" w:rsidRDefault="006A2CA8"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Patient number</w:t>
            </w:r>
          </w:p>
        </w:tc>
        <w:tc>
          <w:tcPr>
            <w:tcW w:w="1384" w:type="dxa"/>
            <w:shd w:val="clear" w:color="auto" w:fill="auto"/>
            <w:vAlign w:val="bottom"/>
          </w:tcPr>
          <w:p w14:paraId="2D71BA94" w14:textId="7822D105" w:rsidR="006A2CA8" w:rsidRPr="004B3893" w:rsidRDefault="006A2CA8" w:rsidP="004B3893">
            <w:pPr>
              <w:spacing w:before="120" w:after="120"/>
              <w:jc w:val="right"/>
              <w:rPr>
                <w:rFonts w:asciiTheme="minorHAnsi" w:hAnsiTheme="minorHAnsi" w:cs="Helvetica"/>
                <w:b/>
                <w:color w:val="333333"/>
                <w:sz w:val="18"/>
                <w:szCs w:val="18"/>
              </w:rPr>
            </w:pPr>
            <w:r w:rsidRPr="00145C5D">
              <w:rPr>
                <w:rFonts w:asciiTheme="minorHAnsi" w:hAnsiTheme="minorHAnsi" w:cs="Helvetica"/>
                <w:b/>
                <w:color w:val="333333"/>
                <w:sz w:val="18"/>
                <w:szCs w:val="18"/>
              </w:rPr>
              <w:t>13</w:t>
            </w:r>
          </w:p>
        </w:tc>
        <w:tc>
          <w:tcPr>
            <w:tcW w:w="1593" w:type="dxa"/>
            <w:shd w:val="clear" w:color="auto" w:fill="auto"/>
            <w:vAlign w:val="bottom"/>
          </w:tcPr>
          <w:p w14:paraId="7F0F8392" w14:textId="6F6353AB" w:rsidR="006A2CA8" w:rsidRPr="004B3893" w:rsidRDefault="006A2CA8" w:rsidP="004B3893">
            <w:pPr>
              <w:spacing w:before="120" w:after="120"/>
              <w:jc w:val="right"/>
              <w:rPr>
                <w:rFonts w:asciiTheme="minorHAnsi" w:hAnsiTheme="minorHAnsi" w:cs="Helvetica"/>
                <w:b/>
                <w:color w:val="333333"/>
                <w:sz w:val="18"/>
                <w:szCs w:val="18"/>
              </w:rPr>
            </w:pPr>
            <w:r w:rsidRPr="00145C5D">
              <w:rPr>
                <w:rFonts w:asciiTheme="minorHAnsi" w:hAnsiTheme="minorHAnsi" w:cs="Helvetica"/>
                <w:b/>
                <w:color w:val="333333"/>
                <w:sz w:val="18"/>
                <w:szCs w:val="18"/>
              </w:rPr>
              <w:t>13</w:t>
            </w:r>
          </w:p>
        </w:tc>
        <w:tc>
          <w:tcPr>
            <w:tcW w:w="1667" w:type="dxa"/>
            <w:shd w:val="clear" w:color="auto" w:fill="auto"/>
            <w:vAlign w:val="bottom"/>
          </w:tcPr>
          <w:p w14:paraId="11378701" w14:textId="67EE4673" w:rsidR="006A2CA8" w:rsidRPr="004B3893" w:rsidRDefault="006A2CA8" w:rsidP="004B3893">
            <w:pPr>
              <w:spacing w:before="120" w:after="120"/>
              <w:jc w:val="right"/>
              <w:rPr>
                <w:rFonts w:asciiTheme="minorHAnsi" w:hAnsiTheme="minorHAnsi" w:cs="Helvetica"/>
                <w:b/>
                <w:color w:val="333333"/>
                <w:sz w:val="18"/>
                <w:szCs w:val="18"/>
              </w:rPr>
            </w:pPr>
            <w:r w:rsidRPr="00145C5D">
              <w:rPr>
                <w:rFonts w:asciiTheme="minorHAnsi" w:hAnsiTheme="minorHAnsi" w:cs="Helvetica"/>
                <w:b/>
                <w:color w:val="333333"/>
                <w:sz w:val="18"/>
                <w:szCs w:val="18"/>
              </w:rPr>
              <w:t>10</w:t>
            </w:r>
          </w:p>
        </w:tc>
        <w:tc>
          <w:tcPr>
            <w:tcW w:w="1701" w:type="dxa"/>
            <w:shd w:val="clear" w:color="auto" w:fill="auto"/>
            <w:vAlign w:val="bottom"/>
          </w:tcPr>
          <w:p w14:paraId="1A42FAB9" w14:textId="2CE7140F" w:rsidR="006A2CA8" w:rsidRPr="004B3893" w:rsidRDefault="006A2CA8" w:rsidP="004B3893">
            <w:pPr>
              <w:spacing w:before="120" w:after="120"/>
              <w:jc w:val="right"/>
              <w:rPr>
                <w:rFonts w:asciiTheme="minorHAnsi" w:hAnsiTheme="minorHAnsi" w:cs="Helvetica"/>
                <w:b/>
                <w:color w:val="333333"/>
                <w:sz w:val="18"/>
                <w:szCs w:val="18"/>
              </w:rPr>
            </w:pPr>
            <w:r w:rsidRPr="00145C5D">
              <w:rPr>
                <w:rFonts w:asciiTheme="minorHAnsi" w:hAnsiTheme="minorHAnsi" w:cs="Helvetica"/>
                <w:b/>
                <w:color w:val="333333"/>
                <w:sz w:val="18"/>
                <w:szCs w:val="18"/>
              </w:rPr>
              <w:t>12</w:t>
            </w:r>
          </w:p>
        </w:tc>
        <w:tc>
          <w:tcPr>
            <w:tcW w:w="1985" w:type="dxa"/>
            <w:shd w:val="clear" w:color="auto" w:fill="auto"/>
          </w:tcPr>
          <w:p w14:paraId="54488658" w14:textId="72F8A303" w:rsidR="006A2CA8" w:rsidRPr="00C92149" w:rsidRDefault="006A2CA8" w:rsidP="00DA1553">
            <w:pPr>
              <w:spacing w:before="120" w:after="120"/>
              <w:jc w:val="right"/>
              <w:rPr>
                <w:rFonts w:asciiTheme="minorHAnsi" w:hAnsiTheme="minorHAnsi"/>
                <w:b/>
                <w:sz w:val="18"/>
                <w:szCs w:val="18"/>
              </w:rPr>
            </w:pPr>
            <w:r>
              <w:rPr>
                <w:rFonts w:asciiTheme="minorHAnsi" w:hAnsiTheme="minorHAnsi" w:cs="Helvetica"/>
                <w:b/>
                <w:color w:val="333333"/>
                <w:sz w:val="18"/>
                <w:szCs w:val="18"/>
              </w:rPr>
              <w:t>6</w:t>
            </w:r>
          </w:p>
        </w:tc>
        <w:tc>
          <w:tcPr>
            <w:tcW w:w="4110" w:type="dxa"/>
            <w:vMerge/>
            <w:shd w:val="clear" w:color="auto" w:fill="auto"/>
          </w:tcPr>
          <w:p w14:paraId="16993804" w14:textId="183C16EF" w:rsidR="006A2CA8" w:rsidRPr="00C92149" w:rsidRDefault="006A2CA8" w:rsidP="004A10A2">
            <w:pPr>
              <w:spacing w:before="120" w:after="120"/>
              <w:rPr>
                <w:rFonts w:asciiTheme="minorHAnsi" w:hAnsiTheme="minorHAnsi"/>
                <w:b/>
                <w:sz w:val="18"/>
                <w:szCs w:val="18"/>
              </w:rPr>
            </w:pPr>
          </w:p>
        </w:tc>
      </w:tr>
      <w:tr w:rsidR="006A2CA8" w:rsidRPr="00853117" w14:paraId="784C6CC5" w14:textId="77777777" w:rsidTr="00DA1553">
        <w:trPr>
          <w:trHeight w:val="535"/>
        </w:trPr>
        <w:tc>
          <w:tcPr>
            <w:tcW w:w="2161" w:type="dxa"/>
            <w:shd w:val="clear" w:color="auto" w:fill="auto"/>
          </w:tcPr>
          <w:p w14:paraId="10842703" w14:textId="77777777" w:rsidR="006A2CA8" w:rsidRPr="00C92149" w:rsidRDefault="006A2CA8" w:rsidP="004A10A2">
            <w:pPr>
              <w:spacing w:before="120" w:after="120"/>
              <w:rPr>
                <w:rFonts w:asciiTheme="minorHAnsi" w:hAnsiTheme="minorHAnsi"/>
                <w:b/>
                <w:sz w:val="18"/>
                <w:szCs w:val="18"/>
              </w:rPr>
            </w:pPr>
            <w:r w:rsidRPr="00C92149">
              <w:rPr>
                <w:rFonts w:asciiTheme="minorHAnsi" w:hAnsiTheme="minorHAnsi"/>
                <w:b/>
                <w:sz w:val="18"/>
                <w:szCs w:val="18"/>
              </w:rPr>
              <w:t>Total Grams issued</w:t>
            </w:r>
          </w:p>
        </w:tc>
        <w:tc>
          <w:tcPr>
            <w:tcW w:w="1384" w:type="dxa"/>
            <w:shd w:val="clear" w:color="auto" w:fill="auto"/>
            <w:vAlign w:val="bottom"/>
          </w:tcPr>
          <w:p w14:paraId="38D94AF9" w14:textId="5DAD92D2" w:rsidR="006A2CA8" w:rsidRPr="004B3893" w:rsidRDefault="006A2CA8" w:rsidP="004B3893">
            <w:pPr>
              <w:spacing w:before="120" w:after="120"/>
              <w:jc w:val="right"/>
              <w:rPr>
                <w:rFonts w:asciiTheme="minorHAnsi" w:hAnsiTheme="minorHAnsi" w:cs="Helvetica"/>
                <w:b/>
                <w:color w:val="333333"/>
                <w:sz w:val="18"/>
                <w:szCs w:val="18"/>
              </w:rPr>
            </w:pPr>
            <w:r w:rsidRPr="00145C5D">
              <w:rPr>
                <w:rFonts w:asciiTheme="minorHAnsi" w:hAnsiTheme="minorHAnsi" w:cs="Helvetica"/>
                <w:b/>
                <w:color w:val="333333"/>
                <w:sz w:val="18"/>
                <w:szCs w:val="18"/>
              </w:rPr>
              <w:t>3,525</w:t>
            </w:r>
          </w:p>
        </w:tc>
        <w:tc>
          <w:tcPr>
            <w:tcW w:w="1593" w:type="dxa"/>
            <w:shd w:val="clear" w:color="auto" w:fill="auto"/>
            <w:vAlign w:val="bottom"/>
          </w:tcPr>
          <w:p w14:paraId="031E04BB" w14:textId="30A535ED" w:rsidR="006A2CA8" w:rsidRPr="004B3893" w:rsidRDefault="006A2CA8" w:rsidP="004B3893">
            <w:pPr>
              <w:spacing w:before="120" w:after="120"/>
              <w:jc w:val="right"/>
              <w:rPr>
                <w:rFonts w:asciiTheme="minorHAnsi" w:hAnsiTheme="minorHAnsi" w:cs="Helvetica"/>
                <w:b/>
                <w:color w:val="333333"/>
                <w:sz w:val="18"/>
                <w:szCs w:val="18"/>
              </w:rPr>
            </w:pPr>
            <w:r w:rsidRPr="00145C5D">
              <w:rPr>
                <w:rFonts w:asciiTheme="minorHAnsi" w:hAnsiTheme="minorHAnsi" w:cs="Helvetica"/>
                <w:b/>
                <w:color w:val="333333"/>
                <w:sz w:val="18"/>
                <w:szCs w:val="18"/>
              </w:rPr>
              <w:t>2,857</w:t>
            </w:r>
          </w:p>
        </w:tc>
        <w:tc>
          <w:tcPr>
            <w:tcW w:w="1667" w:type="dxa"/>
            <w:shd w:val="clear" w:color="auto" w:fill="auto"/>
            <w:vAlign w:val="bottom"/>
          </w:tcPr>
          <w:p w14:paraId="31A83E58" w14:textId="5C2C2898" w:rsidR="006A2CA8" w:rsidRPr="004B3893" w:rsidRDefault="006A2CA8" w:rsidP="004B3893">
            <w:pPr>
              <w:spacing w:before="120" w:after="120"/>
              <w:jc w:val="right"/>
              <w:rPr>
                <w:rFonts w:asciiTheme="minorHAnsi" w:hAnsiTheme="minorHAnsi" w:cs="Helvetica"/>
                <w:b/>
                <w:color w:val="333333"/>
                <w:sz w:val="18"/>
                <w:szCs w:val="18"/>
              </w:rPr>
            </w:pPr>
            <w:r w:rsidRPr="00145C5D">
              <w:rPr>
                <w:rFonts w:asciiTheme="minorHAnsi" w:hAnsiTheme="minorHAnsi" w:cs="Helvetica"/>
                <w:b/>
                <w:color w:val="333333"/>
                <w:sz w:val="18"/>
                <w:szCs w:val="18"/>
              </w:rPr>
              <w:t>3,765</w:t>
            </w:r>
          </w:p>
        </w:tc>
        <w:tc>
          <w:tcPr>
            <w:tcW w:w="1701" w:type="dxa"/>
            <w:shd w:val="clear" w:color="auto" w:fill="auto"/>
            <w:vAlign w:val="bottom"/>
          </w:tcPr>
          <w:p w14:paraId="1E6C8998" w14:textId="13337DF1" w:rsidR="006A2CA8" w:rsidRPr="004B3893" w:rsidRDefault="006A2CA8" w:rsidP="004B3893">
            <w:pPr>
              <w:spacing w:before="120" w:after="120"/>
              <w:jc w:val="right"/>
              <w:rPr>
                <w:rFonts w:asciiTheme="minorHAnsi" w:hAnsiTheme="minorHAnsi" w:cs="Helvetica"/>
                <w:b/>
                <w:color w:val="333333"/>
                <w:sz w:val="18"/>
                <w:szCs w:val="18"/>
              </w:rPr>
            </w:pPr>
            <w:r w:rsidRPr="00145C5D">
              <w:rPr>
                <w:rFonts w:asciiTheme="minorHAnsi" w:hAnsiTheme="minorHAnsi" w:cs="Helvetica"/>
                <w:b/>
                <w:color w:val="333333"/>
                <w:sz w:val="18"/>
                <w:szCs w:val="18"/>
              </w:rPr>
              <w:t>2,943</w:t>
            </w:r>
          </w:p>
        </w:tc>
        <w:tc>
          <w:tcPr>
            <w:tcW w:w="1985" w:type="dxa"/>
            <w:shd w:val="clear" w:color="auto" w:fill="auto"/>
          </w:tcPr>
          <w:p w14:paraId="7CB3C93D" w14:textId="13F356D0" w:rsidR="006A2CA8" w:rsidRPr="00C92149" w:rsidRDefault="006A2CA8" w:rsidP="00DA1553">
            <w:pPr>
              <w:spacing w:before="120" w:after="120"/>
              <w:jc w:val="right"/>
              <w:rPr>
                <w:rFonts w:asciiTheme="minorHAnsi" w:hAnsiTheme="minorHAnsi"/>
                <w:b/>
                <w:sz w:val="18"/>
                <w:szCs w:val="18"/>
              </w:rPr>
            </w:pPr>
            <w:r>
              <w:rPr>
                <w:rFonts w:asciiTheme="minorHAnsi" w:hAnsiTheme="minorHAnsi" w:cs="Helvetica"/>
                <w:b/>
                <w:color w:val="333333"/>
                <w:sz w:val="18"/>
                <w:szCs w:val="18"/>
              </w:rPr>
              <w:t>2,168</w:t>
            </w:r>
          </w:p>
        </w:tc>
        <w:tc>
          <w:tcPr>
            <w:tcW w:w="4110" w:type="dxa"/>
            <w:vMerge/>
            <w:shd w:val="clear" w:color="auto" w:fill="auto"/>
          </w:tcPr>
          <w:p w14:paraId="44E74B9C" w14:textId="0E8418B0" w:rsidR="006A2CA8" w:rsidRPr="00C92149" w:rsidRDefault="006A2CA8" w:rsidP="004A10A2">
            <w:pPr>
              <w:spacing w:before="120" w:after="120"/>
              <w:rPr>
                <w:rFonts w:asciiTheme="minorHAnsi" w:hAnsiTheme="minorHAnsi"/>
                <w:b/>
                <w:sz w:val="18"/>
                <w:szCs w:val="18"/>
              </w:rPr>
            </w:pPr>
          </w:p>
        </w:tc>
      </w:tr>
      <w:tr w:rsidR="006A2CA8" w:rsidRPr="00853117" w14:paraId="35CCBD3A" w14:textId="77777777" w:rsidTr="00DA1553">
        <w:tc>
          <w:tcPr>
            <w:tcW w:w="2161" w:type="dxa"/>
            <w:shd w:val="clear" w:color="auto" w:fill="auto"/>
          </w:tcPr>
          <w:p w14:paraId="26F5BE40" w14:textId="77777777" w:rsidR="006A2CA8" w:rsidRPr="00C92149" w:rsidRDefault="006A2CA8" w:rsidP="004A10A2">
            <w:pPr>
              <w:spacing w:before="120" w:after="120"/>
              <w:rPr>
                <w:rFonts w:asciiTheme="minorHAnsi" w:hAnsiTheme="minorHAnsi"/>
                <w:b/>
                <w:sz w:val="18"/>
                <w:szCs w:val="18"/>
              </w:rPr>
            </w:pPr>
            <w:r w:rsidRPr="00C92149">
              <w:rPr>
                <w:rFonts w:asciiTheme="minorHAnsi" w:hAnsiTheme="minorHAnsi"/>
                <w:b/>
                <w:sz w:val="18"/>
                <w:szCs w:val="18"/>
              </w:rPr>
              <w:t>% Total Grams issued</w:t>
            </w:r>
          </w:p>
        </w:tc>
        <w:tc>
          <w:tcPr>
            <w:tcW w:w="1384" w:type="dxa"/>
            <w:shd w:val="clear" w:color="auto" w:fill="auto"/>
            <w:vAlign w:val="bottom"/>
          </w:tcPr>
          <w:p w14:paraId="3C905A51" w14:textId="6F5D05DE" w:rsidR="006A2CA8" w:rsidRPr="004B3893" w:rsidRDefault="006A2CA8" w:rsidP="004B3893">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0.1</w:t>
            </w:r>
            <w:r w:rsidR="008A2E57">
              <w:rPr>
                <w:rFonts w:asciiTheme="minorHAnsi" w:hAnsiTheme="minorHAnsi" w:cs="Helvetica"/>
                <w:b/>
                <w:color w:val="333333"/>
                <w:sz w:val="18"/>
                <w:szCs w:val="18"/>
              </w:rPr>
              <w:t>1</w:t>
            </w:r>
            <w:r w:rsidRPr="00145C5D">
              <w:rPr>
                <w:rFonts w:asciiTheme="minorHAnsi" w:hAnsiTheme="minorHAnsi" w:cs="Helvetica"/>
                <w:b/>
                <w:color w:val="333333"/>
                <w:sz w:val="18"/>
                <w:szCs w:val="18"/>
              </w:rPr>
              <w:t>%</w:t>
            </w:r>
          </w:p>
        </w:tc>
        <w:tc>
          <w:tcPr>
            <w:tcW w:w="1593" w:type="dxa"/>
            <w:shd w:val="clear" w:color="auto" w:fill="auto"/>
            <w:vAlign w:val="bottom"/>
          </w:tcPr>
          <w:p w14:paraId="08E5B0B1" w14:textId="5EB71852" w:rsidR="006A2CA8" w:rsidRPr="004B3893" w:rsidRDefault="006A2CA8" w:rsidP="008A2E57">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0.0</w:t>
            </w:r>
            <w:r w:rsidR="008A2E57">
              <w:rPr>
                <w:rFonts w:asciiTheme="minorHAnsi" w:hAnsiTheme="minorHAnsi" w:cs="Helvetica"/>
                <w:b/>
                <w:color w:val="333333"/>
                <w:sz w:val="18"/>
                <w:szCs w:val="18"/>
              </w:rPr>
              <w:t>8</w:t>
            </w:r>
            <w:r w:rsidRPr="00145C5D">
              <w:rPr>
                <w:rFonts w:asciiTheme="minorHAnsi" w:hAnsiTheme="minorHAnsi" w:cs="Helvetica"/>
                <w:b/>
                <w:color w:val="333333"/>
                <w:sz w:val="18"/>
                <w:szCs w:val="18"/>
              </w:rPr>
              <w:t>%</w:t>
            </w:r>
          </w:p>
        </w:tc>
        <w:tc>
          <w:tcPr>
            <w:tcW w:w="1667" w:type="dxa"/>
            <w:shd w:val="clear" w:color="auto" w:fill="auto"/>
            <w:vAlign w:val="bottom"/>
          </w:tcPr>
          <w:p w14:paraId="6EB832EA" w14:textId="3F423FF1" w:rsidR="006A2CA8" w:rsidRPr="004B3893" w:rsidRDefault="006A2CA8" w:rsidP="004B3893">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0.09</w:t>
            </w:r>
            <w:r w:rsidRPr="00145C5D">
              <w:rPr>
                <w:rFonts w:asciiTheme="minorHAnsi" w:hAnsiTheme="minorHAnsi" w:cs="Helvetica"/>
                <w:b/>
                <w:color w:val="333333"/>
                <w:sz w:val="18"/>
                <w:szCs w:val="18"/>
              </w:rPr>
              <w:t>%</w:t>
            </w:r>
          </w:p>
        </w:tc>
        <w:tc>
          <w:tcPr>
            <w:tcW w:w="1701" w:type="dxa"/>
            <w:shd w:val="clear" w:color="auto" w:fill="auto"/>
            <w:vAlign w:val="bottom"/>
          </w:tcPr>
          <w:p w14:paraId="2B863930" w14:textId="312CF99A" w:rsidR="006A2CA8" w:rsidRPr="004B3893" w:rsidRDefault="006A2CA8" w:rsidP="004B3893">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0.0</w:t>
            </w:r>
            <w:r w:rsidR="008A2E57">
              <w:rPr>
                <w:rFonts w:asciiTheme="minorHAnsi" w:hAnsiTheme="minorHAnsi" w:cs="Helvetica"/>
                <w:b/>
                <w:color w:val="333333"/>
                <w:sz w:val="18"/>
                <w:szCs w:val="18"/>
              </w:rPr>
              <w:t>7</w:t>
            </w:r>
            <w:r w:rsidRPr="00145C5D">
              <w:rPr>
                <w:rFonts w:asciiTheme="minorHAnsi" w:hAnsiTheme="minorHAnsi" w:cs="Helvetica"/>
                <w:b/>
                <w:color w:val="333333"/>
                <w:sz w:val="18"/>
                <w:szCs w:val="18"/>
              </w:rPr>
              <w:t>%</w:t>
            </w:r>
          </w:p>
        </w:tc>
        <w:tc>
          <w:tcPr>
            <w:tcW w:w="1985" w:type="dxa"/>
            <w:shd w:val="clear" w:color="auto" w:fill="auto"/>
          </w:tcPr>
          <w:p w14:paraId="3352E767" w14:textId="5EB8BF67" w:rsidR="006A2CA8" w:rsidRPr="00C92149" w:rsidRDefault="006A2CA8" w:rsidP="00DA1553">
            <w:pPr>
              <w:spacing w:before="120" w:after="120"/>
              <w:jc w:val="right"/>
              <w:rPr>
                <w:rFonts w:asciiTheme="minorHAnsi" w:hAnsiTheme="minorHAnsi"/>
                <w:b/>
                <w:sz w:val="18"/>
                <w:szCs w:val="18"/>
              </w:rPr>
            </w:pPr>
            <w:r>
              <w:rPr>
                <w:rFonts w:asciiTheme="minorHAnsi" w:hAnsiTheme="minorHAnsi" w:cs="Helvetica"/>
                <w:b/>
                <w:color w:val="333333"/>
                <w:sz w:val="18"/>
                <w:szCs w:val="18"/>
              </w:rPr>
              <w:t>0.04%</w:t>
            </w:r>
          </w:p>
        </w:tc>
        <w:tc>
          <w:tcPr>
            <w:tcW w:w="4110" w:type="dxa"/>
            <w:vMerge/>
            <w:shd w:val="clear" w:color="auto" w:fill="auto"/>
          </w:tcPr>
          <w:p w14:paraId="574CBBC8" w14:textId="3CE18909" w:rsidR="006A2CA8" w:rsidRPr="00C92149" w:rsidRDefault="006A2CA8" w:rsidP="004A10A2">
            <w:pPr>
              <w:spacing w:before="120" w:after="120"/>
              <w:rPr>
                <w:rFonts w:asciiTheme="minorHAnsi" w:hAnsiTheme="minorHAnsi"/>
                <w:b/>
                <w:sz w:val="18"/>
                <w:szCs w:val="18"/>
              </w:rPr>
            </w:pPr>
          </w:p>
        </w:tc>
      </w:tr>
      <w:tr w:rsidR="004B3893" w:rsidRPr="00021243" w14:paraId="0986A8D3" w14:textId="77777777" w:rsidTr="005D45E6">
        <w:tc>
          <w:tcPr>
            <w:tcW w:w="14601" w:type="dxa"/>
            <w:gridSpan w:val="7"/>
            <w:shd w:val="clear" w:color="auto" w:fill="F79646" w:themeFill="accent6"/>
          </w:tcPr>
          <w:p w14:paraId="0A841E2F" w14:textId="76F4424F" w:rsidR="004B3893" w:rsidRDefault="00910E6B" w:rsidP="005D45E6">
            <w:pPr>
              <w:spacing w:before="120" w:after="120"/>
              <w:rPr>
                <w:rFonts w:asciiTheme="minorHAnsi" w:hAnsiTheme="minorHAnsi"/>
                <w:b/>
              </w:rPr>
            </w:pPr>
            <w:r>
              <w:rPr>
                <w:rFonts w:asciiTheme="minorHAnsi" w:hAnsiTheme="minorHAnsi"/>
                <w:b/>
              </w:rPr>
              <w:t xml:space="preserve">Specialist Working Group </w:t>
            </w:r>
            <w:r w:rsidR="004B3893">
              <w:rPr>
                <w:rFonts w:asciiTheme="minorHAnsi" w:hAnsiTheme="minorHAnsi"/>
                <w:b/>
              </w:rPr>
              <w:t>knowledge development opportunities and recommendations</w:t>
            </w:r>
          </w:p>
        </w:tc>
      </w:tr>
      <w:tr w:rsidR="004B3893" w:rsidRPr="00021243" w14:paraId="4BE86C59" w14:textId="77777777" w:rsidTr="005D45E6">
        <w:tc>
          <w:tcPr>
            <w:tcW w:w="14601" w:type="dxa"/>
            <w:gridSpan w:val="7"/>
            <w:shd w:val="clear" w:color="auto" w:fill="auto"/>
          </w:tcPr>
          <w:p w14:paraId="0E075F87" w14:textId="57B48FE8" w:rsidR="004B3893" w:rsidRPr="002506FF" w:rsidRDefault="00FD764D" w:rsidP="00FD764D">
            <w:pPr>
              <w:spacing w:before="120" w:after="120"/>
              <w:rPr>
                <w:rFonts w:asciiTheme="minorHAnsi" w:hAnsiTheme="minorHAnsi"/>
              </w:rPr>
            </w:pPr>
            <w:r>
              <w:rPr>
                <w:rFonts w:asciiTheme="minorHAnsi" w:hAnsiTheme="minorHAnsi"/>
              </w:rPr>
              <w:t>None identified at this stage.</w:t>
            </w:r>
          </w:p>
        </w:tc>
      </w:tr>
    </w:tbl>
    <w:p w14:paraId="393D9DD1" w14:textId="77777777" w:rsidR="00447869" w:rsidRDefault="00447869" w:rsidP="00FD2CCD"/>
    <w:tbl>
      <w:tblPr>
        <w:tblStyle w:val="TableGrid"/>
        <w:tblW w:w="14601" w:type="dxa"/>
        <w:tblInd w:w="-318" w:type="dxa"/>
        <w:tblLook w:val="04A0" w:firstRow="1" w:lastRow="0" w:firstColumn="1" w:lastColumn="0" w:noHBand="0" w:noVBand="1"/>
      </w:tblPr>
      <w:tblGrid>
        <w:gridCol w:w="14601"/>
      </w:tblGrid>
      <w:tr w:rsidR="002506FF" w:rsidRPr="00021243" w14:paraId="55DFC4F4" w14:textId="77777777" w:rsidTr="009F1DFC">
        <w:tc>
          <w:tcPr>
            <w:tcW w:w="14601" w:type="dxa"/>
          </w:tcPr>
          <w:p w14:paraId="1A843351" w14:textId="498EC2E0" w:rsidR="006A2CA8" w:rsidRDefault="006A2CA8" w:rsidP="006A2CA8">
            <w:pPr>
              <w:spacing w:before="120" w:after="120"/>
              <w:jc w:val="center"/>
              <w:rPr>
                <w:rFonts w:asciiTheme="minorHAnsi" w:hAnsiTheme="minorHAnsi"/>
                <w:b/>
              </w:rPr>
            </w:pPr>
            <w:r w:rsidRPr="00021243">
              <w:rPr>
                <w:rFonts w:asciiTheme="minorHAnsi" w:hAnsiTheme="minorHAnsi"/>
                <w:b/>
              </w:rPr>
              <w:t xml:space="preserve">END OF </w:t>
            </w:r>
            <w:r w:rsidR="00F51134">
              <w:rPr>
                <w:rFonts w:asciiTheme="minorHAnsi" w:hAnsiTheme="minorHAnsi"/>
                <w:b/>
              </w:rPr>
              <w:t>PUBLIC CONSULTATION</w:t>
            </w:r>
            <w:r>
              <w:rPr>
                <w:rFonts w:asciiTheme="minorHAnsi" w:hAnsiTheme="minorHAnsi"/>
                <w:b/>
              </w:rPr>
              <w:t xml:space="preserve"> DOCUMENT</w:t>
            </w:r>
          </w:p>
          <w:p w14:paraId="16299FAF" w14:textId="13A0B542" w:rsidR="000E09C4" w:rsidRPr="00021243" w:rsidRDefault="006A2CA8" w:rsidP="00F51134">
            <w:pPr>
              <w:spacing w:before="120" w:after="120"/>
              <w:jc w:val="center"/>
              <w:rPr>
                <w:rFonts w:asciiTheme="minorHAnsi" w:hAnsiTheme="minorHAnsi"/>
                <w:b/>
              </w:rPr>
            </w:pPr>
            <w:r>
              <w:rPr>
                <w:rFonts w:asciiTheme="minorHAnsi" w:hAnsiTheme="minorHAnsi"/>
                <w:b/>
              </w:rPr>
              <w:t>Next review</w:t>
            </w:r>
            <w:r w:rsidR="00F5513B">
              <w:rPr>
                <w:rFonts w:asciiTheme="minorHAnsi" w:hAnsiTheme="minorHAnsi"/>
                <w:b/>
              </w:rPr>
              <w:t>:</w:t>
            </w:r>
            <w:r>
              <w:rPr>
                <w:rFonts w:asciiTheme="minorHAnsi" w:hAnsiTheme="minorHAnsi"/>
                <w:b/>
              </w:rPr>
              <w:t xml:space="preserve"> </w:t>
            </w:r>
            <w:r w:rsidR="00F5513B" w:rsidRPr="00F5513B">
              <w:rPr>
                <w:rFonts w:asciiTheme="minorHAnsi" w:hAnsiTheme="minorHAnsi"/>
                <w:b/>
              </w:rPr>
              <w:t xml:space="preserve">Twelve to eighteen months from </w:t>
            </w:r>
            <w:proofErr w:type="spellStart"/>
            <w:r w:rsidR="00F5513B" w:rsidRPr="00F5513B">
              <w:rPr>
                <w:rFonts w:asciiTheme="minorHAnsi" w:hAnsiTheme="minorHAnsi"/>
                <w:b/>
              </w:rPr>
              <w:t>BloodSTAR</w:t>
            </w:r>
            <w:proofErr w:type="spellEnd"/>
            <w:r w:rsidR="00F5513B" w:rsidRPr="00F5513B">
              <w:rPr>
                <w:rFonts w:asciiTheme="minorHAnsi" w:hAnsiTheme="minorHAnsi"/>
                <w:b/>
              </w:rPr>
              <w:t xml:space="preserve"> </w:t>
            </w:r>
            <w:r w:rsidR="00A209FE">
              <w:rPr>
                <w:rFonts w:asciiTheme="minorHAnsi" w:hAnsiTheme="minorHAnsi"/>
                <w:b/>
              </w:rPr>
              <w:t>v</w:t>
            </w:r>
            <w:r w:rsidR="00F5513B" w:rsidRPr="00F5513B">
              <w:rPr>
                <w:rFonts w:asciiTheme="minorHAnsi" w:hAnsiTheme="minorHAnsi"/>
                <w:b/>
              </w:rPr>
              <w:t>3</w:t>
            </w:r>
            <w:r w:rsidR="008E31FD">
              <w:rPr>
                <w:rFonts w:asciiTheme="minorHAnsi" w:hAnsiTheme="minorHAnsi"/>
                <w:b/>
              </w:rPr>
              <w:t>.0</w:t>
            </w:r>
            <w:r w:rsidR="00F5513B" w:rsidRPr="00F5513B">
              <w:rPr>
                <w:rFonts w:asciiTheme="minorHAnsi" w:hAnsiTheme="minorHAnsi"/>
                <w:b/>
              </w:rPr>
              <w:t xml:space="preserve"> implementation</w:t>
            </w:r>
          </w:p>
        </w:tc>
      </w:tr>
    </w:tbl>
    <w:p w14:paraId="13F83C6E" w14:textId="1F184D39" w:rsidR="006627B5" w:rsidRPr="00FD2CCD" w:rsidRDefault="006627B5">
      <w:pPr>
        <w:spacing w:line="276" w:lineRule="auto"/>
      </w:pPr>
    </w:p>
    <w:sectPr w:rsidR="006627B5" w:rsidRPr="00FD2CCD" w:rsidSect="000E09C4">
      <w:headerReference w:type="first" r:id="rId19"/>
      <w:pgSz w:w="16839" w:h="11907" w:orient="landscape" w:code="9"/>
      <w:pgMar w:top="1440" w:right="1440" w:bottom="1133" w:left="1440" w:header="708" w:footer="708"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FEAE6A" w15:done="0"/>
  <w15:commentEx w15:paraId="6B0E32F3" w15:done="0"/>
  <w15:commentEx w15:paraId="04D92E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53249" w14:textId="77777777" w:rsidR="00F07D83" w:rsidRDefault="00F07D83" w:rsidP="00856708">
      <w:pPr>
        <w:spacing w:after="0"/>
      </w:pPr>
      <w:r>
        <w:separator/>
      </w:r>
    </w:p>
  </w:endnote>
  <w:endnote w:type="continuationSeparator" w:id="0">
    <w:p w14:paraId="1D7C7429" w14:textId="77777777" w:rsidR="00F07D83" w:rsidRDefault="00F07D83"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DIN-Medium">
    <w:altName w:val="Cambria"/>
    <w:panose1 w:val="00000000000000000000"/>
    <w:charset w:val="4D"/>
    <w:family w:val="swiss"/>
    <w:notTrueType/>
    <w:pitch w:val="default"/>
    <w:sig w:usb0="00000003" w:usb1="00000000" w:usb2="00000000" w:usb3="00000000" w:csb0="00000001" w:csb1="00000000"/>
  </w:font>
  <w:font w:name="DIN-Light">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037487"/>
      <w:docPartObj>
        <w:docPartGallery w:val="Page Numbers (Bottom of Page)"/>
        <w:docPartUnique/>
      </w:docPartObj>
    </w:sdtPr>
    <w:sdtEndPr>
      <w:rPr>
        <w:noProof/>
      </w:rPr>
    </w:sdtEndPr>
    <w:sdtContent>
      <w:p w14:paraId="2EBD05BB" w14:textId="00017E1A" w:rsidR="0019180D" w:rsidRDefault="0019180D">
        <w:pPr>
          <w:pStyle w:val="Footer"/>
          <w:jc w:val="right"/>
        </w:pPr>
        <w:r>
          <w:fldChar w:fldCharType="begin"/>
        </w:r>
        <w:r>
          <w:instrText xml:space="preserve"> PAGE   \* MERGEFORMAT </w:instrText>
        </w:r>
        <w:r>
          <w:fldChar w:fldCharType="separate"/>
        </w:r>
        <w:r w:rsidR="00D9394B">
          <w:rPr>
            <w:noProof/>
          </w:rPr>
          <w:t>9</w:t>
        </w:r>
        <w:r>
          <w:rPr>
            <w:noProof/>
          </w:rPr>
          <w:fldChar w:fldCharType="end"/>
        </w:r>
      </w:p>
    </w:sdtContent>
  </w:sdt>
  <w:p w14:paraId="3540E6BF" w14:textId="77E63A09" w:rsidR="00853117" w:rsidRPr="00987C7B" w:rsidRDefault="00853117" w:rsidP="00987C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683046"/>
      <w:docPartObj>
        <w:docPartGallery w:val="Page Numbers (Bottom of Page)"/>
        <w:docPartUnique/>
      </w:docPartObj>
    </w:sdtPr>
    <w:sdtEndPr>
      <w:rPr>
        <w:noProof/>
      </w:rPr>
    </w:sdtEndPr>
    <w:sdtContent>
      <w:p w14:paraId="5C3013A6" w14:textId="1EAFF40A" w:rsidR="0019180D" w:rsidRDefault="0019180D">
        <w:pPr>
          <w:pStyle w:val="Footer"/>
          <w:jc w:val="right"/>
        </w:pPr>
        <w:r>
          <w:fldChar w:fldCharType="begin"/>
        </w:r>
        <w:r>
          <w:instrText xml:space="preserve"> PAGE   \* MERGEFORMAT </w:instrText>
        </w:r>
        <w:r>
          <w:fldChar w:fldCharType="separate"/>
        </w:r>
        <w:r w:rsidR="00D9394B">
          <w:rPr>
            <w:noProof/>
          </w:rPr>
          <w:t>8</w:t>
        </w:r>
        <w:r>
          <w:rPr>
            <w:noProof/>
          </w:rPr>
          <w:fldChar w:fldCharType="end"/>
        </w:r>
      </w:p>
    </w:sdtContent>
  </w:sdt>
  <w:p w14:paraId="1599AC19" w14:textId="12181B57" w:rsidR="00987C7B" w:rsidRPr="0019180D" w:rsidRDefault="00987C7B" w:rsidP="00191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37A85" w14:textId="77777777" w:rsidR="00F07D83" w:rsidRDefault="00F07D83" w:rsidP="00856708">
      <w:pPr>
        <w:spacing w:after="0"/>
      </w:pPr>
      <w:r>
        <w:separator/>
      </w:r>
    </w:p>
  </w:footnote>
  <w:footnote w:type="continuationSeparator" w:id="0">
    <w:p w14:paraId="3B382119" w14:textId="77777777" w:rsidR="00F07D83" w:rsidRDefault="00F07D83"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C625B" w14:textId="0EC60FB6" w:rsidR="0019180D" w:rsidRPr="00987C7B" w:rsidRDefault="00D63F4D" w:rsidP="0019180D">
    <w:pPr>
      <w:pStyle w:val="Footer"/>
      <w:rPr>
        <w:sz w:val="20"/>
        <w:szCs w:val="20"/>
      </w:rPr>
    </w:pPr>
    <w:r>
      <w:rPr>
        <w:sz w:val="20"/>
        <w:szCs w:val="20"/>
      </w:rPr>
      <w:t>PUBLIC CONSULTATION 2017</w:t>
    </w:r>
    <w:r w:rsidR="0019180D" w:rsidRPr="00987C7B">
      <w:rPr>
        <w:sz w:val="20"/>
        <w:szCs w:val="20"/>
      </w:rPr>
      <w:t xml:space="preserve"> - Autoimmune neutropenia</w:t>
    </w:r>
  </w:p>
  <w:p w14:paraId="659B7B79" w14:textId="77777777" w:rsidR="0019180D" w:rsidRDefault="001918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D95E6" w14:textId="5060AA7C" w:rsidR="0019180D" w:rsidRPr="00987C7B" w:rsidRDefault="00D63F4D" w:rsidP="0019180D">
    <w:pPr>
      <w:pStyle w:val="Footer"/>
      <w:rPr>
        <w:sz w:val="20"/>
        <w:szCs w:val="20"/>
      </w:rPr>
    </w:pPr>
    <w:r>
      <w:rPr>
        <w:sz w:val="20"/>
        <w:szCs w:val="20"/>
      </w:rPr>
      <w:t>PUBLIC CONSULTATION 2017</w:t>
    </w:r>
    <w:r w:rsidR="0019180D" w:rsidRPr="00987C7B">
      <w:rPr>
        <w:sz w:val="20"/>
        <w:szCs w:val="20"/>
      </w:rPr>
      <w:t xml:space="preserve"> - Autoimmune neutropenia</w:t>
    </w:r>
  </w:p>
  <w:p w14:paraId="1B8AF8FB" w14:textId="77777777" w:rsidR="0019180D" w:rsidRDefault="001918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D6A92" w14:textId="7046A3A5" w:rsidR="0019180D" w:rsidRPr="00987C7B" w:rsidRDefault="00227191" w:rsidP="0019180D">
    <w:pPr>
      <w:pStyle w:val="Footer"/>
      <w:rPr>
        <w:sz w:val="20"/>
        <w:szCs w:val="20"/>
      </w:rPr>
    </w:pPr>
    <w:r>
      <w:rPr>
        <w:sz w:val="20"/>
        <w:szCs w:val="20"/>
      </w:rPr>
      <w:t>PUBLIC CONSULTATION 2017</w:t>
    </w:r>
    <w:r w:rsidR="0019180D" w:rsidRPr="00987C7B">
      <w:rPr>
        <w:sz w:val="20"/>
        <w:szCs w:val="20"/>
      </w:rPr>
      <w:t xml:space="preserve"> - Autoimmune neutropenia</w:t>
    </w:r>
  </w:p>
  <w:p w14:paraId="713D9CE4" w14:textId="77777777" w:rsidR="000E09C4" w:rsidRDefault="000E09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7593"/>
    <w:multiLevelType w:val="hybridMultilevel"/>
    <w:tmpl w:val="E1320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5130CD3"/>
    <w:multiLevelType w:val="hybridMultilevel"/>
    <w:tmpl w:val="4CE2E030"/>
    <w:lvl w:ilvl="0" w:tplc="7A544680">
      <w:numFmt w:val="bullet"/>
      <w:lvlText w:val="-"/>
      <w:lvlJc w:val="left"/>
      <w:pPr>
        <w:ind w:left="360" w:hanging="360"/>
      </w:pPr>
      <w:rPr>
        <w:rFonts w:ascii="Calibri" w:eastAsiaTheme="minorHAnsi" w:hAnsi="Calibri" w:cstheme="minorBidi"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5925236A"/>
    <w:multiLevelType w:val="hybridMultilevel"/>
    <w:tmpl w:val="766A2B10"/>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7270F"/>
    <w:rsid w:val="00004662"/>
    <w:rsid w:val="00013C2F"/>
    <w:rsid w:val="00021243"/>
    <w:rsid w:val="00022A4A"/>
    <w:rsid w:val="00036EDC"/>
    <w:rsid w:val="0007639A"/>
    <w:rsid w:val="000A3A69"/>
    <w:rsid w:val="000A5458"/>
    <w:rsid w:val="000A554D"/>
    <w:rsid w:val="000A65C9"/>
    <w:rsid w:val="000B27A7"/>
    <w:rsid w:val="000E09C4"/>
    <w:rsid w:val="000E26C4"/>
    <w:rsid w:val="000E4D1E"/>
    <w:rsid w:val="0011695D"/>
    <w:rsid w:val="00143AF9"/>
    <w:rsid w:val="00153753"/>
    <w:rsid w:val="00165F48"/>
    <w:rsid w:val="0017270F"/>
    <w:rsid w:val="001800BE"/>
    <w:rsid w:val="001849B2"/>
    <w:rsid w:val="00184E12"/>
    <w:rsid w:val="00186CF7"/>
    <w:rsid w:val="0019180D"/>
    <w:rsid w:val="0019679F"/>
    <w:rsid w:val="001A0A2B"/>
    <w:rsid w:val="001A2460"/>
    <w:rsid w:val="001C45B4"/>
    <w:rsid w:val="001C4B13"/>
    <w:rsid w:val="001E102B"/>
    <w:rsid w:val="0021213D"/>
    <w:rsid w:val="00216823"/>
    <w:rsid w:val="00227191"/>
    <w:rsid w:val="002306B2"/>
    <w:rsid w:val="00236B19"/>
    <w:rsid w:val="00240825"/>
    <w:rsid w:val="002506FF"/>
    <w:rsid w:val="002537F2"/>
    <w:rsid w:val="00255740"/>
    <w:rsid w:val="00275679"/>
    <w:rsid w:val="00282F66"/>
    <w:rsid w:val="002936DD"/>
    <w:rsid w:val="00295CD3"/>
    <w:rsid w:val="002D2007"/>
    <w:rsid w:val="002F3325"/>
    <w:rsid w:val="002F662E"/>
    <w:rsid w:val="002F6A83"/>
    <w:rsid w:val="00320BEB"/>
    <w:rsid w:val="00327526"/>
    <w:rsid w:val="0033060E"/>
    <w:rsid w:val="003448E5"/>
    <w:rsid w:val="00395032"/>
    <w:rsid w:val="003A1F9D"/>
    <w:rsid w:val="003B2515"/>
    <w:rsid w:val="003D1795"/>
    <w:rsid w:val="003D27F1"/>
    <w:rsid w:val="003E3235"/>
    <w:rsid w:val="003F11F8"/>
    <w:rsid w:val="00403201"/>
    <w:rsid w:val="00433C78"/>
    <w:rsid w:val="00445EDE"/>
    <w:rsid w:val="00447869"/>
    <w:rsid w:val="00454FA8"/>
    <w:rsid w:val="004556B4"/>
    <w:rsid w:val="00460325"/>
    <w:rsid w:val="00463B0C"/>
    <w:rsid w:val="0047615E"/>
    <w:rsid w:val="004856E4"/>
    <w:rsid w:val="004A10A2"/>
    <w:rsid w:val="004B14F4"/>
    <w:rsid w:val="004B3893"/>
    <w:rsid w:val="004C1804"/>
    <w:rsid w:val="004D4636"/>
    <w:rsid w:val="004E4A52"/>
    <w:rsid w:val="005023CE"/>
    <w:rsid w:val="005067A7"/>
    <w:rsid w:val="00515635"/>
    <w:rsid w:val="00525C51"/>
    <w:rsid w:val="00526380"/>
    <w:rsid w:val="00531E6D"/>
    <w:rsid w:val="00540020"/>
    <w:rsid w:val="00542758"/>
    <w:rsid w:val="00543C69"/>
    <w:rsid w:val="00551DC8"/>
    <w:rsid w:val="005546AE"/>
    <w:rsid w:val="005629EE"/>
    <w:rsid w:val="00584BEC"/>
    <w:rsid w:val="005851ED"/>
    <w:rsid w:val="005960E7"/>
    <w:rsid w:val="005B0700"/>
    <w:rsid w:val="005D2C3D"/>
    <w:rsid w:val="005E04F6"/>
    <w:rsid w:val="00602D7D"/>
    <w:rsid w:val="006201B1"/>
    <w:rsid w:val="00631EAB"/>
    <w:rsid w:val="006320BB"/>
    <w:rsid w:val="00640511"/>
    <w:rsid w:val="006427C2"/>
    <w:rsid w:val="00642A5C"/>
    <w:rsid w:val="00644285"/>
    <w:rsid w:val="00657F36"/>
    <w:rsid w:val="006627B5"/>
    <w:rsid w:val="006631E9"/>
    <w:rsid w:val="00666AA5"/>
    <w:rsid w:val="00670D34"/>
    <w:rsid w:val="006855AF"/>
    <w:rsid w:val="00695219"/>
    <w:rsid w:val="006A2CA8"/>
    <w:rsid w:val="006B0323"/>
    <w:rsid w:val="006B2EDD"/>
    <w:rsid w:val="006B4C33"/>
    <w:rsid w:val="006D2521"/>
    <w:rsid w:val="006D2FA8"/>
    <w:rsid w:val="006D36A9"/>
    <w:rsid w:val="006F1FA7"/>
    <w:rsid w:val="006F485E"/>
    <w:rsid w:val="00702EB0"/>
    <w:rsid w:val="0071537E"/>
    <w:rsid w:val="0075469F"/>
    <w:rsid w:val="00787242"/>
    <w:rsid w:val="007B0C7B"/>
    <w:rsid w:val="007B2100"/>
    <w:rsid w:val="007C3B01"/>
    <w:rsid w:val="007C638C"/>
    <w:rsid w:val="007C7B0F"/>
    <w:rsid w:val="007F3022"/>
    <w:rsid w:val="008041F6"/>
    <w:rsid w:val="00831038"/>
    <w:rsid w:val="00832D0D"/>
    <w:rsid w:val="00847EC8"/>
    <w:rsid w:val="008515FF"/>
    <w:rsid w:val="00853117"/>
    <w:rsid w:val="00856708"/>
    <w:rsid w:val="008612AB"/>
    <w:rsid w:val="008625E0"/>
    <w:rsid w:val="008667A6"/>
    <w:rsid w:val="00880ECB"/>
    <w:rsid w:val="00893E0A"/>
    <w:rsid w:val="00896241"/>
    <w:rsid w:val="008A2E57"/>
    <w:rsid w:val="008B1889"/>
    <w:rsid w:val="008C1497"/>
    <w:rsid w:val="008D3E83"/>
    <w:rsid w:val="008D530C"/>
    <w:rsid w:val="008E31FD"/>
    <w:rsid w:val="00901446"/>
    <w:rsid w:val="00901F76"/>
    <w:rsid w:val="009025B7"/>
    <w:rsid w:val="0090340B"/>
    <w:rsid w:val="00910E6B"/>
    <w:rsid w:val="009208EC"/>
    <w:rsid w:val="00925FB1"/>
    <w:rsid w:val="00933536"/>
    <w:rsid w:val="009347BC"/>
    <w:rsid w:val="0093594E"/>
    <w:rsid w:val="00951B85"/>
    <w:rsid w:val="00982D63"/>
    <w:rsid w:val="00987C7B"/>
    <w:rsid w:val="009B04BD"/>
    <w:rsid w:val="009B4C83"/>
    <w:rsid w:val="009C1E09"/>
    <w:rsid w:val="009E38CC"/>
    <w:rsid w:val="009F4509"/>
    <w:rsid w:val="009F4F64"/>
    <w:rsid w:val="00A016D6"/>
    <w:rsid w:val="00A0276B"/>
    <w:rsid w:val="00A0352E"/>
    <w:rsid w:val="00A05745"/>
    <w:rsid w:val="00A209FE"/>
    <w:rsid w:val="00A23D1D"/>
    <w:rsid w:val="00A31C82"/>
    <w:rsid w:val="00A357C4"/>
    <w:rsid w:val="00A57D60"/>
    <w:rsid w:val="00A717E1"/>
    <w:rsid w:val="00A7510F"/>
    <w:rsid w:val="00A80A19"/>
    <w:rsid w:val="00A81C38"/>
    <w:rsid w:val="00A96DC8"/>
    <w:rsid w:val="00AA19C1"/>
    <w:rsid w:val="00AA2A5F"/>
    <w:rsid w:val="00AA48C6"/>
    <w:rsid w:val="00AB120F"/>
    <w:rsid w:val="00AC7743"/>
    <w:rsid w:val="00AD086B"/>
    <w:rsid w:val="00AD4362"/>
    <w:rsid w:val="00AE5015"/>
    <w:rsid w:val="00AE63FA"/>
    <w:rsid w:val="00B27930"/>
    <w:rsid w:val="00B35BD7"/>
    <w:rsid w:val="00B3726E"/>
    <w:rsid w:val="00B83780"/>
    <w:rsid w:val="00B91F67"/>
    <w:rsid w:val="00BA76E3"/>
    <w:rsid w:val="00BD6C2D"/>
    <w:rsid w:val="00BD7111"/>
    <w:rsid w:val="00BD735D"/>
    <w:rsid w:val="00BF6CF2"/>
    <w:rsid w:val="00C012B0"/>
    <w:rsid w:val="00C040F3"/>
    <w:rsid w:val="00C21002"/>
    <w:rsid w:val="00C24E0B"/>
    <w:rsid w:val="00C30FD5"/>
    <w:rsid w:val="00C34D27"/>
    <w:rsid w:val="00C364CA"/>
    <w:rsid w:val="00C51E04"/>
    <w:rsid w:val="00C91C6E"/>
    <w:rsid w:val="00C92149"/>
    <w:rsid w:val="00CA4321"/>
    <w:rsid w:val="00CB47C1"/>
    <w:rsid w:val="00CB50C5"/>
    <w:rsid w:val="00CC12B9"/>
    <w:rsid w:val="00CD5856"/>
    <w:rsid w:val="00CD7B8A"/>
    <w:rsid w:val="00D11061"/>
    <w:rsid w:val="00D16B82"/>
    <w:rsid w:val="00D17E7A"/>
    <w:rsid w:val="00D17FEC"/>
    <w:rsid w:val="00D24193"/>
    <w:rsid w:val="00D32E23"/>
    <w:rsid w:val="00D63F4D"/>
    <w:rsid w:val="00D6407F"/>
    <w:rsid w:val="00D67CFD"/>
    <w:rsid w:val="00D874FD"/>
    <w:rsid w:val="00D9394B"/>
    <w:rsid w:val="00D96987"/>
    <w:rsid w:val="00DA1553"/>
    <w:rsid w:val="00DA43EC"/>
    <w:rsid w:val="00DB17C2"/>
    <w:rsid w:val="00DB1925"/>
    <w:rsid w:val="00DC4C7B"/>
    <w:rsid w:val="00DD166F"/>
    <w:rsid w:val="00DD6215"/>
    <w:rsid w:val="00DE4C13"/>
    <w:rsid w:val="00DE5223"/>
    <w:rsid w:val="00E0285F"/>
    <w:rsid w:val="00E11660"/>
    <w:rsid w:val="00E337E6"/>
    <w:rsid w:val="00E42CAD"/>
    <w:rsid w:val="00E62E16"/>
    <w:rsid w:val="00E672AA"/>
    <w:rsid w:val="00E712B5"/>
    <w:rsid w:val="00E97FFA"/>
    <w:rsid w:val="00EA2E82"/>
    <w:rsid w:val="00EB6C11"/>
    <w:rsid w:val="00EB78FB"/>
    <w:rsid w:val="00EC0889"/>
    <w:rsid w:val="00F0750D"/>
    <w:rsid w:val="00F07D83"/>
    <w:rsid w:val="00F41A7F"/>
    <w:rsid w:val="00F42816"/>
    <w:rsid w:val="00F51134"/>
    <w:rsid w:val="00F5513B"/>
    <w:rsid w:val="00F66136"/>
    <w:rsid w:val="00F70578"/>
    <w:rsid w:val="00FA2672"/>
    <w:rsid w:val="00FB1618"/>
    <w:rsid w:val="00FC0E9B"/>
    <w:rsid w:val="00FC105A"/>
    <w:rsid w:val="00FC5CB0"/>
    <w:rsid w:val="00FD2CCD"/>
    <w:rsid w:val="00FD764D"/>
    <w:rsid w:val="00FE1B13"/>
    <w:rsid w:val="00FE1EE0"/>
    <w:rsid w:val="00FE5B66"/>
    <w:rsid w:val="00FF394A"/>
    <w:rsid w:val="00FF4718"/>
    <w:rsid w:val="00FF552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1091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uiPriority w:val="99"/>
    <w:unhideWhenUsed/>
    <w:rsid w:val="008625E0"/>
    <w:rPr>
      <w:strike w:val="0"/>
      <w:dstrike w:val="0"/>
      <w:color w:val="004276"/>
      <w:u w:val="none"/>
      <w:effect w:val="none"/>
    </w:rPr>
  </w:style>
  <w:style w:type="paragraph" w:customStyle="1" w:styleId="EndNoteBibliography">
    <w:name w:val="EndNote Bibliography"/>
    <w:basedOn w:val="Normal"/>
    <w:link w:val="EndNoteBibliographyChar"/>
    <w:rsid w:val="008625E0"/>
    <w:pPr>
      <w:spacing w:after="240"/>
      <w:ind w:left="720"/>
    </w:pPr>
    <w:rPr>
      <w:rFonts w:eastAsia="Times New Roman" w:cs="Tahoma"/>
      <w:noProof/>
      <w:color w:val="000000"/>
      <w:lang w:eastAsia="en-AU"/>
    </w:rPr>
  </w:style>
  <w:style w:type="character" w:customStyle="1" w:styleId="EndNoteBibliographyChar">
    <w:name w:val="EndNote Bibliography Char"/>
    <w:basedOn w:val="DefaultParagraphFont"/>
    <w:link w:val="EndNoteBibliography"/>
    <w:rsid w:val="008625E0"/>
    <w:rPr>
      <w:rFonts w:ascii="Calibri" w:eastAsia="Times New Roman" w:hAnsi="Calibri" w:cs="Tahoma"/>
      <w:noProof/>
      <w:color w:val="00000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uiPriority w:val="99"/>
    <w:unhideWhenUsed/>
    <w:rsid w:val="008625E0"/>
    <w:rPr>
      <w:strike w:val="0"/>
      <w:dstrike w:val="0"/>
      <w:color w:val="004276"/>
      <w:u w:val="none"/>
      <w:effect w:val="none"/>
    </w:rPr>
  </w:style>
  <w:style w:type="paragraph" w:customStyle="1" w:styleId="EndNoteBibliography">
    <w:name w:val="EndNote Bibliography"/>
    <w:basedOn w:val="Normal"/>
    <w:link w:val="EndNoteBibliographyChar"/>
    <w:rsid w:val="008625E0"/>
    <w:pPr>
      <w:spacing w:after="240"/>
      <w:ind w:left="720"/>
    </w:pPr>
    <w:rPr>
      <w:rFonts w:eastAsia="Times New Roman" w:cs="Tahoma"/>
      <w:noProof/>
      <w:color w:val="000000"/>
      <w:lang w:eastAsia="en-AU"/>
    </w:rPr>
  </w:style>
  <w:style w:type="character" w:customStyle="1" w:styleId="EndNoteBibliographyChar">
    <w:name w:val="EndNote Bibliography Char"/>
    <w:basedOn w:val="DefaultParagraphFont"/>
    <w:link w:val="EndNoteBibliography"/>
    <w:rsid w:val="008625E0"/>
    <w:rPr>
      <w:rFonts w:ascii="Calibri" w:eastAsia="Times New Roman" w:hAnsi="Calibri" w:cs="Tahoma"/>
      <w:noProof/>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9579">
      <w:bodyDiv w:val="1"/>
      <w:marLeft w:val="0"/>
      <w:marRight w:val="0"/>
      <w:marTop w:val="0"/>
      <w:marBottom w:val="0"/>
      <w:divBdr>
        <w:top w:val="none" w:sz="0" w:space="0" w:color="auto"/>
        <w:left w:val="none" w:sz="0" w:space="0" w:color="auto"/>
        <w:bottom w:val="none" w:sz="0" w:space="0" w:color="auto"/>
        <w:right w:val="none" w:sz="0" w:space="0" w:color="auto"/>
      </w:divBdr>
      <w:divsChild>
        <w:div w:id="230696636">
          <w:marLeft w:val="0"/>
          <w:marRight w:val="0"/>
          <w:marTop w:val="0"/>
          <w:marBottom w:val="0"/>
          <w:divBdr>
            <w:top w:val="none" w:sz="0" w:space="0" w:color="auto"/>
            <w:left w:val="none" w:sz="0" w:space="0" w:color="auto"/>
            <w:bottom w:val="none" w:sz="0" w:space="0" w:color="auto"/>
            <w:right w:val="none" w:sz="0" w:space="0" w:color="auto"/>
          </w:divBdr>
          <w:divsChild>
            <w:div w:id="511334366">
              <w:marLeft w:val="0"/>
              <w:marRight w:val="0"/>
              <w:marTop w:val="0"/>
              <w:marBottom w:val="0"/>
              <w:divBdr>
                <w:top w:val="none" w:sz="0" w:space="0" w:color="auto"/>
                <w:left w:val="none" w:sz="0" w:space="0" w:color="auto"/>
                <w:bottom w:val="none" w:sz="0" w:space="0" w:color="auto"/>
                <w:right w:val="none" w:sz="0" w:space="0" w:color="auto"/>
              </w:divBdr>
              <w:divsChild>
                <w:div w:id="207886579">
                  <w:marLeft w:val="0"/>
                  <w:marRight w:val="0"/>
                  <w:marTop w:val="0"/>
                  <w:marBottom w:val="0"/>
                  <w:divBdr>
                    <w:top w:val="none" w:sz="0" w:space="0" w:color="auto"/>
                    <w:left w:val="none" w:sz="0" w:space="0" w:color="auto"/>
                    <w:bottom w:val="none" w:sz="0" w:space="0" w:color="auto"/>
                    <w:right w:val="none" w:sz="0" w:space="0" w:color="auto"/>
                  </w:divBdr>
                  <w:divsChild>
                    <w:div w:id="1827361281">
                      <w:marLeft w:val="0"/>
                      <w:marRight w:val="0"/>
                      <w:marTop w:val="0"/>
                      <w:marBottom w:val="300"/>
                      <w:divBdr>
                        <w:top w:val="none" w:sz="0" w:space="0" w:color="auto"/>
                        <w:left w:val="none" w:sz="0" w:space="0" w:color="auto"/>
                        <w:bottom w:val="none" w:sz="0" w:space="0" w:color="auto"/>
                        <w:right w:val="none" w:sz="0" w:space="0" w:color="auto"/>
                      </w:divBdr>
                      <w:divsChild>
                        <w:div w:id="27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00644">
      <w:bodyDiv w:val="1"/>
      <w:marLeft w:val="0"/>
      <w:marRight w:val="0"/>
      <w:marTop w:val="0"/>
      <w:marBottom w:val="0"/>
      <w:divBdr>
        <w:top w:val="none" w:sz="0" w:space="0" w:color="auto"/>
        <w:left w:val="none" w:sz="0" w:space="0" w:color="auto"/>
        <w:bottom w:val="none" w:sz="0" w:space="0" w:color="auto"/>
        <w:right w:val="none" w:sz="0" w:space="0" w:color="auto"/>
      </w:divBdr>
    </w:div>
    <w:div w:id="1212036368">
      <w:bodyDiv w:val="1"/>
      <w:marLeft w:val="0"/>
      <w:marRight w:val="0"/>
      <w:marTop w:val="0"/>
      <w:marBottom w:val="0"/>
      <w:divBdr>
        <w:top w:val="none" w:sz="0" w:space="0" w:color="auto"/>
        <w:left w:val="none" w:sz="0" w:space="0" w:color="auto"/>
        <w:bottom w:val="none" w:sz="0" w:space="0" w:color="auto"/>
        <w:right w:val="none" w:sz="0" w:space="0" w:color="auto"/>
      </w:divBdr>
    </w:div>
    <w:div w:id="1274554201">
      <w:bodyDiv w:val="1"/>
      <w:marLeft w:val="0"/>
      <w:marRight w:val="0"/>
      <w:marTop w:val="0"/>
      <w:marBottom w:val="0"/>
      <w:divBdr>
        <w:top w:val="none" w:sz="0" w:space="0" w:color="auto"/>
        <w:left w:val="none" w:sz="0" w:space="0" w:color="auto"/>
        <w:bottom w:val="none" w:sz="0" w:space="0" w:color="auto"/>
        <w:right w:val="none" w:sz="0" w:space="0" w:color="auto"/>
      </w:divBdr>
    </w:div>
    <w:div w:id="16470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ubmed/17397769" TargetMode="External"/><Relationship Id="rId18" Type="http://schemas.openxmlformats.org/officeDocument/2006/relationships/hyperlink" Target="https://www.ncbi.nlm.nih.gov/pubmed/847176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ncbi.nlm.nih.gov/pubmed/26192766" TargetMode="External"/><Relationship Id="rId2" Type="http://schemas.openxmlformats.org/officeDocument/2006/relationships/numbering" Target="numbering.xml"/><Relationship Id="rId16" Type="http://schemas.openxmlformats.org/officeDocument/2006/relationships/hyperlink" Target="https://arthritis-research.biomedcentral.com/articles/10.1186/ar180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www.ncbi.nlm.nih.gov/pubmed/1958748" TargetMode="Externa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ncbi.nlm.nih.gov/pubmed/173977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64D28-C5BE-4AB1-9966-A236B647B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Wicks</cp:lastModifiedBy>
  <cp:revision>15</cp:revision>
  <cp:lastPrinted>2017-04-10T23:47:00Z</cp:lastPrinted>
  <dcterms:created xsi:type="dcterms:W3CDTF">2017-03-15T22:49:00Z</dcterms:created>
  <dcterms:modified xsi:type="dcterms:W3CDTF">2017-04-10T23:48:00Z</dcterms:modified>
</cp:coreProperties>
</file>