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63419" w14:textId="126F1CBD" w:rsidR="00447869" w:rsidRPr="00E75EF4" w:rsidRDefault="00A75B91" w:rsidP="009D1C04">
      <w:pPr>
        <w:ind w:left="-284"/>
        <w:rPr>
          <w:rFonts w:ascii="Arial" w:hAnsi="Arial" w:cs="Arial"/>
          <w:sz w:val="28"/>
          <w:szCs w:val="28"/>
        </w:rPr>
      </w:pPr>
      <w:r w:rsidRPr="00E75EF4">
        <w:rPr>
          <w:rStyle w:val="Heading3Char"/>
          <w:color w:val="auto"/>
        </w:rPr>
        <w:t xml:space="preserve">2017 (v3.0) Proposed changes to </w:t>
      </w:r>
      <w:r w:rsidR="00ED61AD" w:rsidRPr="00E75EF4">
        <w:rPr>
          <w:rStyle w:val="Heading3Char"/>
          <w:color w:val="auto"/>
        </w:rPr>
        <w:t xml:space="preserve">v2.1 of </w:t>
      </w:r>
      <w:r w:rsidRPr="00E75EF4">
        <w:rPr>
          <w:rStyle w:val="Heading3Char"/>
          <w:color w:val="auto"/>
        </w:rPr>
        <w:t>the Criteria for the clinical use of intravenous immunoglobulin in Australia</w:t>
      </w:r>
      <w:r w:rsidR="00ED61AD" w:rsidRPr="00E75EF4">
        <w:rPr>
          <w:rFonts w:ascii="Arial" w:hAnsi="Arial" w:cs="Arial"/>
          <w:sz w:val="28"/>
          <w:szCs w:val="28"/>
        </w:rPr>
        <w:t>.</w:t>
      </w:r>
    </w:p>
    <w:tbl>
      <w:tblPr>
        <w:tblStyle w:val="TableGrid"/>
        <w:tblW w:w="14601" w:type="dxa"/>
        <w:tblInd w:w="-318" w:type="dxa"/>
        <w:tblLook w:val="0680" w:firstRow="0" w:lastRow="0" w:firstColumn="1" w:lastColumn="0" w:noHBand="1" w:noVBand="1"/>
      </w:tblPr>
      <w:tblGrid>
        <w:gridCol w:w="5845"/>
        <w:gridCol w:w="8756"/>
      </w:tblGrid>
      <w:tr w:rsidR="008612AB" w:rsidRPr="00447869" w14:paraId="486BEAC8" w14:textId="77777777" w:rsidTr="00832D0D">
        <w:trPr>
          <w:tblHeader/>
        </w:trPr>
        <w:tc>
          <w:tcPr>
            <w:tcW w:w="14601" w:type="dxa"/>
            <w:gridSpan w:val="2"/>
            <w:shd w:val="clear" w:color="auto" w:fill="DBE5F1" w:themeFill="accent1" w:themeFillTint="33"/>
          </w:tcPr>
          <w:p w14:paraId="3DE9ABAD" w14:textId="28CA0C0C" w:rsidR="008612AB" w:rsidRPr="00447869" w:rsidRDefault="00A75B91" w:rsidP="00631E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 xml:space="preserve">2.1 </w:t>
            </w:r>
            <w:r w:rsidR="008612AB">
              <w:rPr>
                <w:rFonts w:asciiTheme="minorHAnsi" w:eastAsia="Times New Roman" w:hAnsiTheme="minorHAnsi" w:cs="Times New Roman"/>
                <w:b/>
                <w:bCs/>
                <w:lang w:eastAsia="en-AU"/>
              </w:rPr>
              <w:t>CONDITION NAME</w:t>
            </w:r>
            <w:r w:rsidR="00D32E23">
              <w:t xml:space="preserve"> :</w:t>
            </w:r>
            <w:r w:rsidR="00ED61AD">
              <w:t xml:space="preserve"> </w:t>
            </w:r>
            <w:r w:rsidR="00D32E23" w:rsidRPr="00D32E23">
              <w:rPr>
                <w:rFonts w:asciiTheme="minorHAnsi" w:eastAsia="Times New Roman" w:hAnsiTheme="minorHAnsi" w:cs="Times New Roman"/>
                <w:b/>
                <w:bCs/>
                <w:lang w:eastAsia="en-AU"/>
              </w:rPr>
              <w:t>Haemolytic disease of the newborn (HDN)</w:t>
            </w:r>
          </w:p>
        </w:tc>
      </w:tr>
      <w:tr w:rsidR="00526380" w:rsidRPr="00447869" w14:paraId="7422F4A0" w14:textId="77777777" w:rsidTr="00832D0D">
        <w:trPr>
          <w:tblHeader/>
        </w:trPr>
        <w:tc>
          <w:tcPr>
            <w:tcW w:w="14601" w:type="dxa"/>
            <w:gridSpan w:val="2"/>
            <w:shd w:val="clear" w:color="auto" w:fill="DBE5F1" w:themeFill="accent1" w:themeFillTint="33"/>
          </w:tcPr>
          <w:p w14:paraId="6F1AD9D0" w14:textId="5B68C884" w:rsidR="00526380" w:rsidRDefault="00A75B91" w:rsidP="00631E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526380">
              <w:rPr>
                <w:rFonts w:asciiTheme="minorHAnsi" w:eastAsia="Times New Roman" w:hAnsiTheme="minorHAnsi" w:cs="Times New Roman"/>
                <w:b/>
                <w:bCs/>
                <w:lang w:eastAsia="en-AU"/>
              </w:rPr>
              <w:t>3</w:t>
            </w:r>
            <w:r w:rsidR="003C7BE2">
              <w:rPr>
                <w:rFonts w:asciiTheme="minorHAnsi" w:eastAsia="Times New Roman" w:hAnsiTheme="minorHAnsi" w:cs="Times New Roman"/>
                <w:b/>
                <w:bCs/>
                <w:lang w:eastAsia="en-AU"/>
              </w:rPr>
              <w:t>.0</w:t>
            </w:r>
            <w:r w:rsidR="00526380">
              <w:rPr>
                <w:rFonts w:asciiTheme="minorHAnsi" w:eastAsia="Times New Roman" w:hAnsiTheme="minorHAnsi" w:cs="Times New Roman"/>
                <w:b/>
                <w:bCs/>
                <w:lang w:eastAsia="en-AU"/>
              </w:rPr>
              <w:t xml:space="preserve"> CONDITION NAME: </w:t>
            </w:r>
            <w:r w:rsidR="00526380" w:rsidRPr="00D32E23">
              <w:rPr>
                <w:rFonts w:asciiTheme="minorHAnsi" w:eastAsia="Times New Roman" w:hAnsiTheme="minorHAnsi" w:cs="Times New Roman"/>
                <w:b/>
                <w:bCs/>
                <w:lang w:eastAsia="en-AU"/>
              </w:rPr>
              <w:t>Haemolytic disease of the</w:t>
            </w:r>
            <w:r w:rsidR="00526380">
              <w:rPr>
                <w:rFonts w:asciiTheme="minorHAnsi" w:eastAsia="Times New Roman" w:hAnsiTheme="minorHAnsi" w:cs="Times New Roman"/>
                <w:b/>
                <w:bCs/>
                <w:lang w:eastAsia="en-AU"/>
              </w:rPr>
              <w:t xml:space="preserve"> fetus (HDF)</w:t>
            </w:r>
          </w:p>
        </w:tc>
      </w:tr>
      <w:tr w:rsidR="00642A5C" w:rsidRPr="00447869" w14:paraId="381F41FF" w14:textId="77777777" w:rsidTr="00FB6B5D">
        <w:trPr>
          <w:tblHeader/>
        </w:trPr>
        <w:tc>
          <w:tcPr>
            <w:tcW w:w="5845" w:type="dxa"/>
            <w:shd w:val="clear" w:color="auto" w:fill="auto"/>
          </w:tcPr>
          <w:p w14:paraId="7C0F85E6" w14:textId="42D18AD3" w:rsidR="00526380" w:rsidRDefault="00526380" w:rsidP="00526380">
            <w:pPr>
              <w:spacing w:before="120" w:after="120"/>
              <w:rPr>
                <w:rFonts w:asciiTheme="minorHAnsi" w:eastAsia="Times New Roman" w:hAnsiTheme="minorHAnsi" w:cs="Times New Roman"/>
                <w:b/>
                <w:bCs/>
                <w:lang w:eastAsia="en-AU"/>
              </w:rPr>
            </w:pPr>
            <w:r w:rsidRPr="00D11061">
              <w:rPr>
                <w:rFonts w:asciiTheme="minorHAnsi" w:eastAsia="Times New Roman" w:hAnsiTheme="minorHAnsi" w:cs="Times New Roman"/>
                <w:bCs/>
                <w:lang w:eastAsia="en-AU"/>
              </w:rPr>
              <w:t>HDF</w:t>
            </w:r>
            <w:r>
              <w:rPr>
                <w:rFonts w:asciiTheme="minorHAnsi" w:eastAsia="Times New Roman" w:hAnsiTheme="minorHAnsi" w:cs="Times New Roman"/>
                <w:b/>
                <w:bCs/>
                <w:lang w:eastAsia="en-AU"/>
              </w:rPr>
              <w:t xml:space="preserve"> </w:t>
            </w:r>
            <w:r w:rsidR="002D34A0">
              <w:rPr>
                <w:rFonts w:asciiTheme="minorHAnsi" w:eastAsia="Times New Roman" w:hAnsiTheme="minorHAnsi" w:cs="Times New Roman"/>
                <w:bCs/>
                <w:lang w:eastAsia="en-AU"/>
              </w:rPr>
              <w:t xml:space="preserve">was </w:t>
            </w:r>
            <w:r w:rsidR="00AA0C33">
              <w:rPr>
                <w:rFonts w:asciiTheme="minorHAnsi" w:eastAsia="Times New Roman" w:hAnsiTheme="minorHAnsi" w:cs="Times New Roman"/>
                <w:bCs/>
                <w:lang w:eastAsia="en-AU"/>
              </w:rPr>
              <w:t>endorsed by</w:t>
            </w:r>
            <w:r>
              <w:rPr>
                <w:rFonts w:asciiTheme="minorHAnsi" w:eastAsia="Times New Roman" w:hAnsiTheme="minorHAnsi" w:cs="Times New Roman"/>
                <w:bCs/>
                <w:lang w:eastAsia="en-AU"/>
              </w:rPr>
              <w:t xml:space="preserve"> NIGAC and JBC </w:t>
            </w:r>
            <w:r w:rsidR="002D34A0">
              <w:rPr>
                <w:rFonts w:asciiTheme="minorHAnsi" w:eastAsia="Times New Roman" w:hAnsiTheme="minorHAnsi" w:cs="Times New Roman"/>
                <w:bCs/>
                <w:lang w:eastAsia="en-AU"/>
              </w:rPr>
              <w:t xml:space="preserve">in 2015 </w:t>
            </w:r>
            <w:r>
              <w:rPr>
                <w:rFonts w:asciiTheme="minorHAnsi" w:eastAsia="Times New Roman" w:hAnsiTheme="minorHAnsi" w:cs="Times New Roman"/>
                <w:bCs/>
                <w:lang w:eastAsia="en-AU"/>
              </w:rPr>
              <w:t xml:space="preserve">to retain </w:t>
            </w:r>
            <w:r w:rsidR="009B4C83">
              <w:rPr>
                <w:rFonts w:asciiTheme="minorHAnsi" w:eastAsia="Times New Roman" w:hAnsiTheme="minorHAnsi" w:cs="Times New Roman"/>
                <w:bCs/>
                <w:lang w:eastAsia="en-AU"/>
              </w:rPr>
              <w:t>in line with the recommendations of the Patient Blood Management guidelines</w:t>
            </w:r>
            <w:r w:rsidR="008D3E83">
              <w:rPr>
                <w:rFonts w:asciiTheme="minorHAnsi" w:eastAsia="Times New Roman" w:hAnsiTheme="minorHAnsi" w:cs="Times New Roman"/>
                <w:bCs/>
                <w:lang w:eastAsia="en-AU"/>
              </w:rPr>
              <w:t xml:space="preserve"> (PBM) Module 6</w:t>
            </w:r>
            <w:r w:rsidR="009B4C83">
              <w:rPr>
                <w:rFonts w:asciiTheme="minorHAnsi" w:eastAsia="Times New Roman" w:hAnsiTheme="minorHAnsi" w:cs="Times New Roman"/>
                <w:bCs/>
                <w:lang w:eastAsia="en-AU"/>
              </w:rPr>
              <w:t xml:space="preserve"> published in 2015,</w:t>
            </w:r>
            <w:r>
              <w:rPr>
                <w:rFonts w:asciiTheme="minorHAnsi" w:eastAsia="Times New Roman" w:hAnsiTheme="minorHAnsi" w:cs="Times New Roman"/>
                <w:bCs/>
                <w:lang w:eastAsia="en-AU"/>
              </w:rPr>
              <w:t xml:space="preserve"> as a condition for which Ig has a therapeutic role in exceptional circumstances only.  At the time, the need for further review was acknowledged by the SWG and </w:t>
            </w:r>
            <w:r w:rsidR="009B4C83">
              <w:rPr>
                <w:rFonts w:asciiTheme="minorHAnsi" w:eastAsia="Times New Roman" w:hAnsiTheme="minorHAnsi" w:cs="Times New Roman"/>
                <w:bCs/>
                <w:lang w:eastAsia="en-AU"/>
              </w:rPr>
              <w:t>t</w:t>
            </w:r>
            <w:r>
              <w:rPr>
                <w:rFonts w:asciiTheme="minorHAnsi" w:eastAsia="Times New Roman" w:hAnsiTheme="minorHAnsi" w:cs="Times New Roman"/>
                <w:bCs/>
                <w:lang w:eastAsia="en-AU"/>
              </w:rPr>
              <w:t xml:space="preserve">his review has now been completed as part of the current SWG work program. </w:t>
            </w:r>
          </w:p>
          <w:p w14:paraId="1CFFE86B" w14:textId="77777777" w:rsidR="00526380" w:rsidRDefault="00526380" w:rsidP="008612AB">
            <w:pPr>
              <w:spacing w:before="120" w:after="120"/>
              <w:rPr>
                <w:rFonts w:asciiTheme="minorHAnsi" w:eastAsia="Times New Roman" w:hAnsiTheme="minorHAnsi" w:cs="Times New Roman"/>
                <w:b/>
                <w:bCs/>
                <w:lang w:eastAsia="en-AU"/>
              </w:rPr>
            </w:pPr>
          </w:p>
          <w:p w14:paraId="20841AFA" w14:textId="1F61A115" w:rsidR="00526380" w:rsidRDefault="00EA4F36" w:rsidP="00526380">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PROPOSED APPROACH</w:t>
            </w:r>
            <w:r w:rsidR="00642A5C">
              <w:rPr>
                <w:rFonts w:asciiTheme="minorHAnsi" w:eastAsia="Times New Roman" w:hAnsiTheme="minorHAnsi" w:cs="Times New Roman"/>
                <w:b/>
                <w:bCs/>
                <w:lang w:eastAsia="en-AU"/>
              </w:rPr>
              <w:t>:</w:t>
            </w:r>
            <w:r w:rsidR="00526380">
              <w:rPr>
                <w:rFonts w:asciiTheme="minorHAnsi" w:eastAsia="Times New Roman" w:hAnsiTheme="minorHAnsi" w:cs="Times New Roman"/>
                <w:b/>
                <w:bCs/>
                <w:lang w:eastAsia="en-AU"/>
              </w:rPr>
              <w:t xml:space="preserve"> </w:t>
            </w:r>
          </w:p>
          <w:p w14:paraId="070BB4F4" w14:textId="68E76B9D" w:rsidR="00526380" w:rsidRDefault="00EA4F36" w:rsidP="00526380">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To retain</w:t>
            </w:r>
            <w:r w:rsidRPr="002902B6">
              <w:rPr>
                <w:rFonts w:asciiTheme="minorHAnsi" w:eastAsia="Times New Roman" w:hAnsiTheme="minorHAnsi" w:cs="Times New Roman"/>
                <w:b/>
                <w:bCs/>
                <w:lang w:eastAsia="en-AU"/>
              </w:rPr>
              <w:t xml:space="preserve"> </w:t>
            </w:r>
            <w:r>
              <w:rPr>
                <w:rFonts w:asciiTheme="minorHAnsi" w:eastAsia="Times New Roman" w:hAnsiTheme="minorHAnsi" w:cs="Times New Roman"/>
                <w:b/>
                <w:bCs/>
                <w:lang w:eastAsia="en-AU"/>
              </w:rPr>
              <w:t>H</w:t>
            </w:r>
            <w:r w:rsidR="00526380">
              <w:rPr>
                <w:rFonts w:asciiTheme="minorHAnsi" w:eastAsia="Times New Roman" w:hAnsiTheme="minorHAnsi" w:cs="Times New Roman"/>
                <w:b/>
                <w:bCs/>
                <w:lang w:eastAsia="en-AU"/>
              </w:rPr>
              <w:t xml:space="preserve">aemolytic disease of the fetus </w:t>
            </w:r>
            <w:r w:rsidR="00526380" w:rsidRPr="002902B6">
              <w:rPr>
                <w:rFonts w:asciiTheme="minorHAnsi" w:eastAsia="Times New Roman" w:hAnsiTheme="minorHAnsi" w:cs="Times New Roman"/>
                <w:b/>
                <w:bCs/>
                <w:lang w:eastAsia="en-AU"/>
              </w:rPr>
              <w:t xml:space="preserve">as a condition for which Ig has a role in </w:t>
            </w:r>
            <w:r w:rsidR="00942711" w:rsidRPr="00942711">
              <w:rPr>
                <w:rFonts w:asciiTheme="minorHAnsi" w:eastAsia="Times New Roman" w:hAnsiTheme="minorHAnsi" w:cs="Times New Roman"/>
                <w:b/>
                <w:bCs/>
                <w:i/>
                <w:lang w:eastAsia="en-AU"/>
              </w:rPr>
              <w:t>E</w:t>
            </w:r>
            <w:r w:rsidR="00526380" w:rsidRPr="00942711">
              <w:rPr>
                <w:rFonts w:asciiTheme="minorHAnsi" w:eastAsia="Times New Roman" w:hAnsiTheme="minorHAnsi" w:cs="Times New Roman"/>
                <w:b/>
                <w:bCs/>
                <w:i/>
                <w:lang w:eastAsia="en-AU"/>
              </w:rPr>
              <w:t>xceptional circumstances only</w:t>
            </w:r>
            <w:r>
              <w:rPr>
                <w:rFonts w:asciiTheme="minorHAnsi" w:eastAsia="Times New Roman" w:hAnsiTheme="minorHAnsi" w:cs="Times New Roman"/>
                <w:b/>
                <w:bCs/>
                <w:lang w:eastAsia="en-AU"/>
              </w:rPr>
              <w:t xml:space="preserve"> with the changes </w:t>
            </w:r>
            <w:r w:rsidR="00942711">
              <w:rPr>
                <w:rFonts w:asciiTheme="minorHAnsi" w:eastAsia="Times New Roman" w:hAnsiTheme="minorHAnsi" w:cs="Times New Roman"/>
                <w:b/>
                <w:bCs/>
                <w:lang w:eastAsia="en-AU"/>
              </w:rPr>
              <w:t xml:space="preserve">as </w:t>
            </w:r>
            <w:r>
              <w:rPr>
                <w:rFonts w:asciiTheme="minorHAnsi" w:eastAsia="Times New Roman" w:hAnsiTheme="minorHAnsi" w:cs="Times New Roman"/>
                <w:b/>
                <w:bCs/>
                <w:lang w:eastAsia="en-AU"/>
              </w:rPr>
              <w:t>outlined</w:t>
            </w:r>
            <w:r w:rsidR="00526380" w:rsidRPr="002902B6">
              <w:rPr>
                <w:rFonts w:asciiTheme="minorHAnsi" w:eastAsia="Times New Roman" w:hAnsiTheme="minorHAnsi" w:cs="Times New Roman"/>
                <w:b/>
                <w:bCs/>
                <w:lang w:eastAsia="en-AU"/>
              </w:rPr>
              <w:t>.</w:t>
            </w:r>
            <w:r w:rsidR="00526380">
              <w:rPr>
                <w:rFonts w:asciiTheme="minorHAnsi" w:eastAsia="Times New Roman" w:hAnsiTheme="minorHAnsi" w:cs="Times New Roman"/>
                <w:bCs/>
                <w:lang w:eastAsia="en-AU"/>
              </w:rPr>
              <w:t xml:space="preserve"> </w:t>
            </w:r>
            <w:r w:rsidR="00526380" w:rsidRPr="002902B6">
              <w:rPr>
                <w:rFonts w:asciiTheme="minorHAnsi" w:eastAsia="Times New Roman" w:hAnsiTheme="minorHAnsi" w:cs="Times New Roman"/>
                <w:b/>
                <w:bCs/>
                <w:lang w:eastAsia="en-AU"/>
              </w:rPr>
              <w:t xml:space="preserve"> </w:t>
            </w:r>
          </w:p>
          <w:p w14:paraId="60E64525" w14:textId="48EF406F" w:rsidR="003E3235" w:rsidRPr="00C92149" w:rsidRDefault="003E3235"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 </w:t>
            </w:r>
          </w:p>
        </w:tc>
        <w:tc>
          <w:tcPr>
            <w:tcW w:w="8756" w:type="dxa"/>
            <w:shd w:val="clear" w:color="auto" w:fill="auto"/>
          </w:tcPr>
          <w:p w14:paraId="7CF77394" w14:textId="77777777"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14:paraId="3C19FE7C" w14:textId="77777777" w:rsidR="00526380" w:rsidRPr="004813E2" w:rsidRDefault="00526380" w:rsidP="00526380">
            <w:pPr>
              <w:spacing w:before="120" w:after="120"/>
              <w:rPr>
                <w:rFonts w:asciiTheme="minorHAnsi" w:eastAsia="Times New Roman" w:hAnsiTheme="minorHAnsi" w:cs="Times New Roman"/>
                <w:bCs/>
                <w:lang w:eastAsia="en-AU"/>
              </w:rPr>
            </w:pPr>
            <w:r w:rsidRPr="004813E2">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 xml:space="preserve">recommended changes are supported by factors including that: </w:t>
            </w:r>
          </w:p>
          <w:p w14:paraId="615306FF" w14:textId="77777777" w:rsidR="00AC7743" w:rsidRDefault="00B91F67" w:rsidP="00526380">
            <w:pPr>
              <w:pStyle w:val="ListParagraph"/>
              <w:numPr>
                <w:ilvl w:val="0"/>
                <w:numId w:val="44"/>
              </w:num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Intensive phototherapy is now regarded as the most effective therapy to reduce the need for exchange transfusion in neonates. </w:t>
            </w:r>
          </w:p>
          <w:p w14:paraId="4C44AF7E" w14:textId="58D854C3" w:rsidR="00526380" w:rsidRPr="008D530C" w:rsidRDefault="00AC7743">
            <w:pPr>
              <w:pStyle w:val="ListParagraph"/>
              <w:numPr>
                <w:ilvl w:val="0"/>
                <w:numId w:val="44"/>
              </w:numPr>
              <w:spacing w:before="120" w:after="120"/>
              <w:rPr>
                <w:rFonts w:asciiTheme="minorHAnsi" w:eastAsia="Times New Roman" w:hAnsiTheme="minorHAnsi" w:cs="Times New Roman"/>
                <w:bCs/>
                <w:lang w:eastAsia="en-AU"/>
              </w:rPr>
            </w:pPr>
            <w:r w:rsidRPr="008D530C">
              <w:rPr>
                <w:rFonts w:asciiTheme="minorHAnsi" w:eastAsia="Times New Roman" w:hAnsiTheme="minorHAnsi" w:cs="Times New Roman"/>
                <w:bCs/>
                <w:lang w:eastAsia="en-AU"/>
              </w:rPr>
              <w:t xml:space="preserve">The level of evidence for this condition has been downgraded from 4a to 2c. </w:t>
            </w:r>
            <w:r w:rsidR="00526380" w:rsidRPr="008D530C">
              <w:rPr>
                <w:rFonts w:asciiTheme="minorHAnsi" w:eastAsia="Times New Roman" w:hAnsiTheme="minorHAnsi" w:cs="Times New Roman"/>
                <w:bCs/>
                <w:lang w:eastAsia="en-AU"/>
              </w:rPr>
              <w:t xml:space="preserve">A </w:t>
            </w:r>
            <w:r w:rsidR="004C1804" w:rsidRPr="008D530C">
              <w:rPr>
                <w:rFonts w:asciiTheme="minorHAnsi" w:eastAsia="Times New Roman" w:hAnsiTheme="minorHAnsi" w:cs="Times New Roman"/>
                <w:bCs/>
                <w:lang w:eastAsia="en-AU"/>
              </w:rPr>
              <w:t xml:space="preserve">systematic </w:t>
            </w:r>
            <w:r w:rsidR="00526380" w:rsidRPr="008D530C">
              <w:rPr>
                <w:rFonts w:asciiTheme="minorHAnsi" w:eastAsia="Times New Roman" w:hAnsiTheme="minorHAnsi" w:cs="Times New Roman"/>
                <w:bCs/>
                <w:lang w:eastAsia="en-AU"/>
              </w:rPr>
              <w:t>review</w:t>
            </w:r>
            <w:r w:rsidR="002A1261">
              <w:rPr>
                <w:rFonts w:asciiTheme="minorHAnsi" w:eastAsia="Times New Roman" w:hAnsiTheme="minorHAnsi" w:cs="Times New Roman"/>
                <w:bCs/>
                <w:lang w:eastAsia="en-AU"/>
              </w:rPr>
              <w:t xml:space="preserve"> (Louis et al</w:t>
            </w:r>
            <w:r w:rsidR="00964D8E">
              <w:rPr>
                <w:rFonts w:asciiTheme="minorHAnsi" w:eastAsia="Times New Roman" w:hAnsiTheme="minorHAnsi" w:cs="Times New Roman"/>
                <w:bCs/>
                <w:lang w:eastAsia="en-AU"/>
              </w:rPr>
              <w:t>, 2014)</w:t>
            </w:r>
            <w:r w:rsidR="00526380" w:rsidRPr="008D530C">
              <w:rPr>
                <w:rFonts w:asciiTheme="minorHAnsi" w:eastAsia="Times New Roman" w:hAnsiTheme="minorHAnsi" w:cs="Times New Roman"/>
                <w:bCs/>
                <w:lang w:eastAsia="en-AU"/>
              </w:rPr>
              <w:t xml:space="preserve"> </w:t>
            </w:r>
            <w:r w:rsidR="004C1804" w:rsidRPr="008D530C">
              <w:rPr>
                <w:rFonts w:asciiTheme="minorHAnsi" w:eastAsia="Times New Roman" w:hAnsiTheme="minorHAnsi" w:cs="Times New Roman"/>
                <w:bCs/>
                <w:lang w:eastAsia="en-AU"/>
              </w:rPr>
              <w:t>of the literature found that Ig therapy did not reduce the incidence of exchange transfusion in preterm or term infants nor mortality</w:t>
            </w:r>
            <w:r w:rsidR="00526380" w:rsidRPr="008D530C">
              <w:rPr>
                <w:rFonts w:asciiTheme="minorHAnsi" w:eastAsia="Times New Roman" w:hAnsiTheme="minorHAnsi" w:cs="Times New Roman"/>
                <w:bCs/>
                <w:lang w:eastAsia="en-AU"/>
              </w:rPr>
              <w:t xml:space="preserve"> </w:t>
            </w:r>
            <w:r w:rsidR="004C1804" w:rsidRPr="008D530C">
              <w:rPr>
                <w:rFonts w:asciiTheme="minorHAnsi" w:eastAsia="Times New Roman" w:hAnsiTheme="minorHAnsi" w:cs="Times New Roman"/>
                <w:bCs/>
                <w:lang w:eastAsia="en-AU"/>
              </w:rPr>
              <w:t xml:space="preserve">in neonates </w:t>
            </w:r>
            <w:r w:rsidR="00526380" w:rsidRPr="008D530C">
              <w:rPr>
                <w:rFonts w:asciiTheme="minorHAnsi" w:eastAsia="Times New Roman" w:hAnsiTheme="minorHAnsi" w:cs="Times New Roman"/>
                <w:bCs/>
                <w:lang w:eastAsia="en-AU"/>
              </w:rPr>
              <w:t xml:space="preserve">and </w:t>
            </w:r>
            <w:r w:rsidR="004C1804" w:rsidRPr="008D530C">
              <w:rPr>
                <w:rFonts w:asciiTheme="minorHAnsi" w:eastAsia="Times New Roman" w:hAnsiTheme="minorHAnsi" w:cs="Times New Roman"/>
                <w:bCs/>
                <w:lang w:eastAsia="en-AU"/>
              </w:rPr>
              <w:t xml:space="preserve">therefore the </w:t>
            </w:r>
            <w:r w:rsidR="00526380" w:rsidRPr="008D530C">
              <w:rPr>
                <w:rFonts w:asciiTheme="minorHAnsi" w:eastAsia="Times New Roman" w:hAnsiTheme="minorHAnsi" w:cs="Times New Roman"/>
                <w:bCs/>
                <w:lang w:eastAsia="en-AU"/>
              </w:rPr>
              <w:t>routine use in infant</w:t>
            </w:r>
            <w:r w:rsidR="00BF6CF2" w:rsidRPr="008D530C">
              <w:rPr>
                <w:rFonts w:asciiTheme="minorHAnsi" w:eastAsia="Times New Roman" w:hAnsiTheme="minorHAnsi" w:cs="Times New Roman"/>
                <w:bCs/>
                <w:lang w:eastAsia="en-AU"/>
              </w:rPr>
              <w:t>s with haemolytic disease is no longer</w:t>
            </w:r>
            <w:r w:rsidR="00526380" w:rsidRPr="008D530C">
              <w:rPr>
                <w:rFonts w:asciiTheme="minorHAnsi" w:eastAsia="Times New Roman" w:hAnsiTheme="minorHAnsi" w:cs="Times New Roman"/>
                <w:bCs/>
                <w:lang w:eastAsia="en-AU"/>
              </w:rPr>
              <w:t xml:space="preserve"> </w:t>
            </w:r>
            <w:r w:rsidR="00BF6CF2" w:rsidRPr="008D530C">
              <w:rPr>
                <w:rFonts w:asciiTheme="minorHAnsi" w:eastAsia="Times New Roman" w:hAnsiTheme="minorHAnsi" w:cs="Times New Roman"/>
                <w:bCs/>
                <w:lang w:eastAsia="en-AU"/>
              </w:rPr>
              <w:t>supported</w:t>
            </w:r>
            <w:r w:rsidR="00526380" w:rsidRPr="008D530C">
              <w:rPr>
                <w:rFonts w:asciiTheme="minorHAnsi" w:eastAsia="Times New Roman" w:hAnsiTheme="minorHAnsi" w:cs="Times New Roman"/>
                <w:bCs/>
                <w:lang w:eastAsia="en-AU"/>
              </w:rPr>
              <w:t>. This is consistent with recommendations of the Patient Blood Management guidelines</w:t>
            </w:r>
            <w:r w:rsidR="008625E0" w:rsidRPr="008D530C">
              <w:rPr>
                <w:rFonts w:asciiTheme="minorHAnsi" w:eastAsia="Times New Roman" w:hAnsiTheme="minorHAnsi" w:cs="Times New Roman"/>
                <w:bCs/>
                <w:lang w:eastAsia="en-AU"/>
              </w:rPr>
              <w:t xml:space="preserve"> (PBM), Module 6</w:t>
            </w:r>
            <w:r w:rsidR="00964D8E">
              <w:rPr>
                <w:rFonts w:asciiTheme="minorHAnsi" w:eastAsia="Times New Roman" w:hAnsiTheme="minorHAnsi" w:cs="Times New Roman"/>
                <w:bCs/>
                <w:lang w:eastAsia="en-AU"/>
              </w:rPr>
              <w:t xml:space="preserve"> (2016)</w:t>
            </w:r>
            <w:r w:rsidR="00526380" w:rsidRPr="008D530C">
              <w:rPr>
                <w:rFonts w:asciiTheme="minorHAnsi" w:eastAsia="Times New Roman" w:hAnsiTheme="minorHAnsi" w:cs="Times New Roman"/>
                <w:bCs/>
                <w:lang w:eastAsia="en-AU"/>
              </w:rPr>
              <w:t xml:space="preserve">. </w:t>
            </w:r>
          </w:p>
          <w:p w14:paraId="020D4374" w14:textId="5C1341B8" w:rsidR="000A5458" w:rsidRPr="00D11061" w:rsidRDefault="000A5458" w:rsidP="00C92149">
            <w:pPr>
              <w:pStyle w:val="ListParagraph"/>
              <w:numPr>
                <w:ilvl w:val="0"/>
                <w:numId w:val="44"/>
              </w:num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In line with the literature, </w:t>
            </w:r>
            <w:r>
              <w:rPr>
                <w:rFonts w:asciiTheme="minorHAnsi" w:hAnsiTheme="minorHAnsi"/>
              </w:rPr>
              <w:t xml:space="preserve">a course of weekly </w:t>
            </w:r>
            <w:r w:rsidRPr="004D4B6E">
              <w:rPr>
                <w:rFonts w:asciiTheme="minorHAnsi" w:hAnsiTheme="minorHAnsi"/>
              </w:rPr>
              <w:t xml:space="preserve">Ig </w:t>
            </w:r>
            <w:r>
              <w:rPr>
                <w:rFonts w:asciiTheme="minorHAnsi" w:hAnsiTheme="minorHAnsi"/>
              </w:rPr>
              <w:t>therapy should be considered in</w:t>
            </w:r>
            <w:r w:rsidRPr="004D4B6E">
              <w:rPr>
                <w:rFonts w:asciiTheme="minorHAnsi" w:hAnsiTheme="minorHAnsi"/>
              </w:rPr>
              <w:t xml:space="preserve"> </w:t>
            </w:r>
            <w:r w:rsidRPr="00E945B9">
              <w:rPr>
                <w:rFonts w:asciiTheme="minorHAnsi" w:hAnsiTheme="minorHAnsi"/>
              </w:rPr>
              <w:t>maternity patien</w:t>
            </w:r>
            <w:r w:rsidR="00831038">
              <w:rPr>
                <w:rFonts w:asciiTheme="minorHAnsi" w:hAnsiTheme="minorHAnsi"/>
              </w:rPr>
              <w:t>ts with a fetus affected by HDF</w:t>
            </w:r>
            <w:r w:rsidRPr="00E945B9">
              <w:rPr>
                <w:rFonts w:asciiTheme="minorHAnsi" w:hAnsiTheme="minorHAnsi"/>
              </w:rPr>
              <w:t xml:space="preserve"> who is at high risk of early fetal hydrops or death</w:t>
            </w:r>
            <w:r w:rsidR="00964D8E">
              <w:rPr>
                <w:rFonts w:asciiTheme="minorHAnsi" w:hAnsiTheme="minorHAnsi"/>
              </w:rPr>
              <w:t xml:space="preserve"> </w:t>
            </w:r>
            <w:r w:rsidR="002A1261">
              <w:rPr>
                <w:rFonts w:asciiTheme="minorHAnsi" w:eastAsia="Times New Roman" w:hAnsiTheme="minorHAnsi" w:cs="Times New Roman"/>
                <w:bCs/>
                <w:lang w:eastAsia="en-AU"/>
              </w:rPr>
              <w:t>(Louis et al</w:t>
            </w:r>
            <w:r w:rsidR="00964D8E">
              <w:rPr>
                <w:rFonts w:asciiTheme="minorHAnsi" w:eastAsia="Times New Roman" w:hAnsiTheme="minorHAnsi" w:cs="Times New Roman"/>
                <w:bCs/>
                <w:lang w:eastAsia="en-AU"/>
              </w:rPr>
              <w:t>, 2014)</w:t>
            </w:r>
            <w:r w:rsidR="00BF6CF2">
              <w:rPr>
                <w:rFonts w:asciiTheme="minorHAnsi" w:hAnsiTheme="minorHAnsi"/>
              </w:rPr>
              <w:t xml:space="preserve">, as recommended in </w:t>
            </w:r>
            <w:r w:rsidR="00BF6CF2" w:rsidRPr="00E21178">
              <w:rPr>
                <w:rFonts w:asciiTheme="minorHAnsi" w:hAnsiTheme="minorHAnsi"/>
              </w:rPr>
              <w:t>PBM Module 6</w:t>
            </w:r>
            <w:r w:rsidR="00BF6CF2">
              <w:rPr>
                <w:rFonts w:asciiTheme="minorHAnsi" w:hAnsiTheme="minorHAnsi"/>
              </w:rPr>
              <w:t>, Expert opinion point 4</w:t>
            </w:r>
            <w:r w:rsidR="00964D8E">
              <w:rPr>
                <w:rFonts w:asciiTheme="minorHAnsi" w:hAnsiTheme="minorHAnsi"/>
              </w:rPr>
              <w:t xml:space="preserve"> (2016)</w:t>
            </w:r>
            <w:r w:rsidR="008625E0">
              <w:rPr>
                <w:rFonts w:asciiTheme="minorHAnsi" w:hAnsiTheme="minorHAnsi"/>
              </w:rPr>
              <w:t>.</w:t>
            </w:r>
          </w:p>
          <w:p w14:paraId="59FF2C78" w14:textId="4695D696" w:rsidR="00642A5C" w:rsidRPr="00D11061" w:rsidRDefault="000A5458" w:rsidP="00C92149">
            <w:pPr>
              <w:pStyle w:val="ListParagraph"/>
              <w:numPr>
                <w:ilvl w:val="0"/>
                <w:numId w:val="44"/>
              </w:numPr>
              <w:spacing w:before="120" w:after="120"/>
              <w:rPr>
                <w:rFonts w:asciiTheme="minorHAnsi" w:eastAsia="Times New Roman" w:hAnsiTheme="minorHAnsi" w:cs="Times New Roman"/>
                <w:b/>
                <w:bCs/>
                <w:lang w:eastAsia="en-AU"/>
              </w:rPr>
            </w:pPr>
            <w:r>
              <w:rPr>
                <w:rFonts w:asciiTheme="minorHAnsi" w:eastAsia="Times New Roman" w:hAnsiTheme="minorHAnsi" w:cs="Times New Roman"/>
                <w:bCs/>
                <w:lang w:eastAsia="en-AU"/>
              </w:rPr>
              <w:t>Given that t</w:t>
            </w:r>
            <w:r w:rsidR="00526380" w:rsidRPr="00D11061">
              <w:rPr>
                <w:rFonts w:asciiTheme="minorHAnsi" w:eastAsia="Times New Roman" w:hAnsiTheme="minorHAnsi" w:cs="Times New Roman"/>
                <w:bCs/>
                <w:lang w:eastAsia="en-AU"/>
              </w:rPr>
              <w:t xml:space="preserve">reatment for this condition is </w:t>
            </w:r>
            <w:r w:rsidR="00526380">
              <w:rPr>
                <w:rFonts w:asciiTheme="minorHAnsi" w:eastAsia="Times New Roman" w:hAnsiTheme="minorHAnsi" w:cs="Times New Roman"/>
                <w:bCs/>
                <w:lang w:eastAsia="en-AU"/>
              </w:rPr>
              <w:t xml:space="preserve">now recommended to be </w:t>
            </w:r>
            <w:r w:rsidR="00526380" w:rsidRPr="00D11061">
              <w:rPr>
                <w:rFonts w:asciiTheme="minorHAnsi" w:eastAsia="Times New Roman" w:hAnsiTheme="minorHAnsi" w:cs="Times New Roman"/>
                <w:bCs/>
                <w:lang w:eastAsia="en-AU"/>
              </w:rPr>
              <w:t>only for the fetus (</w:t>
            </w:r>
            <w:r w:rsidR="008625E0">
              <w:rPr>
                <w:rFonts w:asciiTheme="minorHAnsi" w:eastAsia="Times New Roman" w:hAnsiTheme="minorHAnsi" w:cs="Times New Roman"/>
                <w:bCs/>
                <w:lang w:eastAsia="en-AU"/>
              </w:rPr>
              <w:t xml:space="preserve">i.e. </w:t>
            </w:r>
            <w:r w:rsidR="00526380" w:rsidRPr="00D11061">
              <w:rPr>
                <w:rFonts w:asciiTheme="minorHAnsi" w:eastAsia="Times New Roman" w:hAnsiTheme="minorHAnsi" w:cs="Times New Roman"/>
                <w:bCs/>
                <w:lang w:eastAsia="en-AU"/>
              </w:rPr>
              <w:t>maternal treatment)</w:t>
            </w:r>
            <w:r w:rsidR="008625E0">
              <w:rPr>
                <w:rFonts w:asciiTheme="minorHAnsi" w:eastAsia="Times New Roman" w:hAnsiTheme="minorHAnsi" w:cs="Times New Roman"/>
                <w:bCs/>
                <w:lang w:eastAsia="en-AU"/>
              </w:rPr>
              <w:t>,</w:t>
            </w:r>
            <w:r w:rsidR="00526380" w:rsidRPr="00D11061">
              <w:rPr>
                <w:rFonts w:asciiTheme="minorHAnsi" w:eastAsia="Times New Roman" w:hAnsiTheme="minorHAnsi" w:cs="Times New Roman"/>
                <w:bCs/>
                <w:lang w:eastAsia="en-AU"/>
              </w:rPr>
              <w:t xml:space="preserve"> the </w:t>
            </w:r>
            <w:r w:rsidR="008625E0">
              <w:rPr>
                <w:rFonts w:asciiTheme="minorHAnsi" w:eastAsia="Times New Roman" w:hAnsiTheme="minorHAnsi" w:cs="Times New Roman"/>
                <w:bCs/>
                <w:lang w:eastAsia="en-AU"/>
              </w:rPr>
              <w:t xml:space="preserve">condition </w:t>
            </w:r>
            <w:r w:rsidR="00526380" w:rsidRPr="00D11061">
              <w:rPr>
                <w:rFonts w:asciiTheme="minorHAnsi" w:eastAsia="Times New Roman" w:hAnsiTheme="minorHAnsi" w:cs="Times New Roman"/>
                <w:bCs/>
                <w:lang w:eastAsia="en-AU"/>
              </w:rPr>
              <w:t xml:space="preserve">name </w:t>
            </w:r>
            <w:r w:rsidR="00704B85">
              <w:rPr>
                <w:rFonts w:asciiTheme="minorHAnsi" w:eastAsia="Times New Roman" w:hAnsiTheme="minorHAnsi" w:cs="Times New Roman"/>
                <w:bCs/>
                <w:lang w:eastAsia="en-AU"/>
              </w:rPr>
              <w:t>has</w:t>
            </w:r>
            <w:r w:rsidR="00704B85" w:rsidRPr="00D11061">
              <w:rPr>
                <w:rFonts w:asciiTheme="minorHAnsi" w:eastAsia="Times New Roman" w:hAnsiTheme="minorHAnsi" w:cs="Times New Roman"/>
                <w:bCs/>
                <w:lang w:eastAsia="en-AU"/>
              </w:rPr>
              <w:t xml:space="preserve"> </w:t>
            </w:r>
            <w:r w:rsidR="00526380" w:rsidRPr="00D11061">
              <w:rPr>
                <w:rFonts w:asciiTheme="minorHAnsi" w:eastAsia="Times New Roman" w:hAnsiTheme="minorHAnsi" w:cs="Times New Roman"/>
                <w:bCs/>
                <w:lang w:eastAsia="en-AU"/>
              </w:rPr>
              <w:t>be</w:t>
            </w:r>
            <w:r w:rsidR="00704B85">
              <w:rPr>
                <w:rFonts w:asciiTheme="minorHAnsi" w:eastAsia="Times New Roman" w:hAnsiTheme="minorHAnsi" w:cs="Times New Roman"/>
                <w:bCs/>
                <w:lang w:eastAsia="en-AU"/>
              </w:rPr>
              <w:t>en</w:t>
            </w:r>
            <w:r w:rsidR="00526380" w:rsidRPr="00D11061">
              <w:rPr>
                <w:rFonts w:asciiTheme="minorHAnsi" w:eastAsia="Times New Roman" w:hAnsiTheme="minorHAnsi" w:cs="Times New Roman"/>
                <w:bCs/>
                <w:lang w:eastAsia="en-AU"/>
              </w:rPr>
              <w:t xml:space="preserve"> revised. </w:t>
            </w:r>
          </w:p>
          <w:p w14:paraId="2D1A40FD" w14:textId="77777777" w:rsidR="00FF4718" w:rsidRPr="00FB6B5D" w:rsidRDefault="008D530C" w:rsidP="00D11061">
            <w:pPr>
              <w:pStyle w:val="ListParagraph"/>
              <w:numPr>
                <w:ilvl w:val="0"/>
                <w:numId w:val="44"/>
              </w:numPr>
              <w:spacing w:before="120" w:after="120"/>
              <w:rPr>
                <w:rFonts w:asciiTheme="minorHAnsi" w:eastAsia="Times New Roman" w:hAnsiTheme="minorHAnsi" w:cs="Times New Roman"/>
                <w:b/>
                <w:bCs/>
                <w:lang w:eastAsia="en-AU"/>
              </w:rPr>
            </w:pPr>
            <w:r>
              <w:rPr>
                <w:rFonts w:asciiTheme="minorHAnsi" w:eastAsia="Times New Roman" w:hAnsiTheme="minorHAnsi" w:cs="Times New Roman"/>
                <w:bCs/>
                <w:lang w:eastAsia="en-AU"/>
              </w:rPr>
              <w:t xml:space="preserve">Ig use </w:t>
            </w:r>
            <w:r w:rsidR="009B4C83">
              <w:rPr>
                <w:rFonts w:asciiTheme="minorHAnsi" w:eastAsia="Times New Roman" w:hAnsiTheme="minorHAnsi" w:cs="Times New Roman"/>
                <w:bCs/>
                <w:lang w:eastAsia="en-AU"/>
              </w:rPr>
              <w:t xml:space="preserve">has been reducing since 2014-15 in line with publication of the PBM guidelines and this trend is expected to continue with the recommended changes to the criteria. </w:t>
            </w:r>
          </w:p>
          <w:p w14:paraId="589A7249" w14:textId="203D2BE6" w:rsidR="00A7538A" w:rsidRPr="00C92149" w:rsidRDefault="00FF5D7F" w:rsidP="00FF5D7F">
            <w:pPr>
              <w:pStyle w:val="ListParagraph"/>
              <w:numPr>
                <w:ilvl w:val="0"/>
                <w:numId w:val="44"/>
              </w:numPr>
              <w:spacing w:before="120" w:after="120"/>
              <w:rPr>
                <w:rFonts w:asciiTheme="minorHAnsi" w:eastAsia="Times New Roman" w:hAnsiTheme="minorHAnsi" w:cs="Times New Roman"/>
                <w:b/>
                <w:bCs/>
                <w:lang w:eastAsia="en-AU"/>
              </w:rPr>
            </w:pPr>
            <w:r w:rsidRPr="00FF5D7F">
              <w:rPr>
                <w:rFonts w:asciiTheme="minorHAnsi" w:eastAsia="Times New Roman" w:hAnsiTheme="minorHAnsi" w:cs="Times New Roman"/>
                <w:bCs/>
                <w:lang w:eastAsia="en-AU"/>
              </w:rPr>
              <w:t xml:space="preserve">This condition is listed as a ‘red’ condition (high priority in times of shortage, not requiring approval by the local trust) in the UK NHS immunoglobulin Guidelines  (UK Department of Health, 2011), and is also listed in the national Canadian </w:t>
            </w:r>
            <w:r w:rsidR="008F0897">
              <w:rPr>
                <w:rFonts w:asciiTheme="minorHAnsi" w:eastAsia="Times New Roman" w:hAnsiTheme="minorHAnsi" w:cs="Times New Roman"/>
                <w:bCs/>
                <w:lang w:eastAsia="en-AU"/>
              </w:rPr>
              <w:t>IVIg</w:t>
            </w:r>
            <w:r w:rsidRPr="00FF5D7F">
              <w:rPr>
                <w:rFonts w:asciiTheme="minorHAnsi" w:eastAsia="Times New Roman" w:hAnsiTheme="minorHAnsi" w:cs="Times New Roman"/>
                <w:bCs/>
                <w:lang w:eastAsia="en-AU"/>
              </w:rPr>
              <w:t xml:space="preserve"> Utilisation Management Guidelines (Ontario Regional Blood Coordinating Network, 2016) as recommended for funded use.  </w:t>
            </w:r>
          </w:p>
        </w:tc>
      </w:tr>
      <w:tr w:rsidR="00631EAB" w:rsidRPr="00447869" w14:paraId="32AFDD36" w14:textId="77777777" w:rsidTr="008612AB">
        <w:trPr>
          <w:tblHeader/>
        </w:trPr>
        <w:tc>
          <w:tcPr>
            <w:tcW w:w="14601" w:type="dxa"/>
            <w:gridSpan w:val="2"/>
            <w:shd w:val="clear" w:color="auto" w:fill="auto"/>
          </w:tcPr>
          <w:p w14:paraId="50E1CF0C" w14:textId="65271E2D" w:rsidR="00631EAB" w:rsidRDefault="00EA4F36"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lastRenderedPageBreak/>
              <w:t>v</w:t>
            </w:r>
            <w:r w:rsidR="00631EAB">
              <w:rPr>
                <w:rFonts w:asciiTheme="minorHAnsi" w:eastAsia="Times New Roman" w:hAnsiTheme="minorHAnsi" w:cs="Times New Roman"/>
                <w:b/>
                <w:bCs/>
                <w:lang w:eastAsia="en-AU"/>
              </w:rPr>
              <w:t>2.1 CONDITION CATE</w:t>
            </w:r>
            <w:r w:rsidR="00526380">
              <w:rPr>
                <w:rFonts w:asciiTheme="minorHAnsi" w:eastAsia="Times New Roman" w:hAnsiTheme="minorHAnsi" w:cs="Times New Roman"/>
                <w:b/>
                <w:bCs/>
                <w:lang w:eastAsia="en-AU"/>
              </w:rPr>
              <w:t>G</w:t>
            </w:r>
            <w:r w:rsidR="00631EAB">
              <w:rPr>
                <w:rFonts w:asciiTheme="minorHAnsi" w:eastAsia="Times New Roman" w:hAnsiTheme="minorHAnsi" w:cs="Times New Roman"/>
                <w:b/>
                <w:bCs/>
                <w:lang w:eastAsia="en-AU"/>
              </w:rPr>
              <w:t xml:space="preserve">ORY: </w:t>
            </w:r>
            <w:r w:rsidR="00147574" w:rsidRPr="009D1C04">
              <w:rPr>
                <w:rFonts w:asciiTheme="minorHAnsi" w:eastAsia="Times New Roman" w:hAnsiTheme="minorHAnsi" w:cs="Times New Roman"/>
                <w:bCs/>
                <w:lang w:eastAsia="en-AU"/>
              </w:rPr>
              <w:t>Conditions for which Ig is used in</w:t>
            </w:r>
            <w:r w:rsidR="00147574">
              <w:rPr>
                <w:rFonts w:asciiTheme="minorHAnsi" w:eastAsia="Times New Roman" w:hAnsiTheme="minorHAnsi" w:cs="Times New Roman"/>
                <w:b/>
                <w:bCs/>
                <w:lang w:eastAsia="en-AU"/>
              </w:rPr>
              <w:t xml:space="preserve"> </w:t>
            </w:r>
            <w:r w:rsidR="00B3192E" w:rsidRPr="00147574">
              <w:t>E</w:t>
            </w:r>
            <w:r w:rsidR="002D34A0" w:rsidRPr="00147574">
              <w:t>xceptional circumstances only</w:t>
            </w:r>
            <w:r w:rsidR="002D34A0" w:rsidRPr="00147574">
              <w:rPr>
                <w:rFonts w:asciiTheme="minorHAnsi" w:eastAsia="Times New Roman" w:hAnsiTheme="minorHAnsi" w:cs="Times New Roman"/>
                <w:bCs/>
                <w:lang w:eastAsia="en-AU"/>
              </w:rPr>
              <w:t xml:space="preserve"> (Chapter 7)</w:t>
            </w:r>
          </w:p>
          <w:p w14:paraId="44FB21C2" w14:textId="28BD8F0C" w:rsidR="00EA4F36" w:rsidRPr="00EA4F36" w:rsidRDefault="00EA4F36"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 xml:space="preserve">v3.0 CONDITION CATEGORY: </w:t>
            </w:r>
            <w:r w:rsidR="00147574" w:rsidRPr="009D1C04">
              <w:rPr>
                <w:rFonts w:asciiTheme="minorHAnsi" w:eastAsia="Times New Roman" w:hAnsiTheme="minorHAnsi" w:cs="Times New Roman"/>
                <w:bCs/>
                <w:lang w:eastAsia="en-AU"/>
              </w:rPr>
              <w:t>Conditions for which Ig is used in</w:t>
            </w:r>
            <w:r w:rsidR="00147574" w:rsidRPr="00147574">
              <w:rPr>
                <w:rFonts w:asciiTheme="minorHAnsi" w:eastAsia="Times New Roman" w:hAnsiTheme="minorHAnsi" w:cs="Times New Roman"/>
                <w:b/>
                <w:bCs/>
                <w:lang w:eastAsia="en-AU"/>
              </w:rPr>
              <w:t xml:space="preserve"> </w:t>
            </w:r>
            <w:r w:rsidRPr="00147574">
              <w:rPr>
                <w:rFonts w:asciiTheme="minorHAnsi" w:eastAsia="Times New Roman" w:hAnsiTheme="minorHAnsi" w:cs="Times New Roman"/>
                <w:bCs/>
                <w:lang w:eastAsia="en-AU"/>
              </w:rPr>
              <w:t xml:space="preserve">Exceptional </w:t>
            </w:r>
            <w:r w:rsidR="00942711" w:rsidRPr="00147574">
              <w:rPr>
                <w:rFonts w:asciiTheme="minorHAnsi" w:eastAsia="Times New Roman" w:hAnsiTheme="minorHAnsi" w:cs="Times New Roman"/>
                <w:bCs/>
                <w:lang w:eastAsia="en-AU"/>
              </w:rPr>
              <w:t>Circumstances only</w:t>
            </w:r>
            <w:r w:rsidRPr="00147574">
              <w:rPr>
                <w:rFonts w:asciiTheme="minorHAnsi" w:eastAsia="Times New Roman" w:hAnsiTheme="minorHAnsi" w:cs="Times New Roman"/>
                <w:bCs/>
                <w:lang w:eastAsia="en-AU"/>
              </w:rPr>
              <w:t xml:space="preserve"> (Chapter 7)</w:t>
            </w:r>
          </w:p>
          <w:p w14:paraId="2233A78F" w14:textId="060FC542" w:rsidR="00EA4F36" w:rsidRDefault="00EA4F36" w:rsidP="008612AB">
            <w:pPr>
              <w:spacing w:before="120" w:after="120"/>
              <w:rPr>
                <w:rFonts w:asciiTheme="minorHAnsi" w:eastAsia="Times New Roman" w:hAnsiTheme="minorHAnsi" w:cs="Times New Roman"/>
                <w:b/>
                <w:bCs/>
                <w:lang w:eastAsia="en-AU"/>
              </w:rPr>
            </w:pPr>
          </w:p>
        </w:tc>
      </w:tr>
      <w:tr w:rsidR="008612AB" w:rsidRPr="00447869" w14:paraId="0FB82EF8" w14:textId="77777777" w:rsidTr="008612AB">
        <w:trPr>
          <w:tblHeader/>
        </w:trPr>
        <w:tc>
          <w:tcPr>
            <w:tcW w:w="14601" w:type="dxa"/>
            <w:gridSpan w:val="2"/>
            <w:shd w:val="clear" w:color="auto" w:fill="auto"/>
          </w:tcPr>
          <w:p w14:paraId="0EE3B5B1" w14:textId="5CE77C64" w:rsidR="008612AB" w:rsidRDefault="008612AB" w:rsidP="008D3E83">
            <w:pPr>
              <w:spacing w:before="120" w:after="120"/>
            </w:pPr>
            <w:r>
              <w:rPr>
                <w:rFonts w:asciiTheme="minorHAnsi" w:eastAsia="Times New Roman" w:hAnsiTheme="minorHAnsi" w:cs="Times New Roman"/>
                <w:b/>
                <w:bCs/>
                <w:lang w:eastAsia="en-AU"/>
              </w:rPr>
              <w:t>Role of Ig therapy</w:t>
            </w:r>
            <w:r w:rsidR="008D3E83">
              <w:rPr>
                <w:rFonts w:asciiTheme="minorHAnsi" w:eastAsia="Times New Roman" w:hAnsiTheme="minorHAnsi" w:cs="Times New Roman"/>
                <w:b/>
                <w:bCs/>
                <w:lang w:eastAsia="en-AU"/>
              </w:rPr>
              <w:t xml:space="preserve">: </w:t>
            </w:r>
            <w:r w:rsidR="008D3E83">
              <w:t xml:space="preserve"> R</w:t>
            </w:r>
            <w:r w:rsidR="008D3E83" w:rsidRPr="00DF751A">
              <w:t>ecent, high-quality trials</w:t>
            </w:r>
            <w:r w:rsidR="002A1261">
              <w:t xml:space="preserve"> (Chitty et al</w:t>
            </w:r>
            <w:r w:rsidR="00964D8E">
              <w:t>, 2013; Liley, Lipriore &amp; Smits</w:t>
            </w:r>
            <w:r w:rsidR="002A1261">
              <w:t>-Wintjens, 2015 and Louis et al</w:t>
            </w:r>
            <w:r w:rsidR="00964D8E">
              <w:t xml:space="preserve">, 2014) </w:t>
            </w:r>
            <w:r w:rsidR="008D3E83" w:rsidRPr="00DF751A">
              <w:t>specify the use of intensive phototherapy</w:t>
            </w:r>
            <w:r w:rsidR="008D3E83">
              <w:t xml:space="preserve"> as </w:t>
            </w:r>
            <w:r w:rsidR="008D3E83" w:rsidRPr="00DF751A">
              <w:t xml:space="preserve">the most effective neonatal treatment to reduce the need for </w:t>
            </w:r>
            <w:r w:rsidR="008D3E83">
              <w:t>exchange</w:t>
            </w:r>
            <w:r w:rsidR="008D3E83" w:rsidRPr="00DF751A">
              <w:t xml:space="preserve"> </w:t>
            </w:r>
            <w:r w:rsidR="008D3E83">
              <w:t>transfusions</w:t>
            </w:r>
            <w:r w:rsidR="008D3E83" w:rsidRPr="00DF751A">
              <w:t>.</w:t>
            </w:r>
            <w:r w:rsidR="008625E0">
              <w:rPr>
                <w:rFonts w:asciiTheme="minorHAnsi" w:eastAsia="Times New Roman" w:hAnsiTheme="minorHAnsi" w:cs="Times New Roman"/>
                <w:b/>
                <w:bCs/>
                <w:lang w:eastAsia="en-AU"/>
              </w:rPr>
              <w:t xml:space="preserve"> </w:t>
            </w:r>
            <w:r w:rsidR="00B91F67" w:rsidRPr="00D11061">
              <w:t xml:space="preserve">The </w:t>
            </w:r>
            <w:r w:rsidR="00B91F67">
              <w:t>role of Ig therapy has changed significantly in recent years with increasing evidence that Ig does not provide the originally reported clinical benefits</w:t>
            </w:r>
            <w:r w:rsidR="00831038">
              <w:t xml:space="preserve"> of</w:t>
            </w:r>
            <w:r w:rsidR="00B91F67">
              <w:t xml:space="preserve"> either reducing the incidence of exchange transfusions in pre-term and term infants (and therefore reducing the associated risks) or mortality in neonates. </w:t>
            </w:r>
            <w:r w:rsidR="00831038">
              <w:t>Ig use in the routine treatm</w:t>
            </w:r>
            <w:r w:rsidR="00BF6CF2">
              <w:t xml:space="preserve">ent of neonates is therefore </w:t>
            </w:r>
            <w:r w:rsidR="008D3E83">
              <w:t xml:space="preserve">recommended to </w:t>
            </w:r>
            <w:r w:rsidR="00BF6CF2">
              <w:t>no longer</w:t>
            </w:r>
            <w:r w:rsidR="00831038">
              <w:t xml:space="preserve"> </w:t>
            </w:r>
            <w:r w:rsidR="008D3E83">
              <w:t xml:space="preserve">be </w:t>
            </w:r>
            <w:r w:rsidR="00831038">
              <w:t xml:space="preserve">supported. </w:t>
            </w:r>
          </w:p>
          <w:p w14:paraId="1FC6264E" w14:textId="0DF2F18F" w:rsidR="00AF3F29" w:rsidRPr="00447869" w:rsidRDefault="00831038" w:rsidP="006B7217">
            <w:pPr>
              <w:spacing w:before="120" w:after="120"/>
              <w:rPr>
                <w:rFonts w:asciiTheme="minorHAnsi" w:eastAsia="Times New Roman" w:hAnsiTheme="minorHAnsi" w:cs="Times New Roman"/>
                <w:b/>
                <w:bCs/>
                <w:lang w:eastAsia="en-AU"/>
              </w:rPr>
            </w:pPr>
            <w:r>
              <w:t>However, for high risk pregnancies with a fetus affected by HDF and at high risk of early fetal hydrops or death, a course of weekly Ig therapy should be considered,</w:t>
            </w:r>
            <w:r w:rsidR="00964D8E">
              <w:t xml:space="preserve"> as recommended in PBM Module 6 (2016). </w:t>
            </w:r>
            <w:r w:rsidR="00AF3F29">
              <w:t xml:space="preserve">The mechanism of action is </w:t>
            </w:r>
            <w:r w:rsidR="006B7217">
              <w:t>understood</w:t>
            </w:r>
            <w:r w:rsidR="00AF3F29">
              <w:t xml:space="preserve"> to be </w:t>
            </w:r>
            <w:r w:rsidR="00AF3F29">
              <w:rPr>
                <w:rFonts w:asciiTheme="minorHAnsi" w:hAnsiTheme="minorHAnsi"/>
              </w:rPr>
              <w:t>due to</w:t>
            </w:r>
            <w:r w:rsidR="00AF3F29" w:rsidRPr="008C1497">
              <w:rPr>
                <w:rFonts w:asciiTheme="minorHAnsi" w:hAnsiTheme="minorHAnsi"/>
              </w:rPr>
              <w:t xml:space="preserve"> </w:t>
            </w:r>
            <w:r w:rsidR="008F0897">
              <w:rPr>
                <w:rFonts w:asciiTheme="minorHAnsi" w:hAnsiTheme="minorHAnsi"/>
              </w:rPr>
              <w:t>IVIg</w:t>
            </w:r>
            <w:r w:rsidR="00AF3F29" w:rsidRPr="008C1497">
              <w:rPr>
                <w:rFonts w:asciiTheme="minorHAnsi" w:hAnsiTheme="minorHAnsi"/>
              </w:rPr>
              <w:t xml:space="preserve"> </w:t>
            </w:r>
            <w:r w:rsidR="00AF3F29">
              <w:rPr>
                <w:rFonts w:asciiTheme="minorHAnsi" w:hAnsiTheme="minorHAnsi"/>
              </w:rPr>
              <w:t>competing</w:t>
            </w:r>
            <w:r w:rsidR="00AF3F29" w:rsidRPr="008C1497">
              <w:rPr>
                <w:rFonts w:asciiTheme="minorHAnsi" w:hAnsiTheme="minorHAnsi"/>
              </w:rPr>
              <w:t xml:space="preserve"> with alloantibodies for Fc receptors on cells that mediate RBC breakdown</w:t>
            </w:r>
            <w:r w:rsidR="00AF3F29">
              <w:rPr>
                <w:rFonts w:asciiTheme="minorHAnsi" w:hAnsiTheme="minorHAnsi"/>
              </w:rPr>
              <w:t xml:space="preserve">, and thereby reducing the level of haemolysis. </w:t>
            </w:r>
          </w:p>
        </w:tc>
      </w:tr>
    </w:tbl>
    <w:p w14:paraId="27EE8F27" w14:textId="77777777" w:rsidR="005851ED" w:rsidRDefault="005851ED"/>
    <w:tbl>
      <w:tblPr>
        <w:tblStyle w:val="TableGrid"/>
        <w:tblW w:w="14601" w:type="dxa"/>
        <w:tblInd w:w="-318" w:type="dxa"/>
        <w:tblLook w:val="0680" w:firstRow="0" w:lastRow="0" w:firstColumn="1" w:lastColumn="0" w:noHBand="1" w:noVBand="1"/>
      </w:tblPr>
      <w:tblGrid>
        <w:gridCol w:w="1560"/>
        <w:gridCol w:w="2977"/>
        <w:gridCol w:w="1890"/>
        <w:gridCol w:w="1890"/>
        <w:gridCol w:w="1890"/>
        <w:gridCol w:w="4394"/>
      </w:tblGrid>
      <w:tr w:rsidR="00447869" w:rsidRPr="00853117" w14:paraId="0F17C865" w14:textId="77777777" w:rsidTr="00D11061">
        <w:trPr>
          <w:trHeight w:val="406"/>
          <w:tblHeader/>
        </w:trPr>
        <w:tc>
          <w:tcPr>
            <w:tcW w:w="1560" w:type="dxa"/>
            <w:shd w:val="clear" w:color="auto" w:fill="DBE5F1" w:themeFill="accent1" w:themeFillTint="33"/>
          </w:tcPr>
          <w:p w14:paraId="05F68158" w14:textId="77777777"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2977" w:type="dxa"/>
            <w:shd w:val="clear" w:color="auto" w:fill="DBE5F1" w:themeFill="accent1" w:themeFillTint="33"/>
          </w:tcPr>
          <w:p w14:paraId="5CCCCCF5" w14:textId="3CC95EA4" w:rsidR="00526380" w:rsidRDefault="00526380" w:rsidP="00526380">
            <w:pPr>
              <w:spacing w:before="120" w:after="120"/>
              <w:jc w:val="center"/>
              <w:rPr>
                <w:rFonts w:asciiTheme="minorHAnsi" w:hAnsiTheme="minorHAnsi"/>
                <w:b/>
                <w:sz w:val="20"/>
                <w:szCs w:val="18"/>
              </w:rPr>
            </w:pPr>
            <w:r>
              <w:rPr>
                <w:rFonts w:asciiTheme="minorHAnsi" w:hAnsiTheme="minorHAnsi"/>
                <w:b/>
                <w:sz w:val="20"/>
                <w:szCs w:val="18"/>
              </w:rPr>
              <w:t xml:space="preserve">2015 JBC APPROVED WORDING </w:t>
            </w:r>
          </w:p>
          <w:p w14:paraId="37DFB17D" w14:textId="26EC4005" w:rsidR="004A10A2" w:rsidRPr="00C92149" w:rsidRDefault="004A10A2" w:rsidP="00526380">
            <w:pPr>
              <w:spacing w:before="120" w:after="120"/>
              <w:jc w:val="center"/>
              <w:rPr>
                <w:rFonts w:asciiTheme="minorHAnsi" w:hAnsiTheme="minorHAnsi"/>
                <w:b/>
                <w:sz w:val="20"/>
                <w:szCs w:val="18"/>
              </w:rPr>
            </w:pPr>
          </w:p>
        </w:tc>
        <w:tc>
          <w:tcPr>
            <w:tcW w:w="5670" w:type="dxa"/>
            <w:gridSpan w:val="3"/>
            <w:shd w:val="clear" w:color="auto" w:fill="DBE5F1" w:themeFill="accent1" w:themeFillTint="33"/>
          </w:tcPr>
          <w:p w14:paraId="1BA8E420" w14:textId="1440A002" w:rsidR="00447869" w:rsidRPr="00C92149" w:rsidRDefault="00447869" w:rsidP="00D11061">
            <w:pPr>
              <w:spacing w:before="120" w:after="120"/>
              <w:jc w:val="center"/>
              <w:rPr>
                <w:rFonts w:asciiTheme="minorHAnsi" w:hAnsiTheme="minorHAnsi"/>
                <w:b/>
                <w:sz w:val="20"/>
                <w:szCs w:val="18"/>
              </w:rPr>
            </w:pPr>
            <w:r w:rsidRPr="00C92149">
              <w:rPr>
                <w:rFonts w:asciiTheme="minorHAnsi" w:hAnsiTheme="minorHAnsi"/>
                <w:b/>
                <w:sz w:val="20"/>
                <w:szCs w:val="18"/>
              </w:rPr>
              <w:t xml:space="preserve">REVISIONS </w:t>
            </w:r>
            <w:r w:rsidR="00D11061">
              <w:rPr>
                <w:rFonts w:asciiTheme="minorHAnsi" w:hAnsiTheme="minorHAnsi"/>
                <w:b/>
                <w:sz w:val="20"/>
                <w:szCs w:val="18"/>
              </w:rPr>
              <w:t>POST 2015 JBC APPROVED WORDING</w:t>
            </w:r>
          </w:p>
        </w:tc>
        <w:tc>
          <w:tcPr>
            <w:tcW w:w="4394" w:type="dxa"/>
            <w:shd w:val="clear" w:color="auto" w:fill="DBE5F1" w:themeFill="accent1" w:themeFillTint="33"/>
          </w:tcPr>
          <w:p w14:paraId="39445FB0" w14:textId="79F06059" w:rsidR="00447869" w:rsidRPr="00C92149" w:rsidRDefault="00A75B91" w:rsidP="00F44662">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SPECIALIST WORKING GROUP</w:t>
            </w:r>
            <w:r w:rsidRPr="00861AAD">
              <w:rPr>
                <w:rFonts w:asciiTheme="minorHAnsi" w:eastAsia="Times New Roman" w:hAnsiTheme="minorHAnsi" w:cs="Times New Roman"/>
                <w:b/>
                <w:bCs/>
                <w:sz w:val="20"/>
                <w:szCs w:val="20"/>
                <w:lang w:eastAsia="en-AU"/>
              </w:rPr>
              <w:t xml:space="preserve"> </w:t>
            </w:r>
            <w:r w:rsidR="00861AAD" w:rsidRPr="00861AAD">
              <w:rPr>
                <w:rFonts w:asciiTheme="minorHAnsi" w:eastAsia="Times New Roman" w:hAnsiTheme="minorHAnsi" w:cs="Times New Roman"/>
                <w:b/>
                <w:bCs/>
                <w:sz w:val="20"/>
                <w:szCs w:val="20"/>
                <w:lang w:eastAsia="en-AU"/>
              </w:rPr>
              <w:t>RATIONALE FOR ADDITIONS/CLARIFICATIONS</w:t>
            </w:r>
          </w:p>
        </w:tc>
      </w:tr>
      <w:tr w:rsidR="00021243" w:rsidRPr="00447869" w14:paraId="1B797F9F" w14:textId="77777777" w:rsidTr="00D11061">
        <w:tc>
          <w:tcPr>
            <w:tcW w:w="1560" w:type="dxa"/>
            <w:shd w:val="clear" w:color="auto" w:fill="D9D9D9" w:themeFill="background1" w:themeFillShade="D9"/>
          </w:tcPr>
          <w:p w14:paraId="1E6F7BEC" w14:textId="77777777" w:rsidR="00021243" w:rsidRPr="00447869" w:rsidRDefault="00021243" w:rsidP="00021243">
            <w:pPr>
              <w:spacing w:before="120" w:after="120"/>
              <w:rPr>
                <w:rFonts w:asciiTheme="minorHAnsi" w:hAnsiTheme="minorHAnsi"/>
                <w:b/>
              </w:rPr>
            </w:pPr>
            <w:r w:rsidRPr="00447869">
              <w:rPr>
                <w:rFonts w:asciiTheme="minorHAnsi" w:hAnsiTheme="minorHAnsi"/>
                <w:b/>
              </w:rPr>
              <w:t>Condition Name</w:t>
            </w:r>
          </w:p>
        </w:tc>
        <w:tc>
          <w:tcPr>
            <w:tcW w:w="2977" w:type="dxa"/>
          </w:tcPr>
          <w:p w14:paraId="1858F2EB" w14:textId="391B8C4E" w:rsidR="00021243" w:rsidRPr="00896241" w:rsidRDefault="00D11061" w:rsidP="00021243">
            <w:pPr>
              <w:spacing w:before="120" w:after="120"/>
              <w:rPr>
                <w:rFonts w:asciiTheme="minorHAnsi" w:hAnsiTheme="minorHAnsi"/>
                <w:b/>
              </w:rPr>
            </w:pPr>
            <w:r w:rsidRPr="00D11061">
              <w:rPr>
                <w:rFonts w:asciiTheme="minorHAnsi" w:eastAsiaTheme="minorHAnsi" w:hAnsiTheme="minorHAnsi" w:cs="Times New Roman"/>
                <w:bCs/>
                <w:color w:val="000000"/>
              </w:rPr>
              <w:t>Haemolytic disease of the fetus and newborn (HDFN)</w:t>
            </w:r>
          </w:p>
        </w:tc>
        <w:tc>
          <w:tcPr>
            <w:tcW w:w="5670" w:type="dxa"/>
            <w:gridSpan w:val="3"/>
          </w:tcPr>
          <w:p w14:paraId="276BE45C" w14:textId="1595CAC1" w:rsidR="00021243" w:rsidRPr="008C1497" w:rsidRDefault="008C1497" w:rsidP="00021243">
            <w:pPr>
              <w:spacing w:before="120" w:after="120"/>
              <w:rPr>
                <w:rFonts w:asciiTheme="minorHAnsi" w:hAnsiTheme="minorHAnsi"/>
              </w:rPr>
            </w:pPr>
            <w:r w:rsidRPr="008C1497">
              <w:rPr>
                <w:rFonts w:asciiTheme="minorHAnsi" w:hAnsiTheme="minorHAnsi"/>
              </w:rPr>
              <w:t>Haemolytic disease of the fetus (HDF)</w:t>
            </w:r>
          </w:p>
        </w:tc>
        <w:tc>
          <w:tcPr>
            <w:tcW w:w="4394" w:type="dxa"/>
          </w:tcPr>
          <w:p w14:paraId="71245FBB" w14:textId="1573154F" w:rsidR="005960E7" w:rsidRPr="00C92149" w:rsidRDefault="00F44662" w:rsidP="00D54836">
            <w:pPr>
              <w:pStyle w:val="heading"/>
              <w:spacing w:before="0" w:beforeAutospacing="0" w:after="225" w:afterAutospacing="0" w:line="293" w:lineRule="atLeast"/>
              <w:rPr>
                <w:rFonts w:asciiTheme="minorHAnsi" w:hAnsiTheme="minorHAnsi"/>
                <w:sz w:val="22"/>
              </w:rPr>
            </w:pPr>
            <w:r>
              <w:rPr>
                <w:rFonts w:asciiTheme="minorHAnsi" w:hAnsiTheme="minorHAnsi"/>
                <w:sz w:val="22"/>
              </w:rPr>
              <w:t xml:space="preserve">Name revised </w:t>
            </w:r>
            <w:r w:rsidR="00D54836">
              <w:rPr>
                <w:rFonts w:asciiTheme="minorHAnsi" w:hAnsiTheme="minorHAnsi"/>
                <w:sz w:val="22"/>
              </w:rPr>
              <w:t>to reflect that</w:t>
            </w:r>
            <w:r>
              <w:rPr>
                <w:rFonts w:asciiTheme="minorHAnsi" w:hAnsiTheme="minorHAnsi"/>
                <w:sz w:val="22"/>
              </w:rPr>
              <w:t xml:space="preserve"> treatment of this condition </w:t>
            </w:r>
            <w:r w:rsidR="001F7903">
              <w:rPr>
                <w:rFonts w:asciiTheme="minorHAnsi" w:hAnsiTheme="minorHAnsi"/>
                <w:sz w:val="22"/>
              </w:rPr>
              <w:t xml:space="preserve">with Ig </w:t>
            </w:r>
            <w:r>
              <w:rPr>
                <w:rFonts w:asciiTheme="minorHAnsi" w:hAnsiTheme="minorHAnsi"/>
                <w:sz w:val="22"/>
              </w:rPr>
              <w:t xml:space="preserve">is </w:t>
            </w:r>
            <w:r w:rsidR="005E5A5D">
              <w:rPr>
                <w:rFonts w:asciiTheme="minorHAnsi" w:hAnsiTheme="minorHAnsi"/>
                <w:sz w:val="22"/>
              </w:rPr>
              <w:t xml:space="preserve">now </w:t>
            </w:r>
            <w:r w:rsidR="00D54836">
              <w:rPr>
                <w:rFonts w:asciiTheme="minorHAnsi" w:hAnsiTheme="minorHAnsi"/>
                <w:sz w:val="22"/>
              </w:rPr>
              <w:t>limited to</w:t>
            </w:r>
            <w:r>
              <w:rPr>
                <w:rFonts w:asciiTheme="minorHAnsi" w:hAnsiTheme="minorHAnsi"/>
                <w:sz w:val="22"/>
              </w:rPr>
              <w:t xml:space="preserve"> the fetus (maternal treatment). </w:t>
            </w:r>
          </w:p>
        </w:tc>
      </w:tr>
      <w:tr w:rsidR="00447869" w:rsidRPr="00447869" w14:paraId="3BA74D29" w14:textId="77777777" w:rsidTr="00D11061">
        <w:tc>
          <w:tcPr>
            <w:tcW w:w="1560" w:type="dxa"/>
            <w:shd w:val="clear" w:color="auto" w:fill="D9D9D9" w:themeFill="background1" w:themeFillShade="D9"/>
          </w:tcPr>
          <w:p w14:paraId="1F21C5D0" w14:textId="77777777" w:rsidR="00447869" w:rsidRPr="00447869" w:rsidRDefault="00447869" w:rsidP="00021243">
            <w:pPr>
              <w:spacing w:before="120" w:after="120"/>
              <w:rPr>
                <w:rFonts w:asciiTheme="minorHAnsi" w:hAnsiTheme="minorHAnsi"/>
              </w:rPr>
            </w:pPr>
            <w:r w:rsidRPr="00447869">
              <w:rPr>
                <w:rFonts w:asciiTheme="minorHAnsi" w:hAnsiTheme="minorHAnsi"/>
                <w:b/>
              </w:rPr>
              <w:t>Specialty</w:t>
            </w:r>
          </w:p>
        </w:tc>
        <w:tc>
          <w:tcPr>
            <w:tcW w:w="2977" w:type="dxa"/>
          </w:tcPr>
          <w:p w14:paraId="6DAE883D" w14:textId="77777777" w:rsidR="00447869" w:rsidRPr="00447869" w:rsidRDefault="00D32E23" w:rsidP="00021243">
            <w:pPr>
              <w:spacing w:before="120" w:after="120"/>
              <w:rPr>
                <w:rFonts w:asciiTheme="minorHAnsi" w:hAnsiTheme="minorHAnsi"/>
              </w:rPr>
            </w:pPr>
            <w:r>
              <w:rPr>
                <w:rFonts w:asciiTheme="minorHAnsi" w:hAnsiTheme="minorHAnsi"/>
              </w:rPr>
              <w:t xml:space="preserve">Haematology </w:t>
            </w:r>
          </w:p>
        </w:tc>
        <w:tc>
          <w:tcPr>
            <w:tcW w:w="5670" w:type="dxa"/>
            <w:gridSpan w:val="3"/>
          </w:tcPr>
          <w:p w14:paraId="5BAD7788" w14:textId="39733AAA" w:rsidR="00447869" w:rsidRPr="00447869" w:rsidRDefault="008C1497" w:rsidP="00021243">
            <w:pPr>
              <w:spacing w:before="120" w:after="120"/>
              <w:rPr>
                <w:rFonts w:asciiTheme="minorHAnsi" w:hAnsiTheme="minorHAnsi"/>
              </w:rPr>
            </w:pPr>
            <w:r>
              <w:rPr>
                <w:rFonts w:asciiTheme="minorHAnsi" w:hAnsiTheme="minorHAnsi"/>
              </w:rPr>
              <w:t>Haematology</w:t>
            </w:r>
          </w:p>
        </w:tc>
        <w:tc>
          <w:tcPr>
            <w:tcW w:w="4394" w:type="dxa"/>
          </w:tcPr>
          <w:p w14:paraId="28CF817C" w14:textId="77777777" w:rsidR="00447869" w:rsidRPr="009208EC" w:rsidRDefault="00447869" w:rsidP="00021243">
            <w:pPr>
              <w:spacing w:before="120" w:after="120"/>
              <w:rPr>
                <w:rFonts w:asciiTheme="minorHAnsi" w:hAnsiTheme="minorHAnsi"/>
                <w:szCs w:val="20"/>
              </w:rPr>
            </w:pPr>
          </w:p>
        </w:tc>
      </w:tr>
      <w:tr w:rsidR="00021243" w:rsidRPr="00447869" w14:paraId="790C5B90" w14:textId="77777777" w:rsidTr="00D11061">
        <w:tc>
          <w:tcPr>
            <w:tcW w:w="1560" w:type="dxa"/>
            <w:shd w:val="clear" w:color="auto" w:fill="D9D9D9" w:themeFill="background1" w:themeFillShade="D9"/>
          </w:tcPr>
          <w:p w14:paraId="1C47F2F1" w14:textId="260F39B0" w:rsidR="00021243" w:rsidRPr="00447869" w:rsidRDefault="002D34A0" w:rsidP="00021243">
            <w:pPr>
              <w:spacing w:before="120" w:after="120"/>
              <w:rPr>
                <w:rFonts w:asciiTheme="minorHAnsi" w:hAnsiTheme="minorHAnsi"/>
              </w:rPr>
            </w:pPr>
            <w:r>
              <w:rPr>
                <w:rFonts w:asciiTheme="minorHAnsi" w:hAnsiTheme="minorHAnsi"/>
                <w:b/>
              </w:rPr>
              <w:t>Category</w:t>
            </w:r>
          </w:p>
        </w:tc>
        <w:tc>
          <w:tcPr>
            <w:tcW w:w="2977" w:type="dxa"/>
          </w:tcPr>
          <w:p w14:paraId="0F3FC140" w14:textId="262F51DA" w:rsidR="00021243" w:rsidRPr="00942711" w:rsidRDefault="002D34A0" w:rsidP="00942711">
            <w:pPr>
              <w:spacing w:before="120" w:after="120"/>
              <w:rPr>
                <w:rFonts w:asciiTheme="minorHAnsi" w:hAnsiTheme="minorHAnsi"/>
                <w:i/>
              </w:rPr>
            </w:pPr>
            <w:r w:rsidRPr="00942711">
              <w:rPr>
                <w:i/>
              </w:rPr>
              <w:t xml:space="preserve">Exceptional </w:t>
            </w:r>
            <w:r w:rsidR="00942711" w:rsidRPr="00942711">
              <w:rPr>
                <w:i/>
              </w:rPr>
              <w:t>circumstances only</w:t>
            </w:r>
          </w:p>
        </w:tc>
        <w:tc>
          <w:tcPr>
            <w:tcW w:w="5670" w:type="dxa"/>
            <w:gridSpan w:val="3"/>
          </w:tcPr>
          <w:p w14:paraId="1BE5627C" w14:textId="457AD364" w:rsidR="00021243" w:rsidRPr="00447869" w:rsidRDefault="00942711" w:rsidP="00B3192E">
            <w:pPr>
              <w:spacing w:before="120" w:after="120"/>
              <w:rPr>
                <w:rFonts w:asciiTheme="minorHAnsi" w:hAnsiTheme="minorHAnsi"/>
              </w:rPr>
            </w:pPr>
            <w:r w:rsidRPr="009C63BE">
              <w:rPr>
                <w:i/>
              </w:rPr>
              <w:t>Exceptional circumstances only</w:t>
            </w:r>
          </w:p>
        </w:tc>
        <w:tc>
          <w:tcPr>
            <w:tcW w:w="4394" w:type="dxa"/>
          </w:tcPr>
          <w:p w14:paraId="49FFE54B" w14:textId="77777777" w:rsidR="00021243" w:rsidRPr="009208EC" w:rsidRDefault="00021243" w:rsidP="00631EAB">
            <w:pPr>
              <w:spacing w:before="120" w:after="120"/>
              <w:rPr>
                <w:rFonts w:asciiTheme="minorHAnsi" w:hAnsiTheme="minorHAnsi"/>
                <w:szCs w:val="20"/>
              </w:rPr>
            </w:pPr>
          </w:p>
        </w:tc>
      </w:tr>
      <w:tr w:rsidR="00447869" w:rsidRPr="00447869" w14:paraId="16136D74" w14:textId="77777777" w:rsidTr="00D11061">
        <w:tc>
          <w:tcPr>
            <w:tcW w:w="1560" w:type="dxa"/>
            <w:shd w:val="clear" w:color="auto" w:fill="D9D9D9" w:themeFill="background1" w:themeFillShade="D9"/>
          </w:tcPr>
          <w:p w14:paraId="6A21A409" w14:textId="77777777" w:rsidR="00447869" w:rsidRPr="008515FF" w:rsidRDefault="00447869" w:rsidP="00021243">
            <w:pPr>
              <w:spacing w:before="120" w:after="120"/>
              <w:rPr>
                <w:rFonts w:asciiTheme="minorHAnsi" w:hAnsiTheme="minorHAnsi"/>
                <w:b/>
              </w:rPr>
            </w:pPr>
            <w:r w:rsidRPr="00447869">
              <w:rPr>
                <w:rFonts w:asciiTheme="minorHAnsi" w:hAnsiTheme="minorHAnsi"/>
                <w:b/>
              </w:rPr>
              <w:t>Specific Conditions</w:t>
            </w:r>
          </w:p>
        </w:tc>
        <w:tc>
          <w:tcPr>
            <w:tcW w:w="2977" w:type="dxa"/>
          </w:tcPr>
          <w:p w14:paraId="279EEFDF" w14:textId="044BEF22" w:rsidR="004A10A2" w:rsidRPr="00447869" w:rsidRDefault="004A10A2" w:rsidP="00D32E23">
            <w:pPr>
              <w:spacing w:before="120" w:after="120"/>
              <w:rPr>
                <w:rFonts w:asciiTheme="minorHAnsi" w:hAnsiTheme="minorHAnsi"/>
              </w:rPr>
            </w:pPr>
          </w:p>
        </w:tc>
        <w:tc>
          <w:tcPr>
            <w:tcW w:w="5670" w:type="dxa"/>
            <w:gridSpan w:val="3"/>
          </w:tcPr>
          <w:p w14:paraId="1765087E" w14:textId="77777777" w:rsidR="00447869" w:rsidRPr="00447869" w:rsidRDefault="00447869" w:rsidP="008515FF">
            <w:pPr>
              <w:rPr>
                <w:rFonts w:asciiTheme="minorHAnsi" w:hAnsiTheme="minorHAnsi"/>
              </w:rPr>
            </w:pPr>
          </w:p>
        </w:tc>
        <w:tc>
          <w:tcPr>
            <w:tcW w:w="4394" w:type="dxa"/>
          </w:tcPr>
          <w:p w14:paraId="1A039262" w14:textId="77777777" w:rsidR="00447869" w:rsidRPr="00C92149" w:rsidRDefault="00447869" w:rsidP="00021243">
            <w:pPr>
              <w:spacing w:before="120" w:after="120"/>
              <w:rPr>
                <w:rFonts w:asciiTheme="minorHAnsi" w:hAnsiTheme="minorHAnsi"/>
                <w:szCs w:val="20"/>
              </w:rPr>
            </w:pPr>
          </w:p>
        </w:tc>
      </w:tr>
      <w:tr w:rsidR="00021243" w:rsidRPr="00447869" w14:paraId="5D95AC67" w14:textId="77777777" w:rsidTr="00D11061">
        <w:tc>
          <w:tcPr>
            <w:tcW w:w="1560" w:type="dxa"/>
            <w:shd w:val="clear" w:color="auto" w:fill="D9D9D9" w:themeFill="background1" w:themeFillShade="D9"/>
          </w:tcPr>
          <w:p w14:paraId="025AC94C" w14:textId="77777777" w:rsidR="00021243" w:rsidRPr="00447869" w:rsidRDefault="00021243" w:rsidP="00021243">
            <w:pPr>
              <w:spacing w:before="120" w:after="120"/>
              <w:rPr>
                <w:rFonts w:asciiTheme="minorHAnsi" w:hAnsiTheme="minorHAnsi"/>
                <w:b/>
              </w:rPr>
            </w:pPr>
            <w:r w:rsidRPr="00447869">
              <w:rPr>
                <w:rFonts w:asciiTheme="minorHAnsi" w:hAnsiTheme="minorHAnsi"/>
                <w:b/>
              </w:rPr>
              <w:t>Level of Evidence</w:t>
            </w:r>
          </w:p>
          <w:p w14:paraId="6FE90707" w14:textId="77777777" w:rsidR="00021243" w:rsidRPr="00447869" w:rsidRDefault="00021243" w:rsidP="00021243">
            <w:pPr>
              <w:spacing w:before="120" w:after="120"/>
              <w:rPr>
                <w:rFonts w:asciiTheme="minorHAnsi" w:hAnsiTheme="minorHAnsi"/>
              </w:rPr>
            </w:pPr>
          </w:p>
        </w:tc>
        <w:tc>
          <w:tcPr>
            <w:tcW w:w="2977" w:type="dxa"/>
          </w:tcPr>
          <w:p w14:paraId="59BF8E01" w14:textId="3A7921F6" w:rsidR="00021243" w:rsidRPr="00447869" w:rsidRDefault="00E75EF4" w:rsidP="00021243">
            <w:pPr>
              <w:spacing w:before="120" w:after="120"/>
              <w:rPr>
                <w:rFonts w:asciiTheme="minorHAnsi" w:hAnsiTheme="minorHAnsi"/>
              </w:rPr>
            </w:pPr>
            <w:r>
              <w:rPr>
                <w:rFonts w:asciiTheme="minorHAnsi" w:hAnsiTheme="minorHAnsi"/>
              </w:rPr>
              <w:lastRenderedPageBreak/>
              <w:t>I</w:t>
            </w:r>
            <w:r w:rsidR="00D11061" w:rsidRPr="00D11061">
              <w:rPr>
                <w:rFonts w:asciiTheme="minorHAnsi" w:hAnsiTheme="minorHAnsi"/>
              </w:rPr>
              <w:t>nsufficient data (Category 4a)</w:t>
            </w:r>
          </w:p>
        </w:tc>
        <w:tc>
          <w:tcPr>
            <w:tcW w:w="5670" w:type="dxa"/>
            <w:gridSpan w:val="3"/>
          </w:tcPr>
          <w:p w14:paraId="24B7B3E0" w14:textId="40E057C6" w:rsidR="00021243" w:rsidRPr="00447869" w:rsidRDefault="00282F66" w:rsidP="00964D8E">
            <w:pPr>
              <w:spacing w:before="120" w:after="120"/>
              <w:rPr>
                <w:rFonts w:asciiTheme="minorHAnsi" w:hAnsiTheme="minorHAnsi"/>
              </w:rPr>
            </w:pPr>
            <w:r>
              <w:t xml:space="preserve"> </w:t>
            </w:r>
            <w:r w:rsidR="00964D8E">
              <w:rPr>
                <w:rFonts w:asciiTheme="minorHAnsi" w:hAnsiTheme="minorHAnsi"/>
              </w:rPr>
              <w:t>Conflicting evidence of benefit (Category 2c)</w:t>
            </w:r>
          </w:p>
        </w:tc>
        <w:tc>
          <w:tcPr>
            <w:tcW w:w="4394" w:type="dxa"/>
          </w:tcPr>
          <w:p w14:paraId="367C675A" w14:textId="40BD4BED" w:rsidR="00021243" w:rsidRPr="009208EC" w:rsidRDefault="00F44662" w:rsidP="00DE39C9">
            <w:pPr>
              <w:spacing w:before="120" w:after="120"/>
              <w:rPr>
                <w:rFonts w:asciiTheme="minorHAnsi" w:hAnsiTheme="minorHAnsi"/>
                <w:szCs w:val="20"/>
              </w:rPr>
            </w:pPr>
            <w:r>
              <w:rPr>
                <w:rFonts w:asciiTheme="minorHAnsi" w:hAnsiTheme="minorHAnsi"/>
                <w:szCs w:val="20"/>
              </w:rPr>
              <w:t xml:space="preserve">The level of evidence </w:t>
            </w:r>
            <w:r w:rsidR="005E5A5D">
              <w:rPr>
                <w:rFonts w:asciiTheme="minorHAnsi" w:hAnsiTheme="minorHAnsi"/>
                <w:szCs w:val="20"/>
              </w:rPr>
              <w:t>i</w:t>
            </w:r>
            <w:r>
              <w:rPr>
                <w:rFonts w:asciiTheme="minorHAnsi" w:hAnsiTheme="minorHAnsi"/>
                <w:szCs w:val="20"/>
              </w:rPr>
              <w:t xml:space="preserve">s changed </w:t>
            </w:r>
            <w:r w:rsidR="005E5A5D">
              <w:rPr>
                <w:rFonts w:asciiTheme="minorHAnsi" w:hAnsiTheme="minorHAnsi"/>
                <w:szCs w:val="20"/>
              </w:rPr>
              <w:t xml:space="preserve">in line with the literature and </w:t>
            </w:r>
            <w:r>
              <w:rPr>
                <w:rFonts w:asciiTheme="minorHAnsi" w:hAnsiTheme="minorHAnsi"/>
                <w:szCs w:val="20"/>
              </w:rPr>
              <w:t xml:space="preserve">Module 6 of the PBM </w:t>
            </w:r>
            <w:r>
              <w:rPr>
                <w:rFonts w:asciiTheme="minorHAnsi" w:hAnsiTheme="minorHAnsi"/>
                <w:szCs w:val="20"/>
              </w:rPr>
              <w:lastRenderedPageBreak/>
              <w:t>guidelines.</w:t>
            </w:r>
          </w:p>
        </w:tc>
      </w:tr>
      <w:tr w:rsidR="00AB120F" w:rsidRPr="00447869" w14:paraId="7C9346B7" w14:textId="77777777" w:rsidTr="00D11061">
        <w:tc>
          <w:tcPr>
            <w:tcW w:w="1560" w:type="dxa"/>
            <w:shd w:val="clear" w:color="auto" w:fill="D9D9D9" w:themeFill="background1" w:themeFillShade="D9"/>
          </w:tcPr>
          <w:p w14:paraId="5203DAE9" w14:textId="77777777" w:rsidR="00AB120F" w:rsidRPr="00447869" w:rsidRDefault="00AB120F" w:rsidP="00CE69D0">
            <w:pPr>
              <w:spacing w:before="120" w:after="120"/>
              <w:rPr>
                <w:rFonts w:asciiTheme="minorHAnsi" w:hAnsiTheme="minorHAnsi"/>
                <w:b/>
              </w:rPr>
            </w:pPr>
            <w:r w:rsidRPr="00447869">
              <w:rPr>
                <w:rFonts w:asciiTheme="minorHAnsi" w:hAnsiTheme="minorHAnsi"/>
                <w:b/>
              </w:rPr>
              <w:lastRenderedPageBreak/>
              <w:t>Justification for Evidence Category</w:t>
            </w:r>
          </w:p>
          <w:p w14:paraId="78F20145" w14:textId="77777777" w:rsidR="00AB120F" w:rsidRPr="00447869" w:rsidRDefault="00AB120F" w:rsidP="00CE69D0">
            <w:pPr>
              <w:spacing w:before="120" w:after="120"/>
              <w:rPr>
                <w:rFonts w:asciiTheme="minorHAnsi" w:hAnsiTheme="minorHAnsi"/>
              </w:rPr>
            </w:pPr>
          </w:p>
        </w:tc>
        <w:tc>
          <w:tcPr>
            <w:tcW w:w="2977" w:type="dxa"/>
          </w:tcPr>
          <w:p w14:paraId="2670E134" w14:textId="77777777" w:rsidR="00D11061" w:rsidRPr="00D11061" w:rsidRDefault="00AB120F" w:rsidP="00D11061">
            <w:pPr>
              <w:spacing w:before="120" w:after="120"/>
              <w:rPr>
                <w:rFonts w:asciiTheme="minorHAnsi" w:hAnsiTheme="minorHAnsi"/>
              </w:rPr>
            </w:pPr>
            <w:r>
              <w:rPr>
                <w:rFonts w:asciiTheme="minorHAnsi" w:hAnsiTheme="minorHAnsi"/>
              </w:rPr>
              <w:t xml:space="preserve"> </w:t>
            </w:r>
            <w:r w:rsidR="00D11061" w:rsidRPr="00D11061">
              <w:rPr>
                <w:rFonts w:asciiTheme="minorHAnsi" w:hAnsiTheme="minorHAnsi"/>
              </w:rPr>
              <w:t>Although prophylaxis programs have reduced the frequency of Rhesus (Rh) D HDN, antibodies to</w:t>
            </w:r>
            <w:r w:rsidR="00D11061">
              <w:rPr>
                <w:rFonts w:asciiTheme="minorHAnsi" w:hAnsiTheme="minorHAnsi"/>
              </w:rPr>
              <w:t xml:space="preserve"> </w:t>
            </w:r>
            <w:r w:rsidR="00D11061" w:rsidRPr="00D11061">
              <w:rPr>
                <w:rFonts w:asciiTheme="minorHAnsi" w:hAnsiTheme="minorHAnsi"/>
              </w:rPr>
              <w:t>RhD remain the most common cause in Australia. Antibodies to other antigens in the Rh system (e.g. Rhc, E), ABO and other antigens (e.g. K) may also cause disease ranging from mild to life -threatening.</w:t>
            </w:r>
          </w:p>
          <w:p w14:paraId="7727B218" w14:textId="25C4E0E4" w:rsidR="00AB120F" w:rsidRPr="00447869" w:rsidRDefault="00D11061" w:rsidP="00D11061">
            <w:pPr>
              <w:spacing w:before="120" w:after="120"/>
              <w:rPr>
                <w:rFonts w:asciiTheme="minorHAnsi" w:hAnsiTheme="minorHAnsi"/>
              </w:rPr>
            </w:pPr>
            <w:r w:rsidRPr="00D11061">
              <w:rPr>
                <w:rFonts w:asciiTheme="minorHAnsi" w:hAnsiTheme="minorHAnsi"/>
              </w:rPr>
              <w:t xml:space="preserve">In infants with HDFN, the routine use of </w:t>
            </w:r>
            <w:r w:rsidR="008F0897">
              <w:rPr>
                <w:rFonts w:asciiTheme="minorHAnsi" w:hAnsiTheme="minorHAnsi"/>
              </w:rPr>
              <w:t>IVIg</w:t>
            </w:r>
            <w:r w:rsidRPr="00D11061">
              <w:rPr>
                <w:rFonts w:asciiTheme="minorHAnsi" w:hAnsiTheme="minorHAnsi"/>
              </w:rPr>
              <w:t xml:space="preserve"> is not recommended in national Australian clinical guidelines.</w:t>
            </w:r>
          </w:p>
        </w:tc>
        <w:tc>
          <w:tcPr>
            <w:tcW w:w="5670" w:type="dxa"/>
            <w:gridSpan w:val="3"/>
          </w:tcPr>
          <w:p w14:paraId="59662F9C" w14:textId="1BF83594" w:rsidR="008C1497" w:rsidRPr="008C1497" w:rsidRDefault="008C1497" w:rsidP="008C1497">
            <w:pPr>
              <w:spacing w:before="120" w:after="120"/>
              <w:rPr>
                <w:rFonts w:asciiTheme="minorHAnsi" w:hAnsiTheme="minorHAnsi"/>
              </w:rPr>
            </w:pPr>
            <w:r w:rsidRPr="008C1497">
              <w:rPr>
                <w:rFonts w:asciiTheme="minorHAnsi" w:hAnsiTheme="minorHAnsi"/>
              </w:rPr>
              <w:t xml:space="preserve">Since </w:t>
            </w:r>
            <w:r w:rsidR="008F0897">
              <w:rPr>
                <w:rFonts w:asciiTheme="minorHAnsi" w:hAnsiTheme="minorHAnsi"/>
              </w:rPr>
              <w:t>IVIg</w:t>
            </w:r>
            <w:r w:rsidRPr="008C1497">
              <w:rPr>
                <w:rFonts w:asciiTheme="minorHAnsi" w:hAnsiTheme="minorHAnsi"/>
              </w:rPr>
              <w:t xml:space="preserve"> can compete with alloantibodies for Fc receptors on cells that mediate RBC breakdown (Hammerman et al, 1996), it has been proposed that it can reduce the incidence of exchange transfusion. One good quality systematic review in 2014 by Louis et al, (including 12 RCTs) reported that while combined results of all trials suggested that </w:t>
            </w:r>
            <w:r w:rsidR="008F0897">
              <w:rPr>
                <w:rFonts w:asciiTheme="minorHAnsi" w:hAnsiTheme="minorHAnsi"/>
              </w:rPr>
              <w:t>IVIg</w:t>
            </w:r>
            <w:r w:rsidRPr="008C1497">
              <w:rPr>
                <w:rFonts w:asciiTheme="minorHAnsi" w:hAnsiTheme="minorHAnsi"/>
              </w:rPr>
              <w:t xml:space="preserve"> can reduce the incidence of exchange transfusion (ET) in infants with HDFN, the earlier trials were generally of low quality. When only the trials at low risk of bias were considered, there was no effect of </w:t>
            </w:r>
            <w:r w:rsidR="008F0897">
              <w:rPr>
                <w:rFonts w:asciiTheme="minorHAnsi" w:hAnsiTheme="minorHAnsi"/>
              </w:rPr>
              <w:t>IVIg</w:t>
            </w:r>
            <w:r w:rsidRPr="008C1497">
              <w:rPr>
                <w:rFonts w:asciiTheme="minorHAnsi" w:hAnsiTheme="minorHAnsi"/>
              </w:rPr>
              <w:t xml:space="preserve"> on reducing incidence of ET or any other outcome of importance (e.g. peak bilirubin, duration of phototherapy or need for top-up transfusion). None of the trials was powered to assess rare (but potentially life-threatening) adverse effects such as TRALI, the risk of which is likely to increase with transfusion of plasma products. The recent, high-quality trials specified the use of intensive phototherapy, which is the most effective neonatal treatment to reduce the need for ET. </w:t>
            </w:r>
          </w:p>
          <w:p w14:paraId="403D66FD" w14:textId="460792CB" w:rsidR="008C1497" w:rsidRPr="008C1497" w:rsidRDefault="008C1497" w:rsidP="008C1497">
            <w:pPr>
              <w:spacing w:before="120" w:after="120"/>
              <w:rPr>
                <w:rFonts w:asciiTheme="minorHAnsi" w:hAnsiTheme="minorHAnsi"/>
              </w:rPr>
            </w:pPr>
            <w:r w:rsidRPr="008C1497">
              <w:rPr>
                <w:rFonts w:asciiTheme="minorHAnsi" w:hAnsiTheme="minorHAnsi"/>
              </w:rPr>
              <w:t xml:space="preserve">Although the review suggested a benefit of </w:t>
            </w:r>
            <w:r w:rsidR="008F0897">
              <w:rPr>
                <w:rFonts w:asciiTheme="minorHAnsi" w:hAnsiTheme="minorHAnsi"/>
              </w:rPr>
              <w:t>IVIg</w:t>
            </w:r>
            <w:r w:rsidRPr="008C1497">
              <w:rPr>
                <w:rFonts w:asciiTheme="minorHAnsi" w:hAnsiTheme="minorHAnsi"/>
              </w:rPr>
              <w:t xml:space="preserve"> in reducing ET for jaundice due to ABO incompatibility, the studies were also of low quality. It seems unlikely that </w:t>
            </w:r>
            <w:r w:rsidR="008F0897">
              <w:rPr>
                <w:rFonts w:asciiTheme="minorHAnsi" w:hAnsiTheme="minorHAnsi"/>
              </w:rPr>
              <w:t>IVIg</w:t>
            </w:r>
            <w:r w:rsidRPr="008C1497">
              <w:rPr>
                <w:rFonts w:asciiTheme="minorHAnsi" w:hAnsiTheme="minorHAnsi"/>
              </w:rPr>
              <w:t xml:space="preserve"> would be of benefit in ABO haemolysis (which is typically milder) if there is no benefit in RhD HDFN. </w:t>
            </w:r>
          </w:p>
          <w:p w14:paraId="48E830A3" w14:textId="28CED62C" w:rsidR="00AB120F" w:rsidRPr="00447869" w:rsidRDefault="008C1497" w:rsidP="008C1497">
            <w:pPr>
              <w:spacing w:before="120" w:after="120"/>
              <w:rPr>
                <w:rFonts w:asciiTheme="minorHAnsi" w:hAnsiTheme="minorHAnsi"/>
              </w:rPr>
            </w:pPr>
            <w:r w:rsidRPr="008C1497">
              <w:rPr>
                <w:rFonts w:asciiTheme="minorHAnsi" w:hAnsiTheme="minorHAnsi"/>
              </w:rPr>
              <w:t xml:space="preserve">For preterm and term infants with alloimmune haemolytic diseae, the effect of </w:t>
            </w:r>
            <w:r w:rsidR="008F0897">
              <w:rPr>
                <w:rFonts w:asciiTheme="minorHAnsi" w:hAnsiTheme="minorHAnsi"/>
              </w:rPr>
              <w:t>IVIg</w:t>
            </w:r>
            <w:r w:rsidRPr="008C1497">
              <w:rPr>
                <w:rFonts w:asciiTheme="minorHAnsi" w:hAnsiTheme="minorHAnsi"/>
              </w:rPr>
              <w:t xml:space="preserve"> compared with no </w:t>
            </w:r>
            <w:r w:rsidR="008F0897">
              <w:rPr>
                <w:rFonts w:asciiTheme="minorHAnsi" w:hAnsiTheme="minorHAnsi"/>
              </w:rPr>
              <w:t>IVIg</w:t>
            </w:r>
            <w:r w:rsidRPr="008C1497">
              <w:rPr>
                <w:rFonts w:asciiTheme="minorHAnsi" w:hAnsiTheme="minorHAnsi"/>
              </w:rPr>
              <w:t xml:space="preserve"> on exchange transfusion incidence is uncertain. In infants with alloimmune haemolytic disease, the effect of </w:t>
            </w:r>
            <w:r w:rsidR="008F0897">
              <w:rPr>
                <w:rFonts w:asciiTheme="minorHAnsi" w:hAnsiTheme="minorHAnsi"/>
              </w:rPr>
              <w:t>IVIg</w:t>
            </w:r>
            <w:r w:rsidRPr="008C1497">
              <w:rPr>
                <w:rFonts w:asciiTheme="minorHAnsi" w:hAnsiTheme="minorHAnsi"/>
              </w:rPr>
              <w:t xml:space="preserve"> compared </w:t>
            </w:r>
            <w:r w:rsidRPr="008C1497">
              <w:rPr>
                <w:rFonts w:asciiTheme="minorHAnsi" w:hAnsiTheme="minorHAnsi"/>
              </w:rPr>
              <w:lastRenderedPageBreak/>
              <w:t xml:space="preserve">with no </w:t>
            </w:r>
            <w:r w:rsidR="008F0897">
              <w:rPr>
                <w:rFonts w:asciiTheme="minorHAnsi" w:hAnsiTheme="minorHAnsi"/>
              </w:rPr>
              <w:t>IVIg</w:t>
            </w:r>
            <w:r w:rsidRPr="008C1497">
              <w:rPr>
                <w:rFonts w:asciiTheme="minorHAnsi" w:hAnsiTheme="minorHAnsi"/>
              </w:rPr>
              <w:t xml:space="preserve"> on mortality is also uncertain.</w:t>
            </w:r>
          </w:p>
        </w:tc>
        <w:tc>
          <w:tcPr>
            <w:tcW w:w="4394" w:type="dxa"/>
          </w:tcPr>
          <w:p w14:paraId="59A51E30" w14:textId="491060D9" w:rsidR="00AB120F" w:rsidRDefault="0078440C" w:rsidP="0014680A">
            <w:pPr>
              <w:spacing w:before="120" w:after="120"/>
              <w:rPr>
                <w:rFonts w:asciiTheme="minorHAnsi" w:hAnsiTheme="minorHAnsi"/>
                <w:szCs w:val="20"/>
              </w:rPr>
            </w:pPr>
            <w:r>
              <w:rPr>
                <w:rFonts w:asciiTheme="minorHAnsi" w:hAnsiTheme="minorHAnsi"/>
                <w:szCs w:val="20"/>
              </w:rPr>
              <w:lastRenderedPageBreak/>
              <w:t>The</w:t>
            </w:r>
            <w:r w:rsidR="0014680A">
              <w:rPr>
                <w:rFonts w:asciiTheme="minorHAnsi" w:hAnsiTheme="minorHAnsi"/>
                <w:szCs w:val="20"/>
              </w:rPr>
              <w:t xml:space="preserve"> </w:t>
            </w:r>
            <w:r w:rsidR="001F7903">
              <w:rPr>
                <w:rFonts w:asciiTheme="minorHAnsi" w:hAnsiTheme="minorHAnsi"/>
                <w:szCs w:val="20"/>
              </w:rPr>
              <w:t xml:space="preserve">significant </w:t>
            </w:r>
            <w:r w:rsidR="005E5A5D">
              <w:rPr>
                <w:rFonts w:asciiTheme="minorHAnsi" w:hAnsiTheme="minorHAnsi"/>
                <w:szCs w:val="20"/>
              </w:rPr>
              <w:t>formal</w:t>
            </w:r>
            <w:r w:rsidR="00F544A7">
              <w:rPr>
                <w:rFonts w:asciiTheme="minorHAnsi" w:hAnsiTheme="minorHAnsi"/>
                <w:szCs w:val="20"/>
              </w:rPr>
              <w:t xml:space="preserve"> systematic review </w:t>
            </w:r>
            <w:r w:rsidR="0014680A">
              <w:rPr>
                <w:rFonts w:asciiTheme="minorHAnsi" w:hAnsiTheme="minorHAnsi"/>
                <w:szCs w:val="20"/>
              </w:rPr>
              <w:t xml:space="preserve">undertaken </w:t>
            </w:r>
            <w:r w:rsidR="00F544A7">
              <w:rPr>
                <w:rFonts w:asciiTheme="minorHAnsi" w:hAnsiTheme="minorHAnsi"/>
                <w:szCs w:val="20"/>
              </w:rPr>
              <w:t>for the PBM guidelines Module 6</w:t>
            </w:r>
            <w:r w:rsidR="00964D8E">
              <w:rPr>
                <w:rFonts w:asciiTheme="minorHAnsi" w:hAnsiTheme="minorHAnsi"/>
                <w:szCs w:val="20"/>
                <w:vertAlign w:val="superscript"/>
              </w:rPr>
              <w:t xml:space="preserve"> </w:t>
            </w:r>
            <w:r w:rsidR="00964D8E">
              <w:rPr>
                <w:rFonts w:asciiTheme="minorHAnsi" w:hAnsiTheme="minorHAnsi"/>
                <w:szCs w:val="20"/>
              </w:rPr>
              <w:t xml:space="preserve">(2016) </w:t>
            </w:r>
            <w:r w:rsidR="00D45736">
              <w:rPr>
                <w:rFonts w:asciiTheme="minorHAnsi" w:hAnsiTheme="minorHAnsi"/>
                <w:szCs w:val="20"/>
              </w:rPr>
              <w:t xml:space="preserve">has supported the redrafting of this section. </w:t>
            </w:r>
            <w:r w:rsidR="00F544A7">
              <w:rPr>
                <w:rFonts w:asciiTheme="minorHAnsi" w:hAnsiTheme="minorHAnsi"/>
                <w:szCs w:val="20"/>
              </w:rPr>
              <w:t xml:space="preserve"> </w:t>
            </w:r>
          </w:p>
          <w:p w14:paraId="5A5A4C0D" w14:textId="77777777" w:rsidR="0014680A" w:rsidRDefault="0014680A" w:rsidP="0014680A">
            <w:pPr>
              <w:spacing w:before="120" w:after="120"/>
              <w:rPr>
                <w:rFonts w:asciiTheme="minorHAnsi" w:hAnsiTheme="minorHAnsi"/>
                <w:szCs w:val="20"/>
              </w:rPr>
            </w:pPr>
          </w:p>
          <w:p w14:paraId="20ECEE57" w14:textId="77777777" w:rsidR="0014680A" w:rsidRDefault="0014680A" w:rsidP="0014680A">
            <w:pPr>
              <w:spacing w:before="120" w:after="120"/>
              <w:rPr>
                <w:rFonts w:asciiTheme="minorHAnsi" w:hAnsiTheme="minorHAnsi"/>
                <w:szCs w:val="20"/>
              </w:rPr>
            </w:pPr>
          </w:p>
          <w:p w14:paraId="0E9EC90A" w14:textId="6228FE00" w:rsidR="0014680A" w:rsidRPr="00C92149" w:rsidRDefault="0014680A" w:rsidP="0014680A">
            <w:pPr>
              <w:spacing w:before="120" w:after="120"/>
              <w:rPr>
                <w:rFonts w:asciiTheme="minorHAnsi" w:hAnsiTheme="minorHAnsi"/>
                <w:szCs w:val="20"/>
              </w:rPr>
            </w:pPr>
          </w:p>
        </w:tc>
      </w:tr>
      <w:tr w:rsidR="00AB120F" w:rsidRPr="00447869" w14:paraId="31C57878" w14:textId="77777777" w:rsidTr="00D11061">
        <w:tc>
          <w:tcPr>
            <w:tcW w:w="1560" w:type="dxa"/>
            <w:shd w:val="clear" w:color="auto" w:fill="D9D9D9" w:themeFill="background1" w:themeFillShade="D9"/>
          </w:tcPr>
          <w:p w14:paraId="390CE2A0" w14:textId="552481BD" w:rsidR="00AB120F" w:rsidRPr="00FB6B5D" w:rsidRDefault="00AB120F" w:rsidP="00FB6B5D">
            <w:pPr>
              <w:rPr>
                <w:b/>
              </w:rPr>
            </w:pPr>
            <w:r w:rsidRPr="00FB6B5D">
              <w:rPr>
                <w:b/>
              </w:rPr>
              <w:lastRenderedPageBreak/>
              <w:t>Indications</w:t>
            </w:r>
          </w:p>
        </w:tc>
        <w:tc>
          <w:tcPr>
            <w:tcW w:w="2977" w:type="dxa"/>
          </w:tcPr>
          <w:p w14:paraId="3E5EEF9D" w14:textId="77777777" w:rsidR="00AB120F" w:rsidRPr="00447869" w:rsidRDefault="00AB120F" w:rsidP="00CE69D0">
            <w:pPr>
              <w:spacing w:before="120" w:after="120"/>
              <w:rPr>
                <w:rFonts w:asciiTheme="minorHAnsi" w:hAnsiTheme="minorHAnsi"/>
              </w:rPr>
            </w:pPr>
            <w:r>
              <w:t xml:space="preserve"> </w:t>
            </w:r>
          </w:p>
        </w:tc>
        <w:tc>
          <w:tcPr>
            <w:tcW w:w="5670" w:type="dxa"/>
            <w:gridSpan w:val="3"/>
          </w:tcPr>
          <w:p w14:paraId="5B1B2B8E" w14:textId="6712C409" w:rsidR="00AB120F" w:rsidRPr="002D34A0" w:rsidRDefault="006320BB" w:rsidP="00CE69D0">
            <w:pPr>
              <w:spacing w:before="120" w:after="120"/>
              <w:rPr>
                <w:rFonts w:asciiTheme="minorHAnsi" w:hAnsiTheme="minorHAnsi"/>
                <w:b/>
              </w:rPr>
            </w:pPr>
            <w:r w:rsidRPr="002D34A0">
              <w:rPr>
                <w:rFonts w:asciiTheme="minorHAnsi" w:hAnsiTheme="minorHAnsi"/>
                <w:b/>
              </w:rPr>
              <w:t>Haemolytic disease of the fetus with high risk of early fetal hydrops or death</w:t>
            </w:r>
          </w:p>
        </w:tc>
        <w:tc>
          <w:tcPr>
            <w:tcW w:w="4394" w:type="dxa"/>
          </w:tcPr>
          <w:p w14:paraId="3714BDE3" w14:textId="22E88E7B" w:rsidR="00AB120F" w:rsidRPr="00C276B8" w:rsidRDefault="0078440C" w:rsidP="00CE69D0">
            <w:pPr>
              <w:spacing w:before="120" w:after="120"/>
              <w:rPr>
                <w:rFonts w:asciiTheme="minorHAnsi" w:hAnsiTheme="minorHAnsi"/>
              </w:rPr>
            </w:pPr>
            <w:r w:rsidRPr="00964D8E">
              <w:t>Developed</w:t>
            </w:r>
            <w:r w:rsidR="0014680A" w:rsidRPr="00964D8E">
              <w:rPr>
                <w:rFonts w:asciiTheme="minorHAnsi" w:hAnsiTheme="minorHAnsi"/>
              </w:rPr>
              <w:t xml:space="preserve"> to align with </w:t>
            </w:r>
            <w:r w:rsidR="00D45736" w:rsidRPr="00964D8E">
              <w:rPr>
                <w:rFonts w:asciiTheme="minorHAnsi" w:hAnsiTheme="minorHAnsi"/>
              </w:rPr>
              <w:t xml:space="preserve">the recommendations of </w:t>
            </w:r>
            <w:r w:rsidR="0014680A" w:rsidRPr="00964D8E">
              <w:rPr>
                <w:rFonts w:asciiTheme="minorHAnsi" w:hAnsiTheme="minorHAnsi"/>
              </w:rPr>
              <w:t>PBM guidelines</w:t>
            </w:r>
            <w:r w:rsidR="00D45736" w:rsidRPr="00964D8E">
              <w:rPr>
                <w:rFonts w:asciiTheme="minorHAnsi" w:hAnsiTheme="minorHAnsi"/>
              </w:rPr>
              <w:t xml:space="preserve"> - </w:t>
            </w:r>
            <w:r w:rsidR="0014680A" w:rsidRPr="00964D8E">
              <w:rPr>
                <w:rFonts w:asciiTheme="minorHAnsi" w:hAnsiTheme="minorHAnsi"/>
              </w:rPr>
              <w:t>Module 6.</w:t>
            </w:r>
            <w:r w:rsidR="0014680A" w:rsidRPr="00964D8E">
              <w:t xml:space="preserve"> </w:t>
            </w:r>
          </w:p>
        </w:tc>
      </w:tr>
      <w:tr w:rsidR="00BA76E3" w:rsidRPr="00447869" w14:paraId="7AD53318" w14:textId="77777777" w:rsidTr="00D11061">
        <w:tc>
          <w:tcPr>
            <w:tcW w:w="1560" w:type="dxa"/>
            <w:shd w:val="clear" w:color="auto" w:fill="D9D9D9" w:themeFill="background1" w:themeFillShade="D9"/>
          </w:tcPr>
          <w:p w14:paraId="7FAB669C" w14:textId="77777777" w:rsidR="00BA76E3" w:rsidRPr="00447869" w:rsidRDefault="00BA76E3" w:rsidP="00282F66">
            <w:pPr>
              <w:spacing w:before="120" w:after="120"/>
              <w:rPr>
                <w:rFonts w:asciiTheme="minorHAnsi" w:hAnsiTheme="minorHAnsi"/>
                <w:b/>
              </w:rPr>
            </w:pPr>
            <w:r w:rsidRPr="00447869">
              <w:rPr>
                <w:rFonts w:asciiTheme="minorHAnsi" w:hAnsiTheme="minorHAnsi"/>
                <w:b/>
              </w:rPr>
              <w:t>Description and Diagnostic Criteria</w:t>
            </w:r>
          </w:p>
          <w:p w14:paraId="6D8C78C3" w14:textId="77777777" w:rsidR="00BA76E3" w:rsidRPr="00447869" w:rsidRDefault="00BA76E3" w:rsidP="00282F66">
            <w:pPr>
              <w:spacing w:before="120" w:after="120"/>
              <w:rPr>
                <w:rFonts w:asciiTheme="minorHAnsi" w:hAnsiTheme="minorHAnsi"/>
              </w:rPr>
            </w:pPr>
          </w:p>
        </w:tc>
        <w:tc>
          <w:tcPr>
            <w:tcW w:w="2977" w:type="dxa"/>
          </w:tcPr>
          <w:p w14:paraId="34CD0A81" w14:textId="70EFA64B" w:rsidR="00BA76E3" w:rsidRPr="00D32E23" w:rsidRDefault="00D11061" w:rsidP="00D32E23">
            <w:pPr>
              <w:spacing w:after="225" w:line="293" w:lineRule="atLeast"/>
              <w:rPr>
                <w:rFonts w:asciiTheme="minorHAnsi" w:eastAsiaTheme="minorHAnsi" w:hAnsiTheme="minorHAnsi" w:cs="Times New Roman"/>
                <w:color w:val="000000"/>
              </w:rPr>
            </w:pPr>
            <w:r w:rsidRPr="00D11061">
              <w:rPr>
                <w:rFonts w:asciiTheme="minorHAnsi" w:eastAsiaTheme="minorHAnsi" w:hAnsiTheme="minorHAnsi" w:cs="Times New Roman"/>
                <w:color w:val="000000"/>
              </w:rPr>
              <w:t>HDN arises from fetomaternal antigen incompatibility and can result in clinically significant foetal/neonatal haemolysis, severe anaemia and hyperbilirubinaemia.</w:t>
            </w:r>
          </w:p>
        </w:tc>
        <w:tc>
          <w:tcPr>
            <w:tcW w:w="5670" w:type="dxa"/>
            <w:gridSpan w:val="3"/>
          </w:tcPr>
          <w:p w14:paraId="30E0D893" w14:textId="2C583513" w:rsidR="008C1497" w:rsidRPr="008C1497" w:rsidRDefault="00282F66" w:rsidP="008C1497">
            <w:pPr>
              <w:rPr>
                <w:rFonts w:asciiTheme="minorHAnsi" w:hAnsiTheme="minorHAnsi" w:cs="Lucida Grande"/>
                <w:color w:val="000000"/>
              </w:rPr>
            </w:pPr>
            <w:r w:rsidRPr="00282F66">
              <w:rPr>
                <w:rFonts w:asciiTheme="minorHAnsi" w:eastAsia="Times New Roman" w:hAnsiTheme="minorHAnsi" w:cs="Times New Roman"/>
                <w:color w:val="000000"/>
                <w:lang w:eastAsia="en-AU"/>
              </w:rPr>
              <w:t xml:space="preserve"> </w:t>
            </w:r>
            <w:r w:rsidR="008C1497" w:rsidRPr="008C1497">
              <w:rPr>
                <w:rFonts w:asciiTheme="minorHAnsi" w:hAnsiTheme="minorHAnsi"/>
              </w:rPr>
              <w:t xml:space="preserve">Haemolytic disease of the fetus and newborn (HDFN) is characterised by a breakdown of RBCs by maternal antibodies. During pregnancy, some of the mother’s antibodies are transported across the placenta and enter the fetal circulation. Antibodies to the RhD, Rhc and Kell antigen are the most common causes of severe HDFN in Australia. </w:t>
            </w:r>
          </w:p>
          <w:p w14:paraId="3CE13FD7" w14:textId="77777777" w:rsidR="008C1497" w:rsidRDefault="008C1497" w:rsidP="008C1497">
            <w:pPr>
              <w:rPr>
                <w:rFonts w:asciiTheme="minorHAnsi" w:hAnsiTheme="minorHAnsi"/>
              </w:rPr>
            </w:pPr>
            <w:r w:rsidRPr="008C1497">
              <w:rPr>
                <w:rFonts w:asciiTheme="minorHAnsi" w:hAnsiTheme="minorHAnsi"/>
              </w:rPr>
              <w:t xml:space="preserve">Anaemia is the most significant problem in utero because excess fetal bilirubin crosses the placenta and is eliminated by the mother. However, bilirubin levels can rise rapidly after birth, leading to the need for intensive phototherapy and exchange transfusion. Exchange transfusions are associated with an increased risk of neonatal morbidity and mortality. </w:t>
            </w:r>
          </w:p>
          <w:p w14:paraId="4EF8EA3A" w14:textId="77777777" w:rsidR="008C1497" w:rsidRPr="008C1497" w:rsidRDefault="008C1497" w:rsidP="008C1497">
            <w:pPr>
              <w:rPr>
                <w:rFonts w:asciiTheme="minorHAnsi" w:hAnsiTheme="minorHAnsi"/>
              </w:rPr>
            </w:pPr>
          </w:p>
          <w:p w14:paraId="285AFD0A" w14:textId="2E8574CD" w:rsidR="008C1497" w:rsidRDefault="008C1497" w:rsidP="008C1497">
            <w:pPr>
              <w:rPr>
                <w:rFonts w:asciiTheme="minorHAnsi" w:hAnsiTheme="minorHAnsi"/>
              </w:rPr>
            </w:pPr>
            <w:r w:rsidRPr="008C1497">
              <w:rPr>
                <w:rFonts w:asciiTheme="minorHAnsi" w:hAnsiTheme="minorHAnsi"/>
              </w:rPr>
              <w:t>In newborn</w:t>
            </w:r>
            <w:r>
              <w:rPr>
                <w:rFonts w:asciiTheme="minorHAnsi" w:hAnsiTheme="minorHAnsi"/>
              </w:rPr>
              <w:t xml:space="preserve">s with haemolytic disease </w:t>
            </w:r>
            <w:r w:rsidRPr="008C1497">
              <w:rPr>
                <w:rFonts w:asciiTheme="minorHAnsi" w:hAnsiTheme="minorHAnsi"/>
              </w:rPr>
              <w:t xml:space="preserve">, the routine use of </w:t>
            </w:r>
            <w:r w:rsidR="008F0897">
              <w:rPr>
                <w:rFonts w:asciiTheme="minorHAnsi" w:hAnsiTheme="minorHAnsi"/>
              </w:rPr>
              <w:t>IVIg</w:t>
            </w:r>
            <w:r w:rsidRPr="008C1497">
              <w:rPr>
                <w:rFonts w:asciiTheme="minorHAnsi" w:hAnsiTheme="minorHAnsi"/>
              </w:rPr>
              <w:t xml:space="preserve"> is not recommended (Recommendation 7, Patient Blood Management Guidelines (PBM) Module 6 - Paediatric and ne</w:t>
            </w:r>
            <w:r>
              <w:rPr>
                <w:rFonts w:asciiTheme="minorHAnsi" w:hAnsiTheme="minorHAnsi"/>
              </w:rPr>
              <w:t xml:space="preserve">onatal). Infants at risk of </w:t>
            </w:r>
            <w:r w:rsidR="00A75B91">
              <w:rPr>
                <w:rFonts w:asciiTheme="minorHAnsi" w:hAnsiTheme="minorHAnsi"/>
              </w:rPr>
              <w:t>haemolytic disease</w:t>
            </w:r>
            <w:r w:rsidRPr="008C1497">
              <w:rPr>
                <w:rFonts w:asciiTheme="minorHAnsi" w:hAnsiTheme="minorHAnsi"/>
              </w:rPr>
              <w:t xml:space="preserve"> should be promptly assessed after birth. Those at high risk of severe jaundice should receive intensive phototherapy. (Practice point 43, PBM, Module 6</w:t>
            </w:r>
            <w:r w:rsidR="00964D8E">
              <w:rPr>
                <w:rFonts w:asciiTheme="minorHAnsi" w:hAnsiTheme="minorHAnsi"/>
              </w:rPr>
              <w:t>, 2016</w:t>
            </w:r>
            <w:r w:rsidRPr="008C1497">
              <w:rPr>
                <w:rFonts w:asciiTheme="minorHAnsi" w:hAnsiTheme="minorHAnsi"/>
              </w:rPr>
              <w:t xml:space="preserve">). </w:t>
            </w:r>
          </w:p>
          <w:p w14:paraId="4EAED54E" w14:textId="77777777" w:rsidR="00C276B8" w:rsidRPr="008C1497" w:rsidRDefault="00C276B8" w:rsidP="008C1497">
            <w:pPr>
              <w:rPr>
                <w:rFonts w:asciiTheme="minorHAnsi" w:hAnsiTheme="minorHAnsi"/>
              </w:rPr>
            </w:pPr>
          </w:p>
          <w:p w14:paraId="04B88159" w14:textId="2BA0B5B1" w:rsidR="00BA76E3" w:rsidRPr="00447869" w:rsidRDefault="008C1497" w:rsidP="008C1497">
            <w:pPr>
              <w:rPr>
                <w:rFonts w:asciiTheme="minorHAnsi" w:hAnsiTheme="minorHAnsi"/>
              </w:rPr>
            </w:pPr>
            <w:r w:rsidRPr="008C1497">
              <w:rPr>
                <w:rFonts w:asciiTheme="minorHAnsi" w:hAnsiTheme="minorHAnsi"/>
              </w:rPr>
              <w:t xml:space="preserve">In maternity patients with a fetus affected by HDFN who is at high risk of early fetal hydrops or death, a course of weekly </w:t>
            </w:r>
            <w:r w:rsidR="008F0897">
              <w:rPr>
                <w:rFonts w:asciiTheme="minorHAnsi" w:hAnsiTheme="minorHAnsi"/>
              </w:rPr>
              <w:t>IVIg</w:t>
            </w:r>
            <w:r w:rsidRPr="008C1497">
              <w:rPr>
                <w:rFonts w:asciiTheme="minorHAnsi" w:hAnsiTheme="minorHAnsi"/>
              </w:rPr>
              <w:t xml:space="preserve"> should be considered. (Expert opinion point 4, PBM Module 6</w:t>
            </w:r>
            <w:r w:rsidR="00964D8E">
              <w:rPr>
                <w:rFonts w:asciiTheme="minorHAnsi" w:hAnsiTheme="minorHAnsi"/>
              </w:rPr>
              <w:t>, 2016</w:t>
            </w:r>
            <w:r w:rsidRPr="008C1497">
              <w:rPr>
                <w:rFonts w:asciiTheme="minorHAnsi" w:hAnsiTheme="minorHAnsi"/>
              </w:rPr>
              <w:t>).</w:t>
            </w:r>
          </w:p>
        </w:tc>
        <w:tc>
          <w:tcPr>
            <w:tcW w:w="4394" w:type="dxa"/>
          </w:tcPr>
          <w:p w14:paraId="3546DE91" w14:textId="31695A00" w:rsidR="00BA76E3" w:rsidRPr="0014680A" w:rsidRDefault="0014680A" w:rsidP="00D45736">
            <w:pPr>
              <w:spacing w:before="120" w:after="120"/>
              <w:rPr>
                <w:rFonts w:asciiTheme="minorHAnsi" w:hAnsiTheme="minorHAnsi"/>
                <w:szCs w:val="20"/>
              </w:rPr>
            </w:pPr>
            <w:r>
              <w:rPr>
                <w:rFonts w:asciiTheme="minorHAnsi" w:hAnsiTheme="minorHAnsi"/>
                <w:szCs w:val="20"/>
              </w:rPr>
              <w:t xml:space="preserve">A more detailed description </w:t>
            </w:r>
            <w:r w:rsidR="005E5A5D">
              <w:rPr>
                <w:rFonts w:asciiTheme="minorHAnsi" w:hAnsiTheme="minorHAnsi"/>
                <w:szCs w:val="20"/>
              </w:rPr>
              <w:t>i</w:t>
            </w:r>
            <w:r>
              <w:rPr>
                <w:rFonts w:asciiTheme="minorHAnsi" w:hAnsiTheme="minorHAnsi"/>
                <w:szCs w:val="20"/>
              </w:rPr>
              <w:t xml:space="preserve">s provided to improve clarity and </w:t>
            </w:r>
            <w:r w:rsidR="00D45736">
              <w:rPr>
                <w:rFonts w:asciiTheme="minorHAnsi" w:hAnsiTheme="minorHAnsi"/>
                <w:szCs w:val="20"/>
              </w:rPr>
              <w:t>reference</w:t>
            </w:r>
            <w:r>
              <w:rPr>
                <w:rFonts w:asciiTheme="minorHAnsi" w:hAnsiTheme="minorHAnsi"/>
                <w:szCs w:val="20"/>
              </w:rPr>
              <w:t xml:space="preserve"> </w:t>
            </w:r>
            <w:r w:rsidR="00D45736">
              <w:rPr>
                <w:rFonts w:asciiTheme="minorHAnsi" w:hAnsiTheme="minorHAnsi"/>
                <w:szCs w:val="20"/>
              </w:rPr>
              <w:t xml:space="preserve">the </w:t>
            </w:r>
            <w:r>
              <w:rPr>
                <w:rFonts w:asciiTheme="minorHAnsi" w:hAnsiTheme="minorHAnsi"/>
                <w:szCs w:val="20"/>
              </w:rPr>
              <w:t xml:space="preserve">PBM guidelines </w:t>
            </w:r>
            <w:r w:rsidR="0078440C">
              <w:rPr>
                <w:rFonts w:asciiTheme="minorHAnsi" w:hAnsiTheme="minorHAnsi"/>
                <w:szCs w:val="20"/>
              </w:rPr>
              <w:t xml:space="preserve">- </w:t>
            </w:r>
            <w:r>
              <w:rPr>
                <w:rFonts w:asciiTheme="minorHAnsi" w:hAnsiTheme="minorHAnsi"/>
                <w:szCs w:val="20"/>
              </w:rPr>
              <w:t xml:space="preserve">Module 6. </w:t>
            </w:r>
          </w:p>
        </w:tc>
      </w:tr>
      <w:tr w:rsidR="00447869" w:rsidRPr="00853117" w14:paraId="501983A5" w14:textId="77777777" w:rsidTr="00C276B8">
        <w:tc>
          <w:tcPr>
            <w:tcW w:w="1560" w:type="dxa"/>
            <w:shd w:val="clear" w:color="auto" w:fill="D9D9D9" w:themeFill="background1" w:themeFillShade="D9"/>
          </w:tcPr>
          <w:p w14:paraId="6016186D" w14:textId="77777777"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2977" w:type="dxa"/>
            <w:vMerge w:val="restart"/>
          </w:tcPr>
          <w:p w14:paraId="4AB3FF6A" w14:textId="77777777" w:rsidR="00447869" w:rsidRPr="00447869" w:rsidRDefault="00282F66" w:rsidP="00021243">
            <w:pPr>
              <w:spacing w:before="120" w:after="120"/>
              <w:rPr>
                <w:rFonts w:asciiTheme="minorHAnsi" w:hAnsiTheme="minorHAnsi"/>
                <w:b/>
              </w:rPr>
            </w:pPr>
            <w:r>
              <w:t xml:space="preserve"> </w:t>
            </w:r>
          </w:p>
        </w:tc>
        <w:tc>
          <w:tcPr>
            <w:tcW w:w="1890" w:type="dxa"/>
          </w:tcPr>
          <w:p w14:paraId="765A5BF9" w14:textId="57F9CFE6" w:rsidR="00447869" w:rsidRPr="00447869" w:rsidRDefault="006320BB" w:rsidP="00021243">
            <w:pPr>
              <w:spacing w:before="120" w:after="120"/>
              <w:rPr>
                <w:rFonts w:asciiTheme="minorHAnsi" w:hAnsiTheme="minorHAnsi"/>
              </w:rPr>
            </w:pPr>
            <w:r>
              <w:rPr>
                <w:rFonts w:asciiTheme="minorHAnsi" w:hAnsiTheme="minorHAnsi"/>
              </w:rPr>
              <w:t>Yes</w:t>
            </w:r>
          </w:p>
        </w:tc>
        <w:tc>
          <w:tcPr>
            <w:tcW w:w="1890" w:type="dxa"/>
            <w:shd w:val="clear" w:color="auto" w:fill="BFBFBF" w:themeFill="background1" w:themeFillShade="BF"/>
          </w:tcPr>
          <w:p w14:paraId="038750D4" w14:textId="77777777"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890" w:type="dxa"/>
          </w:tcPr>
          <w:p w14:paraId="587040C3" w14:textId="77777777" w:rsidR="00964D8E" w:rsidRDefault="006320BB" w:rsidP="00964D8E">
            <w:pPr>
              <w:spacing w:before="120" w:after="120"/>
              <w:rPr>
                <w:rFonts w:asciiTheme="minorHAnsi" w:hAnsiTheme="minorHAnsi"/>
              </w:rPr>
            </w:pPr>
            <w:r w:rsidRPr="006320BB">
              <w:rPr>
                <w:rFonts w:asciiTheme="minorHAnsi" w:hAnsiTheme="minorHAnsi"/>
              </w:rPr>
              <w:t xml:space="preserve">Haematologist </w:t>
            </w:r>
          </w:p>
          <w:p w14:paraId="3632935F" w14:textId="77777777" w:rsidR="00964D8E" w:rsidRDefault="00964D8E" w:rsidP="00964D8E">
            <w:pPr>
              <w:spacing w:before="120" w:after="120"/>
              <w:rPr>
                <w:rFonts w:asciiTheme="minorHAnsi" w:hAnsiTheme="minorHAnsi"/>
              </w:rPr>
            </w:pPr>
            <w:r>
              <w:rPr>
                <w:rFonts w:asciiTheme="minorHAnsi" w:hAnsiTheme="minorHAnsi"/>
              </w:rPr>
              <w:t xml:space="preserve">General Physician </w:t>
            </w:r>
          </w:p>
          <w:p w14:paraId="793481BF" w14:textId="0D5204DA" w:rsidR="00447869" w:rsidRPr="00447869" w:rsidRDefault="006320BB" w:rsidP="00964D8E">
            <w:pPr>
              <w:spacing w:before="120" w:after="120"/>
              <w:rPr>
                <w:rFonts w:asciiTheme="minorHAnsi" w:hAnsiTheme="minorHAnsi"/>
              </w:rPr>
            </w:pPr>
            <w:r w:rsidRPr="006320BB">
              <w:rPr>
                <w:rFonts w:asciiTheme="minorHAnsi" w:hAnsiTheme="minorHAnsi"/>
              </w:rPr>
              <w:t>Obstetrician</w:t>
            </w:r>
          </w:p>
        </w:tc>
        <w:tc>
          <w:tcPr>
            <w:tcW w:w="4394" w:type="dxa"/>
            <w:vMerge w:val="restart"/>
          </w:tcPr>
          <w:p w14:paraId="6E626715" w14:textId="31AE8E8A" w:rsidR="00447869" w:rsidRPr="00C92149" w:rsidRDefault="0014680A" w:rsidP="00D54836">
            <w:pPr>
              <w:spacing w:before="120" w:after="120"/>
              <w:ind w:right="90"/>
              <w:rPr>
                <w:rFonts w:asciiTheme="minorHAnsi" w:hAnsiTheme="minorHAnsi"/>
                <w:szCs w:val="20"/>
              </w:rPr>
            </w:pPr>
            <w:r>
              <w:rPr>
                <w:rFonts w:asciiTheme="minorHAnsi" w:hAnsiTheme="minorHAnsi"/>
                <w:szCs w:val="20"/>
              </w:rPr>
              <w:t xml:space="preserve">This condition requires specialist care. </w:t>
            </w:r>
          </w:p>
        </w:tc>
      </w:tr>
      <w:tr w:rsidR="00447869" w:rsidRPr="00853117" w14:paraId="2CDF9FA7" w14:textId="77777777" w:rsidTr="00C276B8">
        <w:tc>
          <w:tcPr>
            <w:tcW w:w="1560" w:type="dxa"/>
            <w:shd w:val="clear" w:color="auto" w:fill="D9D9D9" w:themeFill="background1" w:themeFillShade="D9"/>
          </w:tcPr>
          <w:p w14:paraId="7DDC23E2" w14:textId="77777777" w:rsidR="00447869" w:rsidRPr="00447869" w:rsidRDefault="00447869" w:rsidP="00021243">
            <w:pPr>
              <w:spacing w:before="120" w:after="120"/>
              <w:rPr>
                <w:rFonts w:asciiTheme="minorHAnsi" w:hAnsiTheme="minorHAnsi"/>
                <w:b/>
              </w:rPr>
            </w:pPr>
            <w:r w:rsidRPr="00447869">
              <w:rPr>
                <w:rFonts w:asciiTheme="minorHAnsi" w:hAnsiTheme="minorHAnsi"/>
                <w:b/>
              </w:rPr>
              <w:t>Diagnosis must be verified</w:t>
            </w:r>
          </w:p>
        </w:tc>
        <w:tc>
          <w:tcPr>
            <w:tcW w:w="2977" w:type="dxa"/>
            <w:vMerge/>
          </w:tcPr>
          <w:p w14:paraId="0159983B" w14:textId="77777777" w:rsidR="00447869" w:rsidRPr="00447869" w:rsidRDefault="00447869" w:rsidP="00021243">
            <w:pPr>
              <w:spacing w:before="120" w:after="120"/>
              <w:rPr>
                <w:rFonts w:asciiTheme="minorHAnsi" w:hAnsiTheme="minorHAnsi"/>
              </w:rPr>
            </w:pPr>
          </w:p>
        </w:tc>
        <w:tc>
          <w:tcPr>
            <w:tcW w:w="1890" w:type="dxa"/>
          </w:tcPr>
          <w:p w14:paraId="6531BE1D" w14:textId="25A99A93" w:rsidR="00447869" w:rsidRPr="00447869" w:rsidRDefault="006320BB" w:rsidP="00021243">
            <w:pPr>
              <w:spacing w:before="120" w:after="120"/>
              <w:rPr>
                <w:rFonts w:asciiTheme="minorHAnsi" w:hAnsiTheme="minorHAnsi"/>
              </w:rPr>
            </w:pPr>
            <w:r>
              <w:rPr>
                <w:rFonts w:asciiTheme="minorHAnsi" w:hAnsiTheme="minorHAnsi"/>
              </w:rPr>
              <w:t>No</w:t>
            </w:r>
          </w:p>
        </w:tc>
        <w:tc>
          <w:tcPr>
            <w:tcW w:w="1890" w:type="dxa"/>
            <w:shd w:val="clear" w:color="auto" w:fill="BFBFBF" w:themeFill="background1" w:themeFillShade="BF"/>
          </w:tcPr>
          <w:p w14:paraId="40573E98" w14:textId="77777777"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890" w:type="dxa"/>
          </w:tcPr>
          <w:p w14:paraId="6E092D46" w14:textId="77777777" w:rsidR="00447869" w:rsidRPr="00447869" w:rsidRDefault="00447869" w:rsidP="00021243">
            <w:pPr>
              <w:spacing w:before="120" w:after="120"/>
              <w:rPr>
                <w:rFonts w:asciiTheme="minorHAnsi" w:hAnsiTheme="minorHAnsi"/>
              </w:rPr>
            </w:pPr>
          </w:p>
        </w:tc>
        <w:tc>
          <w:tcPr>
            <w:tcW w:w="4394" w:type="dxa"/>
            <w:vMerge/>
          </w:tcPr>
          <w:p w14:paraId="711AD162" w14:textId="77777777" w:rsidR="00447869" w:rsidRPr="00C92149" w:rsidRDefault="00447869" w:rsidP="00021243">
            <w:pPr>
              <w:spacing w:before="120" w:after="120"/>
              <w:rPr>
                <w:rFonts w:asciiTheme="minorHAnsi" w:hAnsiTheme="minorHAnsi"/>
                <w:szCs w:val="20"/>
              </w:rPr>
            </w:pPr>
          </w:p>
        </w:tc>
      </w:tr>
      <w:tr w:rsidR="00447869" w:rsidRPr="00853117" w14:paraId="69918123" w14:textId="77777777" w:rsidTr="00D11061">
        <w:tc>
          <w:tcPr>
            <w:tcW w:w="1560" w:type="dxa"/>
            <w:shd w:val="clear" w:color="auto" w:fill="D9D9D9" w:themeFill="background1" w:themeFillShade="D9"/>
          </w:tcPr>
          <w:p w14:paraId="0A535856" w14:textId="7952A57B" w:rsidR="00447869" w:rsidRPr="00B74372" w:rsidRDefault="00447869" w:rsidP="00021243">
            <w:pPr>
              <w:spacing w:before="120" w:after="120"/>
              <w:rPr>
                <w:rFonts w:asciiTheme="minorHAnsi" w:hAnsiTheme="minorHAnsi"/>
                <w:b/>
              </w:rPr>
            </w:pPr>
            <w:r w:rsidRPr="00447869">
              <w:rPr>
                <w:rFonts w:asciiTheme="minorHAnsi" w:hAnsiTheme="minorHAnsi"/>
                <w:b/>
              </w:rPr>
              <w:t>Exclusion Criteria</w:t>
            </w:r>
          </w:p>
        </w:tc>
        <w:tc>
          <w:tcPr>
            <w:tcW w:w="2977" w:type="dxa"/>
          </w:tcPr>
          <w:p w14:paraId="3A708D38" w14:textId="77777777" w:rsidR="00447869" w:rsidRPr="00447869" w:rsidRDefault="00282F66" w:rsidP="00021243">
            <w:pPr>
              <w:spacing w:before="120" w:after="120"/>
              <w:rPr>
                <w:rFonts w:asciiTheme="minorHAnsi" w:hAnsiTheme="minorHAnsi"/>
              </w:rPr>
            </w:pPr>
            <w:r>
              <w:rPr>
                <w:rFonts w:asciiTheme="minorHAnsi" w:hAnsiTheme="minorHAnsi"/>
              </w:rPr>
              <w:t xml:space="preserve"> </w:t>
            </w:r>
          </w:p>
        </w:tc>
        <w:tc>
          <w:tcPr>
            <w:tcW w:w="5670" w:type="dxa"/>
            <w:gridSpan w:val="3"/>
          </w:tcPr>
          <w:p w14:paraId="0AE67D1B" w14:textId="2510EE9D" w:rsidR="00447869" w:rsidRPr="006320BB" w:rsidRDefault="006320BB" w:rsidP="00021243">
            <w:pPr>
              <w:spacing w:before="120" w:after="120"/>
              <w:rPr>
                <w:rFonts w:asciiTheme="minorHAnsi" w:hAnsiTheme="minorHAnsi"/>
              </w:rPr>
            </w:pPr>
            <w:r w:rsidRPr="006320BB">
              <w:rPr>
                <w:rFonts w:asciiTheme="minorHAnsi" w:hAnsiTheme="minorHAnsi"/>
              </w:rPr>
              <w:t>Haemolytic disease of the newborn</w:t>
            </w:r>
          </w:p>
        </w:tc>
        <w:tc>
          <w:tcPr>
            <w:tcW w:w="4394" w:type="dxa"/>
          </w:tcPr>
          <w:p w14:paraId="475A2D87" w14:textId="3E338482" w:rsidR="00447869" w:rsidRPr="00C92149" w:rsidRDefault="0014680A" w:rsidP="003A1F9D">
            <w:pPr>
              <w:spacing w:before="120" w:after="120"/>
              <w:rPr>
                <w:rFonts w:asciiTheme="minorHAnsi" w:hAnsiTheme="minorHAnsi"/>
                <w:szCs w:val="20"/>
              </w:rPr>
            </w:pPr>
            <w:r>
              <w:rPr>
                <w:rFonts w:asciiTheme="minorHAnsi" w:hAnsiTheme="minorHAnsi"/>
                <w:szCs w:val="20"/>
              </w:rPr>
              <w:t xml:space="preserve">In accordance with PBM guidelines: Module 6, newborns should be treated with intensive phototherapy and not </w:t>
            </w:r>
            <w:r w:rsidR="008F0897">
              <w:rPr>
                <w:rFonts w:asciiTheme="minorHAnsi" w:hAnsiTheme="minorHAnsi"/>
                <w:szCs w:val="20"/>
              </w:rPr>
              <w:t>IVIg</w:t>
            </w:r>
            <w:r>
              <w:rPr>
                <w:rFonts w:asciiTheme="minorHAnsi" w:hAnsiTheme="minorHAnsi"/>
                <w:szCs w:val="20"/>
              </w:rPr>
              <w:t>.</w:t>
            </w:r>
          </w:p>
        </w:tc>
      </w:tr>
      <w:tr w:rsidR="00021243" w:rsidRPr="00853117" w14:paraId="6183882E" w14:textId="77777777" w:rsidTr="00D11061">
        <w:tc>
          <w:tcPr>
            <w:tcW w:w="1560" w:type="dxa"/>
            <w:shd w:val="clear" w:color="auto" w:fill="D9D9D9" w:themeFill="background1" w:themeFillShade="D9"/>
          </w:tcPr>
          <w:p w14:paraId="0E14078A" w14:textId="77777777" w:rsidR="00021243" w:rsidRPr="00447869" w:rsidRDefault="00021243" w:rsidP="00964D8E">
            <w:pPr>
              <w:spacing w:before="120" w:after="120"/>
              <w:rPr>
                <w:rFonts w:asciiTheme="minorHAnsi" w:hAnsiTheme="minorHAnsi"/>
              </w:rPr>
            </w:pPr>
            <w:r w:rsidRPr="00447869">
              <w:rPr>
                <w:rFonts w:asciiTheme="minorHAnsi" w:hAnsiTheme="minorHAnsi"/>
                <w:b/>
              </w:rPr>
              <w:t>Qualifying Criteria</w:t>
            </w:r>
          </w:p>
        </w:tc>
        <w:tc>
          <w:tcPr>
            <w:tcW w:w="2977" w:type="dxa"/>
          </w:tcPr>
          <w:p w14:paraId="12C416DE" w14:textId="1A5EE4DD" w:rsidR="00D11061" w:rsidRPr="00D11061" w:rsidRDefault="008F0897" w:rsidP="00D11061">
            <w:pPr>
              <w:pStyle w:val="Default"/>
              <w:spacing w:before="120" w:after="120"/>
              <w:rPr>
                <w:rFonts w:ascii="Calibri" w:hAnsi="Calibri"/>
                <w:b/>
                <w:sz w:val="22"/>
                <w:szCs w:val="22"/>
              </w:rPr>
            </w:pPr>
            <w:r>
              <w:rPr>
                <w:rFonts w:ascii="Calibri" w:hAnsi="Calibri"/>
                <w:b/>
                <w:sz w:val="22"/>
                <w:szCs w:val="22"/>
              </w:rPr>
              <w:t>IVIg</w:t>
            </w:r>
            <w:r w:rsidR="00D11061" w:rsidRPr="00D11061">
              <w:rPr>
                <w:rFonts w:ascii="Calibri" w:hAnsi="Calibri"/>
                <w:b/>
                <w:sz w:val="22"/>
                <w:szCs w:val="22"/>
              </w:rPr>
              <w:t xml:space="preserve"> may be used in selected cases in consultation with experts in fetomaternal medicine and transfusion medicine.</w:t>
            </w:r>
          </w:p>
          <w:p w14:paraId="7CBF751F" w14:textId="280B8B9B" w:rsidR="00021243" w:rsidRPr="00B74372" w:rsidRDefault="00D11061" w:rsidP="00B74372">
            <w:pPr>
              <w:pStyle w:val="Default"/>
              <w:spacing w:before="120" w:after="120"/>
              <w:ind w:left="318"/>
              <w:rPr>
                <w:rFonts w:ascii="Calibri" w:hAnsi="Calibri"/>
                <w:sz w:val="22"/>
                <w:szCs w:val="22"/>
              </w:rPr>
            </w:pPr>
            <w:r w:rsidRPr="00D11061">
              <w:rPr>
                <w:rFonts w:ascii="Calibri" w:hAnsi="Calibri"/>
                <w:sz w:val="22"/>
                <w:szCs w:val="22"/>
              </w:rPr>
              <w:t xml:space="preserve">In maternity patients with a fetus affected by HDFN who is at high risk of early fetal hydrops or death, a course of weekly </w:t>
            </w:r>
            <w:r w:rsidR="008F0897">
              <w:rPr>
                <w:rFonts w:ascii="Calibri" w:hAnsi="Calibri"/>
                <w:sz w:val="22"/>
                <w:szCs w:val="22"/>
              </w:rPr>
              <w:t>IVIg</w:t>
            </w:r>
            <w:r w:rsidRPr="00D11061">
              <w:rPr>
                <w:rFonts w:ascii="Calibri" w:hAnsi="Calibri"/>
                <w:sz w:val="22"/>
                <w:szCs w:val="22"/>
              </w:rPr>
              <w:t xml:space="preserve"> should be considered. (Expert opinion point 4, Patient Blood Management Guidelines – Module 6 – Paediatric and neonatal, Section 3.5.2.)</w:t>
            </w:r>
          </w:p>
        </w:tc>
        <w:tc>
          <w:tcPr>
            <w:tcW w:w="5670" w:type="dxa"/>
            <w:gridSpan w:val="3"/>
          </w:tcPr>
          <w:p w14:paraId="5C8CD546" w14:textId="77777777" w:rsidR="0046093D" w:rsidRDefault="0046093D" w:rsidP="001072C8">
            <w:pPr>
              <w:pStyle w:val="ListParagraph"/>
              <w:spacing w:before="100" w:beforeAutospacing="1"/>
              <w:rPr>
                <w:rFonts w:asciiTheme="minorHAnsi" w:hAnsiTheme="minorHAnsi"/>
              </w:rPr>
            </w:pPr>
          </w:p>
          <w:p w14:paraId="0A5A3BCD" w14:textId="77777777" w:rsidR="001072C8" w:rsidRDefault="001072C8" w:rsidP="00964D8E">
            <w:pPr>
              <w:pStyle w:val="ListParagraph"/>
              <w:numPr>
                <w:ilvl w:val="0"/>
                <w:numId w:val="49"/>
              </w:numPr>
              <w:spacing w:before="100" w:beforeAutospacing="1"/>
              <w:rPr>
                <w:rFonts w:asciiTheme="minorHAnsi" w:hAnsiTheme="minorHAnsi"/>
              </w:rPr>
            </w:pPr>
            <w:r w:rsidRPr="001072C8">
              <w:rPr>
                <w:rFonts w:asciiTheme="minorHAnsi" w:hAnsiTheme="minorHAnsi"/>
              </w:rPr>
              <w:t>Fetus affected by severe Haemolytic disease</w:t>
            </w:r>
          </w:p>
          <w:p w14:paraId="524D3BA0" w14:textId="77777777" w:rsidR="001072C8" w:rsidRPr="001072C8" w:rsidRDefault="001072C8" w:rsidP="00964D8E">
            <w:pPr>
              <w:pStyle w:val="ListParagraph"/>
              <w:spacing w:before="100" w:beforeAutospacing="1"/>
              <w:ind w:left="34"/>
              <w:rPr>
                <w:rFonts w:asciiTheme="minorHAnsi" w:hAnsiTheme="minorHAnsi"/>
              </w:rPr>
            </w:pPr>
          </w:p>
          <w:p w14:paraId="3BD0BF72" w14:textId="77777777" w:rsidR="001072C8" w:rsidRDefault="001072C8" w:rsidP="00964D8E">
            <w:pPr>
              <w:pStyle w:val="ListParagraph"/>
              <w:spacing w:before="100" w:beforeAutospacing="1"/>
              <w:ind w:left="34"/>
              <w:rPr>
                <w:rFonts w:asciiTheme="minorHAnsi" w:hAnsiTheme="minorHAnsi"/>
              </w:rPr>
            </w:pPr>
          </w:p>
          <w:p w14:paraId="40CEA8DE" w14:textId="044DE82D" w:rsidR="001072C8" w:rsidRDefault="001072C8" w:rsidP="0029585C">
            <w:pPr>
              <w:pStyle w:val="ListParagraph"/>
              <w:spacing w:before="100" w:beforeAutospacing="1"/>
              <w:ind w:left="34"/>
              <w:rPr>
                <w:rFonts w:asciiTheme="minorHAnsi" w:hAnsiTheme="minorHAnsi"/>
              </w:rPr>
            </w:pPr>
            <w:r w:rsidRPr="001072C8">
              <w:rPr>
                <w:rFonts w:asciiTheme="minorHAnsi" w:hAnsiTheme="minorHAnsi"/>
              </w:rPr>
              <w:t>AND</w:t>
            </w:r>
          </w:p>
          <w:p w14:paraId="1C716B33" w14:textId="77777777" w:rsidR="001072C8" w:rsidRPr="001072C8" w:rsidRDefault="001072C8" w:rsidP="00964D8E">
            <w:pPr>
              <w:pStyle w:val="ListParagraph"/>
              <w:spacing w:before="100" w:beforeAutospacing="1"/>
              <w:ind w:left="34"/>
              <w:rPr>
                <w:rFonts w:asciiTheme="minorHAnsi" w:hAnsiTheme="minorHAnsi"/>
              </w:rPr>
            </w:pPr>
          </w:p>
          <w:p w14:paraId="53311255" w14:textId="77777777" w:rsidR="001072C8" w:rsidRPr="001072C8" w:rsidRDefault="001072C8" w:rsidP="00964D8E">
            <w:pPr>
              <w:pStyle w:val="ListParagraph"/>
              <w:numPr>
                <w:ilvl w:val="0"/>
                <w:numId w:val="49"/>
              </w:numPr>
              <w:spacing w:before="100" w:beforeAutospacing="1"/>
              <w:rPr>
                <w:rFonts w:asciiTheme="minorHAnsi" w:hAnsiTheme="minorHAnsi"/>
              </w:rPr>
            </w:pPr>
            <w:r w:rsidRPr="001072C8">
              <w:rPr>
                <w:rFonts w:asciiTheme="minorHAnsi" w:hAnsiTheme="minorHAnsi"/>
              </w:rPr>
              <w:t>High risk of early fetal hydrops or death</w:t>
            </w:r>
          </w:p>
          <w:p w14:paraId="57FD2809" w14:textId="4CA2150B" w:rsidR="006320BB" w:rsidRPr="001072C8" w:rsidRDefault="006320BB" w:rsidP="001072C8">
            <w:pPr>
              <w:pStyle w:val="ListParagraph"/>
              <w:spacing w:before="100" w:beforeAutospacing="1"/>
              <w:rPr>
                <w:rFonts w:asciiTheme="minorHAnsi" w:hAnsiTheme="minorHAnsi"/>
              </w:rPr>
            </w:pPr>
          </w:p>
        </w:tc>
        <w:tc>
          <w:tcPr>
            <w:tcW w:w="4394" w:type="dxa"/>
          </w:tcPr>
          <w:p w14:paraId="25F5D230" w14:textId="67164382" w:rsidR="008515FF" w:rsidRPr="00C92149" w:rsidRDefault="00D54836" w:rsidP="008515FF">
            <w:pPr>
              <w:spacing w:before="120" w:after="120"/>
              <w:rPr>
                <w:rFonts w:asciiTheme="minorHAnsi" w:hAnsiTheme="minorHAnsi"/>
                <w:szCs w:val="20"/>
              </w:rPr>
            </w:pPr>
            <w:r>
              <w:rPr>
                <w:szCs w:val="20"/>
              </w:rPr>
              <w:t>Q</w:t>
            </w:r>
            <w:r w:rsidR="0014680A">
              <w:rPr>
                <w:szCs w:val="20"/>
              </w:rPr>
              <w:t>ualifying criteria reflect the guidance provided in the PBM Guidelines Module 6.</w:t>
            </w:r>
          </w:p>
          <w:p w14:paraId="628D4B02" w14:textId="77777777" w:rsidR="00880ECB" w:rsidRPr="00C92149" w:rsidRDefault="00880ECB" w:rsidP="003A1F9D">
            <w:pPr>
              <w:spacing w:before="120" w:after="120"/>
              <w:rPr>
                <w:rFonts w:asciiTheme="minorHAnsi" w:hAnsiTheme="minorHAnsi"/>
                <w:szCs w:val="20"/>
              </w:rPr>
            </w:pPr>
          </w:p>
        </w:tc>
      </w:tr>
      <w:tr w:rsidR="00021243" w:rsidRPr="00853117" w14:paraId="593B081D" w14:textId="77777777" w:rsidTr="00D11061">
        <w:tc>
          <w:tcPr>
            <w:tcW w:w="1560" w:type="dxa"/>
            <w:shd w:val="clear" w:color="auto" w:fill="D9D9D9" w:themeFill="background1" w:themeFillShade="D9"/>
          </w:tcPr>
          <w:p w14:paraId="0E0C419A" w14:textId="77777777" w:rsidR="00021243" w:rsidRPr="00FB6B5D" w:rsidRDefault="00021243" w:rsidP="00FB6B5D">
            <w:pPr>
              <w:rPr>
                <w:b/>
              </w:rPr>
            </w:pPr>
            <w:r w:rsidRPr="00FB6B5D">
              <w:rPr>
                <w:b/>
              </w:rPr>
              <w:lastRenderedPageBreak/>
              <w:t>Review Criteria</w:t>
            </w:r>
          </w:p>
        </w:tc>
        <w:tc>
          <w:tcPr>
            <w:tcW w:w="2977" w:type="dxa"/>
          </w:tcPr>
          <w:p w14:paraId="073D7236" w14:textId="77777777" w:rsidR="00021243" w:rsidRPr="00991850" w:rsidRDefault="00282F66" w:rsidP="00021243">
            <w:pPr>
              <w:pStyle w:val="Default"/>
              <w:spacing w:before="120" w:after="120"/>
              <w:rPr>
                <w:rFonts w:asciiTheme="minorHAnsi" w:hAnsiTheme="minorHAnsi"/>
                <w:sz w:val="22"/>
                <w:szCs w:val="22"/>
              </w:rPr>
            </w:pPr>
            <w:r>
              <w:rPr>
                <w:rFonts w:asciiTheme="minorHAnsi" w:hAnsiTheme="minorHAnsi"/>
                <w:sz w:val="22"/>
                <w:szCs w:val="22"/>
              </w:rPr>
              <w:t xml:space="preserve"> </w:t>
            </w:r>
          </w:p>
          <w:p w14:paraId="5B533D1C" w14:textId="77777777" w:rsidR="00021243" w:rsidRPr="00447869" w:rsidRDefault="00021243" w:rsidP="00021243">
            <w:pPr>
              <w:spacing w:before="120" w:after="120"/>
              <w:rPr>
                <w:rFonts w:asciiTheme="minorHAnsi" w:hAnsiTheme="minorHAnsi"/>
              </w:rPr>
            </w:pPr>
          </w:p>
        </w:tc>
        <w:tc>
          <w:tcPr>
            <w:tcW w:w="5670" w:type="dxa"/>
            <w:gridSpan w:val="3"/>
          </w:tcPr>
          <w:p w14:paraId="74FA8027" w14:textId="2C0FDCBA" w:rsidR="001072C8" w:rsidRPr="001072C8" w:rsidRDefault="001072C8" w:rsidP="001072C8">
            <w:pPr>
              <w:spacing w:before="120" w:after="120"/>
              <w:rPr>
                <w:rFonts w:eastAsiaTheme="minorHAnsi" w:cs="DIN-Light"/>
                <w:color w:val="000000"/>
              </w:rPr>
            </w:pPr>
            <w:r w:rsidRPr="001072C8">
              <w:rPr>
                <w:rFonts w:eastAsiaTheme="minorHAnsi" w:cs="DIN-Light"/>
                <w:color w:val="000000"/>
              </w:rPr>
              <w:t xml:space="preserve">Review is not mandated for this condition. </w:t>
            </w:r>
          </w:p>
          <w:p w14:paraId="04B6A2DF" w14:textId="5E789F81" w:rsidR="001072C8" w:rsidRPr="001072C8" w:rsidRDefault="001072C8" w:rsidP="001072C8">
            <w:pPr>
              <w:spacing w:before="120" w:after="120"/>
              <w:rPr>
                <w:rFonts w:eastAsiaTheme="minorHAnsi" w:cs="DIN-Light"/>
                <w:color w:val="000000"/>
              </w:rPr>
            </w:pPr>
            <w:r w:rsidRPr="001072C8">
              <w:rPr>
                <w:rFonts w:eastAsiaTheme="minorHAnsi" w:cs="DIN-Light"/>
                <w:color w:val="000000"/>
              </w:rPr>
              <w:t xml:space="preserve">Clinical effectiveness of Ig therapy can be demonstrated by: </w:t>
            </w:r>
          </w:p>
          <w:p w14:paraId="6D9304D9" w14:textId="77777777" w:rsidR="001072C8" w:rsidRPr="001072C8" w:rsidRDefault="001072C8" w:rsidP="001072C8">
            <w:pPr>
              <w:pStyle w:val="ListParagraph"/>
              <w:numPr>
                <w:ilvl w:val="0"/>
                <w:numId w:val="48"/>
              </w:numPr>
              <w:spacing w:before="120" w:after="120"/>
              <w:rPr>
                <w:rFonts w:eastAsiaTheme="minorHAnsi" w:cs="DIN-Light"/>
                <w:color w:val="000000"/>
              </w:rPr>
            </w:pPr>
            <w:r w:rsidRPr="001072C8">
              <w:rPr>
                <w:rFonts w:eastAsiaTheme="minorHAnsi" w:cs="DIN-Light"/>
                <w:color w:val="000000"/>
              </w:rPr>
              <w:t>Live birth</w:t>
            </w:r>
          </w:p>
          <w:p w14:paraId="63F58AC3" w14:textId="52AC8671" w:rsidR="00021243" w:rsidRPr="001072C8" w:rsidRDefault="001072C8" w:rsidP="00663A92">
            <w:pPr>
              <w:pStyle w:val="ListParagraph"/>
              <w:spacing w:before="120" w:after="120"/>
              <w:rPr>
                <w:rFonts w:eastAsiaTheme="minorHAnsi" w:cs="DIN-Light"/>
                <w:color w:val="000000"/>
              </w:rPr>
            </w:pPr>
            <w:r w:rsidRPr="001072C8">
              <w:rPr>
                <w:rFonts w:eastAsiaTheme="minorHAnsi" w:cs="DIN-Light"/>
                <w:color w:val="000000"/>
              </w:rPr>
              <w:t xml:space="preserve"> </w:t>
            </w:r>
          </w:p>
        </w:tc>
        <w:tc>
          <w:tcPr>
            <w:tcW w:w="4394" w:type="dxa"/>
          </w:tcPr>
          <w:p w14:paraId="756FB336" w14:textId="375F31B2" w:rsidR="00BD6C2D" w:rsidRPr="00C92149" w:rsidRDefault="00073F07" w:rsidP="00552C3F">
            <w:pPr>
              <w:spacing w:before="120" w:after="120"/>
              <w:rPr>
                <w:rFonts w:asciiTheme="minorHAnsi" w:hAnsiTheme="minorHAnsi"/>
                <w:szCs w:val="20"/>
              </w:rPr>
            </w:pPr>
            <w:r>
              <w:rPr>
                <w:szCs w:val="20"/>
              </w:rPr>
              <w:t xml:space="preserve">Review is not mandated for this condition as </w:t>
            </w:r>
            <w:r w:rsidR="006B7217">
              <w:rPr>
                <w:szCs w:val="20"/>
              </w:rPr>
              <w:t xml:space="preserve">treatment continues for the length of the pregnancy.  </w:t>
            </w:r>
            <w:r>
              <w:rPr>
                <w:szCs w:val="20"/>
              </w:rPr>
              <w:t xml:space="preserve"> </w:t>
            </w:r>
            <w:r w:rsidR="00552C3F">
              <w:rPr>
                <w:szCs w:val="20"/>
              </w:rPr>
              <w:t xml:space="preserve">An </w:t>
            </w:r>
            <w:r w:rsidR="0078440C">
              <w:rPr>
                <w:szCs w:val="20"/>
              </w:rPr>
              <w:t>outcome</w:t>
            </w:r>
            <w:r w:rsidR="006B7217">
              <w:rPr>
                <w:szCs w:val="20"/>
              </w:rPr>
              <w:t xml:space="preserve"> ha</w:t>
            </w:r>
            <w:r w:rsidR="00552C3F">
              <w:rPr>
                <w:szCs w:val="20"/>
              </w:rPr>
              <w:t>s</w:t>
            </w:r>
            <w:r w:rsidR="006B7217">
              <w:rPr>
                <w:szCs w:val="20"/>
              </w:rPr>
              <w:t xml:space="preserve"> been defined to support </w:t>
            </w:r>
            <w:r w:rsidR="0078440C">
              <w:rPr>
                <w:szCs w:val="20"/>
              </w:rPr>
              <w:t xml:space="preserve">assessment of the effectiveness of Ig therapy. </w:t>
            </w:r>
          </w:p>
        </w:tc>
      </w:tr>
      <w:tr w:rsidR="00021243" w:rsidRPr="00853117" w14:paraId="1DBED716" w14:textId="77777777" w:rsidTr="00D11061">
        <w:tc>
          <w:tcPr>
            <w:tcW w:w="1560" w:type="dxa"/>
            <w:shd w:val="clear" w:color="auto" w:fill="D9D9D9" w:themeFill="background1" w:themeFillShade="D9"/>
          </w:tcPr>
          <w:p w14:paraId="48B33725" w14:textId="77777777" w:rsidR="00021243" w:rsidRPr="00FB6B5D" w:rsidRDefault="00021243" w:rsidP="00FB6B5D">
            <w:pPr>
              <w:rPr>
                <w:b/>
              </w:rPr>
            </w:pPr>
            <w:r w:rsidRPr="00FB6B5D">
              <w:rPr>
                <w:b/>
              </w:rPr>
              <w:t>Dose</w:t>
            </w:r>
          </w:p>
        </w:tc>
        <w:tc>
          <w:tcPr>
            <w:tcW w:w="2977" w:type="dxa"/>
          </w:tcPr>
          <w:p w14:paraId="1C2BF844" w14:textId="3A251013" w:rsidR="00D32E23" w:rsidRPr="00D32E23" w:rsidRDefault="00D32E23" w:rsidP="00D32E23">
            <w:pPr>
              <w:spacing w:before="120" w:after="120"/>
              <w:rPr>
                <w:rFonts w:asciiTheme="minorHAnsi" w:eastAsiaTheme="minorHAnsi" w:hAnsiTheme="minorHAnsi" w:cs="Times New Roman"/>
                <w:color w:val="000000"/>
              </w:rPr>
            </w:pPr>
            <w:r w:rsidRPr="00D32E23">
              <w:rPr>
                <w:rFonts w:asciiTheme="minorHAnsi" w:eastAsiaTheme="minorHAnsi" w:hAnsiTheme="minorHAnsi" w:cs="Times New Roman"/>
                <w:color w:val="000000"/>
              </w:rPr>
              <w:t>Refer to the current product information sheet for further information.</w:t>
            </w:r>
          </w:p>
          <w:p w14:paraId="5DE00D56" w14:textId="77777777" w:rsidR="00021243" w:rsidRPr="00447869" w:rsidRDefault="00D32E23" w:rsidP="00D32E23">
            <w:pPr>
              <w:spacing w:before="120" w:after="120"/>
              <w:rPr>
                <w:rFonts w:asciiTheme="minorHAnsi" w:hAnsiTheme="minorHAnsi"/>
                <w:b/>
              </w:rPr>
            </w:pPr>
            <w:r w:rsidRPr="00D32E23">
              <w:rPr>
                <w:rFonts w:asciiTheme="minorHAnsi" w:eastAsiaTheme="minorHAnsi" w:hAnsiTheme="minorHAnsi" w:cs="Times New Roman"/>
                <w:color w:val="000000"/>
              </w:rPr>
              <w:t>The aim should be to use the lowest dose possible that achieves the appropriate clinical outcome for each patient.</w:t>
            </w:r>
          </w:p>
        </w:tc>
        <w:tc>
          <w:tcPr>
            <w:tcW w:w="5670" w:type="dxa"/>
            <w:gridSpan w:val="3"/>
          </w:tcPr>
          <w:p w14:paraId="47CC72AC" w14:textId="06DA0B8A" w:rsidR="001072C8" w:rsidRPr="001072C8" w:rsidRDefault="001072C8" w:rsidP="001072C8">
            <w:pPr>
              <w:spacing w:before="120" w:after="120"/>
              <w:rPr>
                <w:rFonts w:asciiTheme="minorHAnsi" w:hAnsiTheme="minorHAnsi"/>
              </w:rPr>
            </w:pPr>
            <w:r w:rsidRPr="00964D8E">
              <w:rPr>
                <w:rFonts w:asciiTheme="minorHAnsi" w:hAnsiTheme="minorHAnsi"/>
                <w:b/>
              </w:rPr>
              <w:t>Dose during pregnancy</w:t>
            </w:r>
            <w:r w:rsidRPr="001072C8">
              <w:rPr>
                <w:rFonts w:asciiTheme="minorHAnsi" w:hAnsiTheme="minorHAnsi"/>
              </w:rPr>
              <w:t xml:space="preserve">: </w:t>
            </w:r>
            <w:r w:rsidRPr="002A1261">
              <w:rPr>
                <w:rFonts w:asciiTheme="minorHAnsi" w:hAnsiTheme="minorHAnsi"/>
                <w:b/>
              </w:rPr>
              <w:t>1 g/kg (up to a maximum weight of 100 kg) weekly throughout pregnancy.</w:t>
            </w:r>
            <w:r w:rsidRPr="001072C8">
              <w:rPr>
                <w:rFonts w:asciiTheme="minorHAnsi" w:hAnsiTheme="minorHAnsi"/>
              </w:rPr>
              <w:t xml:space="preserve"> </w:t>
            </w:r>
          </w:p>
          <w:p w14:paraId="119C634F" w14:textId="575584F2" w:rsidR="001072C8" w:rsidRPr="001072C8" w:rsidRDefault="001072C8" w:rsidP="001072C8">
            <w:pPr>
              <w:spacing w:before="120" w:after="120"/>
              <w:rPr>
                <w:rFonts w:asciiTheme="minorHAnsi" w:hAnsiTheme="minorHAnsi"/>
              </w:rPr>
            </w:pPr>
            <w:r w:rsidRPr="001072C8">
              <w:rPr>
                <w:rFonts w:asciiTheme="minorHAnsi" w:hAnsiTheme="minorHAnsi"/>
              </w:rPr>
              <w:t>The aim should be to use the lowest dose possible that achieves the appropriate clinical outcome for each patient.</w:t>
            </w:r>
          </w:p>
          <w:p w14:paraId="776C84C4" w14:textId="5273FDB1" w:rsidR="00021243" w:rsidRPr="00B74372" w:rsidRDefault="001072C8" w:rsidP="001072C8">
            <w:pPr>
              <w:spacing w:before="120" w:after="120"/>
              <w:rPr>
                <w:rFonts w:asciiTheme="minorHAnsi" w:hAnsiTheme="minorHAnsi"/>
                <w:b/>
              </w:rPr>
            </w:pPr>
            <w:r w:rsidRPr="00B74372">
              <w:rPr>
                <w:rFonts w:asciiTheme="minorHAnsi" w:hAnsiTheme="minorHAnsi"/>
                <w:b/>
              </w:rPr>
              <w:t>Refer to the current product information sheet for further information</w:t>
            </w:r>
            <w:r w:rsidR="00964D8E" w:rsidRPr="00B74372">
              <w:rPr>
                <w:rFonts w:asciiTheme="minorHAnsi" w:hAnsiTheme="minorHAnsi"/>
                <w:b/>
              </w:rPr>
              <w:t xml:space="preserve"> on dose, administration and contraindications. </w:t>
            </w:r>
          </w:p>
        </w:tc>
        <w:tc>
          <w:tcPr>
            <w:tcW w:w="4394" w:type="dxa"/>
          </w:tcPr>
          <w:p w14:paraId="192E3BF5" w14:textId="468CDC55" w:rsidR="00021243" w:rsidRPr="00C92149" w:rsidRDefault="00D45736" w:rsidP="00880ECB">
            <w:pPr>
              <w:spacing w:before="120" w:after="120"/>
              <w:rPr>
                <w:rFonts w:asciiTheme="minorHAnsi" w:hAnsiTheme="minorHAnsi"/>
                <w:szCs w:val="20"/>
              </w:rPr>
            </w:pPr>
            <w:r>
              <w:rPr>
                <w:rFonts w:asciiTheme="minorHAnsi" w:hAnsiTheme="minorHAnsi"/>
                <w:szCs w:val="20"/>
              </w:rPr>
              <w:t xml:space="preserve">Dose controls have been defined. </w:t>
            </w:r>
            <w:r w:rsidR="00073F07">
              <w:rPr>
                <w:rFonts w:asciiTheme="minorHAnsi" w:hAnsiTheme="minorHAnsi"/>
                <w:szCs w:val="20"/>
              </w:rPr>
              <w:t xml:space="preserve"> </w:t>
            </w:r>
          </w:p>
        </w:tc>
      </w:tr>
    </w:tbl>
    <w:p w14:paraId="3D4E197F" w14:textId="77777777" w:rsidR="00447869" w:rsidRDefault="00447869" w:rsidP="00447869">
      <w:pPr>
        <w:spacing w:before="120" w:after="120"/>
        <w:rPr>
          <w:rFonts w:asciiTheme="minorHAnsi" w:hAnsiTheme="minorHAnsi"/>
        </w:rPr>
        <w:sectPr w:rsidR="00447869" w:rsidSect="00447869">
          <w:headerReference w:type="default" r:id="rId9"/>
          <w:footerReference w:type="default" r:id="rId10"/>
          <w:headerReference w:type="first" r:id="rId11"/>
          <w:footerReference w:type="first" r:id="rId12"/>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14:paraId="53696D4F" w14:textId="77777777" w:rsidTr="008612AB">
        <w:tc>
          <w:tcPr>
            <w:tcW w:w="14601" w:type="dxa"/>
            <w:shd w:val="clear" w:color="auto" w:fill="B8CCE4" w:themeFill="accent1" w:themeFillTint="66"/>
          </w:tcPr>
          <w:p w14:paraId="7834E0F2" w14:textId="77777777" w:rsidR="00A80A19" w:rsidRDefault="00F42816" w:rsidP="009F1DFC">
            <w:pPr>
              <w:spacing w:before="120" w:after="120"/>
              <w:jc w:val="center"/>
              <w:rPr>
                <w:rFonts w:asciiTheme="minorHAnsi" w:hAnsiTheme="minorHAnsi"/>
                <w:b/>
              </w:rPr>
            </w:pPr>
            <w:r>
              <w:rPr>
                <w:rFonts w:asciiTheme="minorHAnsi" w:hAnsiTheme="minorHAnsi"/>
                <w:b/>
              </w:rPr>
              <w:lastRenderedPageBreak/>
              <w:t>References</w:t>
            </w:r>
          </w:p>
          <w:p w14:paraId="1FA68C84" w14:textId="74837FD3" w:rsidR="00901F76" w:rsidRPr="00021243" w:rsidRDefault="00901F76" w:rsidP="0010624B">
            <w:pPr>
              <w:spacing w:before="120" w:after="120"/>
              <w:jc w:val="center"/>
              <w:rPr>
                <w:rFonts w:asciiTheme="minorHAnsi" w:hAnsiTheme="minorHAnsi"/>
                <w:b/>
              </w:rPr>
            </w:pPr>
            <w:r>
              <w:rPr>
                <w:rFonts w:asciiTheme="minorHAnsi" w:hAnsiTheme="minorHAnsi"/>
                <w:b/>
              </w:rPr>
              <w:t>(</w:t>
            </w:r>
            <w:r w:rsidR="00F4480D">
              <w:rPr>
                <w:rFonts w:asciiTheme="minorHAnsi" w:hAnsiTheme="minorHAnsi"/>
                <w:b/>
              </w:rPr>
              <w:t xml:space="preserve">Most recent update: </w:t>
            </w:r>
            <w:r w:rsidR="0010624B">
              <w:rPr>
                <w:rFonts w:asciiTheme="minorHAnsi" w:hAnsiTheme="minorHAnsi"/>
                <w:b/>
              </w:rPr>
              <w:t>May</w:t>
            </w:r>
            <w:r w:rsidR="0008571A">
              <w:rPr>
                <w:rFonts w:asciiTheme="minorHAnsi" w:hAnsiTheme="minorHAnsi"/>
                <w:b/>
              </w:rPr>
              <w:t xml:space="preserve"> 2016</w:t>
            </w:r>
            <w:r>
              <w:rPr>
                <w:rFonts w:asciiTheme="minorHAnsi" w:hAnsiTheme="minorHAnsi"/>
                <w:b/>
              </w:rPr>
              <w:t>)</w:t>
            </w:r>
          </w:p>
        </w:tc>
      </w:tr>
      <w:tr w:rsidR="008612AB" w:rsidRPr="00255740" w14:paraId="1FB79940" w14:textId="77777777" w:rsidTr="008612AB">
        <w:tc>
          <w:tcPr>
            <w:tcW w:w="14601" w:type="dxa"/>
          </w:tcPr>
          <w:p w14:paraId="046FB4DC" w14:textId="3AF2EE2B" w:rsidR="00B91F67" w:rsidRDefault="00B91F67" w:rsidP="00964D8E">
            <w:pPr>
              <w:pStyle w:val="EndNoteBibliography"/>
              <w:spacing w:after="0"/>
              <w:ind w:left="360"/>
              <w:rPr>
                <w:rFonts w:asciiTheme="minorHAnsi" w:hAnsiTheme="minorHAnsi"/>
              </w:rPr>
            </w:pPr>
            <w:bookmarkStart w:id="0" w:name="_ENREF_168"/>
            <w:r w:rsidRPr="002A1261">
              <w:rPr>
                <w:rFonts w:asciiTheme="minorHAnsi" w:hAnsiTheme="minorHAnsi"/>
              </w:rPr>
              <w:t>Chitty HE, Ziegler N, Savoia H, Doyle LW and Fox LM</w:t>
            </w:r>
            <w:r w:rsidR="002A1261">
              <w:rPr>
                <w:rFonts w:asciiTheme="minorHAnsi" w:hAnsiTheme="minorHAnsi"/>
              </w:rPr>
              <w:t xml:space="preserve"> (2013)</w:t>
            </w:r>
            <w:r w:rsidRPr="002A1261">
              <w:rPr>
                <w:rFonts w:asciiTheme="minorHAnsi" w:hAnsiTheme="minorHAnsi"/>
              </w:rPr>
              <w:t xml:space="preserve"> Neonatal exchange transfusions in the 21st ce</w:t>
            </w:r>
            <w:r w:rsidR="00964D8E" w:rsidRPr="002A1261">
              <w:rPr>
                <w:rFonts w:asciiTheme="minorHAnsi" w:hAnsiTheme="minorHAnsi"/>
              </w:rPr>
              <w:t xml:space="preserve">ntury: a single hospital study. </w:t>
            </w:r>
            <w:r w:rsidRPr="002A1261">
              <w:rPr>
                <w:rFonts w:asciiTheme="minorHAnsi" w:hAnsiTheme="minorHAnsi"/>
                <w:i/>
              </w:rPr>
              <w:t>J</w:t>
            </w:r>
            <w:r w:rsidR="00964D8E" w:rsidRPr="002A1261">
              <w:rPr>
                <w:rFonts w:asciiTheme="minorHAnsi" w:hAnsiTheme="minorHAnsi"/>
                <w:i/>
              </w:rPr>
              <w:t>ournal of</w:t>
            </w:r>
            <w:r w:rsidRPr="002A1261">
              <w:rPr>
                <w:rFonts w:asciiTheme="minorHAnsi" w:hAnsiTheme="minorHAnsi"/>
                <w:i/>
              </w:rPr>
              <w:t xml:space="preserve"> Paediatr</w:t>
            </w:r>
            <w:r w:rsidR="00964D8E" w:rsidRPr="002A1261">
              <w:rPr>
                <w:rFonts w:asciiTheme="minorHAnsi" w:hAnsiTheme="minorHAnsi"/>
                <w:i/>
              </w:rPr>
              <w:t>ic</w:t>
            </w:r>
            <w:r w:rsidRPr="002A1261">
              <w:rPr>
                <w:rFonts w:asciiTheme="minorHAnsi" w:hAnsiTheme="minorHAnsi"/>
                <w:i/>
              </w:rPr>
              <w:t xml:space="preserve"> Child Health</w:t>
            </w:r>
            <w:r w:rsidR="002A1261">
              <w:rPr>
                <w:rFonts w:asciiTheme="minorHAnsi" w:hAnsiTheme="minorHAnsi"/>
              </w:rPr>
              <w:t>, 49(10):</w:t>
            </w:r>
            <w:r w:rsidRPr="002A1261">
              <w:rPr>
                <w:rFonts w:asciiTheme="minorHAnsi" w:hAnsiTheme="minorHAnsi"/>
              </w:rPr>
              <w:t xml:space="preserve">825-832. </w:t>
            </w:r>
            <w:bookmarkEnd w:id="0"/>
          </w:p>
          <w:p w14:paraId="5C1B957A" w14:textId="77777777" w:rsidR="002A1261" w:rsidRDefault="002A1261" w:rsidP="00964D8E">
            <w:pPr>
              <w:pStyle w:val="EndNoteBibliography"/>
              <w:spacing w:after="0"/>
              <w:ind w:left="360"/>
              <w:rPr>
                <w:rFonts w:asciiTheme="minorHAnsi" w:hAnsiTheme="minorHAnsi"/>
              </w:rPr>
            </w:pPr>
          </w:p>
          <w:p w14:paraId="435E19CF" w14:textId="0E40842E" w:rsidR="002A1261" w:rsidRPr="002A1261" w:rsidRDefault="00543C09" w:rsidP="00964D8E">
            <w:pPr>
              <w:pStyle w:val="EndNoteBibliography"/>
              <w:spacing w:after="0"/>
              <w:ind w:left="360"/>
              <w:rPr>
                <w:rFonts w:asciiTheme="minorHAnsi" w:hAnsiTheme="minorHAnsi"/>
                <w:color w:val="808080" w:themeColor="background1" w:themeShade="80"/>
              </w:rPr>
            </w:pPr>
            <w:hyperlink r:id="rId13" w:history="1">
              <w:r w:rsidR="002A1261" w:rsidRPr="002A1261">
                <w:rPr>
                  <w:rStyle w:val="Hyperlink"/>
                  <w:rFonts w:asciiTheme="minorHAnsi" w:hAnsiTheme="minorHAnsi"/>
                  <w:color w:val="808080" w:themeColor="background1" w:themeShade="80"/>
                </w:rPr>
                <w:t>https://www.ncbi.nlm.nih.gov/pubmed/23834341</w:t>
              </w:r>
            </w:hyperlink>
          </w:p>
          <w:p w14:paraId="0E9342DF" w14:textId="31B3CBDC" w:rsidR="00D32E23" w:rsidRDefault="002A1261" w:rsidP="00964D8E">
            <w:pPr>
              <w:spacing w:before="120" w:after="120"/>
              <w:ind w:left="360"/>
              <w:rPr>
                <w:rFonts w:asciiTheme="minorHAnsi" w:hAnsiTheme="minorHAnsi"/>
              </w:rPr>
            </w:pPr>
            <w:r>
              <w:rPr>
                <w:rFonts w:asciiTheme="minorHAnsi" w:hAnsiTheme="minorHAnsi"/>
              </w:rPr>
              <w:t>Gottstein</w:t>
            </w:r>
            <w:r w:rsidR="00D32E23" w:rsidRPr="002A1261">
              <w:rPr>
                <w:rFonts w:asciiTheme="minorHAnsi" w:hAnsiTheme="minorHAnsi"/>
              </w:rPr>
              <w:t xml:space="preserve"> R</w:t>
            </w:r>
            <w:r w:rsidR="00C276B8" w:rsidRPr="002A1261">
              <w:rPr>
                <w:rFonts w:asciiTheme="minorHAnsi" w:hAnsiTheme="minorHAnsi"/>
              </w:rPr>
              <w:t xml:space="preserve"> and</w:t>
            </w:r>
            <w:r>
              <w:rPr>
                <w:rFonts w:asciiTheme="minorHAnsi" w:hAnsiTheme="minorHAnsi"/>
              </w:rPr>
              <w:t xml:space="preserve"> Cooke</w:t>
            </w:r>
            <w:r w:rsidR="00D32E23" w:rsidRPr="002A1261">
              <w:rPr>
                <w:rFonts w:asciiTheme="minorHAnsi" w:hAnsiTheme="minorHAnsi"/>
              </w:rPr>
              <w:t xml:space="preserve"> RW </w:t>
            </w:r>
            <w:r w:rsidR="00C276B8" w:rsidRPr="002A1261">
              <w:rPr>
                <w:rFonts w:asciiTheme="minorHAnsi" w:hAnsiTheme="minorHAnsi"/>
              </w:rPr>
              <w:t>(</w:t>
            </w:r>
            <w:r w:rsidR="00D32E23" w:rsidRPr="002A1261">
              <w:rPr>
                <w:rFonts w:asciiTheme="minorHAnsi" w:hAnsiTheme="minorHAnsi"/>
              </w:rPr>
              <w:t>2003</w:t>
            </w:r>
            <w:r>
              <w:rPr>
                <w:rFonts w:asciiTheme="minorHAnsi" w:hAnsiTheme="minorHAnsi"/>
              </w:rPr>
              <w:t>)</w:t>
            </w:r>
            <w:r w:rsidR="00C276B8" w:rsidRPr="002A1261">
              <w:rPr>
                <w:rFonts w:asciiTheme="minorHAnsi" w:hAnsiTheme="minorHAnsi"/>
              </w:rPr>
              <w:t xml:space="preserve"> </w:t>
            </w:r>
            <w:r w:rsidR="00D32E23" w:rsidRPr="002A1261">
              <w:rPr>
                <w:rFonts w:asciiTheme="minorHAnsi" w:hAnsiTheme="minorHAnsi"/>
              </w:rPr>
              <w:t>Systematic review of intravenous immunoglobulin in haemolytic disease of the new</w:t>
            </w:r>
            <w:r w:rsidR="00C276B8" w:rsidRPr="002A1261">
              <w:rPr>
                <w:rFonts w:asciiTheme="minorHAnsi" w:hAnsiTheme="minorHAnsi"/>
              </w:rPr>
              <w:t xml:space="preserve">born. </w:t>
            </w:r>
            <w:r w:rsidR="00D32E23" w:rsidRPr="002A1261">
              <w:rPr>
                <w:rFonts w:asciiTheme="minorHAnsi" w:hAnsiTheme="minorHAnsi"/>
                <w:i/>
              </w:rPr>
              <w:t>Archives of Disease in Childhood — Fetal Neonatal Edition</w:t>
            </w:r>
            <w:r w:rsidR="00C276B8" w:rsidRPr="002A1261">
              <w:rPr>
                <w:rFonts w:asciiTheme="minorHAnsi" w:hAnsiTheme="minorHAnsi"/>
                <w:i/>
              </w:rPr>
              <w:t>,</w:t>
            </w:r>
            <w:r w:rsidR="00C276B8" w:rsidRPr="002A1261">
              <w:rPr>
                <w:rFonts w:asciiTheme="minorHAnsi" w:hAnsiTheme="minorHAnsi"/>
              </w:rPr>
              <w:t xml:space="preserve"> 88(</w:t>
            </w:r>
            <w:r w:rsidR="00D32E23" w:rsidRPr="002A1261">
              <w:rPr>
                <w:rFonts w:asciiTheme="minorHAnsi" w:hAnsiTheme="minorHAnsi"/>
              </w:rPr>
              <w:t>1</w:t>
            </w:r>
            <w:r w:rsidR="00C276B8" w:rsidRPr="002A1261">
              <w:rPr>
                <w:rFonts w:asciiTheme="minorHAnsi" w:hAnsiTheme="minorHAnsi"/>
              </w:rPr>
              <w:t>)</w:t>
            </w:r>
            <w:r>
              <w:rPr>
                <w:rFonts w:asciiTheme="minorHAnsi" w:hAnsiTheme="minorHAnsi"/>
              </w:rPr>
              <w:t>:</w:t>
            </w:r>
            <w:r w:rsidR="00D32E23" w:rsidRPr="002A1261">
              <w:rPr>
                <w:rFonts w:asciiTheme="minorHAnsi" w:hAnsiTheme="minorHAnsi"/>
              </w:rPr>
              <w:t>F6–10.</w:t>
            </w:r>
          </w:p>
          <w:p w14:paraId="63BD30D8" w14:textId="15A74DFF" w:rsidR="002A1261" w:rsidRPr="002A1261" w:rsidRDefault="00543C09" w:rsidP="00964D8E">
            <w:pPr>
              <w:spacing w:before="120" w:after="120"/>
              <w:ind w:left="360"/>
              <w:rPr>
                <w:rFonts w:asciiTheme="minorHAnsi" w:hAnsiTheme="minorHAnsi"/>
                <w:color w:val="808080" w:themeColor="background1" w:themeShade="80"/>
              </w:rPr>
            </w:pPr>
            <w:hyperlink r:id="rId14" w:history="1">
              <w:r w:rsidR="002A1261" w:rsidRPr="002A1261">
                <w:rPr>
                  <w:rStyle w:val="Hyperlink"/>
                  <w:rFonts w:asciiTheme="minorHAnsi" w:hAnsiTheme="minorHAnsi"/>
                  <w:color w:val="808080" w:themeColor="background1" w:themeShade="80"/>
                </w:rPr>
                <w:t>https://www.ncbi.nlm.nih.gov/pmc/articles/PMC1755998/</w:t>
              </w:r>
            </w:hyperlink>
          </w:p>
          <w:p w14:paraId="7DAA8AC7" w14:textId="6162F939" w:rsidR="00753C65" w:rsidRDefault="00753C65" w:rsidP="00753C65">
            <w:pPr>
              <w:pStyle w:val="EndNoteBibliography"/>
              <w:spacing w:after="0"/>
              <w:ind w:left="360"/>
              <w:rPr>
                <w:rFonts w:asciiTheme="minorHAnsi" w:hAnsiTheme="minorHAnsi"/>
              </w:rPr>
            </w:pPr>
            <w:r w:rsidRPr="002A1261">
              <w:rPr>
                <w:rFonts w:asciiTheme="minorHAnsi" w:hAnsiTheme="minorHAnsi"/>
              </w:rPr>
              <w:t>Hammerman C, Vreman HJ, Kaplan M and Stevenson DK</w:t>
            </w:r>
            <w:r w:rsidR="002A1261">
              <w:rPr>
                <w:rFonts w:asciiTheme="minorHAnsi" w:hAnsiTheme="minorHAnsi"/>
              </w:rPr>
              <w:t xml:space="preserve"> (1996)</w:t>
            </w:r>
            <w:r w:rsidRPr="002A1261">
              <w:rPr>
                <w:rFonts w:asciiTheme="minorHAnsi" w:hAnsiTheme="minorHAnsi"/>
              </w:rPr>
              <w:t xml:space="preserve"> Intravenous immune globulin in neonatal immune hemolytic disease: does it reduce hemolysis? </w:t>
            </w:r>
            <w:r w:rsidRPr="002A1261">
              <w:rPr>
                <w:rFonts w:asciiTheme="minorHAnsi" w:hAnsiTheme="minorHAnsi"/>
                <w:i/>
              </w:rPr>
              <w:t>Acta Paediatrica</w:t>
            </w:r>
            <w:r w:rsidRPr="002A1261">
              <w:rPr>
                <w:rFonts w:asciiTheme="minorHAnsi" w:hAnsiTheme="minorHAnsi"/>
              </w:rPr>
              <w:t>,</w:t>
            </w:r>
            <w:r w:rsidR="002A1261">
              <w:rPr>
                <w:rFonts w:asciiTheme="minorHAnsi" w:hAnsiTheme="minorHAnsi"/>
              </w:rPr>
              <w:t xml:space="preserve"> 85(11):</w:t>
            </w:r>
            <w:r w:rsidRPr="002A1261">
              <w:rPr>
                <w:rFonts w:asciiTheme="minorHAnsi" w:hAnsiTheme="minorHAnsi"/>
              </w:rPr>
              <w:t>1351-1353.</w:t>
            </w:r>
          </w:p>
          <w:p w14:paraId="29D749DB" w14:textId="77777777" w:rsidR="002A1261" w:rsidRPr="002A1261" w:rsidRDefault="002A1261" w:rsidP="00753C65">
            <w:pPr>
              <w:pStyle w:val="EndNoteBibliography"/>
              <w:spacing w:after="0"/>
              <w:ind w:left="360"/>
              <w:rPr>
                <w:rFonts w:asciiTheme="minorHAnsi" w:hAnsiTheme="minorHAnsi"/>
                <w:color w:val="808080" w:themeColor="background1" w:themeShade="80"/>
              </w:rPr>
            </w:pPr>
          </w:p>
          <w:p w14:paraId="362FCF30" w14:textId="362DE1BE" w:rsidR="002A1261" w:rsidRPr="002A1261" w:rsidRDefault="00543C09" w:rsidP="00753C65">
            <w:pPr>
              <w:pStyle w:val="EndNoteBibliography"/>
              <w:spacing w:after="0"/>
              <w:ind w:left="360"/>
              <w:rPr>
                <w:rFonts w:asciiTheme="minorHAnsi" w:eastAsia="Dotum" w:hAnsiTheme="minorHAnsi"/>
                <w:color w:val="808080" w:themeColor="background1" w:themeShade="80"/>
              </w:rPr>
            </w:pPr>
            <w:hyperlink r:id="rId15" w:history="1">
              <w:r w:rsidR="002A1261" w:rsidRPr="002A1261">
                <w:rPr>
                  <w:rStyle w:val="Hyperlink"/>
                  <w:rFonts w:asciiTheme="minorHAnsi" w:eastAsia="Dotum" w:hAnsiTheme="minorHAnsi"/>
                  <w:color w:val="808080" w:themeColor="background1" w:themeShade="80"/>
                </w:rPr>
                <w:t>https://www.ncbi.nlm.nih.gov/pubmed/8955465</w:t>
              </w:r>
            </w:hyperlink>
          </w:p>
          <w:p w14:paraId="37B70E37" w14:textId="065FDA6F" w:rsidR="00C276B8" w:rsidRDefault="002A1261" w:rsidP="00753C65">
            <w:pPr>
              <w:spacing w:before="120" w:after="120"/>
              <w:ind w:left="360"/>
              <w:rPr>
                <w:rFonts w:asciiTheme="minorHAnsi" w:hAnsiTheme="minorHAnsi"/>
              </w:rPr>
            </w:pPr>
            <w:r>
              <w:rPr>
                <w:rFonts w:asciiTheme="minorHAnsi" w:hAnsiTheme="minorHAnsi"/>
              </w:rPr>
              <w:lastRenderedPageBreak/>
              <w:t>Kaplan</w:t>
            </w:r>
            <w:r w:rsidR="00D32E23" w:rsidRPr="002A1261">
              <w:rPr>
                <w:rFonts w:asciiTheme="minorHAnsi" w:hAnsiTheme="minorHAnsi"/>
              </w:rPr>
              <w:t xml:space="preserve"> M</w:t>
            </w:r>
            <w:r>
              <w:rPr>
                <w:rFonts w:asciiTheme="minorHAnsi" w:hAnsiTheme="minorHAnsi"/>
              </w:rPr>
              <w:t>, Vreman</w:t>
            </w:r>
            <w:r w:rsidR="00D32E23" w:rsidRPr="002A1261">
              <w:rPr>
                <w:rFonts w:asciiTheme="minorHAnsi" w:hAnsiTheme="minorHAnsi"/>
              </w:rPr>
              <w:t xml:space="preserve"> HJ</w:t>
            </w:r>
            <w:r>
              <w:rPr>
                <w:rFonts w:asciiTheme="minorHAnsi" w:hAnsiTheme="minorHAnsi"/>
              </w:rPr>
              <w:t>, Hammerman</w:t>
            </w:r>
            <w:r w:rsidR="00D32E23" w:rsidRPr="002A1261">
              <w:rPr>
                <w:rFonts w:asciiTheme="minorHAnsi" w:hAnsiTheme="minorHAnsi"/>
              </w:rPr>
              <w:t xml:space="preserve"> C</w:t>
            </w:r>
            <w:r>
              <w:rPr>
                <w:rFonts w:asciiTheme="minorHAnsi" w:hAnsiTheme="minorHAnsi"/>
              </w:rPr>
              <w:t xml:space="preserve"> and Stevenson DK</w:t>
            </w:r>
            <w:r w:rsidR="00D32E23" w:rsidRPr="002A1261">
              <w:rPr>
                <w:rFonts w:asciiTheme="minorHAnsi" w:hAnsiTheme="minorHAnsi"/>
              </w:rPr>
              <w:t xml:space="preserve"> </w:t>
            </w:r>
            <w:r>
              <w:rPr>
                <w:rFonts w:asciiTheme="minorHAnsi" w:hAnsiTheme="minorHAnsi"/>
              </w:rPr>
              <w:t>(1996)</w:t>
            </w:r>
            <w:r w:rsidR="00C276B8" w:rsidRPr="002A1261">
              <w:rPr>
                <w:rFonts w:asciiTheme="minorHAnsi" w:hAnsiTheme="minorHAnsi"/>
              </w:rPr>
              <w:t xml:space="preserve"> </w:t>
            </w:r>
            <w:r w:rsidR="00D32E23" w:rsidRPr="002A1261">
              <w:rPr>
                <w:rFonts w:asciiTheme="minorHAnsi" w:hAnsiTheme="minorHAnsi"/>
              </w:rPr>
              <w:t>Intravenous immune globulin in neonatal ABO isoimmunisation: factors asso</w:t>
            </w:r>
            <w:r w:rsidR="00C276B8" w:rsidRPr="002A1261">
              <w:rPr>
                <w:rFonts w:asciiTheme="minorHAnsi" w:hAnsiTheme="minorHAnsi"/>
              </w:rPr>
              <w:t xml:space="preserve">ciated with clinical efficacy. </w:t>
            </w:r>
            <w:r w:rsidR="00D32E23" w:rsidRPr="002A1261">
              <w:rPr>
                <w:rFonts w:asciiTheme="minorHAnsi" w:hAnsiTheme="minorHAnsi"/>
                <w:i/>
              </w:rPr>
              <w:t>Biology of the Neonate</w:t>
            </w:r>
            <w:r w:rsidR="00C276B8" w:rsidRPr="002A1261">
              <w:rPr>
                <w:rFonts w:asciiTheme="minorHAnsi" w:hAnsiTheme="minorHAnsi"/>
              </w:rPr>
              <w:t xml:space="preserve">, </w:t>
            </w:r>
            <w:r>
              <w:rPr>
                <w:rFonts w:asciiTheme="minorHAnsi" w:hAnsiTheme="minorHAnsi"/>
              </w:rPr>
              <w:t>70:</w:t>
            </w:r>
            <w:r w:rsidR="00D32E23" w:rsidRPr="002A1261">
              <w:rPr>
                <w:rFonts w:asciiTheme="minorHAnsi" w:hAnsiTheme="minorHAnsi"/>
              </w:rPr>
              <w:t>69–72.</w:t>
            </w:r>
          </w:p>
          <w:p w14:paraId="1EA847C1" w14:textId="6EE8504B" w:rsidR="002A1261" w:rsidRPr="002A1261" w:rsidRDefault="00543C09" w:rsidP="00753C65">
            <w:pPr>
              <w:spacing w:before="120" w:after="120"/>
              <w:ind w:left="360"/>
              <w:rPr>
                <w:rFonts w:asciiTheme="minorHAnsi" w:hAnsiTheme="minorHAnsi"/>
                <w:color w:val="808080" w:themeColor="background1" w:themeShade="80"/>
              </w:rPr>
            </w:pPr>
            <w:hyperlink r:id="rId16" w:history="1">
              <w:r w:rsidR="002A1261" w:rsidRPr="002A1261">
                <w:rPr>
                  <w:rStyle w:val="Hyperlink"/>
                  <w:rFonts w:asciiTheme="minorHAnsi" w:hAnsiTheme="minorHAnsi"/>
                  <w:color w:val="808080" w:themeColor="background1" w:themeShade="80"/>
                </w:rPr>
                <w:t>https://www.ncbi.nlm.nih.gov/pubmed/8864425</w:t>
              </w:r>
            </w:hyperlink>
          </w:p>
          <w:p w14:paraId="310B8D70" w14:textId="58B1C409" w:rsidR="008625E0" w:rsidRPr="002A1261" w:rsidRDefault="008625E0" w:rsidP="00964D8E">
            <w:pPr>
              <w:pStyle w:val="EndNoteBibliography"/>
              <w:spacing w:after="0"/>
              <w:ind w:left="360"/>
              <w:rPr>
                <w:rFonts w:asciiTheme="minorHAnsi" w:hAnsiTheme="minorHAnsi"/>
              </w:rPr>
            </w:pPr>
            <w:bookmarkStart w:id="1" w:name="_ENREF_167"/>
            <w:r w:rsidRPr="002A1261">
              <w:rPr>
                <w:rFonts w:asciiTheme="minorHAnsi" w:hAnsiTheme="minorHAnsi"/>
              </w:rPr>
              <w:t>Liley HG, Gardener G, Lopriore E and Smits-Wintjens V</w:t>
            </w:r>
            <w:r w:rsidR="002A1261">
              <w:rPr>
                <w:rFonts w:asciiTheme="minorHAnsi" w:hAnsiTheme="minorHAnsi"/>
              </w:rPr>
              <w:t xml:space="preserve"> (2015)</w:t>
            </w:r>
            <w:r w:rsidRPr="002A1261">
              <w:rPr>
                <w:rFonts w:asciiTheme="minorHAnsi" w:hAnsiTheme="minorHAnsi"/>
              </w:rPr>
              <w:t xml:space="preserve"> Immune Hemolytic Disease</w:t>
            </w:r>
            <w:r w:rsidR="00C276B8" w:rsidRPr="002A1261">
              <w:rPr>
                <w:rFonts w:asciiTheme="minorHAnsi" w:hAnsiTheme="minorHAnsi"/>
              </w:rPr>
              <w:t xml:space="preserve">. </w:t>
            </w:r>
            <w:r w:rsidR="00001335" w:rsidRPr="002A1261">
              <w:rPr>
                <w:rFonts w:asciiTheme="minorHAnsi" w:hAnsiTheme="minorHAnsi"/>
                <w:i/>
              </w:rPr>
              <w:t>Nathan and Oski</w:t>
            </w:r>
            <w:r w:rsidRPr="002A1261">
              <w:rPr>
                <w:rFonts w:asciiTheme="minorHAnsi" w:hAnsiTheme="minorHAnsi"/>
                <w:i/>
              </w:rPr>
              <w:t>'s Hematology and Oncology of Infancy and Childhood, 8th Edition</w:t>
            </w:r>
            <w:r w:rsidRPr="002A1261">
              <w:rPr>
                <w:rFonts w:asciiTheme="minorHAnsi" w:hAnsiTheme="minorHAnsi"/>
              </w:rPr>
              <w:t>, Elsevier.</w:t>
            </w:r>
          </w:p>
          <w:p w14:paraId="233DC0EE" w14:textId="77777777" w:rsidR="008625E0" w:rsidRPr="002A1261" w:rsidRDefault="008625E0" w:rsidP="00964D8E">
            <w:pPr>
              <w:pStyle w:val="EndNoteBibliography"/>
              <w:spacing w:after="0"/>
              <w:ind w:left="0"/>
              <w:rPr>
                <w:rFonts w:asciiTheme="minorHAnsi" w:hAnsiTheme="minorHAnsi"/>
              </w:rPr>
            </w:pPr>
          </w:p>
          <w:p w14:paraId="19CDB538" w14:textId="5B7759E9" w:rsidR="008625E0" w:rsidRDefault="002A1261" w:rsidP="00964D8E">
            <w:pPr>
              <w:pStyle w:val="EndNoteBibliography"/>
              <w:spacing w:after="0"/>
              <w:ind w:left="360"/>
              <w:rPr>
                <w:rFonts w:asciiTheme="minorHAnsi" w:hAnsiTheme="minorHAnsi"/>
              </w:rPr>
            </w:pPr>
            <w:r>
              <w:rPr>
                <w:rFonts w:asciiTheme="minorHAnsi" w:hAnsiTheme="minorHAnsi"/>
              </w:rPr>
              <w:t>Louis</w:t>
            </w:r>
            <w:r w:rsidR="008625E0" w:rsidRPr="002A1261">
              <w:rPr>
                <w:rFonts w:asciiTheme="minorHAnsi" w:hAnsiTheme="minorHAnsi"/>
              </w:rPr>
              <w:t xml:space="preserve"> D, More K, Oberoi S and Shah PS</w:t>
            </w:r>
            <w:r>
              <w:rPr>
                <w:rFonts w:asciiTheme="minorHAnsi" w:hAnsiTheme="minorHAnsi"/>
              </w:rPr>
              <w:t xml:space="preserve"> (2014)</w:t>
            </w:r>
            <w:r w:rsidR="008625E0" w:rsidRPr="002A1261">
              <w:rPr>
                <w:rFonts w:asciiTheme="minorHAnsi" w:hAnsiTheme="minorHAnsi"/>
              </w:rPr>
              <w:t xml:space="preserve"> Intravenous immunoglobulin in isoimmune haemolytic disease of newborn: An updated syst</w:t>
            </w:r>
            <w:r w:rsidR="00001335" w:rsidRPr="002A1261">
              <w:rPr>
                <w:rFonts w:asciiTheme="minorHAnsi" w:hAnsiTheme="minorHAnsi"/>
              </w:rPr>
              <w:t xml:space="preserve">ematic review and meta-analysis. </w:t>
            </w:r>
            <w:r w:rsidR="008625E0" w:rsidRPr="002A1261">
              <w:rPr>
                <w:rFonts w:asciiTheme="minorHAnsi" w:hAnsiTheme="minorHAnsi"/>
              </w:rPr>
              <w:t xml:space="preserve"> </w:t>
            </w:r>
            <w:r w:rsidR="008625E0" w:rsidRPr="002A1261">
              <w:rPr>
                <w:rFonts w:asciiTheme="minorHAnsi" w:hAnsiTheme="minorHAnsi"/>
                <w:i/>
              </w:rPr>
              <w:t>Archives of Disease in Childhood: Fetal and Neonatal Edition</w:t>
            </w:r>
            <w:r w:rsidR="00001335" w:rsidRPr="002A1261">
              <w:rPr>
                <w:rFonts w:asciiTheme="minorHAnsi" w:hAnsiTheme="minorHAnsi"/>
              </w:rPr>
              <w:t>, Elsevier.</w:t>
            </w:r>
            <w:bookmarkEnd w:id="1"/>
          </w:p>
          <w:p w14:paraId="0CC12660" w14:textId="77777777" w:rsidR="002A1261" w:rsidRDefault="002A1261" w:rsidP="00964D8E">
            <w:pPr>
              <w:pStyle w:val="EndNoteBibliography"/>
              <w:spacing w:after="0"/>
              <w:ind w:left="360"/>
              <w:rPr>
                <w:rFonts w:asciiTheme="minorHAnsi" w:hAnsiTheme="minorHAnsi"/>
              </w:rPr>
            </w:pPr>
          </w:p>
          <w:p w14:paraId="2198E013" w14:textId="4894FC9F" w:rsidR="002A1261" w:rsidRPr="002A1261" w:rsidRDefault="00543C09" w:rsidP="00964D8E">
            <w:pPr>
              <w:pStyle w:val="EndNoteBibliography"/>
              <w:spacing w:after="0"/>
              <w:ind w:left="360"/>
              <w:rPr>
                <w:rFonts w:asciiTheme="minorHAnsi" w:hAnsiTheme="minorHAnsi"/>
                <w:color w:val="808080" w:themeColor="background1" w:themeShade="80"/>
              </w:rPr>
            </w:pPr>
            <w:hyperlink r:id="rId17" w:history="1">
              <w:r w:rsidR="002A1261" w:rsidRPr="002A1261">
                <w:rPr>
                  <w:rStyle w:val="Hyperlink"/>
                  <w:rFonts w:asciiTheme="minorHAnsi" w:hAnsiTheme="minorHAnsi"/>
                  <w:color w:val="808080" w:themeColor="background1" w:themeShade="80"/>
                </w:rPr>
                <w:t>https://www.ncbi.nlm.nih.gov/pubmed/24514437</w:t>
              </w:r>
            </w:hyperlink>
          </w:p>
          <w:p w14:paraId="3865544E" w14:textId="7020E6F6" w:rsidR="00901F76" w:rsidRDefault="002A1261" w:rsidP="00964D8E">
            <w:pPr>
              <w:spacing w:before="120" w:after="120"/>
              <w:ind w:left="360"/>
              <w:rPr>
                <w:rFonts w:asciiTheme="minorHAnsi" w:hAnsiTheme="minorHAnsi"/>
              </w:rPr>
            </w:pPr>
            <w:r>
              <w:rPr>
                <w:rFonts w:asciiTheme="minorHAnsi" w:hAnsiTheme="minorHAnsi"/>
              </w:rPr>
              <w:t>Miqdad</w:t>
            </w:r>
            <w:r w:rsidR="00D32E23" w:rsidRPr="002A1261">
              <w:rPr>
                <w:rFonts w:asciiTheme="minorHAnsi" w:hAnsiTheme="minorHAnsi"/>
              </w:rPr>
              <w:t xml:space="preserve"> AM</w:t>
            </w:r>
            <w:r>
              <w:rPr>
                <w:rFonts w:asciiTheme="minorHAnsi" w:hAnsiTheme="minorHAnsi"/>
              </w:rPr>
              <w:t>, Abdelbasit</w:t>
            </w:r>
            <w:r w:rsidR="00D32E23" w:rsidRPr="002A1261">
              <w:rPr>
                <w:rFonts w:asciiTheme="minorHAnsi" w:hAnsiTheme="minorHAnsi"/>
              </w:rPr>
              <w:t xml:space="preserve"> OB</w:t>
            </w:r>
            <w:r>
              <w:rPr>
                <w:rFonts w:asciiTheme="minorHAnsi" w:hAnsiTheme="minorHAnsi"/>
              </w:rPr>
              <w:t>, Shaheed</w:t>
            </w:r>
            <w:r w:rsidR="00D32E23" w:rsidRPr="002A1261">
              <w:rPr>
                <w:rFonts w:asciiTheme="minorHAnsi" w:hAnsiTheme="minorHAnsi"/>
              </w:rPr>
              <w:t xml:space="preserve"> MM, </w:t>
            </w:r>
            <w:r>
              <w:rPr>
                <w:rFonts w:asciiTheme="minorHAnsi" w:hAnsiTheme="minorHAnsi"/>
              </w:rPr>
              <w:t>Seidahmed MZ, Abomelha AM and Arcala OP</w:t>
            </w:r>
            <w:r w:rsidR="00D32E23" w:rsidRPr="002A1261">
              <w:rPr>
                <w:rFonts w:asciiTheme="minorHAnsi" w:hAnsiTheme="minorHAnsi"/>
              </w:rPr>
              <w:t xml:space="preserve"> </w:t>
            </w:r>
            <w:r w:rsidR="00001335" w:rsidRPr="002A1261">
              <w:rPr>
                <w:rFonts w:asciiTheme="minorHAnsi" w:hAnsiTheme="minorHAnsi"/>
              </w:rPr>
              <w:t>(</w:t>
            </w:r>
            <w:r w:rsidR="00D32E23" w:rsidRPr="002A1261">
              <w:rPr>
                <w:rFonts w:asciiTheme="minorHAnsi" w:hAnsiTheme="minorHAnsi"/>
              </w:rPr>
              <w:t>2004</w:t>
            </w:r>
            <w:r>
              <w:rPr>
                <w:rFonts w:asciiTheme="minorHAnsi" w:hAnsiTheme="minorHAnsi"/>
              </w:rPr>
              <w:t>)</w:t>
            </w:r>
            <w:r w:rsidR="00001335" w:rsidRPr="002A1261">
              <w:rPr>
                <w:rFonts w:asciiTheme="minorHAnsi" w:hAnsiTheme="minorHAnsi"/>
              </w:rPr>
              <w:t xml:space="preserve"> </w:t>
            </w:r>
            <w:r w:rsidR="00D32E23" w:rsidRPr="002A1261">
              <w:rPr>
                <w:rFonts w:asciiTheme="minorHAnsi" w:hAnsiTheme="minorHAnsi"/>
              </w:rPr>
              <w:t>Intravenous immunoglobulin G therapy for significant hyperbilirubinaemia in ABO haem</w:t>
            </w:r>
            <w:r w:rsidR="00001335" w:rsidRPr="002A1261">
              <w:rPr>
                <w:rFonts w:asciiTheme="minorHAnsi" w:hAnsiTheme="minorHAnsi"/>
              </w:rPr>
              <w:t xml:space="preserve">olytic disease of the newborn. </w:t>
            </w:r>
            <w:r w:rsidR="00D32E23" w:rsidRPr="002A1261">
              <w:rPr>
                <w:rFonts w:asciiTheme="minorHAnsi" w:hAnsiTheme="minorHAnsi"/>
                <w:i/>
              </w:rPr>
              <w:t>Journal of Maternal-Fetal and Neonatal Medicine</w:t>
            </w:r>
            <w:r w:rsidR="00D32E23" w:rsidRPr="002A1261">
              <w:rPr>
                <w:rFonts w:asciiTheme="minorHAnsi" w:hAnsiTheme="minorHAnsi"/>
              </w:rPr>
              <w:t>, 16</w:t>
            </w:r>
            <w:r w:rsidR="00001335" w:rsidRPr="002A1261">
              <w:rPr>
                <w:rFonts w:asciiTheme="minorHAnsi" w:hAnsiTheme="minorHAnsi"/>
              </w:rPr>
              <w:t>(</w:t>
            </w:r>
            <w:r w:rsidR="00D32E23" w:rsidRPr="002A1261">
              <w:rPr>
                <w:rFonts w:asciiTheme="minorHAnsi" w:hAnsiTheme="minorHAnsi"/>
              </w:rPr>
              <w:t>3</w:t>
            </w:r>
            <w:r w:rsidR="00001335" w:rsidRPr="002A1261">
              <w:rPr>
                <w:rFonts w:asciiTheme="minorHAnsi" w:hAnsiTheme="minorHAnsi"/>
              </w:rPr>
              <w:t>)</w:t>
            </w:r>
            <w:r>
              <w:rPr>
                <w:rFonts w:asciiTheme="minorHAnsi" w:hAnsiTheme="minorHAnsi"/>
              </w:rPr>
              <w:t>:</w:t>
            </w:r>
            <w:r w:rsidR="00D32E23" w:rsidRPr="002A1261">
              <w:rPr>
                <w:rFonts w:asciiTheme="minorHAnsi" w:hAnsiTheme="minorHAnsi"/>
              </w:rPr>
              <w:t>163–6.</w:t>
            </w:r>
          </w:p>
          <w:p w14:paraId="73CD5FD0" w14:textId="0B18A653" w:rsidR="002A1261" w:rsidRPr="002A1261" w:rsidRDefault="00543C09" w:rsidP="00964D8E">
            <w:pPr>
              <w:spacing w:before="120" w:after="120"/>
              <w:ind w:left="360"/>
              <w:rPr>
                <w:rFonts w:asciiTheme="minorHAnsi" w:hAnsiTheme="minorHAnsi"/>
                <w:color w:val="808080" w:themeColor="background1" w:themeShade="80"/>
              </w:rPr>
            </w:pPr>
            <w:hyperlink r:id="rId18" w:history="1">
              <w:r w:rsidR="002A1261" w:rsidRPr="002A1261">
                <w:rPr>
                  <w:rStyle w:val="Hyperlink"/>
                  <w:rFonts w:asciiTheme="minorHAnsi" w:hAnsiTheme="minorHAnsi"/>
                  <w:color w:val="808080" w:themeColor="background1" w:themeShade="80"/>
                </w:rPr>
                <w:t>https://www.ncbi.nlm.nih.gov/pubmed/15590442</w:t>
              </w:r>
            </w:hyperlink>
          </w:p>
          <w:p w14:paraId="35F25E99" w14:textId="012CBB08" w:rsidR="00753C65" w:rsidRPr="002A1261" w:rsidRDefault="00753C65" w:rsidP="00753C65">
            <w:pPr>
              <w:spacing w:after="225" w:line="360" w:lineRule="atLeast"/>
              <w:ind w:left="360"/>
              <w:rPr>
                <w:rFonts w:asciiTheme="minorHAnsi" w:hAnsiTheme="minorHAnsi"/>
              </w:rPr>
            </w:pPr>
            <w:r w:rsidRPr="002A1261">
              <w:rPr>
                <w:rFonts w:asciiTheme="minorHAnsi" w:hAnsiTheme="minorHAnsi"/>
              </w:rPr>
              <w:t>Ontario Regional Blood Coordinating Network (2016). Ontario Intravenous Immune Globulin (</w:t>
            </w:r>
            <w:r w:rsidR="008F0897">
              <w:rPr>
                <w:rFonts w:asciiTheme="minorHAnsi" w:hAnsiTheme="minorHAnsi"/>
              </w:rPr>
              <w:t>IVIG</w:t>
            </w:r>
            <w:r w:rsidRPr="002A1261">
              <w:rPr>
                <w:rFonts w:asciiTheme="minorHAnsi" w:hAnsiTheme="minorHAnsi"/>
              </w:rPr>
              <w:t xml:space="preserve">) Utilization Management Guidelines, Version 3.0. [online]. Available at: </w:t>
            </w:r>
            <w:r w:rsidRPr="002A1261">
              <w:rPr>
                <w:rFonts w:asciiTheme="minorHAnsi" w:hAnsiTheme="minorHAnsi"/>
                <w:color w:val="808080" w:themeColor="background1" w:themeShade="80"/>
              </w:rPr>
              <w:t>http://transfusionontario.org/en/download/ontario-intravenous-immune-globulin-</w:t>
            </w:r>
            <w:r w:rsidR="008F0897">
              <w:rPr>
                <w:rFonts w:asciiTheme="minorHAnsi" w:hAnsiTheme="minorHAnsi"/>
                <w:color w:val="808080" w:themeColor="background1" w:themeShade="80"/>
              </w:rPr>
              <w:t>IVIg</w:t>
            </w:r>
            <w:r w:rsidRPr="002A1261">
              <w:rPr>
                <w:rFonts w:asciiTheme="minorHAnsi" w:hAnsiTheme="minorHAnsi"/>
                <w:color w:val="808080" w:themeColor="background1" w:themeShade="80"/>
              </w:rPr>
              <w:t>-utilization-management-guidelines-2/.</w:t>
            </w:r>
          </w:p>
          <w:p w14:paraId="742DA9FA" w14:textId="77777777" w:rsidR="008625E0" w:rsidRDefault="008625E0" w:rsidP="00753C65">
            <w:pPr>
              <w:spacing w:after="225" w:line="360" w:lineRule="atLeast"/>
              <w:ind w:left="360"/>
              <w:rPr>
                <w:rFonts w:asciiTheme="minorHAnsi" w:hAnsiTheme="minorHAnsi"/>
              </w:rPr>
            </w:pPr>
            <w:r w:rsidRPr="002A1261">
              <w:rPr>
                <w:rFonts w:asciiTheme="minorHAnsi" w:hAnsiTheme="minorHAnsi"/>
              </w:rPr>
              <w:t>Patient Blood Management Guidelines, Module 6 – Paediatric and neonatal</w:t>
            </w:r>
            <w:r w:rsidR="00001335" w:rsidRPr="002A1261">
              <w:rPr>
                <w:rFonts w:asciiTheme="minorHAnsi" w:hAnsiTheme="minorHAnsi"/>
              </w:rPr>
              <w:t xml:space="preserve"> (2016).</w:t>
            </w:r>
            <w:r w:rsidRPr="002A1261">
              <w:rPr>
                <w:rFonts w:asciiTheme="minorHAnsi" w:hAnsiTheme="minorHAnsi"/>
              </w:rPr>
              <w:t xml:space="preserve"> National Blood Authority</w:t>
            </w:r>
            <w:r w:rsidR="006A09F0">
              <w:rPr>
                <w:rFonts w:asciiTheme="minorHAnsi" w:hAnsiTheme="minorHAnsi"/>
              </w:rPr>
              <w:t>, Section 3.5.2.:</w:t>
            </w:r>
            <w:r w:rsidRPr="002A1261">
              <w:rPr>
                <w:rFonts w:asciiTheme="minorHAnsi" w:hAnsiTheme="minorHAnsi"/>
              </w:rPr>
              <w:t>113-4</w:t>
            </w:r>
            <w:r w:rsidR="00001335" w:rsidRPr="002A1261">
              <w:rPr>
                <w:rFonts w:asciiTheme="minorHAnsi" w:hAnsiTheme="minorHAnsi"/>
              </w:rPr>
              <w:t>.</w:t>
            </w:r>
          </w:p>
          <w:p w14:paraId="2B12D247" w14:textId="03E79025" w:rsidR="00B74372" w:rsidRPr="00B74372" w:rsidRDefault="00B74372" w:rsidP="00B74372">
            <w:pPr>
              <w:spacing w:after="225" w:line="360" w:lineRule="atLeast"/>
              <w:ind w:left="360"/>
              <w:rPr>
                <w:rFonts w:asciiTheme="minorHAnsi" w:hAnsiTheme="minorHAnsi"/>
                <w:color w:val="808080" w:themeColor="background1" w:themeShade="80"/>
              </w:rPr>
            </w:pPr>
            <w:r w:rsidRPr="00B74372">
              <w:rPr>
                <w:rFonts w:asciiTheme="minorHAnsi" w:hAnsiTheme="minorHAnsi"/>
              </w:rPr>
              <w:t xml:space="preserve">UK Department of Health (2011) Clinical Guidelines for Immunoglobulin Use: Second Edition Update. Available at: </w:t>
            </w:r>
            <w:r w:rsidRPr="00B74372">
              <w:rPr>
                <w:rFonts w:asciiTheme="minorHAnsi" w:hAnsiTheme="minorHAnsi"/>
                <w:color w:val="808080" w:themeColor="background1" w:themeShade="80"/>
              </w:rPr>
              <w:t>https://www.gov.uk/government/uploads/system/uploads/attachment_data/file/216671/dh_131107.pdf</w:t>
            </w:r>
          </w:p>
          <w:p w14:paraId="3E3F5BF5" w14:textId="0C19C3D0" w:rsidR="00B74372" w:rsidRPr="002A1261" w:rsidRDefault="00B74372" w:rsidP="00B74372">
            <w:pPr>
              <w:spacing w:after="225" w:line="360" w:lineRule="atLeast"/>
              <w:ind w:left="360"/>
              <w:rPr>
                <w:rFonts w:ascii="Lucida Sans" w:eastAsia="Times New Roman" w:hAnsi="Lucida Sans" w:cs="Times New Roman"/>
                <w:color w:val="000000"/>
                <w:lang w:eastAsia="en-AU"/>
              </w:rPr>
            </w:pPr>
            <w:r w:rsidRPr="00B74372">
              <w:rPr>
                <w:rFonts w:asciiTheme="minorHAnsi" w:hAnsiTheme="minorHAnsi"/>
              </w:rPr>
              <w:t xml:space="preserve">UK Department of Health (2011) Clinical Guidelines for Immunoglobulin Use: Second Edition Update: Summary Poster. Available at: </w:t>
            </w:r>
            <w:r w:rsidRPr="00B74372">
              <w:rPr>
                <w:rFonts w:asciiTheme="minorHAnsi" w:hAnsiTheme="minorHAnsi"/>
                <w:color w:val="808080" w:themeColor="background1" w:themeShade="80"/>
              </w:rPr>
              <w:t>https://www.igd.nhs.uk/wp-content/uploads/2016/04/DemandManagementPoster_v4_February2016.pdf</w:t>
            </w:r>
          </w:p>
        </w:tc>
      </w:tr>
    </w:tbl>
    <w:p w14:paraId="267088FA" w14:textId="77777777"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985"/>
        <w:gridCol w:w="4110"/>
      </w:tblGrid>
      <w:tr w:rsidR="004A10A2" w:rsidRPr="00021243" w14:paraId="2D669035" w14:textId="77777777" w:rsidTr="008612AB">
        <w:tc>
          <w:tcPr>
            <w:tcW w:w="14601" w:type="dxa"/>
            <w:gridSpan w:val="7"/>
            <w:shd w:val="clear" w:color="auto" w:fill="F79646" w:themeFill="accent6"/>
          </w:tcPr>
          <w:p w14:paraId="4643AD92" w14:textId="77777777"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14:paraId="03EA81A7" w14:textId="77777777" w:rsidTr="008612AB">
        <w:tc>
          <w:tcPr>
            <w:tcW w:w="14601" w:type="dxa"/>
            <w:gridSpan w:val="7"/>
            <w:shd w:val="clear" w:color="auto" w:fill="auto"/>
          </w:tcPr>
          <w:p w14:paraId="024749E5" w14:textId="2A946EFA" w:rsidR="00EA2E82" w:rsidRPr="00EA2E82" w:rsidRDefault="00515635" w:rsidP="00147574">
            <w:pPr>
              <w:spacing w:before="120" w:after="120"/>
              <w:rPr>
                <w:rFonts w:asciiTheme="minorHAnsi" w:hAnsiTheme="minorHAnsi"/>
              </w:rPr>
            </w:pPr>
            <w:r>
              <w:rPr>
                <w:rFonts w:asciiTheme="minorHAnsi" w:hAnsiTheme="minorHAnsi"/>
              </w:rPr>
              <w:t>Given that Ig therapy is no longer supported for routine use in neonates and Ig use will be limited to very high risk pre-term infants, the operational impact will be a reduction in the number of Ig infusions being given</w:t>
            </w:r>
            <w:r w:rsidR="00A2232D">
              <w:rPr>
                <w:rFonts w:asciiTheme="minorHAnsi" w:hAnsiTheme="minorHAnsi"/>
              </w:rPr>
              <w:t xml:space="preserve"> to newborns</w:t>
            </w:r>
            <w:r>
              <w:rPr>
                <w:rFonts w:asciiTheme="minorHAnsi" w:hAnsiTheme="minorHAnsi"/>
              </w:rPr>
              <w:t xml:space="preserve">, with all future infusions being limited to those pregnant women with very high risk </w:t>
            </w:r>
            <w:r w:rsidR="00AC7743">
              <w:rPr>
                <w:rFonts w:asciiTheme="minorHAnsi" w:hAnsiTheme="minorHAnsi"/>
              </w:rPr>
              <w:t>pregnancies</w:t>
            </w:r>
            <w:r>
              <w:rPr>
                <w:rFonts w:asciiTheme="minorHAnsi" w:hAnsiTheme="minorHAnsi"/>
              </w:rPr>
              <w:t xml:space="preserve">.  This trend may have already commenced with the publication of PBM Module 6 </w:t>
            </w:r>
            <w:r w:rsidR="00AC7743">
              <w:rPr>
                <w:rFonts w:asciiTheme="minorHAnsi" w:hAnsiTheme="minorHAnsi"/>
              </w:rPr>
              <w:t xml:space="preserve">in 2015 </w:t>
            </w:r>
            <w:r>
              <w:rPr>
                <w:rFonts w:asciiTheme="minorHAnsi" w:hAnsiTheme="minorHAnsi"/>
              </w:rPr>
              <w:t>and launch of BloodSTAR v2.1</w:t>
            </w:r>
            <w:r w:rsidR="00AC7743">
              <w:rPr>
                <w:rFonts w:asciiTheme="minorHAnsi" w:hAnsiTheme="minorHAnsi"/>
              </w:rPr>
              <w:t xml:space="preserve"> in 2016</w:t>
            </w:r>
            <w:r>
              <w:rPr>
                <w:rFonts w:asciiTheme="minorHAnsi" w:hAnsiTheme="minorHAnsi"/>
              </w:rPr>
              <w:t xml:space="preserve">. </w:t>
            </w:r>
            <w:r w:rsidR="00A2232D">
              <w:rPr>
                <w:rFonts w:asciiTheme="minorHAnsi" w:hAnsiTheme="minorHAnsi"/>
              </w:rPr>
              <w:t xml:space="preserve">Given that </w:t>
            </w:r>
            <w:r>
              <w:rPr>
                <w:rFonts w:asciiTheme="minorHAnsi" w:hAnsiTheme="minorHAnsi"/>
              </w:rPr>
              <w:t>the current criteria are very vague, leaving decision making up to the clinician as to the circumstances and time to commence treatment</w:t>
            </w:r>
            <w:r w:rsidR="00026B3B">
              <w:rPr>
                <w:rFonts w:asciiTheme="minorHAnsi" w:hAnsiTheme="minorHAnsi"/>
              </w:rPr>
              <w:t>,</w:t>
            </w:r>
            <w:r>
              <w:rPr>
                <w:rFonts w:asciiTheme="minorHAnsi" w:hAnsiTheme="minorHAnsi"/>
              </w:rPr>
              <w:t xml:space="preserve"> </w:t>
            </w:r>
            <w:r w:rsidR="00A2232D">
              <w:rPr>
                <w:rFonts w:asciiTheme="minorHAnsi" w:hAnsiTheme="minorHAnsi"/>
              </w:rPr>
              <w:t>(including supporting the treatment of neonates)</w:t>
            </w:r>
            <w:r>
              <w:rPr>
                <w:rFonts w:asciiTheme="minorHAnsi" w:hAnsiTheme="minorHAnsi"/>
              </w:rPr>
              <w:t xml:space="preserve">, the PBM module 6 practice points have been included into BloodSTAR </w:t>
            </w:r>
            <w:r w:rsidR="00942711">
              <w:rPr>
                <w:rFonts w:asciiTheme="minorHAnsi" w:hAnsiTheme="minorHAnsi"/>
              </w:rPr>
              <w:t>v</w:t>
            </w:r>
            <w:r>
              <w:rPr>
                <w:rFonts w:asciiTheme="minorHAnsi" w:hAnsiTheme="minorHAnsi"/>
              </w:rPr>
              <w:t xml:space="preserve">2.1 supporting the Authoriser to question requests for routine use. </w:t>
            </w:r>
            <w:r w:rsidR="00A2232D">
              <w:rPr>
                <w:rFonts w:asciiTheme="minorHAnsi" w:hAnsiTheme="minorHAnsi"/>
              </w:rPr>
              <w:t>A communication strategy is planned to ensure that all prescribers are aware</w:t>
            </w:r>
            <w:r w:rsidR="003C7BE2">
              <w:rPr>
                <w:rFonts w:asciiTheme="minorHAnsi" w:hAnsiTheme="minorHAnsi"/>
              </w:rPr>
              <w:t xml:space="preserve"> of the changed criteria in </w:t>
            </w:r>
            <w:r w:rsidR="00A75B91">
              <w:rPr>
                <w:rFonts w:asciiTheme="minorHAnsi" w:hAnsiTheme="minorHAnsi"/>
              </w:rPr>
              <w:t>v</w:t>
            </w:r>
            <w:r w:rsidR="003C7BE2">
              <w:rPr>
                <w:rFonts w:asciiTheme="minorHAnsi" w:hAnsiTheme="minorHAnsi"/>
              </w:rPr>
              <w:t>3.0</w:t>
            </w:r>
            <w:r w:rsidR="00A2232D">
              <w:rPr>
                <w:rFonts w:asciiTheme="minorHAnsi" w:hAnsiTheme="minorHAnsi"/>
              </w:rPr>
              <w:t>.</w:t>
            </w:r>
          </w:p>
        </w:tc>
      </w:tr>
      <w:tr w:rsidR="004A10A2" w:rsidRPr="00021243" w14:paraId="06C4B7D5" w14:textId="77777777" w:rsidTr="008612AB">
        <w:tc>
          <w:tcPr>
            <w:tcW w:w="14601" w:type="dxa"/>
            <w:gridSpan w:val="7"/>
            <w:shd w:val="clear" w:color="auto" w:fill="F79646" w:themeFill="accent6"/>
          </w:tcPr>
          <w:p w14:paraId="567CA4A2" w14:textId="77777777"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832D0D" w:rsidRPr="00021243" w14:paraId="6FD341D6" w14:textId="77777777" w:rsidTr="00832D0D">
        <w:tc>
          <w:tcPr>
            <w:tcW w:w="3545" w:type="dxa"/>
            <w:gridSpan w:val="2"/>
            <w:shd w:val="clear" w:color="auto" w:fill="auto"/>
          </w:tcPr>
          <w:p w14:paraId="43CD1A87" w14:textId="77777777" w:rsidR="00832D0D" w:rsidRDefault="00832D0D" w:rsidP="004A10A2">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14:paraId="2E7F9711" w14:textId="1E585735" w:rsidR="00832D0D" w:rsidRPr="00832D0D" w:rsidRDefault="00237691" w:rsidP="00D14822">
            <w:pPr>
              <w:spacing w:before="120" w:after="120"/>
              <w:rPr>
                <w:rFonts w:asciiTheme="minorHAnsi" w:hAnsiTheme="minorHAnsi"/>
              </w:rPr>
            </w:pPr>
            <w:r>
              <w:rPr>
                <w:rFonts w:asciiTheme="minorHAnsi" w:hAnsiTheme="minorHAnsi"/>
              </w:rPr>
              <w:t>The publication of revised treatment guidelines for managing this condition in new born babies confirm</w:t>
            </w:r>
            <w:r w:rsidR="009C2C58">
              <w:rPr>
                <w:rFonts w:asciiTheme="minorHAnsi" w:hAnsiTheme="minorHAnsi"/>
              </w:rPr>
              <w:t>s</w:t>
            </w:r>
            <w:r>
              <w:rPr>
                <w:rFonts w:asciiTheme="minorHAnsi" w:hAnsiTheme="minorHAnsi"/>
              </w:rPr>
              <w:t xml:space="preserve"> that the best clinical outcomes for </w:t>
            </w:r>
            <w:r w:rsidR="009C2C58">
              <w:rPr>
                <w:rFonts w:asciiTheme="minorHAnsi" w:hAnsiTheme="minorHAnsi"/>
              </w:rPr>
              <w:t>treatment after birth</w:t>
            </w:r>
            <w:r>
              <w:rPr>
                <w:rFonts w:asciiTheme="minorHAnsi" w:hAnsiTheme="minorHAnsi"/>
              </w:rPr>
              <w:t xml:space="preserve"> are achieved with phototherapy (light therapy) and</w:t>
            </w:r>
            <w:r w:rsidR="009C2C58">
              <w:rPr>
                <w:rFonts w:asciiTheme="minorHAnsi" w:hAnsiTheme="minorHAnsi"/>
              </w:rPr>
              <w:t xml:space="preserve"> therefore,</w:t>
            </w:r>
            <w:r>
              <w:rPr>
                <w:rFonts w:asciiTheme="minorHAnsi" w:hAnsiTheme="minorHAnsi"/>
              </w:rPr>
              <w:t xml:space="preserve"> Ig therapy no longer has a role in </w:t>
            </w:r>
            <w:r w:rsidR="009C2C58">
              <w:rPr>
                <w:rFonts w:asciiTheme="minorHAnsi" w:hAnsiTheme="minorHAnsi"/>
              </w:rPr>
              <w:t xml:space="preserve">the </w:t>
            </w:r>
            <w:r>
              <w:rPr>
                <w:rFonts w:asciiTheme="minorHAnsi" w:hAnsiTheme="minorHAnsi"/>
              </w:rPr>
              <w:t>routine care</w:t>
            </w:r>
            <w:r w:rsidR="009C2C58">
              <w:rPr>
                <w:rFonts w:asciiTheme="minorHAnsi" w:hAnsiTheme="minorHAnsi"/>
              </w:rPr>
              <w:t xml:space="preserve"> of the new born</w:t>
            </w:r>
            <w:r>
              <w:rPr>
                <w:rFonts w:asciiTheme="minorHAnsi" w:hAnsiTheme="minorHAnsi"/>
              </w:rPr>
              <w:t xml:space="preserve">. Specific </w:t>
            </w:r>
            <w:r w:rsidR="00AA0C33">
              <w:rPr>
                <w:rFonts w:asciiTheme="minorHAnsi" w:hAnsiTheme="minorHAnsi"/>
              </w:rPr>
              <w:t>communications will</w:t>
            </w:r>
            <w:r>
              <w:rPr>
                <w:rFonts w:asciiTheme="minorHAnsi" w:hAnsiTheme="minorHAnsi"/>
              </w:rPr>
              <w:t xml:space="preserve"> be provided to doctors to make sure that they are aware of these findings. However, it is also recognised that Ig therapy still play</w:t>
            </w:r>
            <w:r w:rsidR="009C2C58">
              <w:rPr>
                <w:rFonts w:asciiTheme="minorHAnsi" w:hAnsiTheme="minorHAnsi"/>
              </w:rPr>
              <w:t>s</w:t>
            </w:r>
            <w:r>
              <w:rPr>
                <w:rFonts w:asciiTheme="minorHAnsi" w:hAnsiTheme="minorHAnsi"/>
              </w:rPr>
              <w:t xml:space="preserve"> an important role in treatment during pregnancy and access will continue for those pre-term infants identified to be at risk. </w:t>
            </w:r>
            <w:r w:rsidR="007D45C1">
              <w:rPr>
                <w:rFonts w:asciiTheme="minorHAnsi" w:hAnsiTheme="minorHAnsi"/>
              </w:rPr>
              <w:t xml:space="preserve">Transition planning will ensure that any existing patients receiving Ig </w:t>
            </w:r>
            <w:r w:rsidR="00D14822">
              <w:rPr>
                <w:rFonts w:asciiTheme="minorHAnsi" w:hAnsiTheme="minorHAnsi"/>
              </w:rPr>
              <w:t>therapy</w:t>
            </w:r>
            <w:r w:rsidR="007D45C1">
              <w:rPr>
                <w:rFonts w:asciiTheme="minorHAnsi" w:hAnsiTheme="minorHAnsi"/>
              </w:rPr>
              <w:t xml:space="preserve"> will continue </w:t>
            </w:r>
            <w:r w:rsidR="00D14822">
              <w:rPr>
                <w:rFonts w:asciiTheme="minorHAnsi" w:hAnsiTheme="minorHAnsi"/>
              </w:rPr>
              <w:t xml:space="preserve">treatment </w:t>
            </w:r>
            <w:r w:rsidR="007D45C1">
              <w:rPr>
                <w:rFonts w:asciiTheme="minorHAnsi" w:hAnsiTheme="minorHAnsi"/>
              </w:rPr>
              <w:t xml:space="preserve">as required during implementation of v3.0. </w:t>
            </w:r>
            <w:r w:rsidR="00515635">
              <w:rPr>
                <w:rFonts w:asciiTheme="minorHAnsi" w:hAnsiTheme="minorHAnsi"/>
              </w:rPr>
              <w:t xml:space="preserve"> </w:t>
            </w:r>
          </w:p>
        </w:tc>
      </w:tr>
      <w:tr w:rsidR="003448E5" w:rsidRPr="00021243" w14:paraId="4596E9D8" w14:textId="77777777" w:rsidTr="00832D0D">
        <w:tc>
          <w:tcPr>
            <w:tcW w:w="3545" w:type="dxa"/>
            <w:gridSpan w:val="2"/>
            <w:shd w:val="clear" w:color="auto" w:fill="auto"/>
          </w:tcPr>
          <w:p w14:paraId="4D17822F" w14:textId="4995DB96" w:rsidR="003448E5" w:rsidRDefault="003448E5" w:rsidP="004A10A2">
            <w:pPr>
              <w:spacing w:before="120" w:after="120"/>
              <w:rPr>
                <w:rFonts w:asciiTheme="minorHAnsi" w:hAnsiTheme="minorHAnsi"/>
                <w:b/>
              </w:rPr>
            </w:pPr>
            <w:r>
              <w:rPr>
                <w:rFonts w:asciiTheme="minorHAnsi" w:hAnsiTheme="minorHAnsi"/>
                <w:b/>
              </w:rPr>
              <w:t>Impact on demand:</w:t>
            </w:r>
          </w:p>
        </w:tc>
        <w:tc>
          <w:tcPr>
            <w:tcW w:w="11056" w:type="dxa"/>
            <w:gridSpan w:val="5"/>
            <w:shd w:val="clear" w:color="auto" w:fill="auto"/>
          </w:tcPr>
          <w:p w14:paraId="19EA1E3E" w14:textId="372970A8" w:rsidR="003448E5" w:rsidRDefault="00515635" w:rsidP="00A2232D">
            <w:pPr>
              <w:spacing w:before="120" w:after="120"/>
              <w:rPr>
                <w:rFonts w:asciiTheme="minorHAnsi" w:hAnsiTheme="minorHAnsi"/>
              </w:rPr>
            </w:pPr>
            <w:r>
              <w:rPr>
                <w:rFonts w:asciiTheme="minorHAnsi" w:hAnsiTheme="minorHAnsi"/>
              </w:rPr>
              <w:t xml:space="preserve">It can be seen that there is a trend of </w:t>
            </w:r>
            <w:r w:rsidR="00A2232D">
              <w:rPr>
                <w:rFonts w:asciiTheme="minorHAnsi" w:hAnsiTheme="minorHAnsi"/>
              </w:rPr>
              <w:t xml:space="preserve">a </w:t>
            </w:r>
            <w:r>
              <w:rPr>
                <w:rFonts w:asciiTheme="minorHAnsi" w:hAnsiTheme="minorHAnsi"/>
              </w:rPr>
              <w:t>reduc</w:t>
            </w:r>
            <w:r w:rsidR="00A2232D">
              <w:rPr>
                <w:rFonts w:asciiTheme="minorHAnsi" w:hAnsiTheme="minorHAnsi"/>
              </w:rPr>
              <w:t>ing number of patients treated</w:t>
            </w:r>
            <w:r>
              <w:rPr>
                <w:rFonts w:asciiTheme="minorHAnsi" w:hAnsiTheme="minorHAnsi"/>
              </w:rPr>
              <w:t xml:space="preserve"> </w:t>
            </w:r>
            <w:r w:rsidR="00A2232D">
              <w:rPr>
                <w:rFonts w:asciiTheme="minorHAnsi" w:hAnsiTheme="minorHAnsi"/>
              </w:rPr>
              <w:t xml:space="preserve">with </w:t>
            </w:r>
            <w:r>
              <w:rPr>
                <w:rFonts w:asciiTheme="minorHAnsi" w:hAnsiTheme="minorHAnsi"/>
              </w:rPr>
              <w:t>Ig in this condition since 2014-15 and, the revised criteria are expected to continue this trend</w:t>
            </w:r>
            <w:r w:rsidR="00AC7743">
              <w:rPr>
                <w:rFonts w:asciiTheme="minorHAnsi" w:hAnsiTheme="minorHAnsi"/>
              </w:rPr>
              <w:t xml:space="preserve">. </w:t>
            </w:r>
            <w:r w:rsidR="00026B3B">
              <w:rPr>
                <w:rFonts w:asciiTheme="minorHAnsi" w:hAnsiTheme="minorHAnsi"/>
              </w:rPr>
              <w:t xml:space="preserve">Analysis of current use has indicated that </w:t>
            </w:r>
            <w:r w:rsidR="00A2232D">
              <w:rPr>
                <w:rFonts w:asciiTheme="minorHAnsi" w:hAnsiTheme="minorHAnsi"/>
              </w:rPr>
              <w:t xml:space="preserve">over the past 2 years, 75 to 80 newborns have been treated, albeit the doses used on each occasion would </w:t>
            </w:r>
            <w:r w:rsidR="00DE39C9">
              <w:rPr>
                <w:rFonts w:asciiTheme="minorHAnsi" w:hAnsiTheme="minorHAnsi"/>
              </w:rPr>
              <w:t xml:space="preserve">have </w:t>
            </w:r>
            <w:r w:rsidR="00A2232D">
              <w:rPr>
                <w:rFonts w:asciiTheme="minorHAnsi" w:hAnsiTheme="minorHAnsi"/>
              </w:rPr>
              <w:t>b</w:t>
            </w:r>
            <w:r w:rsidR="00DE39C9">
              <w:rPr>
                <w:rFonts w:asciiTheme="minorHAnsi" w:hAnsiTheme="minorHAnsi"/>
              </w:rPr>
              <w:t>e</w:t>
            </w:r>
            <w:r w:rsidR="00A2232D">
              <w:rPr>
                <w:rFonts w:asciiTheme="minorHAnsi" w:hAnsiTheme="minorHAnsi"/>
              </w:rPr>
              <w:t>e</w:t>
            </w:r>
            <w:r w:rsidR="00DE39C9">
              <w:rPr>
                <w:rFonts w:asciiTheme="minorHAnsi" w:hAnsiTheme="minorHAnsi"/>
              </w:rPr>
              <w:t>n</w:t>
            </w:r>
            <w:r w:rsidR="00A2232D">
              <w:rPr>
                <w:rFonts w:asciiTheme="minorHAnsi" w:hAnsiTheme="minorHAnsi"/>
              </w:rPr>
              <w:t xml:space="preserve"> low. </w:t>
            </w:r>
            <w:r w:rsidR="00AC7743">
              <w:rPr>
                <w:rFonts w:asciiTheme="minorHAnsi" w:hAnsiTheme="minorHAnsi"/>
              </w:rPr>
              <w:t xml:space="preserve"> </w:t>
            </w:r>
          </w:p>
        </w:tc>
      </w:tr>
      <w:tr w:rsidR="00DA1553" w:rsidRPr="00853117" w14:paraId="21A6BAE1" w14:textId="77777777" w:rsidTr="00DA1553">
        <w:tc>
          <w:tcPr>
            <w:tcW w:w="2161" w:type="dxa"/>
            <w:shd w:val="clear" w:color="auto" w:fill="auto"/>
          </w:tcPr>
          <w:p w14:paraId="1691A6B5" w14:textId="77777777" w:rsidR="00DA1553" w:rsidRPr="00C92149" w:rsidRDefault="00DA1553" w:rsidP="004A10A2">
            <w:pPr>
              <w:spacing w:before="120" w:after="120"/>
              <w:rPr>
                <w:rFonts w:asciiTheme="minorHAnsi" w:hAnsiTheme="minorHAnsi"/>
                <w:b/>
                <w:sz w:val="18"/>
                <w:szCs w:val="18"/>
              </w:rPr>
            </w:pPr>
          </w:p>
        </w:tc>
        <w:tc>
          <w:tcPr>
            <w:tcW w:w="1384" w:type="dxa"/>
            <w:shd w:val="clear" w:color="auto" w:fill="auto"/>
          </w:tcPr>
          <w:p w14:paraId="6CB519E2" w14:textId="77777777" w:rsidR="00DA1553" w:rsidRPr="00C92149" w:rsidRDefault="00DA1553" w:rsidP="004B3893">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14:paraId="7AAEF2C7" w14:textId="77777777" w:rsidR="00DA1553" w:rsidRPr="00C92149" w:rsidRDefault="00DA1553" w:rsidP="004B3893">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14:paraId="24A4A9EA" w14:textId="77777777" w:rsidR="00DA1553" w:rsidRPr="00C92149" w:rsidRDefault="00DA1553" w:rsidP="004B3893">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14:paraId="5C1745F4" w14:textId="77777777" w:rsidR="00DA1553" w:rsidRPr="00C92149" w:rsidRDefault="00DA1553" w:rsidP="004B3893">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985" w:type="dxa"/>
            <w:shd w:val="clear" w:color="auto" w:fill="auto"/>
          </w:tcPr>
          <w:p w14:paraId="06430A6E" w14:textId="039D1DF7" w:rsidR="00DA1553" w:rsidRPr="00C92149" w:rsidRDefault="00DA1553" w:rsidP="00DA1553">
            <w:pPr>
              <w:spacing w:before="120" w:after="120"/>
              <w:jc w:val="right"/>
              <w:rPr>
                <w:rFonts w:ascii="Gill Sans MT" w:hAnsi="Gill Sans MT"/>
                <w:sz w:val="18"/>
                <w:szCs w:val="18"/>
              </w:rPr>
            </w:pPr>
            <w:r>
              <w:rPr>
                <w:rFonts w:asciiTheme="minorHAnsi" w:hAnsiTheme="minorHAnsi" w:cs="Helvetica"/>
                <w:b/>
                <w:color w:val="333333"/>
                <w:sz w:val="18"/>
                <w:szCs w:val="18"/>
              </w:rPr>
              <w:t>2015-16</w:t>
            </w:r>
          </w:p>
        </w:tc>
        <w:tc>
          <w:tcPr>
            <w:tcW w:w="4110" w:type="dxa"/>
            <w:vMerge w:val="restart"/>
            <w:shd w:val="clear" w:color="auto" w:fill="auto"/>
          </w:tcPr>
          <w:p w14:paraId="0E467942" w14:textId="77777777" w:rsidR="00FF6B43" w:rsidRDefault="00FF6B43" w:rsidP="00DA1553">
            <w:pPr>
              <w:ind w:left="105"/>
              <w:rPr>
                <w:rFonts w:asciiTheme="minorHAnsi" w:hAnsiTheme="minorHAnsi"/>
                <w:sz w:val="18"/>
                <w:szCs w:val="18"/>
              </w:rPr>
            </w:pPr>
          </w:p>
          <w:p w14:paraId="40A6943F" w14:textId="77777777" w:rsidR="00FF6B43" w:rsidRDefault="00FF6B43" w:rsidP="00DA1553">
            <w:pPr>
              <w:ind w:left="105"/>
              <w:rPr>
                <w:rFonts w:asciiTheme="minorHAnsi" w:hAnsiTheme="minorHAnsi"/>
                <w:sz w:val="18"/>
                <w:szCs w:val="18"/>
              </w:rPr>
            </w:pPr>
          </w:p>
          <w:p w14:paraId="7B87F1EF" w14:textId="1B723401" w:rsidR="00DA1553" w:rsidRPr="00FF6B43" w:rsidRDefault="00DA1553" w:rsidP="00DA1553">
            <w:pPr>
              <w:ind w:left="105"/>
              <w:rPr>
                <w:rFonts w:asciiTheme="minorHAnsi" w:hAnsiTheme="minorHAnsi"/>
                <w:sz w:val="18"/>
                <w:szCs w:val="18"/>
              </w:rPr>
            </w:pPr>
            <w:r w:rsidRPr="00FF6B43">
              <w:rPr>
                <w:rFonts w:asciiTheme="minorHAnsi" w:hAnsiTheme="minorHAnsi"/>
                <w:sz w:val="18"/>
                <w:szCs w:val="18"/>
              </w:rPr>
              <w:t xml:space="preserve">The </w:t>
            </w:r>
            <w:r w:rsidR="00A75B91">
              <w:rPr>
                <w:rFonts w:asciiTheme="minorHAnsi" w:hAnsiTheme="minorHAnsi"/>
                <w:sz w:val="18"/>
                <w:szCs w:val="18"/>
              </w:rPr>
              <w:t>Specialist Working Group</w:t>
            </w:r>
            <w:r w:rsidR="00147574">
              <w:rPr>
                <w:rFonts w:asciiTheme="minorHAnsi" w:hAnsiTheme="minorHAnsi"/>
                <w:sz w:val="18"/>
                <w:szCs w:val="18"/>
              </w:rPr>
              <w:t xml:space="preserve"> </w:t>
            </w:r>
            <w:r w:rsidRPr="00FF6B43">
              <w:rPr>
                <w:rFonts w:asciiTheme="minorHAnsi" w:hAnsiTheme="minorHAnsi"/>
                <w:sz w:val="18"/>
                <w:szCs w:val="18"/>
              </w:rPr>
              <w:t>estimated magnitude of effect:</w:t>
            </w:r>
          </w:p>
          <w:p w14:paraId="0C04100D" w14:textId="53058740" w:rsidR="00DA1553" w:rsidRPr="005D57BA" w:rsidRDefault="00DA1553" w:rsidP="00DA1553">
            <w:pPr>
              <w:ind w:left="105"/>
              <w:rPr>
                <w:rFonts w:asciiTheme="minorHAnsi" w:hAnsiTheme="minorHAnsi"/>
                <w:sz w:val="18"/>
                <w:szCs w:val="18"/>
              </w:rPr>
            </w:pPr>
            <w:r w:rsidRPr="00FF6B43">
              <w:rPr>
                <w:rFonts w:asciiTheme="minorHAnsi" w:hAnsiTheme="minorHAnsi"/>
                <w:sz w:val="18"/>
                <w:szCs w:val="18"/>
              </w:rPr>
              <w:t>Marginal: &lt;$500K reduction</w:t>
            </w:r>
            <w:r w:rsidRPr="005D57BA">
              <w:rPr>
                <w:rFonts w:asciiTheme="minorHAnsi" w:hAnsiTheme="minorHAnsi"/>
                <w:sz w:val="18"/>
                <w:szCs w:val="18"/>
              </w:rPr>
              <w:t xml:space="preserve"> </w:t>
            </w:r>
            <w:r w:rsidR="00EF70F1">
              <w:rPr>
                <w:rFonts w:asciiTheme="minorHAnsi" w:hAnsiTheme="minorHAnsi"/>
                <w:sz w:val="18"/>
                <w:szCs w:val="18"/>
              </w:rPr>
              <w:t>against projected demand</w:t>
            </w:r>
          </w:p>
          <w:p w14:paraId="7D9D9695" w14:textId="77777777" w:rsidR="00DA1553" w:rsidRPr="00C92149" w:rsidRDefault="00DA1553" w:rsidP="00D11061">
            <w:pPr>
              <w:ind w:left="720"/>
              <w:rPr>
                <w:rFonts w:asciiTheme="minorHAnsi" w:hAnsiTheme="minorHAnsi"/>
                <w:b/>
                <w:sz w:val="18"/>
                <w:szCs w:val="18"/>
              </w:rPr>
            </w:pPr>
          </w:p>
        </w:tc>
      </w:tr>
      <w:tr w:rsidR="00DA1553" w:rsidRPr="00853117" w14:paraId="0F06BCC2" w14:textId="77777777" w:rsidTr="00DA1553">
        <w:tc>
          <w:tcPr>
            <w:tcW w:w="2161" w:type="dxa"/>
            <w:shd w:val="clear" w:color="auto" w:fill="auto"/>
          </w:tcPr>
          <w:p w14:paraId="145C212F" w14:textId="77777777" w:rsidR="00DA1553" w:rsidRPr="00C92149" w:rsidRDefault="00DA1553"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vAlign w:val="bottom"/>
          </w:tcPr>
          <w:p w14:paraId="2D71BA94" w14:textId="77777777" w:rsidR="00DA1553" w:rsidRPr="004B3893" w:rsidRDefault="00DA1553" w:rsidP="004B3893">
            <w:pPr>
              <w:spacing w:before="120" w:after="120"/>
              <w:jc w:val="right"/>
              <w:rPr>
                <w:rFonts w:asciiTheme="minorHAnsi" w:hAnsiTheme="minorHAnsi" w:cs="Helvetica"/>
                <w:b/>
                <w:color w:val="333333"/>
                <w:sz w:val="18"/>
                <w:szCs w:val="18"/>
              </w:rPr>
            </w:pPr>
            <w:r w:rsidRPr="004B3893">
              <w:rPr>
                <w:rFonts w:asciiTheme="minorHAnsi" w:hAnsiTheme="minorHAnsi" w:cs="Helvetica"/>
                <w:b/>
                <w:color w:val="333333"/>
                <w:sz w:val="18"/>
                <w:szCs w:val="18"/>
              </w:rPr>
              <w:t>105</w:t>
            </w:r>
          </w:p>
        </w:tc>
        <w:tc>
          <w:tcPr>
            <w:tcW w:w="1593" w:type="dxa"/>
            <w:shd w:val="clear" w:color="auto" w:fill="auto"/>
            <w:vAlign w:val="bottom"/>
          </w:tcPr>
          <w:p w14:paraId="7F0F8392" w14:textId="77777777" w:rsidR="00DA1553" w:rsidRPr="004B3893" w:rsidRDefault="00DA1553" w:rsidP="004B3893">
            <w:pPr>
              <w:spacing w:before="120" w:after="120"/>
              <w:jc w:val="right"/>
              <w:rPr>
                <w:rFonts w:asciiTheme="minorHAnsi" w:hAnsiTheme="minorHAnsi" w:cs="Helvetica"/>
                <w:b/>
                <w:color w:val="333333"/>
                <w:sz w:val="18"/>
                <w:szCs w:val="18"/>
              </w:rPr>
            </w:pPr>
            <w:r w:rsidRPr="004B3893">
              <w:rPr>
                <w:rFonts w:asciiTheme="minorHAnsi" w:hAnsiTheme="minorHAnsi" w:cs="Helvetica"/>
                <w:b/>
                <w:color w:val="333333"/>
                <w:sz w:val="18"/>
                <w:szCs w:val="18"/>
              </w:rPr>
              <w:t>108</w:t>
            </w:r>
          </w:p>
        </w:tc>
        <w:tc>
          <w:tcPr>
            <w:tcW w:w="1667" w:type="dxa"/>
            <w:shd w:val="clear" w:color="auto" w:fill="auto"/>
            <w:vAlign w:val="bottom"/>
          </w:tcPr>
          <w:p w14:paraId="11378701" w14:textId="77777777" w:rsidR="00DA1553" w:rsidRPr="004B3893" w:rsidRDefault="00DA1553" w:rsidP="004B3893">
            <w:pPr>
              <w:spacing w:before="120" w:after="120"/>
              <w:jc w:val="right"/>
              <w:rPr>
                <w:rFonts w:asciiTheme="minorHAnsi" w:hAnsiTheme="minorHAnsi" w:cs="Helvetica"/>
                <w:b/>
                <w:color w:val="333333"/>
                <w:sz w:val="18"/>
                <w:szCs w:val="18"/>
              </w:rPr>
            </w:pPr>
            <w:r w:rsidRPr="004B3893">
              <w:rPr>
                <w:rFonts w:asciiTheme="minorHAnsi" w:hAnsiTheme="minorHAnsi" w:cs="Helvetica"/>
                <w:b/>
                <w:color w:val="333333"/>
                <w:sz w:val="18"/>
                <w:szCs w:val="18"/>
              </w:rPr>
              <w:t>101</w:t>
            </w:r>
          </w:p>
        </w:tc>
        <w:tc>
          <w:tcPr>
            <w:tcW w:w="1701" w:type="dxa"/>
            <w:shd w:val="clear" w:color="auto" w:fill="auto"/>
            <w:vAlign w:val="bottom"/>
          </w:tcPr>
          <w:p w14:paraId="1A42FAB9" w14:textId="77777777" w:rsidR="00DA1553" w:rsidRPr="004B3893" w:rsidRDefault="00DA1553" w:rsidP="004B3893">
            <w:pPr>
              <w:spacing w:before="120" w:after="120"/>
              <w:jc w:val="right"/>
              <w:rPr>
                <w:rFonts w:asciiTheme="minorHAnsi" w:hAnsiTheme="minorHAnsi" w:cs="Helvetica"/>
                <w:b/>
                <w:color w:val="333333"/>
                <w:sz w:val="18"/>
                <w:szCs w:val="18"/>
              </w:rPr>
            </w:pPr>
            <w:r w:rsidRPr="004B3893">
              <w:rPr>
                <w:rFonts w:asciiTheme="minorHAnsi" w:hAnsiTheme="minorHAnsi" w:cs="Helvetica"/>
                <w:b/>
                <w:color w:val="333333"/>
                <w:sz w:val="18"/>
                <w:szCs w:val="18"/>
              </w:rPr>
              <w:t>82</w:t>
            </w:r>
          </w:p>
        </w:tc>
        <w:tc>
          <w:tcPr>
            <w:tcW w:w="1985" w:type="dxa"/>
            <w:shd w:val="clear" w:color="auto" w:fill="auto"/>
          </w:tcPr>
          <w:p w14:paraId="54488658" w14:textId="047D8BE6" w:rsidR="00DA1553" w:rsidRPr="00C92149" w:rsidRDefault="00DA1553" w:rsidP="00DA1553">
            <w:pPr>
              <w:spacing w:before="120" w:after="120"/>
              <w:jc w:val="right"/>
              <w:rPr>
                <w:rFonts w:asciiTheme="minorHAnsi" w:hAnsiTheme="minorHAnsi"/>
                <w:b/>
                <w:sz w:val="18"/>
                <w:szCs w:val="18"/>
              </w:rPr>
            </w:pPr>
            <w:r>
              <w:rPr>
                <w:rFonts w:asciiTheme="minorHAnsi" w:hAnsiTheme="minorHAnsi"/>
                <w:b/>
                <w:sz w:val="18"/>
                <w:szCs w:val="18"/>
              </w:rPr>
              <w:t>86</w:t>
            </w:r>
          </w:p>
        </w:tc>
        <w:tc>
          <w:tcPr>
            <w:tcW w:w="4110" w:type="dxa"/>
            <w:vMerge/>
            <w:shd w:val="clear" w:color="auto" w:fill="auto"/>
          </w:tcPr>
          <w:p w14:paraId="16993804" w14:textId="183C16EF" w:rsidR="00DA1553" w:rsidRPr="00C92149" w:rsidRDefault="00DA1553" w:rsidP="004A10A2">
            <w:pPr>
              <w:spacing w:before="120" w:after="120"/>
              <w:rPr>
                <w:rFonts w:asciiTheme="minorHAnsi" w:hAnsiTheme="minorHAnsi"/>
                <w:b/>
                <w:sz w:val="18"/>
                <w:szCs w:val="18"/>
              </w:rPr>
            </w:pPr>
          </w:p>
        </w:tc>
      </w:tr>
      <w:tr w:rsidR="00DA1553" w:rsidRPr="00853117" w14:paraId="784C6CC5" w14:textId="77777777" w:rsidTr="00DA1553">
        <w:trPr>
          <w:trHeight w:val="535"/>
        </w:trPr>
        <w:tc>
          <w:tcPr>
            <w:tcW w:w="2161" w:type="dxa"/>
            <w:shd w:val="clear" w:color="auto" w:fill="auto"/>
          </w:tcPr>
          <w:p w14:paraId="10842703" w14:textId="77777777" w:rsidR="00DA1553" w:rsidRPr="00C92149" w:rsidRDefault="00DA1553"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vAlign w:val="bottom"/>
          </w:tcPr>
          <w:p w14:paraId="38D94AF9" w14:textId="77777777" w:rsidR="00DA1553" w:rsidRPr="004B3893" w:rsidRDefault="00DA1553" w:rsidP="004B3893">
            <w:pPr>
              <w:spacing w:before="120" w:after="120"/>
              <w:jc w:val="right"/>
              <w:rPr>
                <w:rFonts w:asciiTheme="minorHAnsi" w:hAnsiTheme="minorHAnsi" w:cs="Helvetica"/>
                <w:b/>
                <w:color w:val="333333"/>
                <w:sz w:val="18"/>
                <w:szCs w:val="18"/>
              </w:rPr>
            </w:pPr>
            <w:r w:rsidRPr="004B3893">
              <w:rPr>
                <w:rFonts w:asciiTheme="minorHAnsi" w:hAnsiTheme="minorHAnsi" w:cs="Helvetica"/>
                <w:b/>
                <w:color w:val="333333"/>
                <w:sz w:val="18"/>
                <w:szCs w:val="18"/>
              </w:rPr>
              <w:t>4,364</w:t>
            </w:r>
          </w:p>
        </w:tc>
        <w:tc>
          <w:tcPr>
            <w:tcW w:w="1593" w:type="dxa"/>
            <w:shd w:val="clear" w:color="auto" w:fill="auto"/>
            <w:vAlign w:val="bottom"/>
          </w:tcPr>
          <w:p w14:paraId="031E04BB" w14:textId="77777777" w:rsidR="00DA1553" w:rsidRPr="004B3893" w:rsidRDefault="00DA1553" w:rsidP="004B3893">
            <w:pPr>
              <w:spacing w:before="120" w:after="120"/>
              <w:jc w:val="right"/>
              <w:rPr>
                <w:rFonts w:asciiTheme="minorHAnsi" w:hAnsiTheme="minorHAnsi" w:cs="Helvetica"/>
                <w:b/>
                <w:color w:val="333333"/>
                <w:sz w:val="18"/>
                <w:szCs w:val="18"/>
              </w:rPr>
            </w:pPr>
            <w:r w:rsidRPr="004B3893">
              <w:rPr>
                <w:rFonts w:asciiTheme="minorHAnsi" w:hAnsiTheme="minorHAnsi" w:cs="Helvetica"/>
                <w:b/>
                <w:color w:val="333333"/>
                <w:sz w:val="18"/>
                <w:szCs w:val="18"/>
              </w:rPr>
              <w:t>6,146</w:t>
            </w:r>
          </w:p>
        </w:tc>
        <w:tc>
          <w:tcPr>
            <w:tcW w:w="1667" w:type="dxa"/>
            <w:shd w:val="clear" w:color="auto" w:fill="auto"/>
            <w:vAlign w:val="bottom"/>
          </w:tcPr>
          <w:p w14:paraId="31A83E58" w14:textId="77777777" w:rsidR="00DA1553" w:rsidRPr="004B3893" w:rsidRDefault="00DA1553" w:rsidP="004B3893">
            <w:pPr>
              <w:spacing w:before="120" w:after="120"/>
              <w:jc w:val="right"/>
              <w:rPr>
                <w:rFonts w:asciiTheme="minorHAnsi" w:hAnsiTheme="minorHAnsi" w:cs="Helvetica"/>
                <w:b/>
                <w:color w:val="333333"/>
                <w:sz w:val="18"/>
                <w:szCs w:val="18"/>
              </w:rPr>
            </w:pPr>
            <w:r w:rsidRPr="004B3893">
              <w:rPr>
                <w:rFonts w:asciiTheme="minorHAnsi" w:hAnsiTheme="minorHAnsi" w:cs="Helvetica"/>
                <w:b/>
                <w:color w:val="333333"/>
                <w:sz w:val="18"/>
                <w:szCs w:val="18"/>
              </w:rPr>
              <w:t>6,661</w:t>
            </w:r>
          </w:p>
        </w:tc>
        <w:tc>
          <w:tcPr>
            <w:tcW w:w="1701" w:type="dxa"/>
            <w:shd w:val="clear" w:color="auto" w:fill="auto"/>
            <w:vAlign w:val="bottom"/>
          </w:tcPr>
          <w:p w14:paraId="1E6C8998" w14:textId="77777777" w:rsidR="00DA1553" w:rsidRPr="004B3893" w:rsidRDefault="00DA1553" w:rsidP="004B3893">
            <w:pPr>
              <w:spacing w:before="120" w:after="120"/>
              <w:jc w:val="right"/>
              <w:rPr>
                <w:rFonts w:asciiTheme="minorHAnsi" w:hAnsiTheme="minorHAnsi" w:cs="Helvetica"/>
                <w:b/>
                <w:color w:val="333333"/>
                <w:sz w:val="18"/>
                <w:szCs w:val="18"/>
              </w:rPr>
            </w:pPr>
            <w:r w:rsidRPr="004B3893">
              <w:rPr>
                <w:rFonts w:asciiTheme="minorHAnsi" w:hAnsiTheme="minorHAnsi" w:cs="Helvetica"/>
                <w:b/>
                <w:color w:val="333333"/>
                <w:sz w:val="18"/>
                <w:szCs w:val="18"/>
              </w:rPr>
              <w:t>2,013</w:t>
            </w:r>
          </w:p>
        </w:tc>
        <w:tc>
          <w:tcPr>
            <w:tcW w:w="1985" w:type="dxa"/>
            <w:shd w:val="clear" w:color="auto" w:fill="auto"/>
          </w:tcPr>
          <w:p w14:paraId="7CB3C93D" w14:textId="5F6C9845" w:rsidR="00DA1553" w:rsidRPr="00C92149" w:rsidRDefault="00DA1553" w:rsidP="00DA1553">
            <w:pPr>
              <w:spacing w:before="120" w:after="120"/>
              <w:jc w:val="right"/>
              <w:rPr>
                <w:rFonts w:asciiTheme="minorHAnsi" w:hAnsiTheme="minorHAnsi"/>
                <w:b/>
                <w:sz w:val="18"/>
                <w:szCs w:val="18"/>
              </w:rPr>
            </w:pPr>
            <w:r>
              <w:rPr>
                <w:rFonts w:asciiTheme="minorHAnsi" w:hAnsiTheme="minorHAnsi"/>
                <w:b/>
                <w:sz w:val="18"/>
                <w:szCs w:val="18"/>
              </w:rPr>
              <w:t>5,636</w:t>
            </w:r>
          </w:p>
        </w:tc>
        <w:tc>
          <w:tcPr>
            <w:tcW w:w="4110" w:type="dxa"/>
            <w:vMerge/>
            <w:shd w:val="clear" w:color="auto" w:fill="auto"/>
          </w:tcPr>
          <w:p w14:paraId="44E74B9C" w14:textId="0E8418B0" w:rsidR="00DA1553" w:rsidRPr="00C92149" w:rsidRDefault="00DA1553" w:rsidP="004A10A2">
            <w:pPr>
              <w:spacing w:before="120" w:after="120"/>
              <w:rPr>
                <w:rFonts w:asciiTheme="minorHAnsi" w:hAnsiTheme="minorHAnsi"/>
                <w:b/>
                <w:sz w:val="18"/>
                <w:szCs w:val="18"/>
              </w:rPr>
            </w:pPr>
          </w:p>
        </w:tc>
      </w:tr>
      <w:tr w:rsidR="00DA1553" w:rsidRPr="00853117" w14:paraId="35CCBD3A" w14:textId="77777777" w:rsidTr="00DA1553">
        <w:tc>
          <w:tcPr>
            <w:tcW w:w="2161" w:type="dxa"/>
            <w:shd w:val="clear" w:color="auto" w:fill="auto"/>
          </w:tcPr>
          <w:p w14:paraId="26F5BE40" w14:textId="77777777" w:rsidR="00DA1553" w:rsidRPr="00C92149" w:rsidRDefault="00DA1553"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vAlign w:val="bottom"/>
          </w:tcPr>
          <w:p w14:paraId="3C905A51" w14:textId="60920906" w:rsidR="00DA1553" w:rsidRPr="004B3893" w:rsidRDefault="00DA1553" w:rsidP="004B3893">
            <w:pPr>
              <w:spacing w:before="120" w:after="120"/>
              <w:jc w:val="right"/>
              <w:rPr>
                <w:rFonts w:asciiTheme="minorHAnsi" w:hAnsiTheme="minorHAnsi" w:cs="Helvetica"/>
                <w:b/>
                <w:color w:val="333333"/>
                <w:sz w:val="18"/>
                <w:szCs w:val="18"/>
              </w:rPr>
            </w:pPr>
            <w:r w:rsidRPr="004B3893">
              <w:rPr>
                <w:rFonts w:asciiTheme="minorHAnsi" w:hAnsiTheme="minorHAnsi" w:cs="Helvetica"/>
                <w:b/>
                <w:color w:val="333333"/>
                <w:sz w:val="18"/>
                <w:szCs w:val="18"/>
              </w:rPr>
              <w:t>0.1</w:t>
            </w:r>
            <w:r w:rsidR="00616504">
              <w:rPr>
                <w:rFonts w:asciiTheme="minorHAnsi" w:hAnsiTheme="minorHAnsi" w:cs="Helvetica"/>
                <w:b/>
                <w:color w:val="333333"/>
                <w:sz w:val="18"/>
                <w:szCs w:val="18"/>
              </w:rPr>
              <w:t>3</w:t>
            </w:r>
            <w:r w:rsidRPr="004B3893">
              <w:rPr>
                <w:rFonts w:asciiTheme="minorHAnsi" w:hAnsiTheme="minorHAnsi" w:cs="Helvetica"/>
                <w:b/>
                <w:color w:val="333333"/>
                <w:sz w:val="18"/>
                <w:szCs w:val="18"/>
              </w:rPr>
              <w:t>%</w:t>
            </w:r>
          </w:p>
        </w:tc>
        <w:tc>
          <w:tcPr>
            <w:tcW w:w="1593" w:type="dxa"/>
            <w:shd w:val="clear" w:color="auto" w:fill="auto"/>
            <w:vAlign w:val="bottom"/>
          </w:tcPr>
          <w:p w14:paraId="08E5B0B1" w14:textId="77777777" w:rsidR="00DA1553" w:rsidRPr="004B3893" w:rsidRDefault="00DA1553" w:rsidP="004B3893">
            <w:pPr>
              <w:spacing w:before="120" w:after="120"/>
              <w:jc w:val="right"/>
              <w:rPr>
                <w:rFonts w:asciiTheme="minorHAnsi" w:hAnsiTheme="minorHAnsi" w:cs="Helvetica"/>
                <w:b/>
                <w:color w:val="333333"/>
                <w:sz w:val="18"/>
                <w:szCs w:val="18"/>
              </w:rPr>
            </w:pPr>
            <w:r w:rsidRPr="004B3893">
              <w:rPr>
                <w:rFonts w:asciiTheme="minorHAnsi" w:hAnsiTheme="minorHAnsi" w:cs="Helvetica"/>
                <w:b/>
                <w:color w:val="333333"/>
                <w:sz w:val="18"/>
                <w:szCs w:val="18"/>
              </w:rPr>
              <w:t>0.17%</w:t>
            </w:r>
          </w:p>
        </w:tc>
        <w:tc>
          <w:tcPr>
            <w:tcW w:w="1667" w:type="dxa"/>
            <w:shd w:val="clear" w:color="auto" w:fill="auto"/>
            <w:vAlign w:val="bottom"/>
          </w:tcPr>
          <w:p w14:paraId="6EB832EA" w14:textId="77777777" w:rsidR="00DA1553" w:rsidRPr="004B3893" w:rsidRDefault="00DA1553" w:rsidP="004B3893">
            <w:pPr>
              <w:spacing w:before="120" w:after="120"/>
              <w:jc w:val="right"/>
              <w:rPr>
                <w:rFonts w:asciiTheme="minorHAnsi" w:hAnsiTheme="minorHAnsi" w:cs="Helvetica"/>
                <w:b/>
                <w:color w:val="333333"/>
                <w:sz w:val="18"/>
                <w:szCs w:val="18"/>
              </w:rPr>
            </w:pPr>
            <w:r w:rsidRPr="004B3893">
              <w:rPr>
                <w:rFonts w:asciiTheme="minorHAnsi" w:hAnsiTheme="minorHAnsi" w:cs="Helvetica"/>
                <w:b/>
                <w:color w:val="333333"/>
                <w:sz w:val="18"/>
                <w:szCs w:val="18"/>
              </w:rPr>
              <w:t>0.17%</w:t>
            </w:r>
          </w:p>
        </w:tc>
        <w:tc>
          <w:tcPr>
            <w:tcW w:w="1701" w:type="dxa"/>
            <w:shd w:val="clear" w:color="auto" w:fill="auto"/>
            <w:vAlign w:val="bottom"/>
          </w:tcPr>
          <w:p w14:paraId="2B863930" w14:textId="77777777" w:rsidR="00DA1553" w:rsidRPr="004B3893" w:rsidRDefault="00DA1553" w:rsidP="004B3893">
            <w:pPr>
              <w:spacing w:before="120" w:after="120"/>
              <w:jc w:val="right"/>
              <w:rPr>
                <w:rFonts w:asciiTheme="minorHAnsi" w:hAnsiTheme="minorHAnsi" w:cs="Helvetica"/>
                <w:b/>
                <w:color w:val="333333"/>
                <w:sz w:val="18"/>
                <w:szCs w:val="18"/>
              </w:rPr>
            </w:pPr>
            <w:r w:rsidRPr="004B3893">
              <w:rPr>
                <w:rFonts w:asciiTheme="minorHAnsi" w:hAnsiTheme="minorHAnsi" w:cs="Helvetica"/>
                <w:b/>
                <w:color w:val="333333"/>
                <w:sz w:val="18"/>
                <w:szCs w:val="18"/>
              </w:rPr>
              <w:t>0.05%</w:t>
            </w:r>
          </w:p>
        </w:tc>
        <w:tc>
          <w:tcPr>
            <w:tcW w:w="1985" w:type="dxa"/>
            <w:shd w:val="clear" w:color="auto" w:fill="auto"/>
          </w:tcPr>
          <w:p w14:paraId="3352E767" w14:textId="641A853A" w:rsidR="00DA1553" w:rsidRPr="00C92149" w:rsidRDefault="00DA1553" w:rsidP="00DA1553">
            <w:pPr>
              <w:spacing w:before="120" w:after="120"/>
              <w:jc w:val="right"/>
              <w:rPr>
                <w:rFonts w:asciiTheme="minorHAnsi" w:hAnsiTheme="minorHAnsi"/>
                <w:b/>
                <w:sz w:val="18"/>
                <w:szCs w:val="18"/>
              </w:rPr>
            </w:pPr>
            <w:r>
              <w:rPr>
                <w:rFonts w:asciiTheme="minorHAnsi" w:hAnsiTheme="minorHAnsi"/>
                <w:b/>
                <w:sz w:val="18"/>
                <w:szCs w:val="18"/>
              </w:rPr>
              <w:t>0.11%</w:t>
            </w:r>
          </w:p>
        </w:tc>
        <w:tc>
          <w:tcPr>
            <w:tcW w:w="4110" w:type="dxa"/>
            <w:vMerge/>
            <w:shd w:val="clear" w:color="auto" w:fill="auto"/>
          </w:tcPr>
          <w:p w14:paraId="574CBBC8" w14:textId="3CE18909" w:rsidR="00DA1553" w:rsidRPr="00C92149" w:rsidRDefault="00DA1553" w:rsidP="004A10A2">
            <w:pPr>
              <w:spacing w:before="120" w:after="120"/>
              <w:rPr>
                <w:rFonts w:asciiTheme="minorHAnsi" w:hAnsiTheme="minorHAnsi"/>
                <w:b/>
                <w:sz w:val="18"/>
                <w:szCs w:val="18"/>
              </w:rPr>
            </w:pPr>
          </w:p>
        </w:tc>
      </w:tr>
      <w:tr w:rsidR="004B3893" w:rsidRPr="00021243" w14:paraId="0986A8D3" w14:textId="77777777" w:rsidTr="005D45E6">
        <w:tc>
          <w:tcPr>
            <w:tcW w:w="14601" w:type="dxa"/>
            <w:gridSpan w:val="7"/>
            <w:shd w:val="clear" w:color="auto" w:fill="F79646" w:themeFill="accent6"/>
          </w:tcPr>
          <w:p w14:paraId="0A841E2F" w14:textId="10AFFAC9" w:rsidR="004B3893" w:rsidRDefault="004B3893" w:rsidP="00A75B91">
            <w:pPr>
              <w:spacing w:before="120" w:after="120"/>
              <w:rPr>
                <w:rFonts w:asciiTheme="minorHAnsi" w:hAnsiTheme="minorHAnsi"/>
                <w:b/>
              </w:rPr>
            </w:pPr>
            <w:r>
              <w:rPr>
                <w:rFonts w:asciiTheme="minorHAnsi" w:hAnsiTheme="minorHAnsi"/>
                <w:b/>
              </w:rPr>
              <w:t>S</w:t>
            </w:r>
            <w:r w:rsidR="00A75B91">
              <w:rPr>
                <w:rFonts w:asciiTheme="minorHAnsi" w:hAnsiTheme="minorHAnsi"/>
                <w:b/>
              </w:rPr>
              <w:t>pecialist Working Group</w:t>
            </w:r>
            <w:r>
              <w:rPr>
                <w:rFonts w:asciiTheme="minorHAnsi" w:hAnsiTheme="minorHAnsi"/>
                <w:b/>
              </w:rPr>
              <w:t xml:space="preserve"> knowledge development opportunities and recommendations</w:t>
            </w:r>
          </w:p>
        </w:tc>
      </w:tr>
      <w:tr w:rsidR="004B3893" w:rsidRPr="00021243" w14:paraId="4BE86C59" w14:textId="77777777" w:rsidTr="005D45E6">
        <w:tc>
          <w:tcPr>
            <w:tcW w:w="14601" w:type="dxa"/>
            <w:gridSpan w:val="7"/>
            <w:shd w:val="clear" w:color="auto" w:fill="auto"/>
          </w:tcPr>
          <w:p w14:paraId="0E075F87" w14:textId="7D1F0E2D" w:rsidR="004B3893" w:rsidRPr="002506FF" w:rsidRDefault="00471B27" w:rsidP="00AA0C33">
            <w:pPr>
              <w:spacing w:before="120" w:after="120"/>
              <w:rPr>
                <w:rFonts w:asciiTheme="minorHAnsi" w:hAnsiTheme="minorHAnsi"/>
              </w:rPr>
            </w:pPr>
            <w:r w:rsidRPr="00471B27">
              <w:rPr>
                <w:rFonts w:asciiTheme="minorHAnsi" w:hAnsiTheme="minorHAnsi"/>
              </w:rPr>
              <w:t>Inform paediatricians about the superiority of phototherapy compared to Ig</w:t>
            </w:r>
            <w:r w:rsidR="00AA0C33">
              <w:rPr>
                <w:rFonts w:asciiTheme="minorHAnsi" w:hAnsiTheme="minorHAnsi"/>
              </w:rPr>
              <w:t xml:space="preserve"> therapy in the treatment of HDF</w:t>
            </w:r>
            <w:bookmarkStart w:id="2" w:name="_GoBack"/>
            <w:bookmarkEnd w:id="2"/>
            <w:r w:rsidRPr="00471B27">
              <w:rPr>
                <w:rFonts w:asciiTheme="minorHAnsi" w:hAnsiTheme="minorHAnsi"/>
              </w:rPr>
              <w:t>.</w:t>
            </w:r>
            <w:r>
              <w:rPr>
                <w:rFonts w:asciiTheme="minorHAnsi" w:hAnsiTheme="minorHAnsi"/>
              </w:rPr>
              <w:t xml:space="preserve"> </w:t>
            </w:r>
            <w:r w:rsidRPr="00471B27">
              <w:rPr>
                <w:rFonts w:asciiTheme="minorHAnsi" w:hAnsiTheme="minorHAnsi"/>
              </w:rPr>
              <w:t xml:space="preserve">In neonates with </w:t>
            </w:r>
            <w:r w:rsidR="00AA0C33">
              <w:rPr>
                <w:rFonts w:asciiTheme="minorHAnsi" w:hAnsiTheme="minorHAnsi"/>
              </w:rPr>
              <w:t>HDF</w:t>
            </w:r>
            <w:r>
              <w:rPr>
                <w:rFonts w:asciiTheme="minorHAnsi" w:hAnsiTheme="minorHAnsi"/>
              </w:rPr>
              <w:t xml:space="preserve">, the use of IVIg is not </w:t>
            </w:r>
            <w:r w:rsidRPr="00471B27">
              <w:rPr>
                <w:rFonts w:asciiTheme="minorHAnsi" w:hAnsiTheme="minorHAnsi"/>
              </w:rPr>
              <w:lastRenderedPageBreak/>
              <w:t>recommended</w:t>
            </w:r>
            <w:r w:rsidR="00AA0C33">
              <w:rPr>
                <w:rFonts w:asciiTheme="minorHAnsi" w:hAnsiTheme="minorHAnsi"/>
              </w:rPr>
              <w:t xml:space="preserve"> (Patient Blood Management Guidelines, Module 6, 2016)</w:t>
            </w:r>
            <w:r w:rsidRPr="00471B27">
              <w:rPr>
                <w:rFonts w:asciiTheme="minorHAnsi" w:hAnsiTheme="minorHAnsi"/>
              </w:rPr>
              <w:t>.</w:t>
            </w:r>
          </w:p>
        </w:tc>
      </w:tr>
      <w:tr w:rsidR="002506FF" w:rsidRPr="00021243" w14:paraId="55DFC4F4" w14:textId="77777777" w:rsidTr="009F1DFC">
        <w:tblPrEx>
          <w:tblLook w:val="04A0" w:firstRow="1" w:lastRow="0" w:firstColumn="1" w:lastColumn="0" w:noHBand="0" w:noVBand="1"/>
        </w:tblPrEx>
        <w:tc>
          <w:tcPr>
            <w:tcW w:w="14601" w:type="dxa"/>
            <w:gridSpan w:val="7"/>
          </w:tcPr>
          <w:p w14:paraId="0BDC1BF8" w14:textId="7E4878E1" w:rsidR="002506FF" w:rsidRDefault="00FF6B43" w:rsidP="002506FF">
            <w:pPr>
              <w:spacing w:before="120" w:after="120"/>
              <w:jc w:val="center"/>
              <w:rPr>
                <w:rFonts w:asciiTheme="minorHAnsi" w:hAnsiTheme="minorHAnsi"/>
                <w:b/>
              </w:rPr>
            </w:pPr>
            <w:r>
              <w:rPr>
                <w:rFonts w:asciiTheme="minorHAnsi" w:hAnsiTheme="minorHAnsi"/>
                <w:b/>
              </w:rPr>
              <w:lastRenderedPageBreak/>
              <w:t>END OF</w:t>
            </w:r>
            <w:r w:rsidRPr="00FF6B43">
              <w:rPr>
                <w:rFonts w:asciiTheme="minorHAnsi" w:hAnsiTheme="minorHAnsi"/>
                <w:b/>
              </w:rPr>
              <w:t xml:space="preserve"> </w:t>
            </w:r>
            <w:r w:rsidR="008F0897" w:rsidRPr="00FF6B43">
              <w:rPr>
                <w:rFonts w:asciiTheme="minorHAnsi" w:hAnsiTheme="minorHAnsi"/>
                <w:b/>
              </w:rPr>
              <w:t>PUBLIC CONSULTATION</w:t>
            </w:r>
            <w:r w:rsidR="002506FF" w:rsidRPr="00FF6B43">
              <w:rPr>
                <w:rFonts w:asciiTheme="minorHAnsi" w:hAnsiTheme="minorHAnsi"/>
                <w:b/>
              </w:rPr>
              <w:t xml:space="preserve"> DOCUMENT</w:t>
            </w:r>
          </w:p>
          <w:p w14:paraId="16299FAF" w14:textId="546CC05C" w:rsidR="000E09C4" w:rsidRPr="00021243" w:rsidRDefault="008F0897" w:rsidP="008F0897">
            <w:pPr>
              <w:spacing w:before="120" w:after="120"/>
              <w:jc w:val="center"/>
              <w:rPr>
                <w:rFonts w:asciiTheme="minorHAnsi" w:hAnsiTheme="minorHAnsi"/>
                <w:b/>
              </w:rPr>
            </w:pPr>
            <w:r>
              <w:rPr>
                <w:rFonts w:asciiTheme="minorHAnsi" w:hAnsiTheme="minorHAnsi"/>
                <w:b/>
              </w:rPr>
              <w:t xml:space="preserve">Next review: </w:t>
            </w:r>
            <w:r w:rsidR="00AC7743">
              <w:rPr>
                <w:rFonts w:asciiTheme="minorHAnsi" w:hAnsiTheme="minorHAnsi"/>
                <w:b/>
              </w:rPr>
              <w:t xml:space="preserve">Twelve to eighteen months after BloodSTAR </w:t>
            </w:r>
            <w:r w:rsidR="00942711">
              <w:rPr>
                <w:rFonts w:asciiTheme="minorHAnsi" w:hAnsiTheme="minorHAnsi"/>
                <w:b/>
              </w:rPr>
              <w:t>v</w:t>
            </w:r>
            <w:r w:rsidR="00AC7743">
              <w:rPr>
                <w:rFonts w:asciiTheme="minorHAnsi" w:hAnsiTheme="minorHAnsi"/>
                <w:b/>
              </w:rPr>
              <w:t>3</w:t>
            </w:r>
            <w:r w:rsidR="003C7BE2">
              <w:rPr>
                <w:rFonts w:asciiTheme="minorHAnsi" w:hAnsiTheme="minorHAnsi"/>
                <w:b/>
              </w:rPr>
              <w:t>.0</w:t>
            </w:r>
            <w:r w:rsidR="00AC7743">
              <w:rPr>
                <w:rFonts w:asciiTheme="minorHAnsi" w:hAnsiTheme="minorHAnsi"/>
                <w:b/>
              </w:rPr>
              <w:t xml:space="preserve"> implemented</w:t>
            </w:r>
          </w:p>
        </w:tc>
      </w:tr>
    </w:tbl>
    <w:p w14:paraId="13F83C6E" w14:textId="1F184D39" w:rsidR="006627B5" w:rsidRPr="00FD2CCD" w:rsidRDefault="006627B5" w:rsidP="002D34A0">
      <w:pPr>
        <w:spacing w:line="276" w:lineRule="auto"/>
      </w:pPr>
    </w:p>
    <w:sectPr w:rsidR="006627B5" w:rsidRPr="00FD2CCD" w:rsidSect="002D34A0">
      <w:headerReference w:type="first" r:id="rId19"/>
      <w:pgSz w:w="16839" w:h="11907" w:orient="landscape" w:code="9"/>
      <w:pgMar w:top="1440" w:right="1440" w:bottom="993" w:left="1440"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D92E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60287" w14:textId="77777777" w:rsidR="000256A1" w:rsidRDefault="000256A1" w:rsidP="00856708">
      <w:pPr>
        <w:spacing w:after="0"/>
      </w:pPr>
      <w:r>
        <w:separator/>
      </w:r>
    </w:p>
  </w:endnote>
  <w:endnote w:type="continuationSeparator" w:id="0">
    <w:p w14:paraId="3648CE41" w14:textId="77777777" w:rsidR="000256A1" w:rsidRDefault="000256A1"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172596"/>
      <w:docPartObj>
        <w:docPartGallery w:val="Page Numbers (Bottom of Page)"/>
        <w:docPartUnique/>
      </w:docPartObj>
    </w:sdtPr>
    <w:sdtEndPr>
      <w:rPr>
        <w:noProof/>
      </w:rPr>
    </w:sdtEndPr>
    <w:sdtContent>
      <w:p w14:paraId="26A55648" w14:textId="05559BD1" w:rsidR="0007198A" w:rsidRDefault="0007198A">
        <w:pPr>
          <w:pStyle w:val="Footer"/>
          <w:jc w:val="right"/>
        </w:pPr>
        <w:r>
          <w:fldChar w:fldCharType="begin"/>
        </w:r>
        <w:r>
          <w:instrText xml:space="preserve"> PAGE   \* MERGEFORMAT </w:instrText>
        </w:r>
        <w:r>
          <w:fldChar w:fldCharType="separate"/>
        </w:r>
        <w:r w:rsidR="00543C09">
          <w:rPr>
            <w:noProof/>
          </w:rPr>
          <w:t>9</w:t>
        </w:r>
        <w:r>
          <w:rPr>
            <w:noProof/>
          </w:rPr>
          <w:fldChar w:fldCharType="end"/>
        </w:r>
      </w:p>
    </w:sdtContent>
  </w:sdt>
  <w:p w14:paraId="3540E6BF" w14:textId="4DFB2FBD" w:rsidR="00853117" w:rsidRPr="00E24D12" w:rsidRDefault="00853117" w:rsidP="00E24D12">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467918"/>
      <w:docPartObj>
        <w:docPartGallery w:val="Page Numbers (Bottom of Page)"/>
        <w:docPartUnique/>
      </w:docPartObj>
    </w:sdtPr>
    <w:sdtEndPr>
      <w:rPr>
        <w:noProof/>
      </w:rPr>
    </w:sdtEndPr>
    <w:sdtContent>
      <w:p w14:paraId="0968A264" w14:textId="1328DC2A" w:rsidR="0007198A" w:rsidRDefault="0007198A">
        <w:pPr>
          <w:pStyle w:val="Footer"/>
          <w:jc w:val="right"/>
        </w:pPr>
        <w:r>
          <w:fldChar w:fldCharType="begin"/>
        </w:r>
        <w:r>
          <w:instrText xml:space="preserve"> PAGE   \* MERGEFORMAT </w:instrText>
        </w:r>
        <w:r>
          <w:fldChar w:fldCharType="separate"/>
        </w:r>
        <w:r w:rsidR="00543C09">
          <w:rPr>
            <w:noProof/>
          </w:rPr>
          <w:t>1</w:t>
        </w:r>
        <w:r>
          <w:rPr>
            <w:noProof/>
          </w:rPr>
          <w:fldChar w:fldCharType="end"/>
        </w:r>
      </w:p>
    </w:sdtContent>
  </w:sdt>
  <w:p w14:paraId="30D07BA8" w14:textId="77777777" w:rsidR="00E24D12" w:rsidRDefault="00E24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4AB48" w14:textId="77777777" w:rsidR="000256A1" w:rsidRDefault="000256A1" w:rsidP="00856708">
      <w:pPr>
        <w:spacing w:after="0"/>
      </w:pPr>
      <w:r>
        <w:separator/>
      </w:r>
    </w:p>
  </w:footnote>
  <w:footnote w:type="continuationSeparator" w:id="0">
    <w:p w14:paraId="2DCB40F6" w14:textId="77777777" w:rsidR="000256A1" w:rsidRDefault="000256A1"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18654" w14:textId="1A957E67" w:rsidR="0007198A" w:rsidRPr="00E24D12" w:rsidRDefault="00EF70F1" w:rsidP="0007198A">
    <w:pPr>
      <w:pStyle w:val="Footer"/>
      <w:rPr>
        <w:sz w:val="20"/>
        <w:szCs w:val="20"/>
      </w:rPr>
    </w:pPr>
    <w:r>
      <w:rPr>
        <w:sz w:val="20"/>
        <w:szCs w:val="20"/>
      </w:rPr>
      <w:t>PUBLIC CONSULTATION 2017</w:t>
    </w:r>
    <w:r w:rsidR="0007198A" w:rsidRPr="00E24D12">
      <w:rPr>
        <w:sz w:val="20"/>
        <w:szCs w:val="20"/>
      </w:rPr>
      <w:t xml:space="preserve"> - Haemolytic disease of the fetus (previously Haemolytic disease of the fetus and newborn</w:t>
    </w:r>
    <w:r>
      <w:rPr>
        <w:sz w:val="20"/>
        <w:szCs w:val="20"/>
      </w:rPr>
      <w:t>)</w:t>
    </w:r>
  </w:p>
  <w:p w14:paraId="1D8DE27E" w14:textId="77777777" w:rsidR="0007198A" w:rsidRDefault="000719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BEAF4" w14:textId="66CA8A35" w:rsidR="0007198A" w:rsidRPr="00E24D12" w:rsidRDefault="00EF70F1" w:rsidP="0007198A">
    <w:pPr>
      <w:pStyle w:val="Footer"/>
      <w:rPr>
        <w:sz w:val="20"/>
        <w:szCs w:val="20"/>
      </w:rPr>
    </w:pPr>
    <w:r>
      <w:rPr>
        <w:sz w:val="20"/>
        <w:szCs w:val="20"/>
      </w:rPr>
      <w:t>PUBLIC CONSULTATION 2017</w:t>
    </w:r>
    <w:r w:rsidR="0007198A" w:rsidRPr="00E24D12">
      <w:rPr>
        <w:sz w:val="20"/>
        <w:szCs w:val="20"/>
      </w:rPr>
      <w:t xml:space="preserve"> - Haemolytic disease of the fetus (previously Haemolytic disease of the fetus and newborn)</w:t>
    </w:r>
  </w:p>
  <w:p w14:paraId="087EBEA3" w14:textId="77777777" w:rsidR="0007198A" w:rsidRDefault="000719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13B52" w14:textId="0F3772BE" w:rsidR="000E09C4" w:rsidRPr="0007198A" w:rsidRDefault="0032595E" w:rsidP="0007198A">
    <w:pPr>
      <w:pStyle w:val="Footer"/>
      <w:rPr>
        <w:sz w:val="20"/>
        <w:szCs w:val="20"/>
      </w:rPr>
    </w:pPr>
    <w:r>
      <w:rPr>
        <w:sz w:val="20"/>
        <w:szCs w:val="20"/>
      </w:rPr>
      <w:t>PUBLIC CONSULTATION 2017</w:t>
    </w:r>
    <w:r w:rsidR="0007198A" w:rsidRPr="00E24D12">
      <w:rPr>
        <w:sz w:val="20"/>
        <w:szCs w:val="20"/>
      </w:rPr>
      <w:t xml:space="preserve"> - Haemolytic disease of the fetus (previously Haemolytic disease of the fetus and newborn)</w:t>
    </w:r>
  </w:p>
  <w:p w14:paraId="713D9CE4" w14:textId="77777777" w:rsidR="000E09C4" w:rsidRDefault="000E0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B46AC5"/>
    <w:multiLevelType w:val="hybridMultilevel"/>
    <w:tmpl w:val="C4E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D76193A"/>
    <w:multiLevelType w:val="hybridMultilevel"/>
    <w:tmpl w:val="AFEC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3A09A6"/>
    <w:multiLevelType w:val="hybridMultilevel"/>
    <w:tmpl w:val="C0B68142"/>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E90332E"/>
    <w:multiLevelType w:val="hybridMultilevel"/>
    <w:tmpl w:val="35A0857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4">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7">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6">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0C327A4"/>
    <w:multiLevelType w:val="hybridMultilevel"/>
    <w:tmpl w:val="59A23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4"/>
  </w:num>
  <w:num w:numId="4">
    <w:abstractNumId w:val="39"/>
  </w:num>
  <w:num w:numId="5">
    <w:abstractNumId w:val="18"/>
  </w:num>
  <w:num w:numId="6">
    <w:abstractNumId w:val="2"/>
  </w:num>
  <w:num w:numId="7">
    <w:abstractNumId w:val="1"/>
  </w:num>
  <w:num w:numId="8">
    <w:abstractNumId w:val="4"/>
  </w:num>
  <w:num w:numId="9">
    <w:abstractNumId w:val="0"/>
  </w:num>
  <w:num w:numId="10">
    <w:abstractNumId w:val="44"/>
  </w:num>
  <w:num w:numId="11">
    <w:abstractNumId w:val="30"/>
  </w:num>
  <w:num w:numId="12">
    <w:abstractNumId w:val="36"/>
  </w:num>
  <w:num w:numId="13">
    <w:abstractNumId w:val="15"/>
  </w:num>
  <w:num w:numId="14">
    <w:abstractNumId w:val="23"/>
  </w:num>
  <w:num w:numId="15">
    <w:abstractNumId w:val="14"/>
  </w:num>
  <w:num w:numId="16">
    <w:abstractNumId w:val="38"/>
  </w:num>
  <w:num w:numId="17">
    <w:abstractNumId w:val="6"/>
  </w:num>
  <w:num w:numId="18">
    <w:abstractNumId w:val="19"/>
  </w:num>
  <w:num w:numId="19">
    <w:abstractNumId w:val="34"/>
  </w:num>
  <w:num w:numId="20">
    <w:abstractNumId w:val="46"/>
  </w:num>
  <w:num w:numId="21">
    <w:abstractNumId w:val="16"/>
  </w:num>
  <w:num w:numId="22">
    <w:abstractNumId w:val="35"/>
  </w:num>
  <w:num w:numId="23">
    <w:abstractNumId w:val="12"/>
  </w:num>
  <w:num w:numId="24">
    <w:abstractNumId w:val="3"/>
  </w:num>
  <w:num w:numId="25">
    <w:abstractNumId w:val="37"/>
  </w:num>
  <w:num w:numId="26">
    <w:abstractNumId w:val="26"/>
  </w:num>
  <w:num w:numId="27">
    <w:abstractNumId w:val="42"/>
  </w:num>
  <w:num w:numId="28">
    <w:abstractNumId w:val="31"/>
  </w:num>
  <w:num w:numId="29">
    <w:abstractNumId w:val="32"/>
  </w:num>
  <w:num w:numId="30">
    <w:abstractNumId w:val="10"/>
  </w:num>
  <w:num w:numId="31">
    <w:abstractNumId w:val="11"/>
  </w:num>
  <w:num w:numId="32">
    <w:abstractNumId w:val="29"/>
  </w:num>
  <w:num w:numId="33">
    <w:abstractNumId w:val="45"/>
  </w:num>
  <w:num w:numId="34">
    <w:abstractNumId w:val="22"/>
  </w:num>
  <w:num w:numId="35">
    <w:abstractNumId w:val="33"/>
  </w:num>
  <w:num w:numId="36">
    <w:abstractNumId w:val="21"/>
  </w:num>
  <w:num w:numId="37">
    <w:abstractNumId w:val="17"/>
  </w:num>
  <w:num w:numId="38">
    <w:abstractNumId w:val="25"/>
  </w:num>
  <w:num w:numId="39">
    <w:abstractNumId w:val="28"/>
  </w:num>
  <w:num w:numId="40">
    <w:abstractNumId w:val="9"/>
  </w:num>
  <w:num w:numId="41">
    <w:abstractNumId w:val="41"/>
  </w:num>
  <w:num w:numId="42">
    <w:abstractNumId w:val="43"/>
  </w:num>
  <w:num w:numId="43">
    <w:abstractNumId w:val="27"/>
  </w:num>
  <w:num w:numId="44">
    <w:abstractNumId w:val="8"/>
  </w:num>
  <w:num w:numId="45">
    <w:abstractNumId w:val="47"/>
  </w:num>
  <w:num w:numId="46">
    <w:abstractNumId w:val="5"/>
  </w:num>
  <w:num w:numId="47">
    <w:abstractNumId w:val="7"/>
  </w:num>
  <w:num w:numId="48">
    <w:abstractNumId w:val="4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01335"/>
    <w:rsid w:val="00013C2F"/>
    <w:rsid w:val="00021243"/>
    <w:rsid w:val="00022A4A"/>
    <w:rsid w:val="000256A1"/>
    <w:rsid w:val="00026B3B"/>
    <w:rsid w:val="00036EDC"/>
    <w:rsid w:val="0007198A"/>
    <w:rsid w:val="00073F07"/>
    <w:rsid w:val="0007639A"/>
    <w:rsid w:val="0008571A"/>
    <w:rsid w:val="000A3A69"/>
    <w:rsid w:val="000A5458"/>
    <w:rsid w:val="000A65C9"/>
    <w:rsid w:val="000B27A7"/>
    <w:rsid w:val="000E09C4"/>
    <w:rsid w:val="000E4D1E"/>
    <w:rsid w:val="0010624B"/>
    <w:rsid w:val="001072C8"/>
    <w:rsid w:val="0011695D"/>
    <w:rsid w:val="0014680A"/>
    <w:rsid w:val="00147574"/>
    <w:rsid w:val="00153753"/>
    <w:rsid w:val="00165F48"/>
    <w:rsid w:val="0017270F"/>
    <w:rsid w:val="001849B2"/>
    <w:rsid w:val="00184E12"/>
    <w:rsid w:val="00186CF7"/>
    <w:rsid w:val="001A0A2B"/>
    <w:rsid w:val="001A2460"/>
    <w:rsid w:val="001C45B4"/>
    <w:rsid w:val="001C4B13"/>
    <w:rsid w:val="001E102B"/>
    <w:rsid w:val="001F7903"/>
    <w:rsid w:val="0021213D"/>
    <w:rsid w:val="00216823"/>
    <w:rsid w:val="00221046"/>
    <w:rsid w:val="002306B2"/>
    <w:rsid w:val="00236B19"/>
    <w:rsid w:val="00237691"/>
    <w:rsid w:val="00240825"/>
    <w:rsid w:val="002506FF"/>
    <w:rsid w:val="002537F2"/>
    <w:rsid w:val="00255740"/>
    <w:rsid w:val="00275679"/>
    <w:rsid w:val="00282F66"/>
    <w:rsid w:val="002936DD"/>
    <w:rsid w:val="0029585C"/>
    <w:rsid w:val="00295CD3"/>
    <w:rsid w:val="002A1261"/>
    <w:rsid w:val="002D2007"/>
    <w:rsid w:val="002D34A0"/>
    <w:rsid w:val="002F3325"/>
    <w:rsid w:val="00320BEB"/>
    <w:rsid w:val="0032595E"/>
    <w:rsid w:val="00326A09"/>
    <w:rsid w:val="00327526"/>
    <w:rsid w:val="0033060E"/>
    <w:rsid w:val="003448E5"/>
    <w:rsid w:val="003836BA"/>
    <w:rsid w:val="00395032"/>
    <w:rsid w:val="003A1F9D"/>
    <w:rsid w:val="003C7BE2"/>
    <w:rsid w:val="003D1795"/>
    <w:rsid w:val="003D27F1"/>
    <w:rsid w:val="003E3235"/>
    <w:rsid w:val="003F11F8"/>
    <w:rsid w:val="003F39A4"/>
    <w:rsid w:val="00403201"/>
    <w:rsid w:val="004322E0"/>
    <w:rsid w:val="00433C78"/>
    <w:rsid w:val="00445EDE"/>
    <w:rsid w:val="00447869"/>
    <w:rsid w:val="00454FA8"/>
    <w:rsid w:val="00460325"/>
    <w:rsid w:val="0046093D"/>
    <w:rsid w:val="00463B0C"/>
    <w:rsid w:val="00471B27"/>
    <w:rsid w:val="0047615E"/>
    <w:rsid w:val="004856E4"/>
    <w:rsid w:val="004A10A2"/>
    <w:rsid w:val="004B14F4"/>
    <w:rsid w:val="004B3893"/>
    <w:rsid w:val="004C1804"/>
    <w:rsid w:val="004D4636"/>
    <w:rsid w:val="004E4A52"/>
    <w:rsid w:val="005023CE"/>
    <w:rsid w:val="005149B7"/>
    <w:rsid w:val="00515635"/>
    <w:rsid w:val="00525C51"/>
    <w:rsid w:val="00526380"/>
    <w:rsid w:val="00531E6D"/>
    <w:rsid w:val="00540020"/>
    <w:rsid w:val="00543C09"/>
    <w:rsid w:val="00543C69"/>
    <w:rsid w:val="00552C3F"/>
    <w:rsid w:val="005546AE"/>
    <w:rsid w:val="005629EE"/>
    <w:rsid w:val="00584BEC"/>
    <w:rsid w:val="005851ED"/>
    <w:rsid w:val="0059514E"/>
    <w:rsid w:val="005960E7"/>
    <w:rsid w:val="005B0700"/>
    <w:rsid w:val="005C4AB8"/>
    <w:rsid w:val="005D2C3D"/>
    <w:rsid w:val="005D57BA"/>
    <w:rsid w:val="005E04F6"/>
    <w:rsid w:val="005E5A5D"/>
    <w:rsid w:val="00602D7D"/>
    <w:rsid w:val="00616504"/>
    <w:rsid w:val="006201B1"/>
    <w:rsid w:val="00620AAD"/>
    <w:rsid w:val="00631EAB"/>
    <w:rsid w:val="006320BB"/>
    <w:rsid w:val="00640511"/>
    <w:rsid w:val="006427C2"/>
    <w:rsid w:val="00642A5C"/>
    <w:rsid w:val="00644285"/>
    <w:rsid w:val="00657F36"/>
    <w:rsid w:val="006627B5"/>
    <w:rsid w:val="006631E9"/>
    <w:rsid w:val="00663A92"/>
    <w:rsid w:val="00666AA5"/>
    <w:rsid w:val="00670D34"/>
    <w:rsid w:val="006855AF"/>
    <w:rsid w:val="00695219"/>
    <w:rsid w:val="006A09F0"/>
    <w:rsid w:val="006B0323"/>
    <w:rsid w:val="006B2EDD"/>
    <w:rsid w:val="006B4C33"/>
    <w:rsid w:val="006B7217"/>
    <w:rsid w:val="006D2521"/>
    <w:rsid w:val="006D2FA8"/>
    <w:rsid w:val="006D36A9"/>
    <w:rsid w:val="006F1FA7"/>
    <w:rsid w:val="006F485E"/>
    <w:rsid w:val="00702EB0"/>
    <w:rsid w:val="00704B85"/>
    <w:rsid w:val="007078AD"/>
    <w:rsid w:val="00712FB1"/>
    <w:rsid w:val="00751093"/>
    <w:rsid w:val="00753C65"/>
    <w:rsid w:val="0075469F"/>
    <w:rsid w:val="0078440C"/>
    <w:rsid w:val="00787242"/>
    <w:rsid w:val="007B0C7B"/>
    <w:rsid w:val="007B2100"/>
    <w:rsid w:val="007C7B0F"/>
    <w:rsid w:val="007D45C1"/>
    <w:rsid w:val="007D615C"/>
    <w:rsid w:val="007F3022"/>
    <w:rsid w:val="008041F6"/>
    <w:rsid w:val="00831038"/>
    <w:rsid w:val="00832D0D"/>
    <w:rsid w:val="00834CF8"/>
    <w:rsid w:val="00847EC8"/>
    <w:rsid w:val="008515FF"/>
    <w:rsid w:val="00853117"/>
    <w:rsid w:val="00856708"/>
    <w:rsid w:val="008612AB"/>
    <w:rsid w:val="00861AAD"/>
    <w:rsid w:val="008625E0"/>
    <w:rsid w:val="00880ECB"/>
    <w:rsid w:val="00893E0A"/>
    <w:rsid w:val="00896241"/>
    <w:rsid w:val="008A67BC"/>
    <w:rsid w:val="008B1889"/>
    <w:rsid w:val="008C1497"/>
    <w:rsid w:val="008D3E83"/>
    <w:rsid w:val="008D530C"/>
    <w:rsid w:val="008F0897"/>
    <w:rsid w:val="00901446"/>
    <w:rsid w:val="00901F76"/>
    <w:rsid w:val="009025B7"/>
    <w:rsid w:val="009208EC"/>
    <w:rsid w:val="00932B1B"/>
    <w:rsid w:val="00933536"/>
    <w:rsid w:val="009347BC"/>
    <w:rsid w:val="0093594E"/>
    <w:rsid w:val="00942711"/>
    <w:rsid w:val="00951B85"/>
    <w:rsid w:val="009561F7"/>
    <w:rsid w:val="00964D8E"/>
    <w:rsid w:val="00982D63"/>
    <w:rsid w:val="009B04BD"/>
    <w:rsid w:val="009B13F3"/>
    <w:rsid w:val="009B4C83"/>
    <w:rsid w:val="009C1E09"/>
    <w:rsid w:val="009C2C58"/>
    <w:rsid w:val="009D1C04"/>
    <w:rsid w:val="009E38CC"/>
    <w:rsid w:val="009F4509"/>
    <w:rsid w:val="00A0276B"/>
    <w:rsid w:val="00A0352E"/>
    <w:rsid w:val="00A05745"/>
    <w:rsid w:val="00A074BA"/>
    <w:rsid w:val="00A2232D"/>
    <w:rsid w:val="00A23D1D"/>
    <w:rsid w:val="00A31C82"/>
    <w:rsid w:val="00A357C4"/>
    <w:rsid w:val="00A57D60"/>
    <w:rsid w:val="00A717E1"/>
    <w:rsid w:val="00A7510F"/>
    <w:rsid w:val="00A7538A"/>
    <w:rsid w:val="00A75B91"/>
    <w:rsid w:val="00A80A19"/>
    <w:rsid w:val="00A81C38"/>
    <w:rsid w:val="00AA0C33"/>
    <w:rsid w:val="00AA19C1"/>
    <w:rsid w:val="00AA48C6"/>
    <w:rsid w:val="00AA6488"/>
    <w:rsid w:val="00AB120F"/>
    <w:rsid w:val="00AC7743"/>
    <w:rsid w:val="00AD086B"/>
    <w:rsid w:val="00AD4362"/>
    <w:rsid w:val="00AE5015"/>
    <w:rsid w:val="00AE63FA"/>
    <w:rsid w:val="00AF3F29"/>
    <w:rsid w:val="00B01042"/>
    <w:rsid w:val="00B27930"/>
    <w:rsid w:val="00B3192E"/>
    <w:rsid w:val="00B35BD7"/>
    <w:rsid w:val="00B3726E"/>
    <w:rsid w:val="00B74372"/>
    <w:rsid w:val="00B91F67"/>
    <w:rsid w:val="00BA76E3"/>
    <w:rsid w:val="00BD6C2D"/>
    <w:rsid w:val="00BD7111"/>
    <w:rsid w:val="00BD735D"/>
    <w:rsid w:val="00BF6CF2"/>
    <w:rsid w:val="00C21002"/>
    <w:rsid w:val="00C2400E"/>
    <w:rsid w:val="00C24E0B"/>
    <w:rsid w:val="00C276B8"/>
    <w:rsid w:val="00C30FD5"/>
    <w:rsid w:val="00C34D27"/>
    <w:rsid w:val="00C364CA"/>
    <w:rsid w:val="00C51E04"/>
    <w:rsid w:val="00C92149"/>
    <w:rsid w:val="00CA4321"/>
    <w:rsid w:val="00CB47C1"/>
    <w:rsid w:val="00CB50C5"/>
    <w:rsid w:val="00CC12B9"/>
    <w:rsid w:val="00CD5856"/>
    <w:rsid w:val="00CD7B8A"/>
    <w:rsid w:val="00D004B9"/>
    <w:rsid w:val="00D11061"/>
    <w:rsid w:val="00D14822"/>
    <w:rsid w:val="00D16B82"/>
    <w:rsid w:val="00D17E7A"/>
    <w:rsid w:val="00D17FEC"/>
    <w:rsid w:val="00D22051"/>
    <w:rsid w:val="00D24193"/>
    <w:rsid w:val="00D32E23"/>
    <w:rsid w:val="00D45736"/>
    <w:rsid w:val="00D54836"/>
    <w:rsid w:val="00D67CFD"/>
    <w:rsid w:val="00D728D1"/>
    <w:rsid w:val="00D874FD"/>
    <w:rsid w:val="00D96987"/>
    <w:rsid w:val="00DA1553"/>
    <w:rsid w:val="00DB17C2"/>
    <w:rsid w:val="00DB1925"/>
    <w:rsid w:val="00DD166F"/>
    <w:rsid w:val="00DD6215"/>
    <w:rsid w:val="00DE39C9"/>
    <w:rsid w:val="00E24D12"/>
    <w:rsid w:val="00E337E6"/>
    <w:rsid w:val="00E62E16"/>
    <w:rsid w:val="00E672AA"/>
    <w:rsid w:val="00E712B5"/>
    <w:rsid w:val="00E75EF4"/>
    <w:rsid w:val="00EA2E82"/>
    <w:rsid w:val="00EA4F36"/>
    <w:rsid w:val="00EB5863"/>
    <w:rsid w:val="00EB78FB"/>
    <w:rsid w:val="00EC0889"/>
    <w:rsid w:val="00ED61AD"/>
    <w:rsid w:val="00EF70F1"/>
    <w:rsid w:val="00F07D83"/>
    <w:rsid w:val="00F42816"/>
    <w:rsid w:val="00F44662"/>
    <w:rsid w:val="00F4480D"/>
    <w:rsid w:val="00F544A7"/>
    <w:rsid w:val="00F66136"/>
    <w:rsid w:val="00F70578"/>
    <w:rsid w:val="00FB6B5D"/>
    <w:rsid w:val="00FC0E9B"/>
    <w:rsid w:val="00FC5CB0"/>
    <w:rsid w:val="00FD2CCD"/>
    <w:rsid w:val="00FE1B13"/>
    <w:rsid w:val="00FE1EE0"/>
    <w:rsid w:val="00FE5B66"/>
    <w:rsid w:val="00FF394A"/>
    <w:rsid w:val="00FF4718"/>
    <w:rsid w:val="00FF5D7F"/>
    <w:rsid w:val="00FF6B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1091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uiPriority w:val="99"/>
    <w:unhideWhenUsed/>
    <w:rsid w:val="008625E0"/>
    <w:rPr>
      <w:strike w:val="0"/>
      <w:dstrike w:val="0"/>
      <w:color w:val="004276"/>
      <w:u w:val="none"/>
      <w:effect w:val="none"/>
    </w:rPr>
  </w:style>
  <w:style w:type="paragraph" w:customStyle="1" w:styleId="EndNoteBibliography">
    <w:name w:val="EndNote Bibliography"/>
    <w:basedOn w:val="Normal"/>
    <w:link w:val="EndNoteBibliographyChar"/>
    <w:rsid w:val="008625E0"/>
    <w:pPr>
      <w:spacing w:after="240"/>
      <w:ind w:left="720"/>
    </w:pPr>
    <w:rPr>
      <w:rFonts w:eastAsia="Times New Roman" w:cs="Tahoma"/>
      <w:noProof/>
      <w:color w:val="000000"/>
      <w:lang w:eastAsia="en-AU"/>
    </w:rPr>
  </w:style>
  <w:style w:type="character" w:customStyle="1" w:styleId="EndNoteBibliographyChar">
    <w:name w:val="EndNote Bibliography Char"/>
    <w:basedOn w:val="DefaultParagraphFont"/>
    <w:link w:val="EndNoteBibliography"/>
    <w:rsid w:val="008625E0"/>
    <w:rPr>
      <w:rFonts w:ascii="Calibri" w:eastAsia="Times New Roman" w:hAnsi="Calibri" w:cs="Tahoma"/>
      <w:noProof/>
      <w:color w:val="000000"/>
      <w:lang w:eastAsia="en-AU"/>
    </w:rPr>
  </w:style>
  <w:style w:type="character" w:styleId="FollowedHyperlink">
    <w:name w:val="FollowedHyperlink"/>
    <w:basedOn w:val="DefaultParagraphFont"/>
    <w:uiPriority w:val="99"/>
    <w:semiHidden/>
    <w:unhideWhenUsed/>
    <w:rsid w:val="001468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uiPriority w:val="99"/>
    <w:unhideWhenUsed/>
    <w:rsid w:val="008625E0"/>
    <w:rPr>
      <w:strike w:val="0"/>
      <w:dstrike w:val="0"/>
      <w:color w:val="004276"/>
      <w:u w:val="none"/>
      <w:effect w:val="none"/>
    </w:rPr>
  </w:style>
  <w:style w:type="paragraph" w:customStyle="1" w:styleId="EndNoteBibliography">
    <w:name w:val="EndNote Bibliography"/>
    <w:basedOn w:val="Normal"/>
    <w:link w:val="EndNoteBibliographyChar"/>
    <w:rsid w:val="008625E0"/>
    <w:pPr>
      <w:spacing w:after="240"/>
      <w:ind w:left="720"/>
    </w:pPr>
    <w:rPr>
      <w:rFonts w:eastAsia="Times New Roman" w:cs="Tahoma"/>
      <w:noProof/>
      <w:color w:val="000000"/>
      <w:lang w:eastAsia="en-AU"/>
    </w:rPr>
  </w:style>
  <w:style w:type="character" w:customStyle="1" w:styleId="EndNoteBibliographyChar">
    <w:name w:val="EndNote Bibliography Char"/>
    <w:basedOn w:val="DefaultParagraphFont"/>
    <w:link w:val="EndNoteBibliography"/>
    <w:rsid w:val="008625E0"/>
    <w:rPr>
      <w:rFonts w:ascii="Calibri" w:eastAsia="Times New Roman" w:hAnsi="Calibri" w:cs="Tahoma"/>
      <w:noProof/>
      <w:color w:val="000000"/>
      <w:lang w:eastAsia="en-AU"/>
    </w:rPr>
  </w:style>
  <w:style w:type="character" w:styleId="FollowedHyperlink">
    <w:name w:val="FollowedHyperlink"/>
    <w:basedOn w:val="DefaultParagraphFont"/>
    <w:uiPriority w:val="99"/>
    <w:semiHidden/>
    <w:unhideWhenUsed/>
    <w:rsid w:val="001468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23834341" TargetMode="External"/><Relationship Id="rId18" Type="http://schemas.openxmlformats.org/officeDocument/2006/relationships/hyperlink" Target="https://www.ncbi.nlm.nih.gov/pubmed/1559044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cbi.nlm.nih.gov/pubmed/24514437" TargetMode="External"/><Relationship Id="rId2" Type="http://schemas.openxmlformats.org/officeDocument/2006/relationships/numbering" Target="numbering.xml"/><Relationship Id="rId16" Type="http://schemas.openxmlformats.org/officeDocument/2006/relationships/hyperlink" Target="https://www.ncbi.nlm.nih.gov/pubmed/88644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ncbi.nlm.nih.gov/pubmed/8955465" TargetMode="Externa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cbi.nlm.nih.gov/pmc/articles/PMC17559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CE08F-DE1B-4D9D-9FF5-9975E5FA0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16</cp:revision>
  <cp:lastPrinted>2017-04-11T01:13:00Z</cp:lastPrinted>
  <dcterms:created xsi:type="dcterms:W3CDTF">2017-03-15T22:48:00Z</dcterms:created>
  <dcterms:modified xsi:type="dcterms:W3CDTF">2017-04-11T01:13:00Z</dcterms:modified>
</cp:coreProperties>
</file>