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A2880" w14:textId="170C54D4" w:rsidR="00447869" w:rsidRPr="00E26190" w:rsidRDefault="00393674" w:rsidP="00433E58">
      <w:pPr>
        <w:ind w:left="-284"/>
        <w:rPr>
          <w:rFonts w:asciiTheme="minorHAnsi" w:hAnsiTheme="minorHAnsi"/>
          <w:b/>
        </w:rPr>
      </w:pPr>
      <w:r w:rsidRPr="00E26190">
        <w:rPr>
          <w:rStyle w:val="Heading3Char"/>
          <w:rFonts w:asciiTheme="minorHAnsi" w:hAnsiTheme="minorHAnsi"/>
          <w:b/>
          <w:color w:val="auto"/>
        </w:rPr>
        <w:t xml:space="preserve">2017 (v3.0) Proposed changes to </w:t>
      </w:r>
      <w:r w:rsidR="00433E58" w:rsidRPr="00E26190">
        <w:rPr>
          <w:rStyle w:val="Heading3Char"/>
          <w:rFonts w:asciiTheme="minorHAnsi" w:hAnsiTheme="minorHAnsi"/>
          <w:b/>
          <w:color w:val="auto"/>
        </w:rPr>
        <w:t xml:space="preserve">v2.1 of </w:t>
      </w:r>
      <w:r w:rsidRPr="00E26190">
        <w:rPr>
          <w:rStyle w:val="Heading3Char"/>
          <w:rFonts w:asciiTheme="minorHAnsi" w:hAnsiTheme="minorHAnsi"/>
          <w:b/>
          <w:color w:val="auto"/>
        </w:rPr>
        <w:t>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679"/>
        <w:gridCol w:w="9922"/>
      </w:tblGrid>
      <w:tr w:rsidR="008612AB" w:rsidRPr="00447869" w14:paraId="1C660E33" w14:textId="77777777" w:rsidTr="00832D0D">
        <w:trPr>
          <w:tblHeader/>
        </w:trPr>
        <w:tc>
          <w:tcPr>
            <w:tcW w:w="14601" w:type="dxa"/>
            <w:gridSpan w:val="2"/>
            <w:shd w:val="clear" w:color="auto" w:fill="DBE5F1" w:themeFill="accent1" w:themeFillTint="33"/>
          </w:tcPr>
          <w:p w14:paraId="3DC07C1C" w14:textId="11C79381" w:rsidR="008612AB" w:rsidRPr="00447869" w:rsidRDefault="00393674" w:rsidP="008565A9">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8565A9">
              <w:rPr>
                <w:rFonts w:asciiTheme="minorHAnsi" w:eastAsia="Times New Roman" w:hAnsiTheme="minorHAnsi" w:cs="Times New Roman"/>
                <w:b/>
                <w:bCs/>
                <w:lang w:eastAsia="en-AU"/>
              </w:rPr>
              <w:tab/>
            </w:r>
            <w:r w:rsidR="00832D0D">
              <w:rPr>
                <w:rFonts w:asciiTheme="minorHAnsi" w:eastAsia="Times New Roman" w:hAnsiTheme="minorHAnsi" w:cs="Times New Roman"/>
                <w:b/>
                <w:bCs/>
                <w:lang w:eastAsia="en-AU"/>
              </w:rPr>
              <w:t xml:space="preserve"> </w:t>
            </w:r>
            <w:r w:rsidR="00837689" w:rsidRPr="00837689">
              <w:rPr>
                <w:rFonts w:asciiTheme="minorHAnsi" w:eastAsia="Times New Roman" w:hAnsiTheme="minorHAnsi" w:cs="Times New Roman"/>
                <w:b/>
                <w:bCs/>
                <w:lang w:eastAsia="en-AU"/>
              </w:rPr>
              <w:t>Pure red cell aplasia</w:t>
            </w:r>
            <w:r w:rsidR="008565A9">
              <w:rPr>
                <w:rFonts w:asciiTheme="minorHAnsi" w:eastAsia="Times New Roman" w:hAnsiTheme="minorHAnsi" w:cs="Times New Roman"/>
                <w:b/>
                <w:bCs/>
                <w:lang w:eastAsia="en-AU"/>
              </w:rPr>
              <w:t xml:space="preserve"> (PRCA)</w:t>
            </w:r>
          </w:p>
        </w:tc>
      </w:tr>
      <w:tr w:rsidR="00981216" w:rsidRPr="00447869" w14:paraId="622EDEF2" w14:textId="77777777" w:rsidTr="00832D0D">
        <w:trPr>
          <w:tblHeader/>
        </w:trPr>
        <w:tc>
          <w:tcPr>
            <w:tcW w:w="14601" w:type="dxa"/>
            <w:gridSpan w:val="2"/>
            <w:shd w:val="clear" w:color="auto" w:fill="DBE5F1" w:themeFill="accent1" w:themeFillTint="33"/>
          </w:tcPr>
          <w:p w14:paraId="73215E63" w14:textId="3072890A" w:rsidR="00981216" w:rsidRDefault="00393674" w:rsidP="008565A9">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981216">
              <w:rPr>
                <w:rFonts w:asciiTheme="minorHAnsi" w:eastAsia="Times New Roman" w:hAnsiTheme="minorHAnsi" w:cs="Times New Roman"/>
                <w:b/>
                <w:bCs/>
                <w:lang w:eastAsia="en-AU"/>
              </w:rPr>
              <w:t>3</w:t>
            </w:r>
            <w:r w:rsidR="002D3B35">
              <w:rPr>
                <w:rFonts w:asciiTheme="minorHAnsi" w:eastAsia="Times New Roman" w:hAnsiTheme="minorHAnsi" w:cs="Times New Roman"/>
                <w:b/>
                <w:bCs/>
                <w:lang w:eastAsia="en-AU"/>
              </w:rPr>
              <w:t>.0</w:t>
            </w:r>
            <w:r w:rsidR="00981216">
              <w:rPr>
                <w:rFonts w:asciiTheme="minorHAnsi" w:eastAsia="Times New Roman" w:hAnsiTheme="minorHAnsi" w:cs="Times New Roman"/>
                <w:b/>
                <w:bCs/>
                <w:lang w:eastAsia="en-AU"/>
              </w:rPr>
              <w:t xml:space="preserve"> CONDITION NAME:</w:t>
            </w:r>
            <w:r w:rsidR="00981216">
              <w:rPr>
                <w:rFonts w:asciiTheme="minorHAnsi" w:eastAsia="Times New Roman" w:hAnsiTheme="minorHAnsi" w:cs="Times New Roman"/>
                <w:b/>
                <w:bCs/>
                <w:lang w:eastAsia="en-AU"/>
              </w:rPr>
              <w:tab/>
              <w:t xml:space="preserve"> </w:t>
            </w:r>
            <w:r w:rsidR="00981216" w:rsidRPr="00837689">
              <w:rPr>
                <w:rFonts w:asciiTheme="minorHAnsi" w:eastAsia="Times New Roman" w:hAnsiTheme="minorHAnsi" w:cs="Times New Roman"/>
                <w:b/>
                <w:bCs/>
                <w:lang w:eastAsia="en-AU"/>
              </w:rPr>
              <w:t>Pure red cell aplasia</w:t>
            </w:r>
            <w:r w:rsidR="00981216">
              <w:rPr>
                <w:rFonts w:asciiTheme="minorHAnsi" w:eastAsia="Times New Roman" w:hAnsiTheme="minorHAnsi" w:cs="Times New Roman"/>
                <w:b/>
                <w:bCs/>
                <w:lang w:eastAsia="en-AU"/>
              </w:rPr>
              <w:t xml:space="preserve"> (PRCA)</w:t>
            </w:r>
          </w:p>
        </w:tc>
      </w:tr>
      <w:tr w:rsidR="00981216" w:rsidRPr="00447869" w14:paraId="24C5C1B7" w14:textId="77777777" w:rsidTr="00D44449">
        <w:trPr>
          <w:tblHeader/>
        </w:trPr>
        <w:tc>
          <w:tcPr>
            <w:tcW w:w="4679" w:type="dxa"/>
            <w:shd w:val="clear" w:color="auto" w:fill="auto"/>
          </w:tcPr>
          <w:p w14:paraId="26622613" w14:textId="1E5B5D61" w:rsidR="00393674" w:rsidRDefault="00393674"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14:paraId="655A0118" w14:textId="39036638" w:rsidR="003E3235" w:rsidRPr="00C92149" w:rsidRDefault="00CE19CB" w:rsidP="00CE19C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 To r</w:t>
            </w:r>
            <w:r w:rsidR="00393674">
              <w:rPr>
                <w:rFonts w:asciiTheme="minorHAnsi" w:eastAsia="Times New Roman" w:hAnsiTheme="minorHAnsi" w:cs="Times New Roman"/>
                <w:b/>
                <w:bCs/>
                <w:lang w:eastAsia="en-AU"/>
              </w:rPr>
              <w:t xml:space="preserve">etain </w:t>
            </w:r>
            <w:r w:rsidR="00393674" w:rsidRPr="00837689">
              <w:rPr>
                <w:rFonts w:asciiTheme="minorHAnsi" w:eastAsia="Times New Roman" w:hAnsiTheme="minorHAnsi" w:cs="Times New Roman"/>
                <w:b/>
                <w:bCs/>
                <w:lang w:eastAsia="en-AU"/>
              </w:rPr>
              <w:t>Pure red cell aplasia</w:t>
            </w:r>
            <w:r w:rsidR="00393674">
              <w:rPr>
                <w:rFonts w:asciiTheme="minorHAnsi" w:eastAsia="Times New Roman" w:hAnsiTheme="minorHAnsi" w:cs="Times New Roman"/>
                <w:b/>
                <w:bCs/>
                <w:lang w:eastAsia="en-AU"/>
              </w:rPr>
              <w:t xml:space="preserve"> (PRCA) in </w:t>
            </w:r>
            <w:r w:rsidR="00393674" w:rsidRPr="00CE19CB">
              <w:rPr>
                <w:rFonts w:asciiTheme="minorHAnsi" w:eastAsia="Times New Roman" w:hAnsiTheme="minorHAnsi" w:cs="Times New Roman"/>
                <w:b/>
                <w:bCs/>
                <w:i/>
                <w:lang w:eastAsia="en-AU"/>
              </w:rPr>
              <w:t>Exceptional circumstances only</w:t>
            </w:r>
            <w:r w:rsidR="00393674">
              <w:rPr>
                <w:rFonts w:asciiTheme="minorHAnsi" w:eastAsia="Times New Roman" w:hAnsiTheme="minorHAnsi" w:cs="Times New Roman"/>
                <w:b/>
                <w:bCs/>
                <w:lang w:eastAsia="en-AU"/>
              </w:rPr>
              <w:t xml:space="preserve"> with the changes outlined. </w:t>
            </w:r>
          </w:p>
        </w:tc>
        <w:tc>
          <w:tcPr>
            <w:tcW w:w="9922" w:type="dxa"/>
            <w:shd w:val="clear" w:color="auto" w:fill="auto"/>
          </w:tcPr>
          <w:p w14:paraId="48E8E8CF"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093C8D60" w14:textId="77777777" w:rsidR="00981216" w:rsidRPr="00C92149" w:rsidRDefault="00981216" w:rsidP="00981216">
            <w:pPr>
              <w:spacing w:before="120" w:after="120"/>
              <w:rPr>
                <w:rFonts w:asciiTheme="minorHAnsi" w:eastAsia="Times New Roman" w:hAnsiTheme="minorHAnsi" w:cs="Times New Roman"/>
                <w:bCs/>
                <w:i/>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14:paraId="0290FCB4" w14:textId="77777777" w:rsidR="006E47EE" w:rsidRPr="006E47EE" w:rsidRDefault="006E47EE" w:rsidP="006E47EE">
            <w:pPr>
              <w:pStyle w:val="ListParagraph"/>
              <w:numPr>
                <w:ilvl w:val="0"/>
                <w:numId w:val="44"/>
              </w:numPr>
              <w:spacing w:before="120" w:after="120"/>
              <w:rPr>
                <w:rFonts w:asciiTheme="minorHAnsi" w:eastAsia="Times New Roman" w:hAnsiTheme="minorHAnsi" w:cs="Times New Roman"/>
                <w:bCs/>
                <w:lang w:eastAsia="en-AU"/>
              </w:rPr>
            </w:pPr>
            <w:r w:rsidRPr="006E47EE">
              <w:rPr>
                <w:rFonts w:asciiTheme="minorHAnsi" w:eastAsia="Times New Roman" w:hAnsiTheme="minorHAnsi" w:cs="Times New Roman"/>
                <w:bCs/>
                <w:lang w:eastAsia="en-AU"/>
              </w:rPr>
              <w:t xml:space="preserve">The level of evidence has been upgraded from 4b to 2a with definite clinical response being demonstrated in patients with Parvovirus B19 associated PRCA with defined immunosuppressed states. Several smaller case series suggest probable benefit in patients with refractory PRCA following immunosuppressive therapy. </w:t>
            </w:r>
          </w:p>
          <w:p w14:paraId="0F3B3A38" w14:textId="77777777" w:rsidR="006E47EE" w:rsidRPr="006E47EE" w:rsidRDefault="006E47EE" w:rsidP="006E47EE">
            <w:pPr>
              <w:pStyle w:val="ListParagraph"/>
              <w:numPr>
                <w:ilvl w:val="0"/>
                <w:numId w:val="44"/>
              </w:numPr>
              <w:spacing w:before="120" w:after="120"/>
              <w:rPr>
                <w:rFonts w:asciiTheme="minorHAnsi" w:eastAsia="Times New Roman" w:hAnsiTheme="minorHAnsi" w:cs="Times New Roman"/>
                <w:bCs/>
                <w:lang w:eastAsia="en-AU"/>
              </w:rPr>
            </w:pPr>
            <w:r w:rsidRPr="006E47EE">
              <w:rPr>
                <w:rFonts w:asciiTheme="minorHAnsi" w:eastAsia="Times New Roman" w:hAnsiTheme="minorHAnsi" w:cs="Times New Roman"/>
                <w:bCs/>
                <w:lang w:eastAsia="en-AU"/>
              </w:rPr>
              <w:t xml:space="preserve">PRCA associated with Parvovirus is listed as a ‘blue’ condition (medium priority in times of shortage, recommended for short term use), with non-Parvo PRCA is ‘grey’ (low priority in times of shortage) in the United Kingdom (UK Department of Health, 2011) and in Canada (Ontario Regional Blood Coordinating Network, 2016) for both Parvo virus B19 associated PRCA and refractory PRCA following immunosuppressant therapy.    </w:t>
            </w:r>
          </w:p>
          <w:p w14:paraId="4397773A" w14:textId="57D0B1E5" w:rsidR="00FF4718" w:rsidRPr="00C92149" w:rsidRDefault="006E47EE" w:rsidP="0005378B">
            <w:pPr>
              <w:pStyle w:val="ListParagraph"/>
              <w:numPr>
                <w:ilvl w:val="0"/>
                <w:numId w:val="44"/>
              </w:numPr>
              <w:spacing w:before="120" w:after="120"/>
              <w:rPr>
                <w:rFonts w:asciiTheme="minorHAnsi" w:eastAsia="Times New Roman" w:hAnsiTheme="minorHAnsi" w:cs="Times New Roman"/>
                <w:b/>
                <w:bCs/>
                <w:lang w:eastAsia="en-AU"/>
              </w:rPr>
            </w:pPr>
            <w:r w:rsidRPr="006E47EE">
              <w:rPr>
                <w:rFonts w:asciiTheme="minorHAnsi" w:eastAsia="Times New Roman" w:hAnsiTheme="minorHAnsi" w:cs="Times New Roman"/>
                <w:bCs/>
                <w:lang w:eastAsia="en-AU"/>
              </w:rPr>
              <w:t>While an increasing trend is observed for Ig use in this condition, it is related to the increasing incidence of leukaemia and the use of immunosuppressant therapy with an increase seen in PRCA as a result. The clinical benefit from Ig therapy in this context is recognised as being cost effective</w:t>
            </w:r>
            <w:r w:rsidR="009221AD">
              <w:rPr>
                <w:rFonts w:asciiTheme="minorHAnsi" w:eastAsia="Times New Roman" w:hAnsiTheme="minorHAnsi" w:cs="Times New Roman"/>
                <w:bCs/>
                <w:lang w:eastAsia="en-AU"/>
              </w:rPr>
              <w:t xml:space="preserve"> </w:t>
            </w:r>
            <w:r w:rsidR="009221AD" w:rsidRPr="009221AD">
              <w:rPr>
                <w:rFonts w:asciiTheme="minorHAnsi" w:eastAsia="Times New Roman" w:hAnsiTheme="minorHAnsi" w:cs="Times New Roman"/>
                <w:bCs/>
                <w:lang w:eastAsia="en-AU"/>
              </w:rPr>
              <w:t>(</w:t>
            </w:r>
            <w:proofErr w:type="spellStart"/>
            <w:r w:rsidR="009221AD" w:rsidRPr="009221AD">
              <w:rPr>
                <w:rFonts w:asciiTheme="minorHAnsi" w:eastAsia="Times New Roman" w:hAnsiTheme="minorHAnsi" w:cs="Times New Roman"/>
                <w:bCs/>
                <w:lang w:eastAsia="en-AU"/>
              </w:rPr>
              <w:t>Mouthon</w:t>
            </w:r>
            <w:proofErr w:type="spellEnd"/>
            <w:r w:rsidR="00393674">
              <w:rPr>
                <w:rFonts w:asciiTheme="minorHAnsi" w:eastAsia="Times New Roman" w:hAnsiTheme="minorHAnsi" w:cs="Times New Roman"/>
                <w:bCs/>
                <w:lang w:eastAsia="en-AU"/>
              </w:rPr>
              <w:t>,</w:t>
            </w:r>
            <w:r w:rsidR="009221AD" w:rsidRPr="009221AD">
              <w:rPr>
                <w:rFonts w:asciiTheme="minorHAnsi" w:eastAsia="Times New Roman" w:hAnsiTheme="minorHAnsi" w:cs="Times New Roman"/>
                <w:bCs/>
                <w:lang w:eastAsia="en-AU"/>
              </w:rPr>
              <w:t xml:space="preserve"> 2015)</w:t>
            </w:r>
            <w:r w:rsidRPr="009221AD">
              <w:rPr>
                <w:rFonts w:asciiTheme="minorHAnsi" w:eastAsia="Times New Roman" w:hAnsiTheme="minorHAnsi" w:cs="Times New Roman"/>
                <w:bCs/>
                <w:lang w:eastAsia="en-AU"/>
              </w:rPr>
              <w:t>.</w:t>
            </w:r>
            <w:r w:rsidR="009221AD">
              <w:rPr>
                <w:rFonts w:asciiTheme="minorHAnsi" w:eastAsia="Times New Roman" w:hAnsiTheme="minorHAnsi" w:cs="Times New Roman"/>
                <w:bCs/>
                <w:lang w:eastAsia="en-AU"/>
              </w:rPr>
              <w:t xml:space="preserve"> </w:t>
            </w:r>
          </w:p>
        </w:tc>
      </w:tr>
      <w:tr w:rsidR="00631EAB" w:rsidRPr="00447869" w14:paraId="4EA9CBF0" w14:textId="77777777" w:rsidTr="008612AB">
        <w:trPr>
          <w:tblHeader/>
        </w:trPr>
        <w:tc>
          <w:tcPr>
            <w:tcW w:w="14601" w:type="dxa"/>
            <w:gridSpan w:val="2"/>
            <w:shd w:val="clear" w:color="auto" w:fill="auto"/>
          </w:tcPr>
          <w:p w14:paraId="5BBBB3B5" w14:textId="586DC54A" w:rsidR="00631EAB" w:rsidRDefault="00393674"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981216">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1A5A47">
              <w:rPr>
                <w:rFonts w:asciiTheme="minorHAnsi" w:eastAsia="Times New Roman" w:hAnsiTheme="minorHAnsi" w:cs="Times New Roman"/>
                <w:b/>
                <w:bCs/>
                <w:lang w:eastAsia="en-AU"/>
              </w:rPr>
              <w:t xml:space="preserve">Condition for which Ig is used in </w:t>
            </w:r>
            <w:r w:rsidR="001A5A47">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sidR="001A5A47">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sidR="001A5A47">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 </w:t>
            </w:r>
          </w:p>
          <w:p w14:paraId="51A5548F" w14:textId="1E68D89F" w:rsidR="00433E58" w:rsidRPr="00B53845" w:rsidRDefault="00B53845" w:rsidP="00B5384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Condition for which Ig is used in </w:t>
            </w:r>
            <w:r>
              <w:rPr>
                <w:rFonts w:asciiTheme="minorHAnsi" w:eastAsia="Times New Roman" w:hAnsiTheme="minorHAnsi" w:cs="Times New Roman"/>
                <w:bCs/>
                <w:lang w:eastAsia="en-AU"/>
              </w:rPr>
              <w:t xml:space="preserve">exceptional circumstances only (Chapter 7) </w:t>
            </w:r>
          </w:p>
        </w:tc>
      </w:tr>
      <w:tr w:rsidR="008612AB" w:rsidRPr="00447869" w14:paraId="4EDC8442" w14:textId="77777777" w:rsidTr="00D44449">
        <w:trPr>
          <w:trHeight w:val="744"/>
          <w:tblHeader/>
        </w:trPr>
        <w:tc>
          <w:tcPr>
            <w:tcW w:w="14601" w:type="dxa"/>
            <w:gridSpan w:val="2"/>
            <w:shd w:val="clear" w:color="auto" w:fill="auto"/>
          </w:tcPr>
          <w:p w14:paraId="66E94944" w14:textId="54BF1327" w:rsidR="00CF45D6" w:rsidRDefault="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Role of Ig therapy:</w:t>
            </w:r>
            <w:r w:rsidR="00981216" w:rsidRPr="00B67578">
              <w:rPr>
                <w:rFonts w:asciiTheme="minorHAnsi" w:hAnsiTheme="minorHAnsi" w:cs="Lucida Grande"/>
                <w:color w:val="000000"/>
                <w:sz w:val="18"/>
                <w:szCs w:val="18"/>
              </w:rPr>
              <w:t xml:space="preserve"> </w:t>
            </w:r>
            <w:r w:rsidR="00981216" w:rsidRPr="00D44449">
              <w:rPr>
                <w:rFonts w:asciiTheme="minorHAnsi" w:hAnsiTheme="minorHAnsi" w:cs="Lucida Grande"/>
                <w:color w:val="000000"/>
              </w:rPr>
              <w:t>This is a</w:t>
            </w:r>
            <w:r w:rsidR="004B798D">
              <w:rPr>
                <w:rFonts w:asciiTheme="minorHAnsi" w:hAnsiTheme="minorHAnsi" w:cs="Lucida Grande"/>
                <w:color w:val="000000"/>
              </w:rPr>
              <w:t>n uncommon</w:t>
            </w:r>
            <w:r w:rsidR="00981216" w:rsidRPr="00D44449">
              <w:rPr>
                <w:rFonts w:asciiTheme="minorHAnsi" w:hAnsiTheme="minorHAnsi" w:cs="Lucida Grande"/>
                <w:color w:val="000000"/>
              </w:rPr>
              <w:t xml:space="preserve"> </w:t>
            </w:r>
            <w:r w:rsidR="00C84149">
              <w:rPr>
                <w:rFonts w:asciiTheme="minorHAnsi" w:hAnsiTheme="minorHAnsi" w:cs="Lucida Grande"/>
                <w:color w:val="000000"/>
              </w:rPr>
              <w:t xml:space="preserve">life threatening </w:t>
            </w:r>
            <w:r w:rsidR="00981216">
              <w:rPr>
                <w:rFonts w:asciiTheme="minorHAnsi" w:hAnsiTheme="minorHAnsi" w:cs="Lucida Grande"/>
                <w:color w:val="000000"/>
              </w:rPr>
              <w:t xml:space="preserve">clinical condition with </w:t>
            </w:r>
            <w:r w:rsidR="00981216" w:rsidRPr="00D44449">
              <w:rPr>
                <w:rFonts w:asciiTheme="minorHAnsi" w:hAnsiTheme="minorHAnsi" w:cs="Lucida Grande"/>
                <w:color w:val="000000"/>
              </w:rPr>
              <w:t xml:space="preserve">severe anaemia, </w:t>
            </w:r>
            <w:r w:rsidR="00981216">
              <w:rPr>
                <w:rFonts w:asciiTheme="minorHAnsi" w:hAnsiTheme="minorHAnsi" w:cs="Lucida Grande"/>
                <w:color w:val="000000"/>
              </w:rPr>
              <w:t>very low reticulocyte numbers</w:t>
            </w:r>
            <w:r w:rsidR="00981216" w:rsidRPr="00D44449">
              <w:rPr>
                <w:rFonts w:asciiTheme="minorHAnsi" w:hAnsiTheme="minorHAnsi" w:cs="Lucida Grande"/>
                <w:color w:val="000000"/>
              </w:rPr>
              <w:t xml:space="preserve"> and a selective deficiency of erythroid progenitors</w:t>
            </w:r>
            <w:r w:rsidR="00C84149">
              <w:rPr>
                <w:rFonts w:asciiTheme="minorHAnsi" w:hAnsiTheme="minorHAnsi" w:cs="Lucida Grande"/>
                <w:color w:val="000000"/>
              </w:rPr>
              <w:t xml:space="preserve"> demonstrated on bone marrow biopsy. </w:t>
            </w:r>
            <w:r w:rsidR="00981216" w:rsidRPr="00981216">
              <w:rPr>
                <w:rFonts w:asciiTheme="minorHAnsi" w:eastAsia="Times New Roman" w:hAnsiTheme="minorHAnsi" w:cs="Times New Roman"/>
                <w:b/>
                <w:bCs/>
                <w:lang w:eastAsia="en-AU"/>
              </w:rPr>
              <w:t xml:space="preserve"> </w:t>
            </w:r>
            <w:proofErr w:type="spellStart"/>
            <w:r w:rsidR="00FB7459">
              <w:rPr>
                <w:rFonts w:asciiTheme="minorHAnsi" w:hAnsiTheme="minorHAnsi" w:cs="Lucida Grande"/>
                <w:color w:val="000000"/>
              </w:rPr>
              <w:t>IVIg</w:t>
            </w:r>
            <w:proofErr w:type="spellEnd"/>
            <w:r w:rsidR="00981216" w:rsidRPr="00D44449">
              <w:rPr>
                <w:rFonts w:asciiTheme="minorHAnsi" w:hAnsiTheme="minorHAnsi" w:cs="Lucida Grande"/>
                <w:color w:val="000000"/>
              </w:rPr>
              <w:t xml:space="preserve"> </w:t>
            </w:r>
            <w:r w:rsidR="00C84149">
              <w:rPr>
                <w:rFonts w:asciiTheme="minorHAnsi" w:hAnsiTheme="minorHAnsi" w:cs="Lucida Grande"/>
                <w:color w:val="000000"/>
              </w:rPr>
              <w:t>is considered</w:t>
            </w:r>
            <w:r w:rsidR="00981216" w:rsidRPr="00D44449">
              <w:rPr>
                <w:rFonts w:asciiTheme="minorHAnsi" w:hAnsiTheme="minorHAnsi" w:cs="Lucida Grande"/>
                <w:color w:val="000000"/>
              </w:rPr>
              <w:t xml:space="preserve"> first-line therapy for viral PRCA associated with parvovirus B19</w:t>
            </w:r>
            <w:r w:rsidR="00C84149">
              <w:rPr>
                <w:rFonts w:asciiTheme="minorHAnsi" w:hAnsiTheme="minorHAnsi" w:cs="Lucida Grande"/>
                <w:color w:val="000000"/>
              </w:rPr>
              <w:t xml:space="preserve"> in immunocompromised patients, </w:t>
            </w:r>
            <w:r w:rsidR="004B798D">
              <w:rPr>
                <w:rFonts w:asciiTheme="minorHAnsi" w:hAnsiTheme="minorHAnsi" w:cs="Lucida Grande"/>
                <w:color w:val="000000"/>
              </w:rPr>
              <w:t xml:space="preserve">and is </w:t>
            </w:r>
            <w:r w:rsidR="00C84149">
              <w:rPr>
                <w:rFonts w:asciiTheme="minorHAnsi" w:hAnsiTheme="minorHAnsi" w:cs="Lucida Grande"/>
                <w:color w:val="000000"/>
              </w:rPr>
              <w:t xml:space="preserve">also used in the treatment of </w:t>
            </w:r>
            <w:r w:rsidR="00981216" w:rsidRPr="00D44449">
              <w:rPr>
                <w:rFonts w:asciiTheme="minorHAnsi" w:hAnsiTheme="minorHAnsi" w:cs="Lucida Grande"/>
                <w:color w:val="000000"/>
              </w:rPr>
              <w:t>patients with immunological PRCA who have failed other therapies (e.g. prednisone or cyclosporine).</w:t>
            </w:r>
            <w:r w:rsidR="00C84149">
              <w:rPr>
                <w:rFonts w:asciiTheme="minorHAnsi" w:hAnsiTheme="minorHAnsi" w:cs="Lucida Grande"/>
                <w:color w:val="000000"/>
              </w:rPr>
              <w:t xml:space="preserve"> While all the evidence is </w:t>
            </w:r>
            <w:r w:rsidR="00CF45D6">
              <w:rPr>
                <w:rFonts w:asciiTheme="minorHAnsi" w:hAnsiTheme="minorHAnsi" w:cs="Lucida Grande"/>
                <w:color w:val="000000"/>
              </w:rPr>
              <w:t xml:space="preserve">from </w:t>
            </w:r>
            <w:r w:rsidR="00C84149">
              <w:rPr>
                <w:rFonts w:asciiTheme="minorHAnsi" w:hAnsiTheme="minorHAnsi" w:cs="Lucida Grande"/>
                <w:color w:val="000000"/>
              </w:rPr>
              <w:t>case studies rather than formal clinical trials, there are over 130 reported cases demonstrating a clinical response to dosing of at least 2 g/kg for up to three months</w:t>
            </w:r>
            <w:r w:rsidR="00CF45D6">
              <w:rPr>
                <w:rFonts w:asciiTheme="minorHAnsi" w:hAnsiTheme="minorHAnsi" w:cs="Lucida Grande"/>
                <w:color w:val="000000"/>
              </w:rPr>
              <w:t xml:space="preserve"> in Parvo B19 associated PRCA</w:t>
            </w:r>
            <w:r w:rsidR="00C84149">
              <w:rPr>
                <w:rFonts w:asciiTheme="minorHAnsi" w:hAnsiTheme="minorHAnsi" w:cs="Lucida Grande"/>
                <w:color w:val="000000"/>
              </w:rPr>
              <w:t>.</w:t>
            </w:r>
            <w:r w:rsidR="00CF45D6">
              <w:rPr>
                <w:rFonts w:asciiTheme="minorHAnsi" w:hAnsiTheme="minorHAnsi" w:cs="Lucida Grande"/>
                <w:color w:val="000000"/>
              </w:rPr>
              <w:t xml:space="preserve"> </w:t>
            </w:r>
            <w:r w:rsidR="00C84149">
              <w:rPr>
                <w:rFonts w:asciiTheme="minorHAnsi" w:hAnsiTheme="minorHAnsi" w:cs="Lucida Grande"/>
                <w:color w:val="000000"/>
              </w:rPr>
              <w:t xml:space="preserve"> </w:t>
            </w:r>
            <w:r w:rsidR="00CF45D6">
              <w:rPr>
                <w:rFonts w:asciiTheme="minorHAnsi" w:eastAsia="Times New Roman" w:hAnsiTheme="minorHAnsi" w:cs="Times New Roman"/>
                <w:bCs/>
                <w:lang w:eastAsia="en-AU"/>
              </w:rPr>
              <w:t>Several smaller case series suggest probable benefit in patients with refractory PRCA following immunosuppressive therapy.</w:t>
            </w:r>
          </w:p>
          <w:p w14:paraId="630195CB" w14:textId="7EF4B789" w:rsidR="008612AB" w:rsidRPr="00447869" w:rsidRDefault="001E1506" w:rsidP="00161D54">
            <w:pPr>
              <w:spacing w:before="120" w:after="120"/>
              <w:rPr>
                <w:rFonts w:asciiTheme="minorHAnsi" w:eastAsia="Times New Roman" w:hAnsiTheme="minorHAnsi" w:cs="Times New Roman"/>
                <w:b/>
                <w:bCs/>
                <w:lang w:eastAsia="en-AU"/>
              </w:rPr>
            </w:pPr>
            <w:r>
              <w:rPr>
                <w:rFonts w:asciiTheme="minorHAnsi" w:hAnsiTheme="minorHAnsi" w:cs="Lucida Grande"/>
                <w:color w:val="000000"/>
              </w:rPr>
              <w:t xml:space="preserve">Ig therapy is </w:t>
            </w:r>
            <w:r w:rsidR="00CF45D6">
              <w:rPr>
                <w:rFonts w:asciiTheme="minorHAnsi" w:hAnsiTheme="minorHAnsi" w:cs="Lucida Grande"/>
                <w:color w:val="000000"/>
              </w:rPr>
              <w:t>supported</w:t>
            </w:r>
            <w:r>
              <w:rPr>
                <w:rFonts w:asciiTheme="minorHAnsi" w:hAnsiTheme="minorHAnsi" w:cs="Lucida Grande"/>
                <w:color w:val="000000"/>
              </w:rPr>
              <w:t xml:space="preserve"> in both </w:t>
            </w:r>
            <w:r w:rsidRPr="008639F9">
              <w:rPr>
                <w:rFonts w:asciiTheme="minorHAnsi" w:hAnsiTheme="minorHAnsi" w:cs="Lucida Grande"/>
                <w:color w:val="000000"/>
              </w:rPr>
              <w:t>the</w:t>
            </w:r>
            <w:r w:rsidR="008639F9">
              <w:rPr>
                <w:rFonts w:asciiTheme="minorHAnsi" w:hAnsiTheme="minorHAnsi" w:cs="Lucida Grande"/>
                <w:color w:val="000000"/>
              </w:rPr>
              <w:t xml:space="preserve"> UK</w:t>
            </w:r>
            <w:r w:rsidRPr="008639F9">
              <w:rPr>
                <w:rFonts w:asciiTheme="minorHAnsi" w:hAnsiTheme="minorHAnsi" w:cs="Lucida Grande"/>
                <w:color w:val="000000"/>
              </w:rPr>
              <w:t xml:space="preserve"> </w:t>
            </w:r>
            <w:r w:rsidR="008639F9" w:rsidRPr="00221046">
              <w:rPr>
                <w:rFonts w:asciiTheme="minorHAnsi" w:eastAsia="Times New Roman" w:hAnsiTheme="minorHAnsi" w:cs="Times New Roman"/>
                <w:bCs/>
                <w:lang w:eastAsia="en-AU"/>
              </w:rPr>
              <w:t>(</w:t>
            </w:r>
            <w:r w:rsidR="002D0D03" w:rsidRPr="002D0D03">
              <w:rPr>
                <w:rFonts w:asciiTheme="minorHAnsi" w:eastAsia="Times New Roman" w:hAnsiTheme="minorHAnsi" w:cs="Times New Roman"/>
                <w:color w:val="000000"/>
                <w:lang w:eastAsia="en-AU"/>
              </w:rPr>
              <w:t>UK Department of Health</w:t>
            </w:r>
            <w:r w:rsidR="002D0D03">
              <w:rPr>
                <w:rFonts w:asciiTheme="minorHAnsi" w:eastAsia="Times New Roman" w:hAnsiTheme="minorHAnsi" w:cs="Times New Roman"/>
                <w:color w:val="000000"/>
                <w:lang w:eastAsia="en-AU"/>
              </w:rPr>
              <w:t>, 2011</w:t>
            </w:r>
            <w:r w:rsidR="008639F9" w:rsidRPr="00221046">
              <w:rPr>
                <w:rFonts w:asciiTheme="minorHAnsi" w:eastAsia="Times New Roman" w:hAnsiTheme="minorHAnsi" w:cs="Times New Roman"/>
                <w:color w:val="000000"/>
                <w:lang w:eastAsia="en-AU"/>
              </w:rPr>
              <w:t xml:space="preserve">) </w:t>
            </w:r>
            <w:r w:rsidR="00161D54">
              <w:rPr>
                <w:rFonts w:asciiTheme="minorHAnsi" w:eastAsia="Times New Roman" w:hAnsiTheme="minorHAnsi" w:cs="Times New Roman"/>
                <w:bCs/>
                <w:lang w:eastAsia="en-AU"/>
              </w:rPr>
              <w:t xml:space="preserve">and </w:t>
            </w:r>
            <w:r w:rsidR="00161D54" w:rsidRPr="001E5EDE">
              <w:rPr>
                <w:rFonts w:asciiTheme="minorHAnsi" w:eastAsia="Times New Roman" w:hAnsiTheme="minorHAnsi" w:cs="Times New Roman"/>
                <w:bCs/>
                <w:lang w:eastAsia="en-AU"/>
              </w:rPr>
              <w:t>Canadian</w:t>
            </w:r>
            <w:r w:rsidR="008639F9" w:rsidRPr="001E5EDE">
              <w:rPr>
                <w:rFonts w:asciiTheme="minorHAnsi" w:eastAsia="Times New Roman" w:hAnsiTheme="minorHAnsi" w:cs="Times New Roman"/>
                <w:bCs/>
                <w:lang w:eastAsia="en-AU"/>
              </w:rPr>
              <w:t xml:space="preserve"> </w:t>
            </w:r>
            <w:r w:rsidR="001E5EDE" w:rsidRPr="001E5EDE">
              <w:rPr>
                <w:rFonts w:asciiTheme="minorHAnsi" w:hAnsiTheme="minorHAnsi" w:cs="Lucida Grande"/>
                <w:color w:val="000000"/>
              </w:rPr>
              <w:t xml:space="preserve">guidelines recommended for government funded </w:t>
            </w:r>
            <w:proofErr w:type="spellStart"/>
            <w:r w:rsidR="00FB7459">
              <w:rPr>
                <w:rFonts w:asciiTheme="minorHAnsi" w:hAnsiTheme="minorHAnsi" w:cs="Lucida Grande"/>
                <w:color w:val="000000"/>
              </w:rPr>
              <w:t>IVIg</w:t>
            </w:r>
            <w:proofErr w:type="spellEnd"/>
            <w:r w:rsidR="001E5EDE" w:rsidRPr="001E5EDE">
              <w:rPr>
                <w:rFonts w:asciiTheme="minorHAnsi" w:hAnsiTheme="minorHAnsi" w:cs="Lucida Grande"/>
                <w:color w:val="000000"/>
              </w:rPr>
              <w:t xml:space="preserve"> use </w:t>
            </w:r>
            <w:r w:rsidR="00161D54" w:rsidRPr="001E5EDE">
              <w:rPr>
                <w:rFonts w:asciiTheme="minorHAnsi" w:eastAsia="Times New Roman" w:hAnsiTheme="minorHAnsi" w:cs="Times New Roman"/>
                <w:bCs/>
                <w:lang w:eastAsia="en-AU"/>
              </w:rPr>
              <w:t>(</w:t>
            </w:r>
            <w:r w:rsidR="00161D54" w:rsidRPr="001E5EDE">
              <w:rPr>
                <w:rFonts w:asciiTheme="minorHAnsi" w:hAnsiTheme="minorHAnsi"/>
              </w:rPr>
              <w:t>Ontario</w:t>
            </w:r>
            <w:r w:rsidR="00161D54" w:rsidRPr="002A1261">
              <w:rPr>
                <w:rFonts w:asciiTheme="minorHAnsi" w:hAnsiTheme="minorHAnsi"/>
              </w:rPr>
              <w:t xml:space="preserve"> Regional Blo</w:t>
            </w:r>
            <w:r w:rsidR="00161D54">
              <w:rPr>
                <w:rFonts w:asciiTheme="minorHAnsi" w:hAnsiTheme="minorHAnsi"/>
              </w:rPr>
              <w:t>od Coordinating Network, 2016)</w:t>
            </w:r>
            <w:r>
              <w:rPr>
                <w:rFonts w:asciiTheme="minorHAnsi" w:hAnsiTheme="minorHAnsi" w:cs="Lucida Grande"/>
                <w:color w:val="000000"/>
              </w:rPr>
              <w:t xml:space="preserve">, consistent with these </w:t>
            </w:r>
            <w:r w:rsidR="00B50562">
              <w:rPr>
                <w:rFonts w:asciiTheme="minorHAnsi" w:hAnsiTheme="minorHAnsi" w:cs="Lucida Grande"/>
                <w:color w:val="000000"/>
              </w:rPr>
              <w:t>recommendations</w:t>
            </w:r>
            <w:r>
              <w:rPr>
                <w:rFonts w:asciiTheme="minorHAnsi" w:hAnsiTheme="minorHAnsi" w:cs="Lucida Grande"/>
                <w:color w:val="000000"/>
              </w:rPr>
              <w:t xml:space="preserve">. </w:t>
            </w:r>
          </w:p>
        </w:tc>
      </w:tr>
    </w:tbl>
    <w:p w14:paraId="7CCAA6F3" w14:textId="77777777" w:rsidR="005851ED" w:rsidRDefault="005851ED"/>
    <w:tbl>
      <w:tblPr>
        <w:tblStyle w:val="TableGrid"/>
        <w:tblW w:w="14601" w:type="dxa"/>
        <w:tblInd w:w="-318" w:type="dxa"/>
        <w:tblLook w:val="0680" w:firstRow="0" w:lastRow="0" w:firstColumn="1" w:lastColumn="0" w:noHBand="1" w:noVBand="1"/>
      </w:tblPr>
      <w:tblGrid>
        <w:gridCol w:w="1560"/>
        <w:gridCol w:w="2977"/>
        <w:gridCol w:w="1890"/>
        <w:gridCol w:w="1890"/>
        <w:gridCol w:w="1890"/>
        <w:gridCol w:w="4394"/>
      </w:tblGrid>
      <w:tr w:rsidR="00447869" w:rsidRPr="00853117" w14:paraId="2E067A43" w14:textId="77777777" w:rsidTr="00D44449">
        <w:trPr>
          <w:trHeight w:val="406"/>
          <w:tblHeader/>
        </w:trPr>
        <w:tc>
          <w:tcPr>
            <w:tcW w:w="1560" w:type="dxa"/>
            <w:shd w:val="clear" w:color="auto" w:fill="DBE5F1" w:themeFill="accent1" w:themeFillTint="33"/>
          </w:tcPr>
          <w:p w14:paraId="0573A35B"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977" w:type="dxa"/>
            <w:shd w:val="clear" w:color="auto" w:fill="DBE5F1" w:themeFill="accent1" w:themeFillTint="33"/>
          </w:tcPr>
          <w:p w14:paraId="404E7CE7" w14:textId="2CBCACF3" w:rsidR="004A10A2" w:rsidRPr="00C92149" w:rsidRDefault="001E102B" w:rsidP="00631EAB">
            <w:pPr>
              <w:spacing w:before="120" w:after="120"/>
              <w:jc w:val="center"/>
              <w:rPr>
                <w:rFonts w:asciiTheme="minorHAnsi" w:hAnsiTheme="minorHAnsi"/>
                <w:b/>
                <w:sz w:val="20"/>
                <w:szCs w:val="18"/>
              </w:rPr>
            </w:pPr>
            <w:r>
              <w:rPr>
                <w:rFonts w:asciiTheme="minorHAnsi" w:hAnsiTheme="minorHAnsi"/>
                <w:b/>
                <w:sz w:val="20"/>
                <w:szCs w:val="18"/>
              </w:rPr>
              <w:t xml:space="preserve">v.2.1 </w:t>
            </w:r>
          </w:p>
        </w:tc>
        <w:tc>
          <w:tcPr>
            <w:tcW w:w="5670" w:type="dxa"/>
            <w:gridSpan w:val="3"/>
            <w:shd w:val="clear" w:color="auto" w:fill="DBE5F1" w:themeFill="accent1" w:themeFillTint="33"/>
          </w:tcPr>
          <w:p w14:paraId="1E1A6F27"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14:paraId="7726FEB6" w14:textId="4194CED3" w:rsidR="00447869" w:rsidRPr="00C92149" w:rsidRDefault="00393674">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C92149">
              <w:rPr>
                <w:rFonts w:asciiTheme="minorHAnsi" w:eastAsia="Times New Roman" w:hAnsiTheme="minorHAnsi" w:cs="Times New Roman"/>
                <w:b/>
                <w:bCs/>
                <w:sz w:val="20"/>
                <w:szCs w:val="20"/>
                <w:lang w:eastAsia="en-AU"/>
              </w:rPr>
              <w:t xml:space="preserve"> </w:t>
            </w:r>
            <w:r w:rsidR="00447869" w:rsidRPr="00C92149">
              <w:rPr>
                <w:rFonts w:asciiTheme="minorHAnsi" w:eastAsia="Times New Roman" w:hAnsiTheme="minorHAnsi" w:cs="Times New Roman"/>
                <w:b/>
                <w:bCs/>
                <w:sz w:val="20"/>
                <w:szCs w:val="20"/>
                <w:lang w:eastAsia="en-AU"/>
              </w:rPr>
              <w:t>RATIONALE FOR PROPOSED CHANGE</w:t>
            </w:r>
          </w:p>
        </w:tc>
      </w:tr>
      <w:tr w:rsidR="00021243" w:rsidRPr="00447869" w14:paraId="6D56FCD8" w14:textId="77777777" w:rsidTr="00D44449">
        <w:tc>
          <w:tcPr>
            <w:tcW w:w="1560" w:type="dxa"/>
            <w:shd w:val="clear" w:color="auto" w:fill="D9D9D9" w:themeFill="background1" w:themeFillShade="D9"/>
          </w:tcPr>
          <w:p w14:paraId="498D36C7"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977" w:type="dxa"/>
          </w:tcPr>
          <w:p w14:paraId="1B395C1E" w14:textId="5E2EDE1A" w:rsidR="00021243" w:rsidRPr="001D0AF3" w:rsidRDefault="00837689" w:rsidP="001D0AF3">
            <w:pPr>
              <w:pStyle w:val="heading"/>
              <w:spacing w:before="0" w:beforeAutospacing="0" w:after="225" w:afterAutospacing="0" w:line="293" w:lineRule="atLeast"/>
              <w:rPr>
                <w:rFonts w:asciiTheme="minorHAnsi" w:eastAsia="Dotum" w:hAnsiTheme="minorHAnsi" w:cs="Calibri"/>
                <w:sz w:val="22"/>
                <w:szCs w:val="22"/>
              </w:rPr>
            </w:pPr>
            <w:r w:rsidRPr="008565A9">
              <w:rPr>
                <w:rFonts w:asciiTheme="minorHAnsi" w:eastAsia="Dotum" w:hAnsiTheme="minorHAnsi" w:cs="Calibri"/>
                <w:sz w:val="22"/>
                <w:szCs w:val="22"/>
              </w:rPr>
              <w:t>Pure red cell aplasia (PRCA)</w:t>
            </w:r>
          </w:p>
        </w:tc>
        <w:tc>
          <w:tcPr>
            <w:tcW w:w="5670" w:type="dxa"/>
            <w:gridSpan w:val="3"/>
          </w:tcPr>
          <w:p w14:paraId="028FBC20" w14:textId="76223DB9" w:rsidR="00021243" w:rsidRPr="00D44449" w:rsidRDefault="00D44449" w:rsidP="00AF5861">
            <w:pPr>
              <w:spacing w:after="120"/>
              <w:rPr>
                <w:rFonts w:asciiTheme="minorHAnsi" w:hAnsiTheme="minorHAnsi"/>
              </w:rPr>
            </w:pPr>
            <w:r w:rsidRPr="00D44449">
              <w:rPr>
                <w:rFonts w:asciiTheme="minorHAnsi" w:hAnsiTheme="minorHAnsi"/>
              </w:rPr>
              <w:t>Pure red cell aplasia (PRCA)</w:t>
            </w:r>
          </w:p>
        </w:tc>
        <w:tc>
          <w:tcPr>
            <w:tcW w:w="4394" w:type="dxa"/>
          </w:tcPr>
          <w:p w14:paraId="5F30C734" w14:textId="77777777" w:rsidR="005960E7" w:rsidRPr="00C92149" w:rsidRDefault="005960E7" w:rsidP="005960E7">
            <w:pPr>
              <w:pStyle w:val="heading"/>
              <w:spacing w:before="0" w:beforeAutospacing="0" w:after="225" w:afterAutospacing="0" w:line="293" w:lineRule="atLeast"/>
              <w:rPr>
                <w:rFonts w:asciiTheme="minorHAnsi" w:hAnsiTheme="minorHAnsi"/>
                <w:sz w:val="22"/>
              </w:rPr>
            </w:pPr>
          </w:p>
        </w:tc>
      </w:tr>
      <w:tr w:rsidR="00447869" w:rsidRPr="00447869" w14:paraId="4BC93C09" w14:textId="77777777" w:rsidTr="00D44449">
        <w:tc>
          <w:tcPr>
            <w:tcW w:w="1560" w:type="dxa"/>
            <w:shd w:val="clear" w:color="auto" w:fill="D9D9D9" w:themeFill="background1" w:themeFillShade="D9"/>
          </w:tcPr>
          <w:p w14:paraId="3D2ECAFA" w14:textId="77777777"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977" w:type="dxa"/>
          </w:tcPr>
          <w:p w14:paraId="472DB0DC" w14:textId="77777777" w:rsidR="00447869" w:rsidRPr="00447869" w:rsidRDefault="00837689" w:rsidP="00021243">
            <w:pPr>
              <w:spacing w:before="120" w:after="120"/>
              <w:rPr>
                <w:rFonts w:asciiTheme="minorHAnsi" w:hAnsiTheme="minorHAnsi"/>
              </w:rPr>
            </w:pPr>
            <w:r>
              <w:rPr>
                <w:rFonts w:asciiTheme="minorHAnsi" w:hAnsiTheme="minorHAnsi"/>
              </w:rPr>
              <w:t>Haematology</w:t>
            </w:r>
          </w:p>
        </w:tc>
        <w:tc>
          <w:tcPr>
            <w:tcW w:w="5670" w:type="dxa"/>
            <w:gridSpan w:val="3"/>
          </w:tcPr>
          <w:p w14:paraId="3EE6D22C" w14:textId="1D655B85" w:rsidR="00447869" w:rsidRPr="00447869" w:rsidRDefault="00D44449" w:rsidP="00021243">
            <w:pPr>
              <w:spacing w:before="120" w:after="120"/>
              <w:rPr>
                <w:rFonts w:asciiTheme="minorHAnsi" w:hAnsiTheme="minorHAnsi"/>
              </w:rPr>
            </w:pPr>
            <w:r>
              <w:rPr>
                <w:rFonts w:asciiTheme="minorHAnsi" w:hAnsiTheme="minorHAnsi"/>
              </w:rPr>
              <w:t>Haematology</w:t>
            </w:r>
          </w:p>
        </w:tc>
        <w:tc>
          <w:tcPr>
            <w:tcW w:w="4394" w:type="dxa"/>
          </w:tcPr>
          <w:p w14:paraId="3819AB31" w14:textId="77777777" w:rsidR="00447869" w:rsidRPr="009208EC" w:rsidRDefault="00447869" w:rsidP="00021243">
            <w:pPr>
              <w:spacing w:before="120" w:after="120"/>
              <w:rPr>
                <w:rFonts w:asciiTheme="minorHAnsi" w:hAnsiTheme="minorHAnsi"/>
                <w:szCs w:val="20"/>
              </w:rPr>
            </w:pPr>
          </w:p>
        </w:tc>
      </w:tr>
      <w:tr w:rsidR="00021243" w:rsidRPr="00447869" w14:paraId="0F04A5DD" w14:textId="77777777" w:rsidTr="00D44449">
        <w:tc>
          <w:tcPr>
            <w:tcW w:w="1560" w:type="dxa"/>
            <w:shd w:val="clear" w:color="auto" w:fill="D9D9D9" w:themeFill="background1" w:themeFillShade="D9"/>
          </w:tcPr>
          <w:p w14:paraId="0210F8D2" w14:textId="04CF4953" w:rsidR="00021243" w:rsidRPr="00447869" w:rsidRDefault="00393674" w:rsidP="00021243">
            <w:pPr>
              <w:spacing w:before="120" w:after="120"/>
              <w:rPr>
                <w:rFonts w:asciiTheme="minorHAnsi" w:hAnsiTheme="minorHAnsi"/>
              </w:rPr>
            </w:pPr>
            <w:r>
              <w:rPr>
                <w:rFonts w:asciiTheme="minorHAnsi" w:hAnsiTheme="minorHAnsi"/>
                <w:b/>
              </w:rPr>
              <w:t>Category</w:t>
            </w:r>
          </w:p>
        </w:tc>
        <w:tc>
          <w:tcPr>
            <w:tcW w:w="2977" w:type="dxa"/>
          </w:tcPr>
          <w:p w14:paraId="602631B5" w14:textId="1F3CB25F" w:rsidR="00021243" w:rsidRPr="00E26190" w:rsidRDefault="00393674" w:rsidP="008515FF">
            <w:pPr>
              <w:spacing w:before="120" w:after="120"/>
              <w:rPr>
                <w:rFonts w:asciiTheme="minorHAnsi" w:hAnsiTheme="minorHAnsi"/>
                <w:i/>
              </w:rPr>
            </w:pPr>
            <w:r w:rsidRPr="00E26190">
              <w:rPr>
                <w:rFonts w:asciiTheme="minorHAnsi" w:hAnsiTheme="minorHAnsi"/>
                <w:i/>
              </w:rPr>
              <w:t xml:space="preserve">Exceptional circumstances only </w:t>
            </w:r>
          </w:p>
        </w:tc>
        <w:tc>
          <w:tcPr>
            <w:tcW w:w="5670" w:type="dxa"/>
            <w:gridSpan w:val="3"/>
          </w:tcPr>
          <w:p w14:paraId="344DC70C" w14:textId="7693A958" w:rsidR="00021243" w:rsidRPr="00E26190" w:rsidRDefault="00393674" w:rsidP="00021243">
            <w:pPr>
              <w:spacing w:before="120" w:after="120"/>
              <w:rPr>
                <w:rFonts w:asciiTheme="minorHAnsi" w:hAnsiTheme="minorHAnsi"/>
                <w:i/>
              </w:rPr>
            </w:pPr>
            <w:r w:rsidRPr="00E26190">
              <w:rPr>
                <w:rFonts w:asciiTheme="minorHAnsi" w:hAnsiTheme="minorHAnsi"/>
                <w:i/>
              </w:rPr>
              <w:t xml:space="preserve">Exceptional circumstances only </w:t>
            </w:r>
          </w:p>
        </w:tc>
        <w:tc>
          <w:tcPr>
            <w:tcW w:w="4394" w:type="dxa"/>
          </w:tcPr>
          <w:p w14:paraId="26D9DD1F" w14:textId="77777777" w:rsidR="00021243" w:rsidRPr="009208EC" w:rsidRDefault="00021243" w:rsidP="00631EAB">
            <w:pPr>
              <w:spacing w:before="120" w:after="120"/>
              <w:rPr>
                <w:rFonts w:asciiTheme="minorHAnsi" w:hAnsiTheme="minorHAnsi"/>
                <w:szCs w:val="20"/>
              </w:rPr>
            </w:pPr>
          </w:p>
        </w:tc>
      </w:tr>
      <w:tr w:rsidR="00447869" w:rsidRPr="00447869" w14:paraId="24DADCD5" w14:textId="77777777" w:rsidTr="00D44449">
        <w:tc>
          <w:tcPr>
            <w:tcW w:w="1560" w:type="dxa"/>
            <w:shd w:val="clear" w:color="auto" w:fill="D9D9D9" w:themeFill="background1" w:themeFillShade="D9"/>
          </w:tcPr>
          <w:p w14:paraId="405BBA38" w14:textId="77777777"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977" w:type="dxa"/>
          </w:tcPr>
          <w:p w14:paraId="1A03D342" w14:textId="77777777" w:rsidR="004A10A2" w:rsidRPr="00447869" w:rsidRDefault="00837689" w:rsidP="008515FF">
            <w:pPr>
              <w:spacing w:before="120" w:after="120"/>
              <w:rPr>
                <w:rFonts w:asciiTheme="minorHAnsi" w:hAnsiTheme="minorHAnsi"/>
              </w:rPr>
            </w:pPr>
            <w:r w:rsidRPr="00F45280">
              <w:rPr>
                <w:rFonts w:asciiTheme="minorHAnsi" w:eastAsia="Times New Roman" w:hAnsiTheme="minorHAnsi" w:cs="Times New Roman"/>
                <w:bCs/>
                <w:lang w:eastAsia="en-AU"/>
              </w:rPr>
              <w:t>Pure red cell aplasia</w:t>
            </w:r>
          </w:p>
        </w:tc>
        <w:tc>
          <w:tcPr>
            <w:tcW w:w="5670" w:type="dxa"/>
            <w:gridSpan w:val="3"/>
          </w:tcPr>
          <w:p w14:paraId="1FCC4772" w14:textId="77777777" w:rsidR="00447869" w:rsidRPr="00447869" w:rsidRDefault="00447869" w:rsidP="008515FF">
            <w:pPr>
              <w:rPr>
                <w:rFonts w:asciiTheme="minorHAnsi" w:hAnsiTheme="minorHAnsi"/>
              </w:rPr>
            </w:pPr>
          </w:p>
        </w:tc>
        <w:tc>
          <w:tcPr>
            <w:tcW w:w="4394" w:type="dxa"/>
          </w:tcPr>
          <w:p w14:paraId="7ADDAA4A" w14:textId="77777777" w:rsidR="00447869" w:rsidRPr="00C92149" w:rsidRDefault="00447869" w:rsidP="00021243">
            <w:pPr>
              <w:spacing w:before="120" w:after="120"/>
              <w:rPr>
                <w:rFonts w:asciiTheme="minorHAnsi" w:hAnsiTheme="minorHAnsi"/>
                <w:szCs w:val="20"/>
              </w:rPr>
            </w:pPr>
          </w:p>
        </w:tc>
      </w:tr>
      <w:tr w:rsidR="00021243" w:rsidRPr="00447869" w14:paraId="3875E606" w14:textId="77777777" w:rsidTr="00D44449">
        <w:tc>
          <w:tcPr>
            <w:tcW w:w="1560" w:type="dxa"/>
            <w:shd w:val="clear" w:color="auto" w:fill="D9D9D9" w:themeFill="background1" w:themeFillShade="D9"/>
          </w:tcPr>
          <w:p w14:paraId="7B56AC45"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14:paraId="471BCB8D" w14:textId="77777777" w:rsidR="00021243" w:rsidRPr="00447869" w:rsidRDefault="00021243" w:rsidP="00021243">
            <w:pPr>
              <w:spacing w:before="120" w:after="120"/>
              <w:rPr>
                <w:rFonts w:asciiTheme="minorHAnsi" w:hAnsiTheme="minorHAnsi"/>
              </w:rPr>
            </w:pPr>
          </w:p>
        </w:tc>
        <w:tc>
          <w:tcPr>
            <w:tcW w:w="2977" w:type="dxa"/>
          </w:tcPr>
          <w:p w14:paraId="105CBD10" w14:textId="77777777" w:rsidR="00021243" w:rsidRPr="00447869" w:rsidRDefault="00837689" w:rsidP="00021243">
            <w:pPr>
              <w:spacing w:before="120" w:after="120"/>
              <w:rPr>
                <w:rFonts w:asciiTheme="minorHAnsi" w:hAnsiTheme="minorHAnsi"/>
              </w:rPr>
            </w:pPr>
            <w:r w:rsidRPr="00F45280">
              <w:rPr>
                <w:rFonts w:asciiTheme="minorHAnsi" w:hAnsiTheme="minorHAnsi"/>
                <w:color w:val="000000"/>
              </w:rPr>
              <w:t>Nil (Category 4b)</w:t>
            </w:r>
          </w:p>
        </w:tc>
        <w:tc>
          <w:tcPr>
            <w:tcW w:w="5670" w:type="dxa"/>
            <w:gridSpan w:val="3"/>
          </w:tcPr>
          <w:p w14:paraId="50CDC450" w14:textId="0C548C65" w:rsidR="00021243" w:rsidRPr="00447869" w:rsidRDefault="00282F66" w:rsidP="008515FF">
            <w:pPr>
              <w:spacing w:before="120" w:after="120"/>
              <w:rPr>
                <w:rFonts w:asciiTheme="minorHAnsi" w:hAnsiTheme="minorHAnsi"/>
              </w:rPr>
            </w:pPr>
            <w:r>
              <w:t xml:space="preserve"> </w:t>
            </w:r>
            <w:r w:rsidR="00AF5861">
              <w:t xml:space="preserve">Evidence of probable benefit – more research needed (Category </w:t>
            </w:r>
            <w:r w:rsidR="00D44449">
              <w:t>2a</w:t>
            </w:r>
            <w:r w:rsidR="00AF5861">
              <w:t>)</w:t>
            </w:r>
          </w:p>
        </w:tc>
        <w:tc>
          <w:tcPr>
            <w:tcW w:w="4394" w:type="dxa"/>
          </w:tcPr>
          <w:p w14:paraId="00F0FF11" w14:textId="5115EE0A" w:rsidR="00021243" w:rsidRPr="009208EC" w:rsidRDefault="00812A91" w:rsidP="00812A91">
            <w:pPr>
              <w:spacing w:before="120" w:after="120"/>
              <w:rPr>
                <w:rFonts w:asciiTheme="minorHAnsi" w:hAnsiTheme="minorHAnsi"/>
                <w:szCs w:val="20"/>
              </w:rPr>
            </w:pPr>
            <w:r>
              <w:rPr>
                <w:rFonts w:asciiTheme="minorHAnsi" w:hAnsiTheme="minorHAnsi"/>
                <w:szCs w:val="20"/>
              </w:rPr>
              <w:t>A search of the</w:t>
            </w:r>
            <w:r w:rsidR="00B50562">
              <w:rPr>
                <w:rFonts w:asciiTheme="minorHAnsi" w:hAnsiTheme="minorHAnsi"/>
                <w:szCs w:val="20"/>
              </w:rPr>
              <w:t xml:space="preserve"> l</w:t>
            </w:r>
            <w:r w:rsidR="001A4BCD">
              <w:rPr>
                <w:rFonts w:asciiTheme="minorHAnsi" w:hAnsiTheme="minorHAnsi"/>
                <w:szCs w:val="20"/>
              </w:rPr>
              <w:t xml:space="preserve">iterature identified </w:t>
            </w:r>
            <w:r w:rsidR="0039167F">
              <w:rPr>
                <w:rFonts w:asciiTheme="minorHAnsi" w:hAnsiTheme="minorHAnsi"/>
                <w:szCs w:val="20"/>
              </w:rPr>
              <w:t>many</w:t>
            </w:r>
            <w:r w:rsidR="001A4BCD">
              <w:rPr>
                <w:rFonts w:asciiTheme="minorHAnsi" w:hAnsiTheme="minorHAnsi"/>
                <w:szCs w:val="20"/>
              </w:rPr>
              <w:t xml:space="preserve"> </w:t>
            </w:r>
            <w:r w:rsidR="0039167F">
              <w:rPr>
                <w:rFonts w:asciiTheme="minorHAnsi" w:hAnsiTheme="minorHAnsi"/>
                <w:szCs w:val="20"/>
              </w:rPr>
              <w:t xml:space="preserve">published </w:t>
            </w:r>
            <w:r w:rsidR="001A4BCD">
              <w:rPr>
                <w:rFonts w:asciiTheme="minorHAnsi" w:hAnsiTheme="minorHAnsi"/>
                <w:szCs w:val="20"/>
              </w:rPr>
              <w:t>case series reporting probabl</w:t>
            </w:r>
            <w:r w:rsidR="00B50562">
              <w:rPr>
                <w:rFonts w:asciiTheme="minorHAnsi" w:hAnsiTheme="minorHAnsi"/>
                <w:szCs w:val="20"/>
              </w:rPr>
              <w:t>e</w:t>
            </w:r>
            <w:r w:rsidR="001A4BCD">
              <w:rPr>
                <w:rFonts w:asciiTheme="minorHAnsi" w:hAnsiTheme="minorHAnsi"/>
                <w:szCs w:val="20"/>
              </w:rPr>
              <w:t xml:space="preserve"> benefit</w:t>
            </w:r>
            <w:r w:rsidR="00B50562">
              <w:rPr>
                <w:rFonts w:asciiTheme="minorHAnsi" w:hAnsiTheme="minorHAnsi"/>
                <w:szCs w:val="20"/>
              </w:rPr>
              <w:t xml:space="preserve"> supporting a recommendation to revise</w:t>
            </w:r>
            <w:r w:rsidR="00E4374A">
              <w:rPr>
                <w:rFonts w:asciiTheme="minorHAnsi" w:hAnsiTheme="minorHAnsi"/>
                <w:szCs w:val="20"/>
              </w:rPr>
              <w:t xml:space="preserve"> the evide</w:t>
            </w:r>
            <w:r w:rsidR="00B50562">
              <w:rPr>
                <w:rFonts w:asciiTheme="minorHAnsi" w:hAnsiTheme="minorHAnsi"/>
                <w:szCs w:val="20"/>
              </w:rPr>
              <w:t>nce level</w:t>
            </w:r>
            <w:r w:rsidR="001A4BCD">
              <w:rPr>
                <w:rFonts w:asciiTheme="minorHAnsi" w:hAnsiTheme="minorHAnsi"/>
                <w:szCs w:val="20"/>
              </w:rPr>
              <w:t>.</w:t>
            </w:r>
          </w:p>
        </w:tc>
      </w:tr>
      <w:tr w:rsidR="00AB120F" w:rsidRPr="00447869" w14:paraId="41942CBE" w14:textId="77777777" w:rsidTr="00D44449">
        <w:tc>
          <w:tcPr>
            <w:tcW w:w="1560" w:type="dxa"/>
            <w:shd w:val="clear" w:color="auto" w:fill="D9D9D9" w:themeFill="background1" w:themeFillShade="D9"/>
          </w:tcPr>
          <w:p w14:paraId="1E064C86" w14:textId="77777777"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14:paraId="72B27589" w14:textId="77777777" w:rsidR="00AB120F" w:rsidRPr="00447869" w:rsidRDefault="00AB120F" w:rsidP="00CE69D0">
            <w:pPr>
              <w:spacing w:before="120" w:after="120"/>
              <w:rPr>
                <w:rFonts w:asciiTheme="minorHAnsi" w:hAnsiTheme="minorHAnsi"/>
              </w:rPr>
            </w:pPr>
          </w:p>
        </w:tc>
        <w:tc>
          <w:tcPr>
            <w:tcW w:w="2977" w:type="dxa"/>
          </w:tcPr>
          <w:p w14:paraId="43540633" w14:textId="77777777" w:rsidR="00AB120F" w:rsidRPr="00447869" w:rsidRDefault="00AB120F" w:rsidP="00CE69D0">
            <w:pPr>
              <w:spacing w:before="120" w:after="120"/>
              <w:rPr>
                <w:rFonts w:asciiTheme="minorHAnsi" w:hAnsiTheme="minorHAnsi"/>
              </w:rPr>
            </w:pPr>
            <w:r>
              <w:rPr>
                <w:rFonts w:asciiTheme="minorHAnsi" w:hAnsiTheme="minorHAnsi"/>
              </w:rPr>
              <w:lastRenderedPageBreak/>
              <w:t xml:space="preserve"> </w:t>
            </w:r>
          </w:p>
        </w:tc>
        <w:tc>
          <w:tcPr>
            <w:tcW w:w="5670" w:type="dxa"/>
            <w:gridSpan w:val="3"/>
          </w:tcPr>
          <w:p w14:paraId="097EAF11" w14:textId="14FF70B4" w:rsidR="00AB120F" w:rsidRPr="00447869" w:rsidRDefault="001A4BCD" w:rsidP="00CE69D0">
            <w:pPr>
              <w:spacing w:before="120" w:after="120"/>
              <w:rPr>
                <w:rFonts w:asciiTheme="minorHAnsi" w:hAnsiTheme="minorHAnsi"/>
              </w:rPr>
            </w:pPr>
            <w:r>
              <w:rPr>
                <w:rFonts w:asciiTheme="minorHAnsi" w:hAnsiTheme="minorHAnsi"/>
              </w:rPr>
              <w:t>Whilst there are</w:t>
            </w:r>
            <w:r w:rsidR="00D44449" w:rsidRPr="00D44449">
              <w:rPr>
                <w:rFonts w:asciiTheme="minorHAnsi" w:hAnsiTheme="minorHAnsi"/>
              </w:rPr>
              <w:t xml:space="preserve"> no randomised controlled trials for this condition there </w:t>
            </w:r>
            <w:r>
              <w:rPr>
                <w:rFonts w:asciiTheme="minorHAnsi" w:hAnsiTheme="minorHAnsi"/>
              </w:rPr>
              <w:t xml:space="preserve">are </w:t>
            </w:r>
            <w:r w:rsidR="00D44449" w:rsidRPr="00D44449">
              <w:rPr>
                <w:rFonts w:asciiTheme="minorHAnsi" w:hAnsiTheme="minorHAnsi"/>
              </w:rPr>
              <w:t xml:space="preserve">many published case studies demonstrating benefit of Ig in the therapy of Parvovirus B19 associated PRCA in over 130 patients with defined </w:t>
            </w:r>
            <w:r w:rsidR="00D44449" w:rsidRPr="00D44449">
              <w:rPr>
                <w:rFonts w:asciiTheme="minorHAnsi" w:hAnsiTheme="minorHAnsi"/>
              </w:rPr>
              <w:lastRenderedPageBreak/>
              <w:t>Immunosuppressed states</w:t>
            </w:r>
            <w:r w:rsidR="00812A91">
              <w:rPr>
                <w:rFonts w:asciiTheme="minorHAnsi" w:hAnsiTheme="minorHAnsi"/>
              </w:rPr>
              <w:t xml:space="preserve"> </w:t>
            </w:r>
            <w:r w:rsidR="009221AD">
              <w:rPr>
                <w:rFonts w:asciiTheme="minorHAnsi" w:hAnsiTheme="minorHAnsi"/>
              </w:rPr>
              <w:t>(</w:t>
            </w:r>
            <w:proofErr w:type="spellStart"/>
            <w:r w:rsidR="009221AD">
              <w:rPr>
                <w:rFonts w:asciiTheme="minorHAnsi" w:hAnsiTheme="minorHAnsi"/>
              </w:rPr>
              <w:t>Crabol</w:t>
            </w:r>
            <w:proofErr w:type="spellEnd"/>
            <w:r w:rsidR="009221AD">
              <w:rPr>
                <w:rFonts w:asciiTheme="minorHAnsi" w:hAnsiTheme="minorHAnsi"/>
              </w:rPr>
              <w:t xml:space="preserve"> 2013, </w:t>
            </w:r>
            <w:proofErr w:type="spellStart"/>
            <w:r w:rsidR="009221AD">
              <w:rPr>
                <w:rFonts w:asciiTheme="minorHAnsi" w:hAnsiTheme="minorHAnsi"/>
              </w:rPr>
              <w:t>Geetha</w:t>
            </w:r>
            <w:proofErr w:type="spellEnd"/>
            <w:r w:rsidR="009221AD">
              <w:rPr>
                <w:rFonts w:asciiTheme="minorHAnsi" w:hAnsiTheme="minorHAnsi"/>
              </w:rPr>
              <w:t xml:space="preserve"> 2000, Kawano 2013, </w:t>
            </w:r>
            <w:proofErr w:type="spellStart"/>
            <w:r w:rsidR="009221AD">
              <w:rPr>
                <w:rFonts w:asciiTheme="minorHAnsi" w:hAnsiTheme="minorHAnsi"/>
              </w:rPr>
              <w:t>Koda</w:t>
            </w:r>
            <w:proofErr w:type="spellEnd"/>
            <w:r w:rsidR="009221AD">
              <w:rPr>
                <w:rFonts w:asciiTheme="minorHAnsi" w:hAnsiTheme="minorHAnsi"/>
              </w:rPr>
              <w:t xml:space="preserve"> 2013, </w:t>
            </w:r>
            <w:proofErr w:type="spellStart"/>
            <w:r w:rsidR="009221AD">
              <w:rPr>
                <w:rFonts w:asciiTheme="minorHAnsi" w:hAnsiTheme="minorHAnsi"/>
              </w:rPr>
              <w:t>Koduri</w:t>
            </w:r>
            <w:proofErr w:type="spellEnd"/>
            <w:r w:rsidR="009221AD">
              <w:rPr>
                <w:rFonts w:asciiTheme="minorHAnsi" w:hAnsiTheme="minorHAnsi"/>
              </w:rPr>
              <w:t xml:space="preserve"> 1999, </w:t>
            </w:r>
            <w:proofErr w:type="spellStart"/>
            <w:r w:rsidR="009221AD">
              <w:rPr>
                <w:rFonts w:asciiTheme="minorHAnsi" w:hAnsiTheme="minorHAnsi"/>
              </w:rPr>
              <w:t>Lejeune</w:t>
            </w:r>
            <w:proofErr w:type="spellEnd"/>
            <w:r w:rsidR="009221AD">
              <w:rPr>
                <w:rFonts w:asciiTheme="minorHAnsi" w:hAnsiTheme="minorHAnsi"/>
              </w:rPr>
              <w:t xml:space="preserve"> 2014, </w:t>
            </w:r>
            <w:proofErr w:type="spellStart"/>
            <w:r w:rsidR="00B458D6">
              <w:rPr>
                <w:rFonts w:asciiTheme="minorHAnsi" w:hAnsiTheme="minorHAnsi"/>
              </w:rPr>
              <w:t>Mouthon</w:t>
            </w:r>
            <w:proofErr w:type="spellEnd"/>
            <w:r w:rsidR="00B458D6">
              <w:rPr>
                <w:rFonts w:asciiTheme="minorHAnsi" w:hAnsiTheme="minorHAnsi"/>
              </w:rPr>
              <w:t xml:space="preserve"> 2005, </w:t>
            </w:r>
            <w:proofErr w:type="spellStart"/>
            <w:r w:rsidR="009221AD">
              <w:rPr>
                <w:rFonts w:asciiTheme="minorHAnsi" w:hAnsiTheme="minorHAnsi"/>
              </w:rPr>
              <w:t>Mouthon</w:t>
            </w:r>
            <w:proofErr w:type="spellEnd"/>
            <w:r w:rsidR="009221AD">
              <w:rPr>
                <w:rFonts w:asciiTheme="minorHAnsi" w:hAnsiTheme="minorHAnsi"/>
              </w:rPr>
              <w:t xml:space="preserve"> 2015, Nair 2016, Zhang 2015)</w:t>
            </w:r>
            <w:r w:rsidR="00D44449" w:rsidRPr="00D44449">
              <w:rPr>
                <w:rFonts w:asciiTheme="minorHAnsi" w:hAnsiTheme="minorHAnsi"/>
              </w:rPr>
              <w:t>.  These case series suggest doses of 2g/kg are most effective, with most response demonstrated with 1- 3 doses. Several small case series suggest potential benefit in patients receiving Ig therapy for refractory PRCA following immunosuppressive therapies</w:t>
            </w:r>
            <w:r w:rsidR="009221AD">
              <w:rPr>
                <w:rFonts w:asciiTheme="minorHAnsi" w:hAnsiTheme="minorHAnsi"/>
              </w:rPr>
              <w:t xml:space="preserve"> (</w:t>
            </w:r>
            <w:proofErr w:type="spellStart"/>
            <w:r w:rsidR="009221AD">
              <w:rPr>
                <w:rFonts w:asciiTheme="minorHAnsi" w:hAnsiTheme="minorHAnsi"/>
              </w:rPr>
              <w:t>Koda</w:t>
            </w:r>
            <w:proofErr w:type="spellEnd"/>
            <w:r w:rsidR="009221AD">
              <w:rPr>
                <w:rFonts w:asciiTheme="minorHAnsi" w:hAnsiTheme="minorHAnsi"/>
              </w:rPr>
              <w:t xml:space="preserve"> 2013, Nair 2016, </w:t>
            </w:r>
            <w:proofErr w:type="gramStart"/>
            <w:r w:rsidR="009221AD">
              <w:rPr>
                <w:rFonts w:asciiTheme="minorHAnsi" w:hAnsiTheme="minorHAnsi"/>
              </w:rPr>
              <w:t>Zhang</w:t>
            </w:r>
            <w:proofErr w:type="gramEnd"/>
            <w:r w:rsidR="009221AD">
              <w:rPr>
                <w:rFonts w:asciiTheme="minorHAnsi" w:hAnsiTheme="minorHAnsi"/>
              </w:rPr>
              <w:t xml:space="preserve"> 2015).</w:t>
            </w:r>
          </w:p>
        </w:tc>
        <w:tc>
          <w:tcPr>
            <w:tcW w:w="4394" w:type="dxa"/>
          </w:tcPr>
          <w:p w14:paraId="5C0EDF2A" w14:textId="5159C91A" w:rsidR="00AB120F" w:rsidRPr="00C92149" w:rsidRDefault="001A4BCD" w:rsidP="00812A91">
            <w:pPr>
              <w:spacing w:before="120" w:after="120"/>
              <w:rPr>
                <w:rFonts w:asciiTheme="minorHAnsi" w:hAnsiTheme="minorHAnsi"/>
                <w:szCs w:val="20"/>
              </w:rPr>
            </w:pPr>
            <w:r>
              <w:rPr>
                <w:rFonts w:asciiTheme="minorHAnsi" w:hAnsiTheme="minorHAnsi"/>
                <w:szCs w:val="20"/>
              </w:rPr>
              <w:lastRenderedPageBreak/>
              <w:t xml:space="preserve">This new section was drafted by the SWG to summarise the literature. </w:t>
            </w:r>
          </w:p>
        </w:tc>
      </w:tr>
      <w:tr w:rsidR="00AB120F" w:rsidRPr="00447869" w14:paraId="072F1C78" w14:textId="77777777" w:rsidTr="00D44449">
        <w:tc>
          <w:tcPr>
            <w:tcW w:w="1560" w:type="dxa"/>
            <w:shd w:val="clear" w:color="auto" w:fill="D9D9D9" w:themeFill="background1" w:themeFillShade="D9"/>
          </w:tcPr>
          <w:p w14:paraId="6C8550BC" w14:textId="77777777" w:rsidR="00AB120F" w:rsidRPr="00447869" w:rsidRDefault="00AB120F" w:rsidP="00CE69D0">
            <w:pPr>
              <w:pStyle w:val="Heading1"/>
              <w:spacing w:before="120" w:after="120"/>
              <w:outlineLvl w:val="0"/>
              <w:rPr>
                <w:rFonts w:asciiTheme="minorHAnsi" w:hAnsiTheme="minorHAnsi"/>
                <w:sz w:val="22"/>
                <w:szCs w:val="22"/>
              </w:rPr>
            </w:pPr>
            <w:r w:rsidRPr="00561F97">
              <w:rPr>
                <w:rFonts w:asciiTheme="minorHAnsi" w:eastAsia="Dotum" w:hAnsiTheme="minorHAnsi"/>
                <w:b/>
                <w:bCs w:val="0"/>
                <w:color w:val="auto"/>
                <w:spacing w:val="0"/>
                <w:sz w:val="22"/>
                <w:szCs w:val="22"/>
              </w:rPr>
              <w:lastRenderedPageBreak/>
              <w:t>Indications</w:t>
            </w:r>
          </w:p>
        </w:tc>
        <w:tc>
          <w:tcPr>
            <w:tcW w:w="2977" w:type="dxa"/>
          </w:tcPr>
          <w:p w14:paraId="517722B9" w14:textId="77777777" w:rsidR="00AB120F" w:rsidRPr="00447869" w:rsidRDefault="00AB120F" w:rsidP="00CE69D0">
            <w:pPr>
              <w:spacing w:before="120" w:after="120"/>
              <w:rPr>
                <w:rFonts w:asciiTheme="minorHAnsi" w:hAnsiTheme="minorHAnsi"/>
              </w:rPr>
            </w:pPr>
            <w:r>
              <w:t xml:space="preserve"> </w:t>
            </w:r>
          </w:p>
        </w:tc>
        <w:tc>
          <w:tcPr>
            <w:tcW w:w="5670" w:type="dxa"/>
            <w:gridSpan w:val="3"/>
          </w:tcPr>
          <w:p w14:paraId="627BF8BC" w14:textId="27BD285F" w:rsidR="00AB120F" w:rsidRPr="00880ECB" w:rsidRDefault="00D44449" w:rsidP="00CE69D0">
            <w:pPr>
              <w:spacing w:before="120" w:after="120"/>
              <w:rPr>
                <w:rFonts w:asciiTheme="minorHAnsi" w:hAnsiTheme="minorHAnsi"/>
              </w:rPr>
            </w:pPr>
            <w:r w:rsidRPr="00D44449">
              <w:rPr>
                <w:rFonts w:asciiTheme="minorHAnsi" w:hAnsiTheme="minorHAnsi"/>
              </w:rPr>
              <w:t>PRCA associated with</w:t>
            </w:r>
            <w:r>
              <w:rPr>
                <w:rFonts w:asciiTheme="minorHAnsi" w:hAnsiTheme="minorHAnsi"/>
              </w:rPr>
              <w:t xml:space="preserve"> </w:t>
            </w:r>
            <w:r w:rsidRPr="00D44449">
              <w:rPr>
                <w:rFonts w:asciiTheme="minorHAnsi" w:hAnsiTheme="minorHAnsi"/>
              </w:rPr>
              <w:t>Parvo B19 infection in immunocompromised patients or autoimmune mediated refractory to immunosuppressant medication.</w:t>
            </w:r>
          </w:p>
        </w:tc>
        <w:tc>
          <w:tcPr>
            <w:tcW w:w="4394" w:type="dxa"/>
          </w:tcPr>
          <w:p w14:paraId="72000E3D" w14:textId="17C790F9" w:rsidR="00AB120F" w:rsidRPr="001D0AF3" w:rsidRDefault="008C6A3E" w:rsidP="008C6A3E">
            <w:pPr>
              <w:spacing w:before="120" w:after="120"/>
            </w:pPr>
            <w:r>
              <w:t>A n</w:t>
            </w:r>
            <w:r w:rsidR="001A4BCD" w:rsidRPr="00D7454E">
              <w:t>ew indication</w:t>
            </w:r>
            <w:r>
              <w:t>, based on recent publications,</w:t>
            </w:r>
            <w:r w:rsidR="001A4BCD" w:rsidRPr="00D7454E">
              <w:t xml:space="preserve"> was developed</w:t>
            </w:r>
            <w:r>
              <w:t xml:space="preserve">. </w:t>
            </w:r>
            <w:r w:rsidR="001A4BCD" w:rsidRPr="00D7454E">
              <w:t xml:space="preserve"> .</w:t>
            </w:r>
          </w:p>
        </w:tc>
      </w:tr>
      <w:tr w:rsidR="00BA76E3" w:rsidRPr="00447869" w14:paraId="19E425B8" w14:textId="77777777" w:rsidTr="00D44449">
        <w:tc>
          <w:tcPr>
            <w:tcW w:w="1560" w:type="dxa"/>
            <w:shd w:val="clear" w:color="auto" w:fill="D9D9D9" w:themeFill="background1" w:themeFillShade="D9"/>
          </w:tcPr>
          <w:p w14:paraId="3563E70F" w14:textId="77777777"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14:paraId="54A3FE85" w14:textId="77777777" w:rsidR="00BA76E3" w:rsidRPr="00447869" w:rsidRDefault="00BA76E3" w:rsidP="00282F66">
            <w:pPr>
              <w:spacing w:before="120" w:after="120"/>
              <w:rPr>
                <w:rFonts w:asciiTheme="minorHAnsi" w:hAnsiTheme="minorHAnsi"/>
              </w:rPr>
            </w:pPr>
          </w:p>
        </w:tc>
        <w:tc>
          <w:tcPr>
            <w:tcW w:w="2977" w:type="dxa"/>
          </w:tcPr>
          <w:p w14:paraId="32680684" w14:textId="6E5720BD" w:rsidR="00BA76E3" w:rsidRPr="00837689" w:rsidRDefault="00282F66" w:rsidP="00837689">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r w:rsidR="00837689" w:rsidRPr="00F45280">
              <w:rPr>
                <w:rFonts w:asciiTheme="minorHAnsi" w:eastAsia="Times New Roman" w:hAnsiTheme="minorHAnsi" w:cs="Times New Roman"/>
                <w:color w:val="000000"/>
                <w:lang w:eastAsia="en-AU"/>
              </w:rPr>
              <w:t xml:space="preserve">PRCA is a rare syndrome of severe anaemia, </w:t>
            </w:r>
            <w:proofErr w:type="spellStart"/>
            <w:r w:rsidR="00837689" w:rsidRPr="00F45280">
              <w:rPr>
                <w:rFonts w:asciiTheme="minorHAnsi" w:eastAsia="Times New Roman" w:hAnsiTheme="minorHAnsi" w:cs="Times New Roman"/>
                <w:color w:val="000000"/>
                <w:lang w:eastAsia="en-AU"/>
              </w:rPr>
              <w:t>reticulocytopenia</w:t>
            </w:r>
            <w:proofErr w:type="spellEnd"/>
            <w:r w:rsidR="00837689" w:rsidRPr="00F45280">
              <w:rPr>
                <w:rFonts w:asciiTheme="minorHAnsi" w:eastAsia="Times New Roman" w:hAnsiTheme="minorHAnsi" w:cs="Times New Roman"/>
                <w:color w:val="000000"/>
                <w:lang w:eastAsia="en-AU"/>
              </w:rPr>
              <w:t xml:space="preserve"> and a selective deficiency of erythroid progenitors. Intravenous immunoglobulin (</w:t>
            </w:r>
            <w:proofErr w:type="spellStart"/>
            <w:r w:rsidR="00FB7459">
              <w:rPr>
                <w:rFonts w:asciiTheme="minorHAnsi" w:eastAsia="Times New Roman" w:hAnsiTheme="minorHAnsi" w:cs="Times New Roman"/>
                <w:color w:val="000000"/>
                <w:lang w:eastAsia="en-AU"/>
              </w:rPr>
              <w:t>IVIg</w:t>
            </w:r>
            <w:proofErr w:type="spellEnd"/>
            <w:r w:rsidR="00837689" w:rsidRPr="00F45280">
              <w:rPr>
                <w:rFonts w:asciiTheme="minorHAnsi" w:eastAsia="Times New Roman" w:hAnsiTheme="minorHAnsi" w:cs="Times New Roman"/>
                <w:color w:val="000000"/>
                <w:lang w:eastAsia="en-AU"/>
              </w:rPr>
              <w:t xml:space="preserve">) should be considered as first-line therapy for viral PRCA associated with parvovirus B19 in immunocompromised patients. </w:t>
            </w:r>
            <w:proofErr w:type="spellStart"/>
            <w:r w:rsidR="00FB7459">
              <w:rPr>
                <w:rFonts w:asciiTheme="minorHAnsi" w:eastAsia="Times New Roman" w:hAnsiTheme="minorHAnsi" w:cs="Times New Roman"/>
                <w:color w:val="000000"/>
                <w:lang w:eastAsia="en-AU"/>
              </w:rPr>
              <w:t>IVIg</w:t>
            </w:r>
            <w:proofErr w:type="spellEnd"/>
            <w:r w:rsidR="00837689" w:rsidRPr="00F45280">
              <w:rPr>
                <w:rFonts w:asciiTheme="minorHAnsi" w:eastAsia="Times New Roman" w:hAnsiTheme="minorHAnsi" w:cs="Times New Roman"/>
                <w:color w:val="000000"/>
                <w:lang w:eastAsia="en-AU"/>
              </w:rPr>
              <w:t xml:space="preserve"> is a reasonable option for patients with immunological PRCA who have failed other therapies (e.g. prednisone or </w:t>
            </w:r>
            <w:r w:rsidR="00837689" w:rsidRPr="00F45280">
              <w:rPr>
                <w:rFonts w:asciiTheme="minorHAnsi" w:eastAsia="Times New Roman" w:hAnsiTheme="minorHAnsi" w:cs="Times New Roman"/>
                <w:color w:val="000000"/>
                <w:lang w:eastAsia="en-AU"/>
              </w:rPr>
              <w:lastRenderedPageBreak/>
              <w:t>cyclosporine).</w:t>
            </w:r>
          </w:p>
        </w:tc>
        <w:tc>
          <w:tcPr>
            <w:tcW w:w="5670" w:type="dxa"/>
            <w:gridSpan w:val="3"/>
          </w:tcPr>
          <w:p w14:paraId="5BCEB365" w14:textId="5F163F86" w:rsidR="008515FF" w:rsidRPr="00282F66" w:rsidRDefault="00282F66" w:rsidP="008515FF">
            <w:pPr>
              <w:rPr>
                <w:rFonts w:asciiTheme="minorHAnsi" w:hAnsiTheme="minorHAnsi" w:cs="Lucida Grande"/>
                <w:color w:val="000000"/>
              </w:rPr>
            </w:pPr>
            <w:r w:rsidRPr="00282F66">
              <w:rPr>
                <w:rFonts w:asciiTheme="minorHAnsi" w:eastAsia="Times New Roman" w:hAnsiTheme="minorHAnsi" w:cs="Times New Roman"/>
                <w:color w:val="000000"/>
                <w:lang w:eastAsia="en-AU"/>
              </w:rPr>
              <w:lastRenderedPageBreak/>
              <w:t xml:space="preserve"> </w:t>
            </w:r>
            <w:r w:rsidR="00D44449" w:rsidRPr="00D44449">
              <w:rPr>
                <w:rFonts w:asciiTheme="minorHAnsi" w:eastAsia="Times New Roman" w:hAnsiTheme="minorHAnsi" w:cs="Times New Roman"/>
                <w:color w:val="000000"/>
                <w:lang w:eastAsia="en-AU"/>
              </w:rPr>
              <w:t xml:space="preserve">PRCA is a rare syndrome of severe anaemia, </w:t>
            </w:r>
            <w:proofErr w:type="spellStart"/>
            <w:r w:rsidR="00D44449" w:rsidRPr="00D44449">
              <w:rPr>
                <w:rFonts w:asciiTheme="minorHAnsi" w:eastAsia="Times New Roman" w:hAnsiTheme="minorHAnsi" w:cs="Times New Roman"/>
                <w:color w:val="000000"/>
                <w:lang w:eastAsia="en-AU"/>
              </w:rPr>
              <w:t>reticulocytopenia</w:t>
            </w:r>
            <w:proofErr w:type="spellEnd"/>
            <w:r w:rsidR="00D44449" w:rsidRPr="00D44449">
              <w:rPr>
                <w:rFonts w:asciiTheme="minorHAnsi" w:eastAsia="Times New Roman" w:hAnsiTheme="minorHAnsi" w:cs="Times New Roman"/>
                <w:color w:val="000000"/>
                <w:lang w:eastAsia="en-AU"/>
              </w:rPr>
              <w:t xml:space="preserve"> and a selective deficiency of erythroid progenitors. </w:t>
            </w:r>
            <w:proofErr w:type="spellStart"/>
            <w:r w:rsidR="00FB7459">
              <w:rPr>
                <w:rFonts w:asciiTheme="minorHAnsi" w:eastAsia="Times New Roman" w:hAnsiTheme="minorHAnsi" w:cs="Times New Roman"/>
                <w:color w:val="000000"/>
                <w:lang w:eastAsia="en-AU"/>
              </w:rPr>
              <w:t>IVIg</w:t>
            </w:r>
            <w:proofErr w:type="spellEnd"/>
            <w:r w:rsidR="00D44449" w:rsidRPr="00D44449">
              <w:rPr>
                <w:rFonts w:asciiTheme="minorHAnsi" w:eastAsia="Times New Roman" w:hAnsiTheme="minorHAnsi" w:cs="Times New Roman"/>
                <w:color w:val="000000"/>
                <w:lang w:eastAsia="en-AU"/>
              </w:rPr>
              <w:t xml:space="preserve"> should be considered as first-line therapy for viral PRCA associated with parvovirus B19 in immunocompromised patients. </w:t>
            </w:r>
            <w:proofErr w:type="spellStart"/>
            <w:r w:rsidR="00FB7459">
              <w:rPr>
                <w:rFonts w:asciiTheme="minorHAnsi" w:eastAsia="Times New Roman" w:hAnsiTheme="minorHAnsi" w:cs="Times New Roman"/>
                <w:color w:val="000000"/>
                <w:lang w:eastAsia="en-AU"/>
              </w:rPr>
              <w:t>IVIg</w:t>
            </w:r>
            <w:proofErr w:type="spellEnd"/>
            <w:r w:rsidR="00D44449" w:rsidRPr="00D44449">
              <w:rPr>
                <w:rFonts w:asciiTheme="minorHAnsi" w:eastAsia="Times New Roman" w:hAnsiTheme="minorHAnsi" w:cs="Times New Roman"/>
                <w:color w:val="000000"/>
                <w:lang w:eastAsia="en-AU"/>
              </w:rPr>
              <w:t xml:space="preserve"> is a reasonable option for patients with immunological PRCA who have failed other therapies (e.g. prednisone or cyclosporine).</w:t>
            </w:r>
          </w:p>
          <w:p w14:paraId="23C5016F" w14:textId="77777777" w:rsidR="00BA76E3" w:rsidRPr="00447869" w:rsidRDefault="00BA76E3" w:rsidP="005960E7">
            <w:pPr>
              <w:rPr>
                <w:rFonts w:asciiTheme="minorHAnsi" w:hAnsiTheme="minorHAnsi"/>
              </w:rPr>
            </w:pPr>
          </w:p>
        </w:tc>
        <w:tc>
          <w:tcPr>
            <w:tcW w:w="4394" w:type="dxa"/>
          </w:tcPr>
          <w:p w14:paraId="57D4CDB3" w14:textId="19D49613" w:rsidR="00BA76E3" w:rsidRPr="00D7454E" w:rsidRDefault="001A4BCD" w:rsidP="00AF5861">
            <w:pPr>
              <w:spacing w:after="120"/>
              <w:rPr>
                <w:rFonts w:asciiTheme="minorHAnsi" w:hAnsiTheme="minorHAnsi"/>
              </w:rPr>
            </w:pPr>
            <w:r w:rsidRPr="00D7454E">
              <w:rPr>
                <w:rFonts w:asciiTheme="minorHAnsi" w:hAnsiTheme="minorHAnsi"/>
              </w:rPr>
              <w:t xml:space="preserve">No change from </w:t>
            </w:r>
            <w:r w:rsidR="00393674">
              <w:rPr>
                <w:rFonts w:asciiTheme="minorHAnsi" w:hAnsiTheme="minorHAnsi"/>
              </w:rPr>
              <w:t>v</w:t>
            </w:r>
            <w:r w:rsidRPr="00D7454E">
              <w:rPr>
                <w:rFonts w:asciiTheme="minorHAnsi" w:hAnsiTheme="minorHAnsi"/>
              </w:rPr>
              <w:t>2.1</w:t>
            </w:r>
          </w:p>
        </w:tc>
      </w:tr>
      <w:tr w:rsidR="00447869" w:rsidRPr="00853117" w14:paraId="483770D8" w14:textId="77777777" w:rsidTr="00AF5861">
        <w:tc>
          <w:tcPr>
            <w:tcW w:w="1560" w:type="dxa"/>
            <w:shd w:val="clear" w:color="auto" w:fill="D9D9D9" w:themeFill="background1" w:themeFillShade="D9"/>
          </w:tcPr>
          <w:p w14:paraId="6087C794"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977" w:type="dxa"/>
            <w:vMerge w:val="restart"/>
          </w:tcPr>
          <w:p w14:paraId="54005A65" w14:textId="77777777" w:rsidR="00447869" w:rsidRPr="00447869" w:rsidRDefault="00282F66" w:rsidP="00021243">
            <w:pPr>
              <w:spacing w:before="120" w:after="120"/>
              <w:rPr>
                <w:rFonts w:asciiTheme="minorHAnsi" w:hAnsiTheme="minorHAnsi"/>
                <w:b/>
              </w:rPr>
            </w:pPr>
            <w:r>
              <w:t xml:space="preserve"> </w:t>
            </w:r>
          </w:p>
        </w:tc>
        <w:tc>
          <w:tcPr>
            <w:tcW w:w="1890" w:type="dxa"/>
          </w:tcPr>
          <w:p w14:paraId="2C98C888" w14:textId="1EC29835" w:rsidR="00447869" w:rsidRPr="00447869" w:rsidRDefault="00D44449" w:rsidP="00021243">
            <w:pPr>
              <w:spacing w:before="120" w:after="120"/>
              <w:rPr>
                <w:rFonts w:asciiTheme="minorHAnsi" w:hAnsiTheme="minorHAnsi"/>
              </w:rPr>
            </w:pPr>
            <w:r>
              <w:rPr>
                <w:rFonts w:asciiTheme="minorHAnsi" w:hAnsiTheme="minorHAnsi"/>
              </w:rPr>
              <w:t>Yes</w:t>
            </w:r>
          </w:p>
        </w:tc>
        <w:tc>
          <w:tcPr>
            <w:tcW w:w="1890" w:type="dxa"/>
            <w:shd w:val="clear" w:color="auto" w:fill="BFBFBF" w:themeFill="background1" w:themeFillShade="BF"/>
          </w:tcPr>
          <w:p w14:paraId="7C51DC33"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6B7985B6" w14:textId="2A55FEF9" w:rsidR="00447869" w:rsidRPr="00447869" w:rsidRDefault="00D44449" w:rsidP="00021243">
            <w:pPr>
              <w:spacing w:before="120" w:after="120"/>
              <w:rPr>
                <w:rFonts w:asciiTheme="minorHAnsi" w:hAnsiTheme="minorHAnsi"/>
              </w:rPr>
            </w:pPr>
            <w:r>
              <w:rPr>
                <w:rFonts w:asciiTheme="minorHAnsi" w:hAnsiTheme="minorHAnsi"/>
              </w:rPr>
              <w:t xml:space="preserve">Haematologist </w:t>
            </w:r>
          </w:p>
        </w:tc>
        <w:tc>
          <w:tcPr>
            <w:tcW w:w="4394" w:type="dxa"/>
            <w:vMerge w:val="restart"/>
          </w:tcPr>
          <w:p w14:paraId="300B9A9E" w14:textId="5D43B746" w:rsidR="00447869" w:rsidRPr="00C92149" w:rsidRDefault="001A5A47" w:rsidP="001A4BCD">
            <w:pPr>
              <w:spacing w:before="120" w:after="120"/>
              <w:ind w:right="90"/>
              <w:rPr>
                <w:rFonts w:asciiTheme="minorHAnsi" w:hAnsiTheme="minorHAnsi"/>
                <w:szCs w:val="20"/>
              </w:rPr>
            </w:pPr>
            <w:r>
              <w:rPr>
                <w:rFonts w:asciiTheme="minorHAnsi" w:hAnsiTheme="minorHAnsi"/>
                <w:szCs w:val="20"/>
              </w:rPr>
              <w:t xml:space="preserve">Specialist Working Group </w:t>
            </w:r>
            <w:r w:rsidR="001A4BCD">
              <w:rPr>
                <w:rFonts w:asciiTheme="minorHAnsi" w:hAnsiTheme="minorHAnsi"/>
                <w:szCs w:val="20"/>
              </w:rPr>
              <w:t xml:space="preserve">advised that this indication is </w:t>
            </w:r>
            <w:r w:rsidR="0039167F">
              <w:rPr>
                <w:rFonts w:asciiTheme="minorHAnsi" w:hAnsiTheme="minorHAnsi"/>
                <w:szCs w:val="20"/>
              </w:rPr>
              <w:t xml:space="preserve">diagnosed, </w:t>
            </w:r>
            <w:r w:rsidR="001A4BCD">
              <w:rPr>
                <w:rFonts w:asciiTheme="minorHAnsi" w:hAnsiTheme="minorHAnsi"/>
                <w:szCs w:val="20"/>
              </w:rPr>
              <w:t xml:space="preserve">treated and managed by haematologists. </w:t>
            </w:r>
          </w:p>
        </w:tc>
      </w:tr>
      <w:tr w:rsidR="00447869" w:rsidRPr="00853117" w14:paraId="5FD494C8" w14:textId="77777777" w:rsidTr="00AF5861">
        <w:tc>
          <w:tcPr>
            <w:tcW w:w="1560" w:type="dxa"/>
            <w:shd w:val="clear" w:color="auto" w:fill="D9D9D9" w:themeFill="background1" w:themeFillShade="D9"/>
          </w:tcPr>
          <w:p w14:paraId="11F0F952"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977" w:type="dxa"/>
            <w:vMerge/>
          </w:tcPr>
          <w:p w14:paraId="64997303" w14:textId="77777777" w:rsidR="00447869" w:rsidRPr="00447869" w:rsidRDefault="00447869" w:rsidP="00021243">
            <w:pPr>
              <w:spacing w:before="120" w:after="120"/>
              <w:rPr>
                <w:rFonts w:asciiTheme="minorHAnsi" w:hAnsiTheme="minorHAnsi"/>
              </w:rPr>
            </w:pPr>
          </w:p>
        </w:tc>
        <w:tc>
          <w:tcPr>
            <w:tcW w:w="1890" w:type="dxa"/>
          </w:tcPr>
          <w:p w14:paraId="6DDE2B14" w14:textId="40236881" w:rsidR="00447869" w:rsidRPr="00447869" w:rsidRDefault="00D44449" w:rsidP="00021243">
            <w:pPr>
              <w:spacing w:before="120" w:after="120"/>
              <w:rPr>
                <w:rFonts w:asciiTheme="minorHAnsi" w:hAnsiTheme="minorHAnsi"/>
              </w:rPr>
            </w:pPr>
            <w:r>
              <w:rPr>
                <w:rFonts w:asciiTheme="minorHAnsi" w:hAnsiTheme="minorHAnsi"/>
              </w:rPr>
              <w:t>No</w:t>
            </w:r>
          </w:p>
        </w:tc>
        <w:tc>
          <w:tcPr>
            <w:tcW w:w="1890" w:type="dxa"/>
            <w:shd w:val="clear" w:color="auto" w:fill="BFBFBF" w:themeFill="background1" w:themeFillShade="BF"/>
          </w:tcPr>
          <w:p w14:paraId="7F279B2B"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2D78B908" w14:textId="77777777" w:rsidR="00447869" w:rsidRPr="00447869" w:rsidRDefault="00447869" w:rsidP="00021243">
            <w:pPr>
              <w:spacing w:before="120" w:after="120"/>
              <w:rPr>
                <w:rFonts w:asciiTheme="minorHAnsi" w:hAnsiTheme="minorHAnsi"/>
              </w:rPr>
            </w:pPr>
          </w:p>
        </w:tc>
        <w:tc>
          <w:tcPr>
            <w:tcW w:w="4394" w:type="dxa"/>
            <w:vMerge/>
          </w:tcPr>
          <w:p w14:paraId="0B5F3DDA" w14:textId="77777777" w:rsidR="00447869" w:rsidRPr="00C92149" w:rsidRDefault="00447869" w:rsidP="00021243">
            <w:pPr>
              <w:spacing w:before="120" w:after="120"/>
              <w:rPr>
                <w:rFonts w:asciiTheme="minorHAnsi" w:hAnsiTheme="minorHAnsi"/>
                <w:szCs w:val="20"/>
              </w:rPr>
            </w:pPr>
          </w:p>
        </w:tc>
      </w:tr>
      <w:tr w:rsidR="00447869" w:rsidRPr="00853117" w14:paraId="53A1CCF6" w14:textId="77777777" w:rsidTr="00D44449">
        <w:tc>
          <w:tcPr>
            <w:tcW w:w="1560" w:type="dxa"/>
            <w:shd w:val="clear" w:color="auto" w:fill="D9D9D9" w:themeFill="background1" w:themeFillShade="D9"/>
          </w:tcPr>
          <w:p w14:paraId="735371C9" w14:textId="470B7013" w:rsidR="00447869" w:rsidRPr="001D0AF3" w:rsidRDefault="00447869" w:rsidP="00021243">
            <w:pPr>
              <w:spacing w:before="120" w:after="120"/>
              <w:rPr>
                <w:rFonts w:asciiTheme="minorHAnsi" w:hAnsiTheme="minorHAnsi"/>
                <w:b/>
              </w:rPr>
            </w:pPr>
            <w:r w:rsidRPr="00447869">
              <w:rPr>
                <w:rFonts w:asciiTheme="minorHAnsi" w:hAnsiTheme="minorHAnsi"/>
                <w:b/>
              </w:rPr>
              <w:t>Exclusion Criteria</w:t>
            </w:r>
          </w:p>
        </w:tc>
        <w:tc>
          <w:tcPr>
            <w:tcW w:w="2977" w:type="dxa"/>
          </w:tcPr>
          <w:p w14:paraId="63411571"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670" w:type="dxa"/>
            <w:gridSpan w:val="3"/>
          </w:tcPr>
          <w:p w14:paraId="52E07FC5" w14:textId="77777777" w:rsidR="00447869" w:rsidRPr="00447869" w:rsidRDefault="00447869" w:rsidP="00021243">
            <w:pPr>
              <w:spacing w:before="120" w:after="120"/>
              <w:rPr>
                <w:rFonts w:asciiTheme="minorHAnsi" w:hAnsiTheme="minorHAnsi"/>
                <w:strike/>
              </w:rPr>
            </w:pPr>
          </w:p>
        </w:tc>
        <w:tc>
          <w:tcPr>
            <w:tcW w:w="4394" w:type="dxa"/>
          </w:tcPr>
          <w:p w14:paraId="09927BBE" w14:textId="77777777" w:rsidR="00447869" w:rsidRPr="00C92149" w:rsidRDefault="00447869" w:rsidP="003A1F9D">
            <w:pPr>
              <w:spacing w:before="120" w:after="120"/>
              <w:rPr>
                <w:rFonts w:asciiTheme="minorHAnsi" w:hAnsiTheme="minorHAnsi"/>
                <w:szCs w:val="20"/>
              </w:rPr>
            </w:pPr>
          </w:p>
        </w:tc>
      </w:tr>
      <w:tr w:rsidR="00021243" w:rsidRPr="00853117" w14:paraId="7877EFF7" w14:textId="77777777" w:rsidTr="00D44449">
        <w:tc>
          <w:tcPr>
            <w:tcW w:w="1560" w:type="dxa"/>
            <w:shd w:val="clear" w:color="auto" w:fill="D9D9D9" w:themeFill="background1" w:themeFillShade="D9"/>
          </w:tcPr>
          <w:p w14:paraId="0140E844" w14:textId="77777777" w:rsidR="00021243" w:rsidRPr="00447869" w:rsidRDefault="00021243" w:rsidP="00AF5861">
            <w:pPr>
              <w:spacing w:before="120" w:after="120"/>
              <w:rPr>
                <w:rFonts w:asciiTheme="minorHAnsi" w:hAnsiTheme="minorHAnsi"/>
              </w:rPr>
            </w:pPr>
            <w:r w:rsidRPr="00447869">
              <w:rPr>
                <w:rFonts w:asciiTheme="minorHAnsi" w:hAnsiTheme="minorHAnsi"/>
                <w:b/>
              </w:rPr>
              <w:t>Qualifying Criteria</w:t>
            </w:r>
          </w:p>
        </w:tc>
        <w:tc>
          <w:tcPr>
            <w:tcW w:w="2977" w:type="dxa"/>
          </w:tcPr>
          <w:p w14:paraId="321B2596" w14:textId="77777777" w:rsidR="00021243" w:rsidRPr="00EB78FB" w:rsidRDefault="00021243" w:rsidP="00021243">
            <w:pPr>
              <w:pStyle w:val="Default"/>
              <w:spacing w:before="120" w:after="120"/>
              <w:rPr>
                <w:rFonts w:ascii="Calibri" w:hAnsi="Calibri"/>
                <w:b/>
                <w:sz w:val="22"/>
                <w:szCs w:val="22"/>
              </w:rPr>
            </w:pPr>
          </w:p>
          <w:p w14:paraId="567DBDC3" w14:textId="77777777" w:rsidR="00021243" w:rsidRPr="00447869" w:rsidRDefault="00021243" w:rsidP="00021243">
            <w:pPr>
              <w:spacing w:before="120" w:after="120"/>
              <w:rPr>
                <w:rFonts w:asciiTheme="minorHAnsi" w:hAnsiTheme="minorHAnsi"/>
              </w:rPr>
            </w:pPr>
          </w:p>
        </w:tc>
        <w:tc>
          <w:tcPr>
            <w:tcW w:w="5670" w:type="dxa"/>
            <w:gridSpan w:val="3"/>
          </w:tcPr>
          <w:p w14:paraId="5860C0B5" w14:textId="40724852" w:rsidR="00D44449" w:rsidRPr="001D0AF3" w:rsidRDefault="00D44449" w:rsidP="001D0AF3">
            <w:pPr>
              <w:pStyle w:val="ListParagraph"/>
              <w:numPr>
                <w:ilvl w:val="0"/>
                <w:numId w:val="47"/>
              </w:numPr>
              <w:spacing w:before="100" w:beforeAutospacing="1"/>
              <w:rPr>
                <w:rFonts w:asciiTheme="minorHAnsi" w:hAnsiTheme="minorHAnsi"/>
              </w:rPr>
            </w:pPr>
            <w:r w:rsidRPr="00D44449">
              <w:rPr>
                <w:rFonts w:asciiTheme="minorHAnsi" w:hAnsiTheme="minorHAnsi"/>
              </w:rPr>
              <w:t>Parvo B19 virus associated PRCA in immunosuppressed patient proven by bone marrow biopsy</w:t>
            </w:r>
          </w:p>
          <w:p w14:paraId="61AA775D" w14:textId="1CD76092" w:rsidR="00D44449" w:rsidRDefault="00D44449" w:rsidP="008515FF">
            <w:pPr>
              <w:pStyle w:val="ListParagraph"/>
              <w:spacing w:before="100" w:beforeAutospacing="1"/>
              <w:ind w:left="0"/>
              <w:rPr>
                <w:rFonts w:asciiTheme="minorHAnsi" w:hAnsiTheme="minorHAnsi"/>
              </w:rPr>
            </w:pPr>
            <w:r>
              <w:rPr>
                <w:rFonts w:asciiTheme="minorHAnsi" w:hAnsiTheme="minorHAnsi"/>
              </w:rPr>
              <w:t>OR</w:t>
            </w:r>
          </w:p>
          <w:p w14:paraId="527A2FBC" w14:textId="79A2D539" w:rsidR="00D44449" w:rsidRPr="001D0AF3" w:rsidRDefault="00D44449" w:rsidP="001D0AF3">
            <w:pPr>
              <w:pStyle w:val="ListParagraph"/>
              <w:numPr>
                <w:ilvl w:val="0"/>
                <w:numId w:val="47"/>
              </w:numPr>
              <w:spacing w:before="100" w:beforeAutospacing="1"/>
              <w:rPr>
                <w:rFonts w:asciiTheme="minorHAnsi" w:hAnsiTheme="minorHAnsi"/>
              </w:rPr>
            </w:pPr>
            <w:r w:rsidRPr="00D44449">
              <w:rPr>
                <w:rFonts w:asciiTheme="minorHAnsi" w:hAnsiTheme="minorHAnsi"/>
              </w:rPr>
              <w:t>Immune- mediated PRCA proven by bone marrow biopsy refractory to treatment with at least two Immunosuppressant therapies</w:t>
            </w:r>
          </w:p>
          <w:p w14:paraId="0B277666" w14:textId="76DAF74C" w:rsidR="00D44449" w:rsidRDefault="00D44449" w:rsidP="008515FF">
            <w:pPr>
              <w:pStyle w:val="ListParagraph"/>
              <w:spacing w:before="100" w:beforeAutospacing="1"/>
              <w:ind w:left="0"/>
              <w:rPr>
                <w:rFonts w:asciiTheme="minorHAnsi" w:hAnsiTheme="minorHAnsi"/>
              </w:rPr>
            </w:pPr>
            <w:r>
              <w:rPr>
                <w:rFonts w:asciiTheme="minorHAnsi" w:hAnsiTheme="minorHAnsi"/>
              </w:rPr>
              <w:t>OR</w:t>
            </w:r>
          </w:p>
          <w:p w14:paraId="30E5D81E" w14:textId="464A739F" w:rsidR="0069022A" w:rsidRPr="001D0AF3" w:rsidRDefault="00D44449" w:rsidP="00D7454E">
            <w:pPr>
              <w:pStyle w:val="ListParagraph"/>
              <w:numPr>
                <w:ilvl w:val="0"/>
                <w:numId w:val="47"/>
              </w:numPr>
              <w:spacing w:before="100" w:beforeAutospacing="1"/>
              <w:rPr>
                <w:rFonts w:asciiTheme="minorHAnsi" w:hAnsiTheme="minorHAnsi"/>
              </w:rPr>
            </w:pPr>
            <w:r w:rsidRPr="00D44449">
              <w:rPr>
                <w:rFonts w:asciiTheme="minorHAnsi" w:hAnsiTheme="minorHAnsi"/>
              </w:rPr>
              <w:t>Immune-mediated PRCA and immune-suppressant medications are contraindicated</w:t>
            </w:r>
          </w:p>
        </w:tc>
        <w:tc>
          <w:tcPr>
            <w:tcW w:w="4394" w:type="dxa"/>
          </w:tcPr>
          <w:p w14:paraId="7CA0B2D6" w14:textId="0DD871E8" w:rsidR="008515FF" w:rsidRPr="00C92149" w:rsidRDefault="001A4BCD" w:rsidP="00AF5861">
            <w:pPr>
              <w:spacing w:after="120"/>
              <w:rPr>
                <w:rFonts w:asciiTheme="minorHAnsi" w:hAnsiTheme="minorHAnsi"/>
                <w:szCs w:val="20"/>
              </w:rPr>
            </w:pPr>
            <w:r>
              <w:rPr>
                <w:szCs w:val="20"/>
              </w:rPr>
              <w:t>New qualifying criteria have been defined based on Specialist Working Group consensus.</w:t>
            </w:r>
          </w:p>
          <w:p w14:paraId="3BF9C7EF" w14:textId="314287C9" w:rsidR="0069022A" w:rsidRPr="001D0AF3" w:rsidRDefault="0039167F" w:rsidP="001D0AF3">
            <w:pPr>
              <w:spacing w:before="120" w:after="120"/>
            </w:pPr>
            <w:r>
              <w:rPr>
                <w:rFonts w:asciiTheme="minorHAnsi" w:hAnsiTheme="minorHAnsi"/>
                <w:szCs w:val="20"/>
              </w:rPr>
              <w:t xml:space="preserve">For Immune-mediated PRCA, patients will have been demonstrated </w:t>
            </w:r>
            <w:r w:rsidR="0069022A">
              <w:rPr>
                <w:rFonts w:asciiTheme="minorHAnsi" w:hAnsiTheme="minorHAnsi"/>
                <w:szCs w:val="20"/>
              </w:rPr>
              <w:t xml:space="preserve">to </w:t>
            </w:r>
            <w:r>
              <w:rPr>
                <w:rFonts w:asciiTheme="minorHAnsi" w:hAnsiTheme="minorHAnsi"/>
                <w:szCs w:val="20"/>
              </w:rPr>
              <w:t xml:space="preserve">have been non-responsive to immunosuppressant therapies </w:t>
            </w:r>
            <w:r w:rsidR="0069022A">
              <w:rPr>
                <w:rFonts w:asciiTheme="minorHAnsi" w:hAnsiTheme="minorHAnsi"/>
                <w:szCs w:val="20"/>
              </w:rPr>
              <w:t>such as</w:t>
            </w:r>
            <w:r>
              <w:rPr>
                <w:rFonts w:asciiTheme="minorHAnsi" w:hAnsiTheme="minorHAnsi"/>
                <w:szCs w:val="20"/>
              </w:rPr>
              <w:t xml:space="preserve"> cyclosporine, prednisolone </w:t>
            </w:r>
            <w:r w:rsidR="0069022A">
              <w:rPr>
                <w:rFonts w:asciiTheme="minorHAnsi" w:hAnsiTheme="minorHAnsi"/>
                <w:szCs w:val="20"/>
              </w:rPr>
              <w:t>or</w:t>
            </w:r>
            <w:r>
              <w:rPr>
                <w:rFonts w:asciiTheme="minorHAnsi" w:hAnsiTheme="minorHAnsi"/>
                <w:szCs w:val="20"/>
              </w:rPr>
              <w:t xml:space="preserve"> cyclophosphamide. Valid contraindication reasons </w:t>
            </w:r>
            <w:r w:rsidR="0069022A">
              <w:rPr>
                <w:rFonts w:asciiTheme="minorHAnsi" w:hAnsiTheme="minorHAnsi"/>
                <w:szCs w:val="20"/>
              </w:rPr>
              <w:t xml:space="preserve">will include reasons such as </w:t>
            </w:r>
            <w:r w:rsidR="0069022A">
              <w:t>p</w:t>
            </w:r>
            <w:r w:rsidR="0069022A" w:rsidRPr="0069022A">
              <w:t>regnancy</w:t>
            </w:r>
            <w:r w:rsidR="0069022A">
              <w:t>, s</w:t>
            </w:r>
            <w:r w:rsidR="0069022A" w:rsidRPr="0069022A">
              <w:t>ignificant infection including sepsis</w:t>
            </w:r>
            <w:r w:rsidR="0069022A">
              <w:t>, p</w:t>
            </w:r>
            <w:r w:rsidR="0069022A" w:rsidRPr="0069022A">
              <w:t>otential for life threatening</w:t>
            </w:r>
            <w:r w:rsidR="0069022A">
              <w:t xml:space="preserve"> infection or malignancy. </w:t>
            </w:r>
          </w:p>
        </w:tc>
      </w:tr>
      <w:tr w:rsidR="00021243" w:rsidRPr="00853117" w14:paraId="533ADE66" w14:textId="77777777" w:rsidTr="001D0AF3">
        <w:trPr>
          <w:trHeight w:val="1704"/>
        </w:trPr>
        <w:tc>
          <w:tcPr>
            <w:tcW w:w="1560" w:type="dxa"/>
            <w:shd w:val="clear" w:color="auto" w:fill="D9D9D9" w:themeFill="background1" w:themeFillShade="D9"/>
          </w:tcPr>
          <w:p w14:paraId="2C3DD643" w14:textId="1A92C1F4" w:rsidR="00021243" w:rsidRPr="00447869" w:rsidRDefault="00021243" w:rsidP="00AF5861">
            <w:pPr>
              <w:spacing w:before="120" w:after="120"/>
              <w:rPr>
                <w:rFonts w:asciiTheme="minorHAnsi" w:hAnsiTheme="minorHAnsi"/>
              </w:rPr>
            </w:pPr>
            <w:r w:rsidRPr="00447869">
              <w:rPr>
                <w:rFonts w:asciiTheme="minorHAnsi" w:hAnsiTheme="minorHAnsi"/>
                <w:b/>
              </w:rPr>
              <w:t>Review Criteria</w:t>
            </w:r>
          </w:p>
        </w:tc>
        <w:tc>
          <w:tcPr>
            <w:tcW w:w="2977" w:type="dxa"/>
          </w:tcPr>
          <w:p w14:paraId="60EDC840" w14:textId="5A67AFCC" w:rsidR="00021243" w:rsidRPr="001D0AF3" w:rsidRDefault="00282F66" w:rsidP="001D0AF3">
            <w:pPr>
              <w:pStyle w:val="Default"/>
              <w:spacing w:before="120" w:after="120"/>
              <w:rPr>
                <w:rFonts w:asciiTheme="minorHAnsi" w:hAnsiTheme="minorHAnsi"/>
                <w:sz w:val="22"/>
                <w:szCs w:val="22"/>
              </w:rPr>
            </w:pPr>
            <w:r>
              <w:rPr>
                <w:rFonts w:asciiTheme="minorHAnsi" w:hAnsiTheme="minorHAnsi"/>
                <w:sz w:val="22"/>
                <w:szCs w:val="22"/>
              </w:rPr>
              <w:t xml:space="preserve"> </w:t>
            </w:r>
          </w:p>
        </w:tc>
        <w:tc>
          <w:tcPr>
            <w:tcW w:w="5670" w:type="dxa"/>
            <w:gridSpan w:val="3"/>
          </w:tcPr>
          <w:p w14:paraId="09A9D649" w14:textId="77777777" w:rsidR="00D44449" w:rsidRPr="00D44449" w:rsidRDefault="00D44449" w:rsidP="00D44449">
            <w:pPr>
              <w:spacing w:before="120" w:after="120"/>
            </w:pPr>
            <w:r w:rsidRPr="00D44449">
              <w:t xml:space="preserve">Review is not mandated for this condition. </w:t>
            </w:r>
          </w:p>
          <w:p w14:paraId="538E59AD" w14:textId="77777777" w:rsidR="00D44449" w:rsidRPr="00D44449" w:rsidRDefault="00D44449" w:rsidP="00D44449">
            <w:pPr>
              <w:spacing w:before="120" w:after="120"/>
            </w:pPr>
            <w:r w:rsidRPr="00D44449">
              <w:t xml:space="preserve">Clinical effectiveness of Ig therapy may be demonstrated by: </w:t>
            </w:r>
          </w:p>
          <w:p w14:paraId="171333AB" w14:textId="77777777" w:rsidR="00D44449" w:rsidRPr="00D44449" w:rsidRDefault="00D44449" w:rsidP="00D44449">
            <w:pPr>
              <w:spacing w:before="120" w:after="120"/>
            </w:pPr>
            <w:r w:rsidRPr="00D44449">
              <w:t>•</w:t>
            </w:r>
            <w:r w:rsidRPr="00D44449">
              <w:tab/>
              <w:t>Recovery of bone marrow</w:t>
            </w:r>
          </w:p>
          <w:p w14:paraId="038EC8DA" w14:textId="3ECEA953" w:rsidR="00021243" w:rsidRPr="001A4BCD" w:rsidRDefault="00D44449" w:rsidP="00021243">
            <w:pPr>
              <w:spacing w:before="120" w:after="120"/>
              <w:rPr>
                <w:rFonts w:asciiTheme="minorHAnsi" w:eastAsia="Times New Roman" w:hAnsiTheme="minorHAnsi" w:cs="Times New Roman"/>
                <w:color w:val="000000"/>
                <w:lang w:eastAsia="en-AU"/>
              </w:rPr>
            </w:pPr>
            <w:r w:rsidRPr="00D44449">
              <w:t>•</w:t>
            </w:r>
            <w:r w:rsidRPr="00D44449">
              <w:tab/>
              <w:t>Reduced transfusion dependence</w:t>
            </w:r>
          </w:p>
        </w:tc>
        <w:tc>
          <w:tcPr>
            <w:tcW w:w="4394" w:type="dxa"/>
          </w:tcPr>
          <w:p w14:paraId="2172FC04" w14:textId="605FE882" w:rsidR="00BD6C2D" w:rsidRPr="001D0AF3" w:rsidRDefault="001A4BCD" w:rsidP="00021243">
            <w:pPr>
              <w:spacing w:before="120" w:after="120"/>
              <w:rPr>
                <w:szCs w:val="20"/>
              </w:rPr>
            </w:pPr>
            <w:r>
              <w:rPr>
                <w:szCs w:val="20"/>
              </w:rPr>
              <w:t xml:space="preserve">Review </w:t>
            </w:r>
            <w:r w:rsidR="00101173">
              <w:rPr>
                <w:szCs w:val="20"/>
              </w:rPr>
              <w:t>has not been mandated for</w:t>
            </w:r>
            <w:r>
              <w:rPr>
                <w:szCs w:val="20"/>
              </w:rPr>
              <w:t xml:space="preserve"> this condition as ongoing therapy is not </w:t>
            </w:r>
            <w:r w:rsidR="0069022A">
              <w:rPr>
                <w:szCs w:val="20"/>
              </w:rPr>
              <w:t>supported</w:t>
            </w:r>
            <w:r>
              <w:rPr>
                <w:szCs w:val="20"/>
              </w:rPr>
              <w:t>.</w:t>
            </w:r>
          </w:p>
        </w:tc>
      </w:tr>
      <w:tr w:rsidR="00021243" w:rsidRPr="00853117" w14:paraId="2712A583" w14:textId="77777777" w:rsidTr="00D44449">
        <w:tc>
          <w:tcPr>
            <w:tcW w:w="1560" w:type="dxa"/>
            <w:shd w:val="clear" w:color="auto" w:fill="D9D9D9" w:themeFill="background1" w:themeFillShade="D9"/>
          </w:tcPr>
          <w:p w14:paraId="1472CAB2" w14:textId="77777777" w:rsidR="00021243" w:rsidRPr="008639F9" w:rsidRDefault="00021243" w:rsidP="008639F9">
            <w:pPr>
              <w:rPr>
                <w:b/>
              </w:rPr>
            </w:pPr>
            <w:r w:rsidRPr="008639F9">
              <w:rPr>
                <w:b/>
              </w:rPr>
              <w:lastRenderedPageBreak/>
              <w:t>Dose</w:t>
            </w:r>
          </w:p>
        </w:tc>
        <w:tc>
          <w:tcPr>
            <w:tcW w:w="2977" w:type="dxa"/>
          </w:tcPr>
          <w:p w14:paraId="12D6C7C3" w14:textId="77777777" w:rsidR="00021243" w:rsidRPr="00447869" w:rsidRDefault="00837689" w:rsidP="00021243">
            <w:pPr>
              <w:spacing w:before="120" w:after="120"/>
              <w:rPr>
                <w:rFonts w:asciiTheme="minorHAnsi" w:hAnsiTheme="minorHAnsi"/>
                <w:b/>
              </w:rPr>
            </w:pPr>
            <w:r w:rsidRPr="008565A9">
              <w:rPr>
                <w:rFonts w:asciiTheme="minorHAnsi" w:eastAsia="Times New Roman" w:hAnsiTheme="minorHAnsi" w:cs="Times New Roman"/>
                <w:b/>
                <w:bCs/>
                <w:color w:val="000000"/>
                <w:lang w:eastAsia="en-AU"/>
              </w:rPr>
              <w:t>Refer to the current product information sheet for further information.</w:t>
            </w:r>
            <w:r w:rsidRPr="008565A9">
              <w:rPr>
                <w:rFonts w:asciiTheme="minorHAnsi" w:eastAsia="Times New Roman" w:hAnsiTheme="minorHAnsi" w:cs="Times New Roman"/>
                <w:color w:val="000000"/>
                <w:lang w:eastAsia="en-AU"/>
              </w:rPr>
              <w:br/>
            </w:r>
            <w:r w:rsidRPr="008565A9">
              <w:rPr>
                <w:rFonts w:asciiTheme="minorHAnsi" w:eastAsia="Times New Roman" w:hAnsiTheme="minorHAnsi" w:cs="Times New Roman"/>
                <w:color w:val="000000"/>
                <w:lang w:eastAsia="en-AU"/>
              </w:rPr>
              <w:br/>
            </w:r>
            <w:r w:rsidRPr="008565A9">
              <w:rPr>
                <w:rFonts w:asciiTheme="minorHAnsi" w:eastAsia="Times New Roman" w:hAnsiTheme="minorHAnsi" w:cs="Times New Roman"/>
                <w:b/>
                <w:bCs/>
                <w:color w:val="000000"/>
                <w:lang w:eastAsia="en-AU"/>
              </w:rPr>
              <w:t>The aim should be to use the lowest dose possible that achieves the appropriate clinical outcome for each patient.</w:t>
            </w:r>
          </w:p>
        </w:tc>
        <w:tc>
          <w:tcPr>
            <w:tcW w:w="5670" w:type="dxa"/>
            <w:gridSpan w:val="3"/>
          </w:tcPr>
          <w:p w14:paraId="7639D743" w14:textId="21E5F4E9" w:rsidR="00D44449" w:rsidRDefault="008639F9" w:rsidP="00D44449">
            <w:pPr>
              <w:spacing w:before="120" w:after="120"/>
              <w:rPr>
                <w:rFonts w:asciiTheme="minorHAnsi" w:hAnsiTheme="minorHAnsi"/>
              </w:rPr>
            </w:pPr>
            <w:r>
              <w:rPr>
                <w:rFonts w:asciiTheme="minorHAnsi" w:hAnsiTheme="minorHAnsi"/>
                <w:b/>
              </w:rPr>
              <w:t>Induction D</w:t>
            </w:r>
            <w:r w:rsidR="00D44449" w:rsidRPr="00AF5861">
              <w:rPr>
                <w:rFonts w:asciiTheme="minorHAnsi" w:hAnsiTheme="minorHAnsi"/>
                <w:b/>
              </w:rPr>
              <w:t>ose</w:t>
            </w:r>
            <w:r w:rsidR="00D44449" w:rsidRPr="008639F9">
              <w:rPr>
                <w:rFonts w:asciiTheme="minorHAnsi" w:hAnsiTheme="minorHAnsi"/>
                <w:b/>
              </w:rPr>
              <w:t>– 2 g/kg over 2 or 5 days</w:t>
            </w:r>
          </w:p>
          <w:p w14:paraId="0AE9418A" w14:textId="77777777" w:rsidR="00662875" w:rsidRDefault="00D44449" w:rsidP="0069022A">
            <w:pPr>
              <w:spacing w:before="120" w:after="120"/>
              <w:rPr>
                <w:rFonts w:asciiTheme="minorHAnsi" w:hAnsiTheme="minorHAnsi"/>
              </w:rPr>
            </w:pPr>
            <w:r w:rsidRPr="00D44449">
              <w:rPr>
                <w:rFonts w:asciiTheme="minorHAnsi" w:hAnsiTheme="minorHAnsi"/>
              </w:rPr>
              <w:t xml:space="preserve">Up to 2 additional monthly doses are allowed when recovery is incomplete. </w:t>
            </w:r>
          </w:p>
          <w:p w14:paraId="1EDCA6F1" w14:textId="3183F338" w:rsidR="0069022A" w:rsidRDefault="0069022A" w:rsidP="0069022A">
            <w:pPr>
              <w:spacing w:before="120" w:after="120"/>
              <w:rPr>
                <w:rFonts w:asciiTheme="minorHAnsi" w:hAnsiTheme="minorHAnsi"/>
              </w:rPr>
            </w:pPr>
            <w:r w:rsidRPr="00D44449">
              <w:rPr>
                <w:rFonts w:asciiTheme="minorHAnsi" w:hAnsiTheme="minorHAnsi"/>
              </w:rPr>
              <w:t>Conditions for additional dose: After 4 and 8 weeks, further 2 doses allowed if inadequate response is demonstrated. A maximum of 3 doses is allowed.</w:t>
            </w:r>
          </w:p>
          <w:p w14:paraId="6677B9A4" w14:textId="1942B54A" w:rsidR="00D44449" w:rsidRPr="00D44449" w:rsidRDefault="00D44449" w:rsidP="00D44449">
            <w:pPr>
              <w:spacing w:before="120" w:after="120"/>
              <w:rPr>
                <w:rFonts w:asciiTheme="minorHAnsi" w:hAnsiTheme="minorHAnsi"/>
              </w:rPr>
            </w:pPr>
          </w:p>
          <w:p w14:paraId="67D16501" w14:textId="2F318D15" w:rsidR="00D44449" w:rsidRPr="00D44449" w:rsidRDefault="00D44449" w:rsidP="00D44449">
            <w:pPr>
              <w:spacing w:before="120" w:after="120"/>
              <w:rPr>
                <w:rFonts w:asciiTheme="minorHAnsi" w:hAnsiTheme="minorHAnsi"/>
              </w:rPr>
            </w:pPr>
            <w:r w:rsidRPr="00D44449">
              <w:rPr>
                <w:rFonts w:asciiTheme="minorHAnsi" w:hAnsiTheme="minorHAnsi"/>
              </w:rPr>
              <w:t>The aim should be to use the lowest dose possible that achieves the appropriate clinical outcome for each patient.</w:t>
            </w:r>
          </w:p>
          <w:p w14:paraId="54BA470D" w14:textId="4EC9A451" w:rsidR="001A4BCD" w:rsidRPr="001D0AF3" w:rsidRDefault="00D44449" w:rsidP="00D44449">
            <w:pPr>
              <w:spacing w:before="120" w:after="120"/>
              <w:rPr>
                <w:rFonts w:asciiTheme="minorHAnsi" w:hAnsiTheme="minorHAnsi"/>
                <w:b/>
              </w:rPr>
            </w:pPr>
            <w:r w:rsidRPr="001D0AF3">
              <w:rPr>
                <w:rFonts w:asciiTheme="minorHAnsi" w:hAnsiTheme="minorHAnsi"/>
                <w:b/>
              </w:rPr>
              <w:t>Refer to the current product information sheet for further information</w:t>
            </w:r>
            <w:r w:rsidR="00AF5861" w:rsidRPr="001D0AF3">
              <w:rPr>
                <w:rFonts w:asciiTheme="minorHAnsi" w:hAnsiTheme="minorHAnsi"/>
                <w:b/>
              </w:rPr>
              <w:t xml:space="preserve"> on dose, administration and contraindication</w:t>
            </w:r>
            <w:r w:rsidR="00161D54" w:rsidRPr="001D0AF3">
              <w:rPr>
                <w:rFonts w:asciiTheme="minorHAnsi" w:hAnsiTheme="minorHAnsi"/>
                <w:b/>
              </w:rPr>
              <w:t>s</w:t>
            </w:r>
            <w:r w:rsidRPr="001D0AF3">
              <w:rPr>
                <w:rFonts w:asciiTheme="minorHAnsi" w:hAnsiTheme="minorHAnsi"/>
                <w:b/>
              </w:rPr>
              <w:t>.</w:t>
            </w:r>
          </w:p>
        </w:tc>
        <w:tc>
          <w:tcPr>
            <w:tcW w:w="4394" w:type="dxa"/>
          </w:tcPr>
          <w:p w14:paraId="094494F1" w14:textId="5ACFB2D3" w:rsidR="00021243" w:rsidRPr="00C92149" w:rsidRDefault="00101173" w:rsidP="001D0AF3">
            <w:pPr>
              <w:spacing w:before="120" w:after="120"/>
              <w:rPr>
                <w:rFonts w:asciiTheme="minorHAnsi" w:hAnsiTheme="minorHAnsi"/>
                <w:szCs w:val="20"/>
              </w:rPr>
            </w:pPr>
            <w:r>
              <w:rPr>
                <w:rFonts w:asciiTheme="minorHAnsi" w:hAnsiTheme="minorHAnsi"/>
                <w:szCs w:val="20"/>
              </w:rPr>
              <w:t>The dose</w:t>
            </w:r>
            <w:r w:rsidR="001A4BCD">
              <w:rPr>
                <w:rFonts w:asciiTheme="minorHAnsi" w:hAnsiTheme="minorHAnsi"/>
                <w:szCs w:val="20"/>
              </w:rPr>
              <w:t xml:space="preserve"> has been defined based on </w:t>
            </w:r>
            <w:r w:rsidR="001A4BCD">
              <w:rPr>
                <w:szCs w:val="20"/>
              </w:rPr>
              <w:t>Specialist Working Group consensus</w:t>
            </w:r>
            <w:r w:rsidR="008D79EE">
              <w:rPr>
                <w:szCs w:val="20"/>
              </w:rPr>
              <w:t xml:space="preserve"> and are consistent with the UK criteria supporting up to three doses, one month apart</w:t>
            </w:r>
            <w:r w:rsidR="008639F9">
              <w:rPr>
                <w:szCs w:val="20"/>
              </w:rPr>
              <w:t xml:space="preserve"> </w:t>
            </w:r>
            <w:r w:rsidR="008639F9" w:rsidRPr="00221046">
              <w:rPr>
                <w:rFonts w:asciiTheme="minorHAnsi" w:eastAsia="Times New Roman" w:hAnsiTheme="minorHAnsi" w:cs="Times New Roman"/>
                <w:bCs/>
                <w:lang w:eastAsia="en-AU"/>
              </w:rPr>
              <w:t>(</w:t>
            </w:r>
            <w:r w:rsidR="001D0AF3">
              <w:rPr>
                <w:rFonts w:asciiTheme="minorHAnsi" w:eastAsia="Times New Roman" w:hAnsiTheme="minorHAnsi" w:cs="Times New Roman"/>
                <w:color w:val="000000"/>
                <w:lang w:eastAsia="en-AU"/>
              </w:rPr>
              <w:t>UK Department of Health, 2011</w:t>
            </w:r>
            <w:r w:rsidR="008639F9" w:rsidRPr="00221046">
              <w:rPr>
                <w:rFonts w:asciiTheme="minorHAnsi" w:eastAsia="Times New Roman" w:hAnsiTheme="minorHAnsi" w:cs="Times New Roman"/>
                <w:color w:val="000000"/>
                <w:lang w:eastAsia="en-AU"/>
              </w:rPr>
              <w:t>)</w:t>
            </w:r>
            <w:r w:rsidR="001A4BCD">
              <w:rPr>
                <w:szCs w:val="20"/>
              </w:rPr>
              <w:t xml:space="preserve">.  </w:t>
            </w:r>
          </w:p>
        </w:tc>
      </w:tr>
    </w:tbl>
    <w:p w14:paraId="116462C4" w14:textId="77777777" w:rsidR="00447869" w:rsidRDefault="00447869" w:rsidP="00447869">
      <w:pPr>
        <w:spacing w:before="120" w:after="120"/>
        <w:rPr>
          <w:rFonts w:asciiTheme="minorHAnsi" w:hAnsiTheme="minorHAnsi"/>
        </w:rPr>
        <w:sectPr w:rsidR="00447869" w:rsidSect="00447869">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7F0EDF97" w14:textId="77777777" w:rsidTr="008612AB">
        <w:tc>
          <w:tcPr>
            <w:tcW w:w="14601" w:type="dxa"/>
            <w:shd w:val="clear" w:color="auto" w:fill="B8CCE4" w:themeFill="accent1" w:themeFillTint="66"/>
          </w:tcPr>
          <w:p w14:paraId="532DBA51" w14:textId="77777777"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14:paraId="1C518959" w14:textId="0CB31822" w:rsidR="00901F76" w:rsidRPr="00021243" w:rsidRDefault="00901F76">
            <w:pPr>
              <w:spacing w:before="120" w:after="120"/>
              <w:jc w:val="center"/>
              <w:rPr>
                <w:rFonts w:asciiTheme="minorHAnsi" w:hAnsiTheme="minorHAnsi"/>
                <w:b/>
              </w:rPr>
            </w:pPr>
            <w:r>
              <w:rPr>
                <w:rFonts w:asciiTheme="minorHAnsi" w:hAnsiTheme="minorHAnsi"/>
                <w:b/>
              </w:rPr>
              <w:t>(</w:t>
            </w:r>
            <w:r w:rsidR="00D7454E">
              <w:rPr>
                <w:rFonts w:asciiTheme="minorHAnsi" w:hAnsiTheme="minorHAnsi"/>
                <w:b/>
              </w:rPr>
              <w:t xml:space="preserve">most </w:t>
            </w:r>
            <w:r>
              <w:rPr>
                <w:rFonts w:asciiTheme="minorHAnsi" w:hAnsiTheme="minorHAnsi"/>
                <w:b/>
              </w:rPr>
              <w:t>recent update</w:t>
            </w:r>
            <w:r w:rsidR="00D7454E">
              <w:rPr>
                <w:rFonts w:asciiTheme="minorHAnsi" w:hAnsiTheme="minorHAnsi"/>
                <w:b/>
              </w:rPr>
              <w:t>:</w:t>
            </w:r>
            <w:r>
              <w:rPr>
                <w:rFonts w:asciiTheme="minorHAnsi" w:hAnsiTheme="minorHAnsi"/>
                <w:b/>
              </w:rPr>
              <w:t xml:space="preserve"> </w:t>
            </w:r>
            <w:r w:rsidR="00613EE1">
              <w:rPr>
                <w:rFonts w:asciiTheme="minorHAnsi" w:hAnsiTheme="minorHAnsi"/>
                <w:b/>
              </w:rPr>
              <w:t>May 2016</w:t>
            </w:r>
            <w:r>
              <w:rPr>
                <w:rFonts w:asciiTheme="minorHAnsi" w:hAnsiTheme="minorHAnsi"/>
                <w:b/>
              </w:rPr>
              <w:t>)</w:t>
            </w:r>
          </w:p>
        </w:tc>
      </w:tr>
      <w:tr w:rsidR="008612AB" w:rsidRPr="00255740" w14:paraId="5C31680F" w14:textId="77777777" w:rsidTr="008612AB">
        <w:tc>
          <w:tcPr>
            <w:tcW w:w="14601" w:type="dxa"/>
          </w:tcPr>
          <w:p w14:paraId="167EAA4A" w14:textId="5F45403C" w:rsidR="00DF3F25" w:rsidRDefault="00D44449" w:rsidP="00AF5861">
            <w:pPr>
              <w:spacing w:after="225" w:line="360" w:lineRule="atLeast"/>
              <w:ind w:left="100"/>
              <w:rPr>
                <w:rFonts w:asciiTheme="minorHAnsi" w:eastAsia="Times New Roman" w:hAnsiTheme="minorHAnsi" w:cs="Times New Roman"/>
                <w:color w:val="000000"/>
                <w:lang w:eastAsia="en-AU"/>
              </w:rPr>
            </w:pPr>
            <w:proofErr w:type="spellStart"/>
            <w:r w:rsidRPr="008639F9">
              <w:rPr>
                <w:rFonts w:asciiTheme="minorHAnsi" w:eastAsia="Times New Roman" w:hAnsiTheme="minorHAnsi" w:cs="Times New Roman"/>
                <w:color w:val="000000"/>
                <w:lang w:eastAsia="en-AU"/>
              </w:rPr>
              <w:t>Crabol</w:t>
            </w:r>
            <w:proofErr w:type="spellEnd"/>
            <w:r w:rsidR="008639F9" w:rsidRPr="008639F9">
              <w:rPr>
                <w:rFonts w:asciiTheme="minorHAnsi" w:eastAsia="Times New Roman" w:hAnsiTheme="minorHAnsi" w:cs="Times New Roman"/>
                <w:color w:val="000000"/>
                <w:lang w:eastAsia="en-AU"/>
              </w:rPr>
              <w:t xml:space="preserve"> Y</w:t>
            </w:r>
            <w:r w:rsidRPr="008639F9">
              <w:rPr>
                <w:rFonts w:asciiTheme="minorHAnsi" w:eastAsia="Times New Roman" w:hAnsiTheme="minorHAnsi" w:cs="Times New Roman"/>
                <w:color w:val="000000"/>
                <w:lang w:eastAsia="en-AU"/>
              </w:rPr>
              <w:t xml:space="preserve">, Terrier B, </w:t>
            </w:r>
            <w:proofErr w:type="spellStart"/>
            <w:r w:rsidRPr="008639F9">
              <w:rPr>
                <w:rFonts w:asciiTheme="minorHAnsi" w:eastAsia="Times New Roman" w:hAnsiTheme="minorHAnsi" w:cs="Times New Roman"/>
                <w:color w:val="000000"/>
                <w:lang w:eastAsia="en-AU"/>
              </w:rPr>
              <w:t>Rozenberg</w:t>
            </w:r>
            <w:proofErr w:type="spellEnd"/>
            <w:r w:rsidRPr="008639F9">
              <w:rPr>
                <w:rFonts w:asciiTheme="minorHAnsi" w:eastAsia="Times New Roman" w:hAnsiTheme="minorHAnsi" w:cs="Times New Roman"/>
                <w:color w:val="000000"/>
                <w:lang w:eastAsia="en-AU"/>
              </w:rPr>
              <w:t xml:space="preserve"> F, </w:t>
            </w:r>
            <w:proofErr w:type="spellStart"/>
            <w:r w:rsidRPr="008639F9">
              <w:rPr>
                <w:rFonts w:asciiTheme="minorHAnsi" w:eastAsia="Times New Roman" w:hAnsiTheme="minorHAnsi" w:cs="Times New Roman"/>
                <w:color w:val="000000"/>
                <w:lang w:eastAsia="en-AU"/>
              </w:rPr>
              <w:t>Pestre</w:t>
            </w:r>
            <w:proofErr w:type="spellEnd"/>
            <w:r w:rsidRPr="008639F9">
              <w:rPr>
                <w:rFonts w:asciiTheme="minorHAnsi" w:eastAsia="Times New Roman" w:hAnsiTheme="minorHAnsi" w:cs="Times New Roman"/>
                <w:color w:val="000000"/>
                <w:lang w:eastAsia="en-AU"/>
              </w:rPr>
              <w:t xml:space="preserve"> V, Legendre C, Hermine O</w:t>
            </w:r>
            <w:r w:rsidR="008639F9" w:rsidRPr="008639F9">
              <w:rPr>
                <w:rFonts w:asciiTheme="minorHAnsi" w:eastAsia="Times New Roman" w:hAnsiTheme="minorHAnsi" w:cs="Times New Roman"/>
                <w:color w:val="000000"/>
                <w:lang w:eastAsia="en-AU"/>
              </w:rPr>
              <w:t>, et al</w:t>
            </w:r>
            <w:r w:rsidRPr="008639F9">
              <w:rPr>
                <w:rFonts w:asciiTheme="minorHAnsi" w:eastAsia="Times New Roman" w:hAnsiTheme="minorHAnsi" w:cs="Times New Roman"/>
                <w:color w:val="000000"/>
                <w:lang w:eastAsia="en-AU"/>
              </w:rPr>
              <w:t xml:space="preserve"> </w:t>
            </w:r>
            <w:r w:rsidR="008639F9">
              <w:rPr>
                <w:rFonts w:asciiTheme="minorHAnsi" w:eastAsia="Times New Roman" w:hAnsiTheme="minorHAnsi" w:cs="Times New Roman"/>
                <w:color w:val="000000"/>
                <w:lang w:eastAsia="en-AU"/>
              </w:rPr>
              <w:t>(2013)</w:t>
            </w:r>
            <w:r w:rsidRPr="00AF5861">
              <w:rPr>
                <w:rFonts w:asciiTheme="minorHAnsi" w:eastAsia="Times New Roman" w:hAnsiTheme="minorHAnsi" w:cs="Times New Roman"/>
                <w:color w:val="000000"/>
                <w:lang w:eastAsia="en-AU"/>
              </w:rPr>
              <w:t xml:space="preserve"> Intravenous Immunoglobulin Therapy for Pure Red Cell Aplasia related to Human Parvovirus B19 infection: a retrospective study of 10 patients and review of the literature. </w:t>
            </w:r>
            <w:r w:rsidR="00BF6734" w:rsidRPr="00BF6734">
              <w:rPr>
                <w:rFonts w:asciiTheme="minorHAnsi" w:eastAsia="Times New Roman" w:hAnsiTheme="minorHAnsi" w:cs="Times New Roman"/>
                <w:i/>
                <w:color w:val="000000"/>
                <w:lang w:eastAsia="en-AU"/>
              </w:rPr>
              <w:t>Clinical Infectious Disease</w:t>
            </w:r>
            <w:r w:rsidR="00BF6734">
              <w:rPr>
                <w:rFonts w:asciiTheme="minorHAnsi" w:eastAsia="Times New Roman" w:hAnsiTheme="minorHAnsi" w:cs="Times New Roman"/>
                <w:i/>
                <w:color w:val="000000"/>
                <w:lang w:eastAsia="en-AU"/>
              </w:rPr>
              <w:t>s</w:t>
            </w:r>
            <w:r w:rsidR="00BF6734">
              <w:rPr>
                <w:rFonts w:asciiTheme="minorHAnsi" w:eastAsia="Times New Roman" w:hAnsiTheme="minorHAnsi" w:cs="Times New Roman"/>
                <w:color w:val="000000"/>
                <w:lang w:eastAsia="en-AU"/>
              </w:rPr>
              <w:t>,</w:t>
            </w:r>
            <w:r w:rsidR="008639F9">
              <w:rPr>
                <w:rFonts w:asciiTheme="minorHAnsi" w:eastAsia="Times New Roman" w:hAnsiTheme="minorHAnsi" w:cs="Times New Roman"/>
                <w:color w:val="000000"/>
                <w:lang w:eastAsia="en-AU"/>
              </w:rPr>
              <w:t xml:space="preserve"> 56:</w:t>
            </w:r>
            <w:r w:rsidRPr="00AF5861">
              <w:rPr>
                <w:rFonts w:asciiTheme="minorHAnsi" w:eastAsia="Times New Roman" w:hAnsiTheme="minorHAnsi" w:cs="Times New Roman"/>
                <w:color w:val="000000"/>
                <w:lang w:eastAsia="en-AU"/>
              </w:rPr>
              <w:t>968-77.</w:t>
            </w:r>
          </w:p>
          <w:p w14:paraId="32C1776E" w14:textId="2BD7A97B" w:rsidR="008639F9" w:rsidRPr="008639F9" w:rsidRDefault="00F53286" w:rsidP="00AF5861">
            <w:pPr>
              <w:spacing w:after="225" w:line="360" w:lineRule="atLeast"/>
              <w:ind w:left="100"/>
              <w:rPr>
                <w:rFonts w:asciiTheme="minorHAnsi" w:eastAsia="Times New Roman" w:hAnsiTheme="minorHAnsi" w:cs="Times New Roman"/>
                <w:color w:val="808080" w:themeColor="background1" w:themeShade="80"/>
                <w:lang w:eastAsia="en-AU"/>
              </w:rPr>
            </w:pPr>
            <w:hyperlink r:id="rId15" w:history="1">
              <w:r w:rsidR="008639F9" w:rsidRPr="008639F9">
                <w:rPr>
                  <w:rStyle w:val="Hyperlink"/>
                  <w:rFonts w:asciiTheme="minorHAnsi" w:eastAsia="Times New Roman" w:hAnsiTheme="minorHAnsi" w:cs="Times New Roman"/>
                  <w:color w:val="808080" w:themeColor="background1" w:themeShade="80"/>
                  <w:lang w:eastAsia="en-AU"/>
                </w:rPr>
                <w:t>https://www.ncbi.nlm.nih.gov/pubmed/23243178</w:t>
              </w:r>
            </w:hyperlink>
          </w:p>
          <w:p w14:paraId="1CEAEBAF" w14:textId="5CBC9B05" w:rsidR="00D44449" w:rsidRDefault="00D44449" w:rsidP="00AF5861">
            <w:pPr>
              <w:spacing w:after="225" w:line="360" w:lineRule="atLeast"/>
              <w:ind w:left="100"/>
              <w:rPr>
                <w:rFonts w:asciiTheme="minorHAnsi" w:eastAsia="Times New Roman" w:hAnsiTheme="minorHAnsi" w:cs="Times New Roman"/>
                <w:color w:val="000000"/>
                <w:lang w:eastAsia="en-AU"/>
              </w:rPr>
            </w:pPr>
            <w:proofErr w:type="spellStart"/>
            <w:r w:rsidRPr="00AF5861">
              <w:rPr>
                <w:rFonts w:asciiTheme="minorHAnsi" w:eastAsia="Times New Roman" w:hAnsiTheme="minorHAnsi" w:cs="Times New Roman"/>
                <w:color w:val="000000"/>
                <w:lang w:eastAsia="en-AU"/>
              </w:rPr>
              <w:t>Geetha</w:t>
            </w:r>
            <w:proofErr w:type="spellEnd"/>
            <w:r w:rsidRPr="00AF5861">
              <w:rPr>
                <w:rFonts w:asciiTheme="minorHAnsi" w:eastAsia="Times New Roman" w:hAnsiTheme="minorHAnsi" w:cs="Times New Roman"/>
                <w:color w:val="000000"/>
                <w:lang w:eastAsia="en-AU"/>
              </w:rPr>
              <w:t xml:space="preserve"> D, Zachary JB, </w:t>
            </w:r>
            <w:proofErr w:type="spellStart"/>
            <w:r w:rsidRPr="00AF5861">
              <w:rPr>
                <w:rFonts w:asciiTheme="minorHAnsi" w:eastAsia="Times New Roman" w:hAnsiTheme="minorHAnsi" w:cs="Times New Roman"/>
                <w:color w:val="000000"/>
                <w:lang w:eastAsia="en-AU"/>
              </w:rPr>
              <w:t>Baldo</w:t>
            </w:r>
            <w:proofErr w:type="spellEnd"/>
            <w:r w:rsidRPr="00AF5861">
              <w:rPr>
                <w:rFonts w:asciiTheme="minorHAnsi" w:eastAsia="Times New Roman" w:hAnsiTheme="minorHAnsi" w:cs="Times New Roman"/>
                <w:color w:val="000000"/>
                <w:lang w:eastAsia="en-AU"/>
              </w:rPr>
              <w:t xml:space="preserve"> HM, </w:t>
            </w:r>
            <w:proofErr w:type="spellStart"/>
            <w:r w:rsidRPr="00AF5861">
              <w:rPr>
                <w:rFonts w:asciiTheme="minorHAnsi" w:eastAsia="Times New Roman" w:hAnsiTheme="minorHAnsi" w:cs="Times New Roman"/>
                <w:color w:val="000000"/>
                <w:lang w:eastAsia="en-AU"/>
              </w:rPr>
              <w:t>Kronz</w:t>
            </w:r>
            <w:proofErr w:type="spellEnd"/>
            <w:r w:rsidRPr="00AF5861">
              <w:rPr>
                <w:rFonts w:asciiTheme="minorHAnsi" w:eastAsia="Times New Roman" w:hAnsiTheme="minorHAnsi" w:cs="Times New Roman"/>
                <w:color w:val="000000"/>
                <w:lang w:eastAsia="en-AU"/>
              </w:rPr>
              <w:t xml:space="preserve"> JD</w:t>
            </w:r>
            <w:r w:rsidR="00BF6734">
              <w:rPr>
                <w:rFonts w:asciiTheme="minorHAnsi" w:eastAsia="Times New Roman" w:hAnsiTheme="minorHAnsi" w:cs="Times New Roman"/>
                <w:color w:val="000000"/>
                <w:lang w:eastAsia="en-AU"/>
              </w:rPr>
              <w:t xml:space="preserve"> and</w:t>
            </w:r>
            <w:r w:rsidRPr="00AF5861">
              <w:rPr>
                <w:rFonts w:asciiTheme="minorHAnsi" w:eastAsia="Times New Roman" w:hAnsiTheme="minorHAnsi" w:cs="Times New Roman"/>
                <w:color w:val="000000"/>
                <w:lang w:eastAsia="en-AU"/>
              </w:rPr>
              <w:t xml:space="preserve"> Kraus</w:t>
            </w:r>
            <w:r w:rsidR="008639F9">
              <w:rPr>
                <w:rFonts w:asciiTheme="minorHAnsi" w:eastAsia="Times New Roman" w:hAnsiTheme="minorHAnsi" w:cs="Times New Roman"/>
                <w:color w:val="000000"/>
                <w:lang w:eastAsia="en-AU"/>
              </w:rPr>
              <w:t xml:space="preserve"> ES</w:t>
            </w:r>
            <w:r w:rsidRPr="00AF5861">
              <w:rPr>
                <w:rFonts w:asciiTheme="minorHAnsi" w:eastAsia="Times New Roman" w:hAnsiTheme="minorHAnsi" w:cs="Times New Roman"/>
                <w:color w:val="000000"/>
                <w:lang w:eastAsia="en-AU"/>
              </w:rPr>
              <w:t xml:space="preserve"> </w:t>
            </w:r>
            <w:r w:rsidR="00BF6734">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2000</w:t>
            </w:r>
            <w:r w:rsidR="008639F9">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Pure red cell aplasia caused by Parvovirus B19 infection in solid organ transplant recipients: a case report and review of literature. </w:t>
            </w:r>
            <w:r w:rsidRPr="00BF6734">
              <w:rPr>
                <w:rFonts w:asciiTheme="minorHAnsi" w:eastAsia="Times New Roman" w:hAnsiTheme="minorHAnsi" w:cs="Times New Roman"/>
                <w:i/>
                <w:color w:val="000000"/>
                <w:lang w:eastAsia="en-AU"/>
              </w:rPr>
              <w:t>Clin</w:t>
            </w:r>
            <w:r w:rsidR="00BF6734" w:rsidRPr="00BF6734">
              <w:rPr>
                <w:rFonts w:asciiTheme="minorHAnsi" w:eastAsia="Times New Roman" w:hAnsiTheme="minorHAnsi" w:cs="Times New Roman"/>
                <w:i/>
                <w:color w:val="000000"/>
                <w:lang w:eastAsia="en-AU"/>
              </w:rPr>
              <w:t>i</w:t>
            </w:r>
            <w:r w:rsidRPr="00BF6734">
              <w:rPr>
                <w:rFonts w:asciiTheme="minorHAnsi" w:eastAsia="Times New Roman" w:hAnsiTheme="minorHAnsi" w:cs="Times New Roman"/>
                <w:i/>
                <w:color w:val="000000"/>
                <w:lang w:eastAsia="en-AU"/>
              </w:rPr>
              <w:t>c</w:t>
            </w:r>
            <w:r w:rsidR="00BF6734" w:rsidRPr="00BF6734">
              <w:rPr>
                <w:rFonts w:asciiTheme="minorHAnsi" w:eastAsia="Times New Roman" w:hAnsiTheme="minorHAnsi" w:cs="Times New Roman"/>
                <w:i/>
                <w:color w:val="000000"/>
                <w:lang w:eastAsia="en-AU"/>
              </w:rPr>
              <w:t>al</w:t>
            </w:r>
            <w:r w:rsidRPr="00BF6734">
              <w:rPr>
                <w:rFonts w:asciiTheme="minorHAnsi" w:eastAsia="Times New Roman" w:hAnsiTheme="minorHAnsi" w:cs="Times New Roman"/>
                <w:i/>
                <w:color w:val="000000"/>
                <w:lang w:eastAsia="en-AU"/>
              </w:rPr>
              <w:t xml:space="preserve"> Transplant</w:t>
            </w:r>
            <w:r w:rsidR="00BF6734">
              <w:rPr>
                <w:rFonts w:asciiTheme="minorHAnsi" w:eastAsia="Times New Roman" w:hAnsiTheme="minorHAnsi" w:cs="Times New Roman"/>
                <w:color w:val="000000"/>
                <w:lang w:eastAsia="en-AU"/>
              </w:rPr>
              <w:t xml:space="preserve">, </w:t>
            </w:r>
            <w:r w:rsidR="008639F9">
              <w:rPr>
                <w:rFonts w:asciiTheme="minorHAnsi" w:eastAsia="Times New Roman" w:hAnsiTheme="minorHAnsi" w:cs="Times New Roman"/>
                <w:color w:val="000000"/>
                <w:lang w:eastAsia="en-AU"/>
              </w:rPr>
              <w:t>14:</w:t>
            </w:r>
            <w:r w:rsidRPr="00AF5861">
              <w:rPr>
                <w:rFonts w:asciiTheme="minorHAnsi" w:eastAsia="Times New Roman" w:hAnsiTheme="minorHAnsi" w:cs="Times New Roman"/>
                <w:color w:val="000000"/>
                <w:lang w:eastAsia="en-AU"/>
              </w:rPr>
              <w:t>586-91.</w:t>
            </w:r>
          </w:p>
          <w:p w14:paraId="626AADE8" w14:textId="3E3B0E85" w:rsidR="008639F9" w:rsidRPr="008639F9" w:rsidRDefault="00F53286" w:rsidP="00AF5861">
            <w:pPr>
              <w:spacing w:after="225" w:line="360" w:lineRule="atLeast"/>
              <w:ind w:left="100"/>
              <w:rPr>
                <w:rFonts w:asciiTheme="minorHAnsi" w:eastAsia="Times New Roman" w:hAnsiTheme="minorHAnsi" w:cs="Times New Roman"/>
                <w:color w:val="808080" w:themeColor="background1" w:themeShade="80"/>
                <w:lang w:eastAsia="en-AU"/>
              </w:rPr>
            </w:pPr>
            <w:hyperlink r:id="rId16" w:history="1">
              <w:r w:rsidR="008639F9" w:rsidRPr="008639F9">
                <w:rPr>
                  <w:rStyle w:val="Hyperlink"/>
                  <w:rFonts w:asciiTheme="minorHAnsi" w:eastAsia="Times New Roman" w:hAnsiTheme="minorHAnsi" w:cs="Times New Roman"/>
                  <w:color w:val="808080" w:themeColor="background1" w:themeShade="80"/>
                  <w:lang w:eastAsia="en-AU"/>
                </w:rPr>
                <w:t>https://www.ncbi.nlm.nih.gov/pubmed/11127313</w:t>
              </w:r>
            </w:hyperlink>
          </w:p>
          <w:p w14:paraId="7B606B38" w14:textId="17653E9C" w:rsidR="00D44449" w:rsidRDefault="00D44449" w:rsidP="00AF5861">
            <w:pPr>
              <w:spacing w:after="225" w:line="360" w:lineRule="atLeast"/>
              <w:ind w:left="100"/>
              <w:rPr>
                <w:rFonts w:asciiTheme="minorHAnsi" w:eastAsia="Times New Roman" w:hAnsiTheme="minorHAnsi" w:cs="Times New Roman"/>
                <w:color w:val="000000"/>
                <w:lang w:eastAsia="en-AU"/>
              </w:rPr>
            </w:pPr>
            <w:r w:rsidRPr="00AF5861">
              <w:rPr>
                <w:rFonts w:asciiTheme="minorHAnsi" w:eastAsia="Times New Roman" w:hAnsiTheme="minorHAnsi" w:cs="Times New Roman"/>
                <w:color w:val="000000"/>
                <w:lang w:eastAsia="en-AU"/>
              </w:rPr>
              <w:t xml:space="preserve">Kawano N, </w:t>
            </w:r>
            <w:proofErr w:type="spellStart"/>
            <w:r w:rsidRPr="00AF5861">
              <w:rPr>
                <w:rFonts w:asciiTheme="minorHAnsi" w:eastAsia="Times New Roman" w:hAnsiTheme="minorHAnsi" w:cs="Times New Roman"/>
                <w:color w:val="000000"/>
                <w:lang w:eastAsia="en-AU"/>
              </w:rPr>
              <w:t>Nagahiro</w:t>
            </w:r>
            <w:proofErr w:type="spellEnd"/>
            <w:r w:rsidRPr="00AF5861">
              <w:rPr>
                <w:rFonts w:asciiTheme="minorHAnsi" w:eastAsia="Times New Roman" w:hAnsiTheme="minorHAnsi" w:cs="Times New Roman"/>
                <w:color w:val="000000"/>
                <w:lang w:eastAsia="en-AU"/>
              </w:rPr>
              <w:t xml:space="preserve"> Y, Yoshida S, Yamashita K, Himeji D, Yokota-Ikeda N,</w:t>
            </w:r>
            <w:r w:rsidR="008639F9">
              <w:rPr>
                <w:rFonts w:asciiTheme="minorHAnsi" w:eastAsia="Times New Roman" w:hAnsiTheme="minorHAnsi" w:cs="Times New Roman"/>
                <w:color w:val="000000"/>
                <w:lang w:eastAsia="en-AU"/>
              </w:rPr>
              <w:t xml:space="preserve"> et al</w:t>
            </w:r>
            <w:r w:rsidRPr="00AF5861">
              <w:rPr>
                <w:rFonts w:asciiTheme="minorHAnsi" w:eastAsia="Times New Roman" w:hAnsiTheme="minorHAnsi" w:cs="Times New Roman"/>
                <w:color w:val="000000"/>
                <w:lang w:eastAsia="en-AU"/>
              </w:rPr>
              <w:t xml:space="preserve"> </w:t>
            </w:r>
            <w:r w:rsidR="00BF6734">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2013</w:t>
            </w:r>
            <w:r w:rsidR="008639F9">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Clinical characteristics and outcomes of 11 patients with pure red cell </w:t>
            </w:r>
            <w:r w:rsidRPr="00AF5861">
              <w:rPr>
                <w:rFonts w:asciiTheme="minorHAnsi" w:eastAsia="Times New Roman" w:hAnsiTheme="minorHAnsi" w:cs="Times New Roman"/>
                <w:color w:val="000000"/>
                <w:lang w:eastAsia="en-AU"/>
              </w:rPr>
              <w:lastRenderedPageBreak/>
              <w:t xml:space="preserve">aplasia at a single institution over a 13-year period. </w:t>
            </w:r>
            <w:r w:rsidR="00BF6734" w:rsidRPr="00BF6734">
              <w:rPr>
                <w:rFonts w:asciiTheme="minorHAnsi" w:eastAsia="Times New Roman" w:hAnsiTheme="minorHAnsi" w:cs="Times New Roman"/>
                <w:i/>
                <w:color w:val="000000"/>
                <w:lang w:eastAsia="en-AU"/>
              </w:rPr>
              <w:t>Interna</w:t>
            </w:r>
            <w:r w:rsidR="00BF6734">
              <w:rPr>
                <w:rFonts w:asciiTheme="minorHAnsi" w:eastAsia="Times New Roman" w:hAnsiTheme="minorHAnsi" w:cs="Times New Roman"/>
                <w:i/>
                <w:color w:val="000000"/>
                <w:lang w:eastAsia="en-AU"/>
              </w:rPr>
              <w:t xml:space="preserve">l </w:t>
            </w:r>
            <w:r w:rsidR="00BF6734" w:rsidRPr="00BF6734">
              <w:rPr>
                <w:rFonts w:asciiTheme="minorHAnsi" w:eastAsia="Times New Roman" w:hAnsiTheme="minorHAnsi" w:cs="Times New Roman"/>
                <w:i/>
                <w:color w:val="000000"/>
                <w:lang w:eastAsia="en-AU"/>
              </w:rPr>
              <w:t>Medicine</w:t>
            </w:r>
            <w:r w:rsidR="00BF6734">
              <w:rPr>
                <w:rFonts w:asciiTheme="minorHAnsi" w:eastAsia="Times New Roman" w:hAnsiTheme="minorHAnsi" w:cs="Times New Roman"/>
                <w:color w:val="000000"/>
                <w:lang w:eastAsia="en-AU"/>
              </w:rPr>
              <w:t xml:space="preserve">, </w:t>
            </w:r>
            <w:r w:rsidR="008639F9">
              <w:rPr>
                <w:rFonts w:asciiTheme="minorHAnsi" w:eastAsia="Times New Roman" w:hAnsiTheme="minorHAnsi" w:cs="Times New Roman"/>
                <w:color w:val="000000"/>
                <w:lang w:eastAsia="en-AU"/>
              </w:rPr>
              <w:t>52:</w:t>
            </w:r>
            <w:r w:rsidRPr="00AF5861">
              <w:rPr>
                <w:rFonts w:asciiTheme="minorHAnsi" w:eastAsia="Times New Roman" w:hAnsiTheme="minorHAnsi" w:cs="Times New Roman"/>
                <w:color w:val="000000"/>
                <w:lang w:eastAsia="en-AU"/>
              </w:rPr>
              <w:t>2025-30.</w:t>
            </w:r>
          </w:p>
          <w:p w14:paraId="4EB71473" w14:textId="352DBF81" w:rsidR="008639F9" w:rsidRPr="008639F9" w:rsidRDefault="00F53286" w:rsidP="00AF5861">
            <w:pPr>
              <w:spacing w:after="225" w:line="360" w:lineRule="atLeast"/>
              <w:ind w:left="100"/>
              <w:rPr>
                <w:rFonts w:asciiTheme="minorHAnsi" w:eastAsia="Times New Roman" w:hAnsiTheme="minorHAnsi" w:cs="Times New Roman"/>
                <w:color w:val="808080" w:themeColor="background1" w:themeShade="80"/>
                <w:lang w:eastAsia="en-AU"/>
              </w:rPr>
            </w:pPr>
            <w:hyperlink r:id="rId17" w:history="1">
              <w:r w:rsidR="008639F9" w:rsidRPr="008639F9">
                <w:rPr>
                  <w:rStyle w:val="Hyperlink"/>
                  <w:rFonts w:asciiTheme="minorHAnsi" w:eastAsia="Times New Roman" w:hAnsiTheme="minorHAnsi" w:cs="Times New Roman"/>
                  <w:color w:val="808080" w:themeColor="background1" w:themeShade="80"/>
                  <w:lang w:eastAsia="en-AU"/>
                </w:rPr>
                <w:t>https://www.ncbi.nlm.nih.gov/pubmed/24042508</w:t>
              </w:r>
            </w:hyperlink>
          </w:p>
          <w:p w14:paraId="13466748" w14:textId="7B1FE4D7" w:rsidR="004E3F0B" w:rsidRDefault="00D44449" w:rsidP="00CD71B0">
            <w:pPr>
              <w:spacing w:before="120" w:after="120"/>
              <w:ind w:left="100"/>
              <w:rPr>
                <w:rFonts w:asciiTheme="minorHAnsi" w:eastAsia="Times New Roman" w:hAnsiTheme="minorHAnsi" w:cs="Times New Roman"/>
                <w:color w:val="000000"/>
                <w:lang w:eastAsia="en-AU"/>
              </w:rPr>
            </w:pPr>
            <w:proofErr w:type="spellStart"/>
            <w:r w:rsidRPr="008639F9">
              <w:rPr>
                <w:rFonts w:asciiTheme="minorHAnsi" w:eastAsia="Times New Roman" w:hAnsiTheme="minorHAnsi" w:cs="Times New Roman"/>
                <w:color w:val="000000"/>
                <w:lang w:eastAsia="en-AU"/>
              </w:rPr>
              <w:t>Koda</w:t>
            </w:r>
            <w:proofErr w:type="spellEnd"/>
            <w:r w:rsidRPr="008639F9">
              <w:rPr>
                <w:rFonts w:asciiTheme="minorHAnsi" w:eastAsia="Times New Roman" w:hAnsiTheme="minorHAnsi" w:cs="Times New Roman"/>
                <w:color w:val="000000"/>
                <w:lang w:eastAsia="en-AU"/>
              </w:rPr>
              <w:t xml:space="preserve"> Y, Mori</w:t>
            </w:r>
            <w:r w:rsidR="008639F9" w:rsidRPr="008639F9">
              <w:rPr>
                <w:rFonts w:asciiTheme="minorHAnsi" w:eastAsia="Times New Roman" w:hAnsiTheme="minorHAnsi" w:cs="Times New Roman"/>
                <w:color w:val="000000"/>
                <w:lang w:eastAsia="en-AU"/>
              </w:rPr>
              <w:t xml:space="preserve"> T</w:t>
            </w:r>
            <w:r w:rsidRPr="008639F9">
              <w:rPr>
                <w:rFonts w:asciiTheme="minorHAnsi" w:eastAsia="Times New Roman" w:hAnsiTheme="minorHAnsi" w:cs="Times New Roman"/>
                <w:color w:val="000000"/>
                <w:lang w:eastAsia="en-AU"/>
              </w:rPr>
              <w:t xml:space="preserve">, Kato J, </w:t>
            </w:r>
            <w:proofErr w:type="spellStart"/>
            <w:r w:rsidRPr="008639F9">
              <w:rPr>
                <w:rFonts w:asciiTheme="minorHAnsi" w:eastAsia="Times New Roman" w:hAnsiTheme="minorHAnsi" w:cs="Times New Roman"/>
                <w:color w:val="000000"/>
                <w:lang w:eastAsia="en-AU"/>
              </w:rPr>
              <w:t>Kohashi</w:t>
            </w:r>
            <w:proofErr w:type="spellEnd"/>
            <w:r w:rsidRPr="008639F9">
              <w:rPr>
                <w:rFonts w:asciiTheme="minorHAnsi" w:eastAsia="Times New Roman" w:hAnsiTheme="minorHAnsi" w:cs="Times New Roman"/>
                <w:color w:val="000000"/>
                <w:lang w:eastAsia="en-AU"/>
              </w:rPr>
              <w:t xml:space="preserve"> S, Kikuchi Y, </w:t>
            </w:r>
            <w:proofErr w:type="spellStart"/>
            <w:r w:rsidRPr="008639F9">
              <w:rPr>
                <w:rFonts w:asciiTheme="minorHAnsi" w:eastAsia="Times New Roman" w:hAnsiTheme="minorHAnsi" w:cs="Times New Roman"/>
                <w:color w:val="000000"/>
                <w:lang w:eastAsia="en-AU"/>
              </w:rPr>
              <w:t>Mitsuhashi</w:t>
            </w:r>
            <w:proofErr w:type="spellEnd"/>
            <w:r w:rsidRPr="008639F9">
              <w:rPr>
                <w:rFonts w:asciiTheme="minorHAnsi" w:eastAsia="Times New Roman" w:hAnsiTheme="minorHAnsi" w:cs="Times New Roman"/>
                <w:color w:val="000000"/>
                <w:lang w:eastAsia="en-AU"/>
              </w:rPr>
              <w:t xml:space="preserve"> T, </w:t>
            </w:r>
            <w:r w:rsidR="008639F9" w:rsidRPr="008639F9">
              <w:rPr>
                <w:rFonts w:asciiTheme="minorHAnsi" w:eastAsia="Times New Roman" w:hAnsiTheme="minorHAnsi" w:cs="Times New Roman"/>
                <w:color w:val="000000"/>
                <w:lang w:eastAsia="en-AU"/>
              </w:rPr>
              <w:t xml:space="preserve">et al </w:t>
            </w:r>
            <w:r w:rsidR="00CD71B0" w:rsidRPr="008639F9">
              <w:rPr>
                <w:rFonts w:asciiTheme="minorHAnsi" w:eastAsia="Times New Roman" w:hAnsiTheme="minorHAnsi" w:cs="Times New Roman"/>
                <w:color w:val="000000"/>
                <w:lang w:eastAsia="en-AU"/>
              </w:rPr>
              <w:t>(</w:t>
            </w:r>
            <w:r w:rsidRPr="008639F9">
              <w:rPr>
                <w:rFonts w:asciiTheme="minorHAnsi" w:eastAsia="Times New Roman" w:hAnsiTheme="minorHAnsi" w:cs="Times New Roman"/>
                <w:color w:val="000000"/>
                <w:lang w:eastAsia="en-AU"/>
              </w:rPr>
              <w:t>2013</w:t>
            </w:r>
            <w:r w:rsidR="008639F9" w:rsidRPr="008639F9">
              <w:rPr>
                <w:rFonts w:asciiTheme="minorHAnsi" w:eastAsia="Times New Roman" w:hAnsiTheme="minorHAnsi" w:cs="Times New Roman"/>
                <w:color w:val="000000"/>
                <w:lang w:eastAsia="en-AU"/>
              </w:rPr>
              <w:t>)</w:t>
            </w:r>
            <w:r w:rsidRPr="008639F9">
              <w:rPr>
                <w:rFonts w:asciiTheme="minorHAnsi" w:eastAsia="Times New Roman" w:hAnsiTheme="minorHAnsi" w:cs="Times New Roman"/>
                <w:color w:val="000000"/>
                <w:lang w:eastAsia="en-AU"/>
              </w:rPr>
              <w:t xml:space="preserve"> </w:t>
            </w:r>
            <w:r w:rsidRPr="00AF5861">
              <w:rPr>
                <w:rFonts w:asciiTheme="minorHAnsi" w:eastAsia="Times New Roman" w:hAnsiTheme="minorHAnsi" w:cs="Times New Roman"/>
                <w:color w:val="000000"/>
                <w:lang w:eastAsia="en-AU"/>
              </w:rPr>
              <w:t xml:space="preserve">Persistent parvovirus B19 infection resulting in red cell aplasia after allogeneic hematopoietic stem cell transplantation. </w:t>
            </w:r>
            <w:r w:rsidR="00CD71B0" w:rsidRPr="00CD71B0">
              <w:rPr>
                <w:rFonts w:asciiTheme="minorHAnsi" w:eastAsia="Times New Roman" w:hAnsiTheme="minorHAnsi" w:cs="Times New Roman"/>
                <w:i/>
                <w:color w:val="000000"/>
                <w:lang w:eastAsia="en-AU"/>
              </w:rPr>
              <w:t>Transplant Infectious Disease</w:t>
            </w:r>
            <w:r w:rsidR="00CD71B0">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15</w:t>
            </w:r>
            <w:r w:rsidR="008639F9">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239-42.</w:t>
            </w:r>
          </w:p>
          <w:p w14:paraId="5152CEDE" w14:textId="4E5C5DE1" w:rsidR="008639F9" w:rsidRPr="008639F9" w:rsidRDefault="00F53286" w:rsidP="00CD71B0">
            <w:pPr>
              <w:spacing w:before="120" w:after="120"/>
              <w:ind w:left="100"/>
              <w:rPr>
                <w:rFonts w:asciiTheme="minorHAnsi" w:eastAsia="Times New Roman" w:hAnsiTheme="minorHAnsi" w:cs="Times New Roman"/>
                <w:color w:val="808080" w:themeColor="background1" w:themeShade="80"/>
                <w:lang w:eastAsia="en-AU"/>
              </w:rPr>
            </w:pPr>
            <w:hyperlink r:id="rId18" w:history="1">
              <w:r w:rsidR="008639F9" w:rsidRPr="008639F9">
                <w:rPr>
                  <w:rStyle w:val="Hyperlink"/>
                  <w:rFonts w:asciiTheme="minorHAnsi" w:eastAsia="Times New Roman" w:hAnsiTheme="minorHAnsi" w:cs="Times New Roman"/>
                  <w:color w:val="808080" w:themeColor="background1" w:themeShade="80"/>
                  <w:lang w:eastAsia="en-AU"/>
                </w:rPr>
                <w:t>https://www.ncbi.nlm.nih.gov/pubmed/24134728</w:t>
              </w:r>
            </w:hyperlink>
          </w:p>
          <w:p w14:paraId="6008B7B6" w14:textId="3149364F" w:rsidR="00DF3F25" w:rsidRDefault="00DF3F25" w:rsidP="00DF3F25">
            <w:pPr>
              <w:spacing w:after="225" w:line="360" w:lineRule="atLeast"/>
              <w:ind w:left="100"/>
              <w:rPr>
                <w:rFonts w:asciiTheme="minorHAnsi" w:eastAsia="Times New Roman" w:hAnsiTheme="minorHAnsi" w:cs="Times New Roman"/>
                <w:color w:val="000000"/>
                <w:lang w:eastAsia="en-AU"/>
              </w:rPr>
            </w:pPr>
            <w:proofErr w:type="spellStart"/>
            <w:r w:rsidRPr="00AF5861">
              <w:rPr>
                <w:rFonts w:asciiTheme="minorHAnsi" w:eastAsia="Times New Roman" w:hAnsiTheme="minorHAnsi" w:cs="Times New Roman"/>
                <w:color w:val="000000"/>
                <w:lang w:eastAsia="en-AU"/>
              </w:rPr>
              <w:t>Koduri</w:t>
            </w:r>
            <w:proofErr w:type="spellEnd"/>
            <w:r w:rsidRPr="00AF5861">
              <w:rPr>
                <w:rFonts w:asciiTheme="minorHAnsi" w:eastAsia="Times New Roman" w:hAnsiTheme="minorHAnsi" w:cs="Times New Roman"/>
                <w:color w:val="000000"/>
                <w:lang w:eastAsia="en-AU"/>
              </w:rPr>
              <w:t xml:space="preserve"> PR, </w:t>
            </w:r>
            <w:proofErr w:type="spellStart"/>
            <w:r w:rsidRPr="00AF5861">
              <w:rPr>
                <w:rFonts w:asciiTheme="minorHAnsi" w:eastAsia="Times New Roman" w:hAnsiTheme="minorHAnsi" w:cs="Times New Roman"/>
                <w:color w:val="000000"/>
                <w:lang w:eastAsia="en-AU"/>
              </w:rPr>
              <w:t>Kumapley</w:t>
            </w:r>
            <w:proofErr w:type="spellEnd"/>
            <w:r w:rsidRPr="00AF5861">
              <w:rPr>
                <w:rFonts w:asciiTheme="minorHAnsi" w:eastAsia="Times New Roman" w:hAnsiTheme="minorHAnsi" w:cs="Times New Roman"/>
                <w:color w:val="000000"/>
                <w:lang w:eastAsia="en-AU"/>
              </w:rPr>
              <w:t xml:space="preserve"> R, </w:t>
            </w:r>
            <w:proofErr w:type="spellStart"/>
            <w:r w:rsidRPr="00AF5861">
              <w:rPr>
                <w:rFonts w:asciiTheme="minorHAnsi" w:eastAsia="Times New Roman" w:hAnsiTheme="minorHAnsi" w:cs="Times New Roman"/>
                <w:color w:val="000000"/>
                <w:lang w:eastAsia="en-AU"/>
              </w:rPr>
              <w:t>Valladares</w:t>
            </w:r>
            <w:proofErr w:type="spellEnd"/>
            <w:r w:rsidRPr="00AF5861">
              <w:rPr>
                <w:rFonts w:asciiTheme="minorHAnsi" w:eastAsia="Times New Roman" w:hAnsiTheme="minorHAnsi" w:cs="Times New Roman"/>
                <w:color w:val="000000"/>
                <w:lang w:eastAsia="en-AU"/>
              </w:rPr>
              <w:t xml:space="preserve"> J </w:t>
            </w:r>
            <w:r>
              <w:rPr>
                <w:rFonts w:asciiTheme="minorHAnsi" w:eastAsia="Times New Roman" w:hAnsiTheme="minorHAnsi" w:cs="Times New Roman"/>
                <w:color w:val="000000"/>
                <w:lang w:eastAsia="en-AU"/>
              </w:rPr>
              <w:t xml:space="preserve">and </w:t>
            </w:r>
            <w:proofErr w:type="spellStart"/>
            <w:r w:rsidRPr="00AF5861">
              <w:rPr>
                <w:rFonts w:asciiTheme="minorHAnsi" w:eastAsia="Times New Roman" w:hAnsiTheme="minorHAnsi" w:cs="Times New Roman"/>
                <w:color w:val="000000"/>
                <w:lang w:eastAsia="en-AU"/>
              </w:rPr>
              <w:t>Teter</w:t>
            </w:r>
            <w:proofErr w:type="spellEnd"/>
            <w:r w:rsidR="008639F9">
              <w:rPr>
                <w:rFonts w:asciiTheme="minorHAnsi" w:eastAsia="Times New Roman" w:hAnsiTheme="minorHAnsi" w:cs="Times New Roman"/>
                <w:color w:val="000000"/>
                <w:lang w:eastAsia="en-AU"/>
              </w:rPr>
              <w:t xml:space="preserve"> C</w:t>
            </w:r>
            <w:r w:rsidRPr="00AF5861">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1999</w:t>
            </w:r>
            <w:r w:rsidR="008639F9">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Chronic pure red cell aplasia caused by parvovirus B19 in AIDS: use of intravenous immunoglobulin- a report of eight patients. </w:t>
            </w:r>
            <w:r w:rsidRPr="008639F9">
              <w:rPr>
                <w:rFonts w:asciiTheme="minorHAnsi" w:eastAsia="Times New Roman" w:hAnsiTheme="minorHAnsi" w:cs="Times New Roman"/>
                <w:i/>
                <w:color w:val="000000"/>
                <w:lang w:eastAsia="en-AU"/>
              </w:rPr>
              <w:t xml:space="preserve">American Journal of </w:t>
            </w:r>
            <w:proofErr w:type="spellStart"/>
            <w:r w:rsidRPr="008639F9">
              <w:rPr>
                <w:rFonts w:asciiTheme="minorHAnsi" w:eastAsia="Times New Roman" w:hAnsiTheme="minorHAnsi" w:cs="Times New Roman"/>
                <w:i/>
                <w:color w:val="000000"/>
                <w:lang w:eastAsia="en-AU"/>
              </w:rPr>
              <w:t>Hematology</w:t>
            </w:r>
            <w:proofErr w:type="spellEnd"/>
            <w:r>
              <w:rPr>
                <w:rFonts w:asciiTheme="minorHAnsi" w:eastAsia="Times New Roman" w:hAnsiTheme="minorHAnsi" w:cs="Times New Roman"/>
                <w:color w:val="000000"/>
                <w:lang w:eastAsia="en-AU"/>
              </w:rPr>
              <w:t xml:space="preserve">, </w:t>
            </w:r>
            <w:r w:rsidR="008639F9">
              <w:rPr>
                <w:rFonts w:asciiTheme="minorHAnsi" w:eastAsia="Times New Roman" w:hAnsiTheme="minorHAnsi" w:cs="Times New Roman"/>
                <w:color w:val="000000"/>
                <w:lang w:eastAsia="en-AU"/>
              </w:rPr>
              <w:t>61:</w:t>
            </w:r>
            <w:r w:rsidRPr="00AF5861">
              <w:rPr>
                <w:rFonts w:asciiTheme="minorHAnsi" w:eastAsia="Times New Roman" w:hAnsiTheme="minorHAnsi" w:cs="Times New Roman"/>
                <w:color w:val="000000"/>
                <w:lang w:eastAsia="en-AU"/>
              </w:rPr>
              <w:t>16-20.</w:t>
            </w:r>
          </w:p>
          <w:p w14:paraId="4836CF73" w14:textId="1559F9C4" w:rsidR="008639F9" w:rsidRPr="008639F9" w:rsidRDefault="00F53286" w:rsidP="00DF3F25">
            <w:pPr>
              <w:spacing w:after="225" w:line="360" w:lineRule="atLeast"/>
              <w:ind w:left="100"/>
              <w:rPr>
                <w:rFonts w:asciiTheme="minorHAnsi" w:eastAsia="Times New Roman" w:hAnsiTheme="minorHAnsi" w:cs="Times New Roman"/>
                <w:color w:val="808080" w:themeColor="background1" w:themeShade="80"/>
                <w:lang w:eastAsia="en-AU"/>
              </w:rPr>
            </w:pPr>
            <w:hyperlink r:id="rId19" w:history="1">
              <w:r w:rsidR="008639F9" w:rsidRPr="008639F9">
                <w:rPr>
                  <w:rStyle w:val="Hyperlink"/>
                  <w:rFonts w:asciiTheme="minorHAnsi" w:eastAsia="Times New Roman" w:hAnsiTheme="minorHAnsi" w:cs="Times New Roman"/>
                  <w:color w:val="808080" w:themeColor="background1" w:themeShade="80"/>
                  <w:lang w:eastAsia="en-AU"/>
                </w:rPr>
                <w:t>https://www.ncbi.nlm.nih.gov/pubmed/10331506</w:t>
              </w:r>
            </w:hyperlink>
          </w:p>
          <w:p w14:paraId="2CE95380" w14:textId="46C0602F" w:rsidR="00DF3F25" w:rsidRDefault="00DF3F25" w:rsidP="00DF3F25">
            <w:pPr>
              <w:spacing w:after="225" w:line="360" w:lineRule="atLeast"/>
              <w:ind w:left="100"/>
              <w:rPr>
                <w:rFonts w:asciiTheme="minorHAnsi" w:eastAsia="Times New Roman" w:hAnsiTheme="minorHAnsi" w:cs="Times New Roman"/>
                <w:color w:val="000000"/>
                <w:lang w:eastAsia="en-AU"/>
              </w:rPr>
            </w:pPr>
            <w:proofErr w:type="spellStart"/>
            <w:r w:rsidRPr="00AF5861">
              <w:rPr>
                <w:rFonts w:asciiTheme="minorHAnsi" w:eastAsia="Times New Roman" w:hAnsiTheme="minorHAnsi" w:cs="Times New Roman"/>
                <w:color w:val="000000"/>
                <w:lang w:eastAsia="en-AU"/>
              </w:rPr>
              <w:t>Lejeune</w:t>
            </w:r>
            <w:proofErr w:type="spellEnd"/>
            <w:r w:rsidRPr="00AF5861">
              <w:rPr>
                <w:rFonts w:asciiTheme="minorHAnsi" w:eastAsia="Times New Roman" w:hAnsiTheme="minorHAnsi" w:cs="Times New Roman"/>
                <w:color w:val="000000"/>
                <w:lang w:eastAsia="en-AU"/>
              </w:rPr>
              <w:t xml:space="preserve"> A, Cremer M, von </w:t>
            </w:r>
            <w:proofErr w:type="spellStart"/>
            <w:r w:rsidRPr="00AF5861">
              <w:rPr>
                <w:rFonts w:asciiTheme="minorHAnsi" w:eastAsia="Times New Roman" w:hAnsiTheme="minorHAnsi" w:cs="Times New Roman"/>
                <w:color w:val="000000"/>
                <w:lang w:eastAsia="en-AU"/>
              </w:rPr>
              <w:t>Bernuth</w:t>
            </w:r>
            <w:proofErr w:type="spellEnd"/>
            <w:r w:rsidRPr="00AF5861">
              <w:rPr>
                <w:rFonts w:asciiTheme="minorHAnsi" w:eastAsia="Times New Roman" w:hAnsiTheme="minorHAnsi" w:cs="Times New Roman"/>
                <w:color w:val="000000"/>
                <w:lang w:eastAsia="en-AU"/>
              </w:rPr>
              <w:t xml:space="preserve"> H, </w:t>
            </w:r>
            <w:proofErr w:type="spellStart"/>
            <w:r w:rsidRPr="00AF5861">
              <w:rPr>
                <w:rFonts w:asciiTheme="minorHAnsi" w:eastAsia="Times New Roman" w:hAnsiTheme="minorHAnsi" w:cs="Times New Roman"/>
                <w:color w:val="000000"/>
                <w:lang w:eastAsia="en-AU"/>
              </w:rPr>
              <w:t>Edelmann</w:t>
            </w:r>
            <w:proofErr w:type="spellEnd"/>
            <w:r w:rsidRPr="00AF5861">
              <w:rPr>
                <w:rFonts w:asciiTheme="minorHAnsi" w:eastAsia="Times New Roman" w:hAnsiTheme="minorHAnsi" w:cs="Times New Roman"/>
                <w:color w:val="000000"/>
                <w:lang w:eastAsia="en-AU"/>
              </w:rPr>
              <w:t xml:space="preserve"> A, </w:t>
            </w:r>
            <w:proofErr w:type="spellStart"/>
            <w:r w:rsidRPr="00AF5861">
              <w:rPr>
                <w:rFonts w:asciiTheme="minorHAnsi" w:eastAsia="Times New Roman" w:hAnsiTheme="minorHAnsi" w:cs="Times New Roman"/>
                <w:color w:val="000000"/>
                <w:lang w:eastAsia="en-AU"/>
              </w:rPr>
              <w:t>Modrow</w:t>
            </w:r>
            <w:proofErr w:type="spellEnd"/>
            <w:r w:rsidRPr="00AF5861">
              <w:rPr>
                <w:rFonts w:asciiTheme="minorHAnsi" w:eastAsia="Times New Roman" w:hAnsiTheme="minorHAnsi" w:cs="Times New Roman"/>
                <w:color w:val="000000"/>
                <w:lang w:eastAsia="en-AU"/>
              </w:rPr>
              <w:t xml:space="preserve"> S, </w:t>
            </w:r>
            <w:proofErr w:type="spellStart"/>
            <w:r w:rsidRPr="00AF5861">
              <w:rPr>
                <w:rFonts w:asciiTheme="minorHAnsi" w:eastAsia="Times New Roman" w:hAnsiTheme="minorHAnsi" w:cs="Times New Roman"/>
                <w:color w:val="000000"/>
                <w:lang w:eastAsia="en-AU"/>
              </w:rPr>
              <w:t>Buhrer</w:t>
            </w:r>
            <w:proofErr w:type="spellEnd"/>
            <w:r w:rsidR="00FF2095">
              <w:rPr>
                <w:rFonts w:asciiTheme="minorHAnsi" w:eastAsia="Times New Roman" w:hAnsiTheme="minorHAnsi" w:cs="Times New Roman"/>
                <w:color w:val="000000"/>
                <w:lang w:eastAsia="en-AU"/>
              </w:rPr>
              <w:t xml:space="preserve"> C</w:t>
            </w:r>
            <w:r w:rsidRPr="00AF5861">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2014</w:t>
            </w:r>
            <w:r w:rsidR="00FF2095">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Persistent pure red cell aplasia in dizygotic twins with persistent congenital parvovirus B19 infection- remission following high dose intravenous immunoglobulin. </w:t>
            </w:r>
            <w:r w:rsidRPr="008639F9">
              <w:rPr>
                <w:rFonts w:asciiTheme="minorHAnsi" w:eastAsia="Times New Roman" w:hAnsiTheme="minorHAnsi" w:cs="Times New Roman"/>
                <w:i/>
                <w:color w:val="000000"/>
                <w:lang w:eastAsia="en-AU"/>
              </w:rPr>
              <w:t xml:space="preserve">European Journal of </w:t>
            </w:r>
            <w:proofErr w:type="spellStart"/>
            <w:r w:rsidRPr="008639F9">
              <w:rPr>
                <w:rFonts w:asciiTheme="minorHAnsi" w:eastAsia="Times New Roman" w:hAnsiTheme="minorHAnsi" w:cs="Times New Roman"/>
                <w:i/>
                <w:color w:val="000000"/>
                <w:lang w:eastAsia="en-AU"/>
              </w:rPr>
              <w:t>Pediatrics</w:t>
            </w:r>
            <w:proofErr w:type="spellEnd"/>
            <w:r w:rsidR="00FF2095">
              <w:rPr>
                <w:rFonts w:asciiTheme="minorHAnsi" w:eastAsia="Times New Roman" w:hAnsiTheme="minorHAnsi" w:cs="Times New Roman"/>
                <w:color w:val="000000"/>
                <w:lang w:eastAsia="en-AU"/>
              </w:rPr>
              <w:t>, 173:</w:t>
            </w:r>
            <w:r w:rsidRPr="008639F9">
              <w:rPr>
                <w:rFonts w:asciiTheme="minorHAnsi" w:eastAsia="Times New Roman" w:hAnsiTheme="minorHAnsi" w:cs="Times New Roman"/>
                <w:color w:val="000000"/>
                <w:lang w:eastAsia="en-AU"/>
              </w:rPr>
              <w:t>1723-6.</w:t>
            </w:r>
          </w:p>
          <w:p w14:paraId="7EE290B8" w14:textId="1B6E86FF" w:rsidR="00FF2095" w:rsidRPr="00FF2095" w:rsidRDefault="00F53286" w:rsidP="00DF3F25">
            <w:pPr>
              <w:spacing w:after="225" w:line="360" w:lineRule="atLeast"/>
              <w:ind w:left="100"/>
              <w:rPr>
                <w:rFonts w:asciiTheme="minorHAnsi" w:eastAsia="Times New Roman" w:hAnsiTheme="minorHAnsi" w:cs="Times New Roman"/>
                <w:color w:val="808080" w:themeColor="background1" w:themeShade="80"/>
                <w:lang w:eastAsia="en-AU"/>
              </w:rPr>
            </w:pPr>
            <w:hyperlink r:id="rId20" w:history="1">
              <w:r w:rsidR="00FF2095" w:rsidRPr="00FF2095">
                <w:rPr>
                  <w:rStyle w:val="Hyperlink"/>
                  <w:rFonts w:asciiTheme="minorHAnsi" w:eastAsia="Times New Roman" w:hAnsiTheme="minorHAnsi" w:cs="Times New Roman"/>
                  <w:color w:val="808080" w:themeColor="background1" w:themeShade="80"/>
                  <w:lang w:eastAsia="en-AU"/>
                </w:rPr>
                <w:t>http://link.springer.com/article/10.1007/s00431-014-2420-5</w:t>
              </w:r>
            </w:hyperlink>
          </w:p>
          <w:p w14:paraId="3C49CF6D" w14:textId="2B27DEB0" w:rsidR="00DF3F25" w:rsidRPr="00161D54" w:rsidRDefault="00DF3F25" w:rsidP="00DF3F25">
            <w:pPr>
              <w:spacing w:after="225" w:line="360" w:lineRule="atLeast"/>
              <w:ind w:left="100"/>
              <w:rPr>
                <w:rFonts w:asciiTheme="minorHAnsi" w:eastAsia="Times New Roman" w:hAnsiTheme="minorHAnsi" w:cs="Times New Roman"/>
                <w:color w:val="000000"/>
                <w:lang w:eastAsia="en-AU"/>
              </w:rPr>
            </w:pPr>
            <w:proofErr w:type="spellStart"/>
            <w:r w:rsidRPr="00AF5861">
              <w:rPr>
                <w:rFonts w:asciiTheme="minorHAnsi" w:eastAsia="Times New Roman" w:hAnsiTheme="minorHAnsi" w:cs="Times New Roman"/>
                <w:color w:val="000000"/>
                <w:lang w:eastAsia="en-AU"/>
              </w:rPr>
              <w:t>Mouthon</w:t>
            </w:r>
            <w:proofErr w:type="spellEnd"/>
            <w:r w:rsidRPr="00AF5861">
              <w:rPr>
                <w:rFonts w:asciiTheme="minorHAnsi" w:eastAsia="Times New Roman" w:hAnsiTheme="minorHAnsi" w:cs="Times New Roman"/>
                <w:color w:val="000000"/>
                <w:lang w:eastAsia="en-AU"/>
              </w:rPr>
              <w:t xml:space="preserve"> L, Guillevin L</w:t>
            </w:r>
            <w:r>
              <w:rPr>
                <w:rFonts w:asciiTheme="minorHAnsi" w:eastAsia="Times New Roman" w:hAnsiTheme="minorHAnsi" w:cs="Times New Roman"/>
                <w:color w:val="000000"/>
                <w:lang w:eastAsia="en-AU"/>
              </w:rPr>
              <w:t xml:space="preserve"> and</w:t>
            </w:r>
            <w:r w:rsidRPr="00AF5861">
              <w:rPr>
                <w:rFonts w:asciiTheme="minorHAnsi" w:eastAsia="Times New Roman" w:hAnsiTheme="minorHAnsi" w:cs="Times New Roman"/>
                <w:color w:val="000000"/>
                <w:lang w:eastAsia="en-AU"/>
              </w:rPr>
              <w:t xml:space="preserve"> </w:t>
            </w:r>
            <w:proofErr w:type="spellStart"/>
            <w:r w:rsidRPr="00AF5861">
              <w:rPr>
                <w:rFonts w:asciiTheme="minorHAnsi" w:eastAsia="Times New Roman" w:hAnsiTheme="minorHAnsi" w:cs="Times New Roman"/>
                <w:color w:val="000000"/>
                <w:lang w:eastAsia="en-AU"/>
              </w:rPr>
              <w:t>Tellier</w:t>
            </w:r>
            <w:proofErr w:type="spellEnd"/>
            <w:r w:rsidR="00FF2095">
              <w:rPr>
                <w:rFonts w:asciiTheme="minorHAnsi" w:eastAsia="Times New Roman" w:hAnsiTheme="minorHAnsi" w:cs="Times New Roman"/>
                <w:color w:val="000000"/>
                <w:lang w:eastAsia="en-AU"/>
              </w:rPr>
              <w:t xml:space="preserve"> Z</w:t>
            </w:r>
            <w:r w:rsidRPr="00AF5861">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2005</w:t>
            </w:r>
            <w:r w:rsidR="00FF2095">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Intravenous immunoglobulins in autoimmune or parvovirus B19 mediated pure red cell aplasia. </w:t>
            </w:r>
            <w:r w:rsidRPr="00161D54">
              <w:rPr>
                <w:rFonts w:asciiTheme="minorHAnsi" w:eastAsia="Times New Roman" w:hAnsiTheme="minorHAnsi" w:cs="Times New Roman"/>
                <w:i/>
                <w:color w:val="000000"/>
                <w:lang w:eastAsia="en-AU"/>
              </w:rPr>
              <w:t>Autoimmunity Reviews</w:t>
            </w:r>
            <w:r w:rsidRPr="00161D54">
              <w:rPr>
                <w:rFonts w:asciiTheme="minorHAnsi" w:eastAsia="Times New Roman" w:hAnsiTheme="minorHAnsi" w:cs="Times New Roman"/>
                <w:color w:val="000000"/>
                <w:lang w:eastAsia="en-AU"/>
              </w:rPr>
              <w:t>,</w:t>
            </w:r>
            <w:r w:rsidR="00FF2095" w:rsidRPr="00161D54">
              <w:rPr>
                <w:rFonts w:asciiTheme="minorHAnsi" w:eastAsia="Times New Roman" w:hAnsiTheme="minorHAnsi" w:cs="Times New Roman"/>
                <w:color w:val="000000"/>
                <w:lang w:eastAsia="en-AU"/>
              </w:rPr>
              <w:t xml:space="preserve"> </w:t>
            </w:r>
            <w:proofErr w:type="gramStart"/>
            <w:r w:rsidR="00FF2095" w:rsidRPr="00161D54">
              <w:rPr>
                <w:rFonts w:asciiTheme="minorHAnsi" w:eastAsia="Times New Roman" w:hAnsiTheme="minorHAnsi" w:cs="Times New Roman"/>
                <w:color w:val="000000"/>
                <w:lang w:eastAsia="en-AU"/>
              </w:rPr>
              <w:t>4 :</w:t>
            </w:r>
            <w:proofErr w:type="gramEnd"/>
            <w:r w:rsidRPr="00161D54">
              <w:rPr>
                <w:rFonts w:asciiTheme="minorHAnsi" w:eastAsia="Times New Roman" w:hAnsiTheme="minorHAnsi" w:cs="Times New Roman"/>
                <w:color w:val="000000"/>
                <w:lang w:eastAsia="en-AU"/>
              </w:rPr>
              <w:t>264-9.</w:t>
            </w:r>
          </w:p>
          <w:p w14:paraId="0B7E5921" w14:textId="636B77F9" w:rsidR="00FF2095" w:rsidRPr="00161D54" w:rsidRDefault="00F53286" w:rsidP="00DF3F25">
            <w:pPr>
              <w:spacing w:after="225" w:line="360" w:lineRule="atLeast"/>
              <w:ind w:left="100"/>
              <w:rPr>
                <w:rFonts w:asciiTheme="minorHAnsi" w:eastAsia="Times New Roman" w:hAnsiTheme="minorHAnsi" w:cs="Times New Roman"/>
                <w:color w:val="808080" w:themeColor="background1" w:themeShade="80"/>
                <w:lang w:eastAsia="en-AU"/>
              </w:rPr>
            </w:pPr>
            <w:hyperlink r:id="rId21" w:history="1">
              <w:r w:rsidR="00FF2095" w:rsidRPr="00161D54">
                <w:rPr>
                  <w:rStyle w:val="Hyperlink"/>
                  <w:rFonts w:asciiTheme="minorHAnsi" w:eastAsia="Times New Roman" w:hAnsiTheme="minorHAnsi" w:cs="Times New Roman"/>
                  <w:color w:val="808080" w:themeColor="background1" w:themeShade="80"/>
                  <w:lang w:eastAsia="en-AU"/>
                </w:rPr>
                <w:t>https://www.ncbi.nlm.nih.gov/pubmed/15990072</w:t>
              </w:r>
            </w:hyperlink>
          </w:p>
          <w:p w14:paraId="71BFE9DE" w14:textId="5410360E" w:rsidR="00DF3F25" w:rsidRDefault="00FF2095" w:rsidP="00DF3F25">
            <w:pPr>
              <w:spacing w:after="225" w:line="360" w:lineRule="atLeast"/>
              <w:ind w:left="100"/>
              <w:rPr>
                <w:rFonts w:asciiTheme="minorHAnsi" w:eastAsia="Times New Roman" w:hAnsiTheme="minorHAnsi" w:cs="Times New Roman"/>
                <w:color w:val="000000"/>
                <w:lang w:eastAsia="en-AU"/>
              </w:rPr>
            </w:pPr>
            <w:proofErr w:type="spellStart"/>
            <w:r w:rsidRPr="00161D54">
              <w:rPr>
                <w:rFonts w:asciiTheme="minorHAnsi" w:eastAsia="Times New Roman" w:hAnsiTheme="minorHAnsi" w:cs="Times New Roman"/>
                <w:color w:val="000000"/>
                <w:lang w:eastAsia="en-AU"/>
              </w:rPr>
              <w:t>Mouthon</w:t>
            </w:r>
            <w:proofErr w:type="spellEnd"/>
            <w:r w:rsidRPr="00161D54">
              <w:rPr>
                <w:rFonts w:asciiTheme="minorHAnsi" w:eastAsia="Times New Roman" w:hAnsiTheme="minorHAnsi" w:cs="Times New Roman"/>
                <w:color w:val="000000"/>
                <w:lang w:eastAsia="en-AU"/>
              </w:rPr>
              <w:t xml:space="preserve"> L, Michel M, </w:t>
            </w:r>
            <w:proofErr w:type="spellStart"/>
            <w:r w:rsidRPr="00161D54">
              <w:rPr>
                <w:rFonts w:asciiTheme="minorHAnsi" w:eastAsia="Times New Roman" w:hAnsiTheme="minorHAnsi" w:cs="Times New Roman"/>
                <w:color w:val="000000"/>
                <w:lang w:eastAsia="en-AU"/>
              </w:rPr>
              <w:t>Gandre</w:t>
            </w:r>
            <w:proofErr w:type="spellEnd"/>
            <w:r w:rsidRPr="00161D54">
              <w:rPr>
                <w:rFonts w:asciiTheme="minorHAnsi" w:eastAsia="Times New Roman" w:hAnsiTheme="minorHAnsi" w:cs="Times New Roman"/>
                <w:color w:val="000000"/>
                <w:lang w:eastAsia="en-AU"/>
              </w:rPr>
              <w:t xml:space="preserve"> C, </w:t>
            </w:r>
            <w:proofErr w:type="spellStart"/>
            <w:r w:rsidRPr="00161D54">
              <w:rPr>
                <w:rFonts w:asciiTheme="minorHAnsi" w:eastAsia="Times New Roman" w:hAnsiTheme="minorHAnsi" w:cs="Times New Roman"/>
                <w:color w:val="000000"/>
                <w:lang w:eastAsia="en-AU"/>
              </w:rPr>
              <w:t>Montagnier-Petrissans</w:t>
            </w:r>
            <w:proofErr w:type="spellEnd"/>
            <w:r w:rsidRPr="00161D54">
              <w:rPr>
                <w:rFonts w:asciiTheme="minorHAnsi" w:eastAsia="Times New Roman" w:hAnsiTheme="minorHAnsi" w:cs="Times New Roman"/>
                <w:color w:val="000000"/>
                <w:lang w:eastAsia="en-AU"/>
              </w:rPr>
              <w:t xml:space="preserve"> C, </w:t>
            </w:r>
            <w:proofErr w:type="spellStart"/>
            <w:r w:rsidRPr="00161D54">
              <w:rPr>
                <w:rFonts w:asciiTheme="minorHAnsi" w:eastAsia="Times New Roman" w:hAnsiTheme="minorHAnsi" w:cs="Times New Roman"/>
                <w:color w:val="000000"/>
                <w:lang w:eastAsia="en-AU"/>
              </w:rPr>
              <w:t>Chevreul</w:t>
            </w:r>
            <w:proofErr w:type="spellEnd"/>
            <w:r w:rsidRPr="00161D54">
              <w:rPr>
                <w:rFonts w:asciiTheme="minorHAnsi" w:eastAsia="Times New Roman" w:hAnsiTheme="minorHAnsi" w:cs="Times New Roman"/>
                <w:color w:val="000000"/>
                <w:lang w:eastAsia="en-AU"/>
              </w:rPr>
              <w:t xml:space="preserve"> K (2015)</w:t>
            </w:r>
            <w:r w:rsidR="00DF3F25" w:rsidRPr="00161D54">
              <w:rPr>
                <w:rFonts w:asciiTheme="minorHAnsi" w:eastAsia="Times New Roman" w:hAnsiTheme="minorHAnsi" w:cs="Times New Roman"/>
                <w:color w:val="000000"/>
                <w:lang w:eastAsia="en-AU"/>
              </w:rPr>
              <w:t xml:space="preserve"> Costs of intravenous immunoglobulin therapy in patients with unconfirmed parvovirus B19 pure red cell aplasia. </w:t>
            </w:r>
            <w:r w:rsidR="00DF3F25" w:rsidRPr="00BF6734">
              <w:rPr>
                <w:rFonts w:asciiTheme="minorHAnsi" w:eastAsia="Times New Roman" w:hAnsiTheme="minorHAnsi" w:cs="Times New Roman"/>
                <w:i/>
                <w:color w:val="000000"/>
                <w:lang w:eastAsia="en-AU"/>
              </w:rPr>
              <w:t>Clinical Infectious Disease</w:t>
            </w:r>
            <w:r w:rsidR="00DF3F25">
              <w:rPr>
                <w:rFonts w:asciiTheme="minorHAnsi" w:eastAsia="Times New Roman" w:hAnsiTheme="minorHAnsi" w:cs="Times New Roman"/>
                <w:i/>
                <w:color w:val="000000"/>
                <w:lang w:eastAsia="en-AU"/>
              </w:rPr>
              <w:t>s</w:t>
            </w:r>
            <w:r w:rsidR="00DF3F25">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60:</w:t>
            </w:r>
            <w:r w:rsidR="00DF3F25" w:rsidRPr="00AF5861">
              <w:rPr>
                <w:rFonts w:asciiTheme="minorHAnsi" w:eastAsia="Times New Roman" w:hAnsiTheme="minorHAnsi" w:cs="Times New Roman"/>
                <w:color w:val="000000"/>
                <w:lang w:eastAsia="en-AU"/>
              </w:rPr>
              <w:t>488.</w:t>
            </w:r>
          </w:p>
          <w:p w14:paraId="060CF392" w14:textId="300EA085" w:rsidR="00FF2095" w:rsidRPr="00FF2095" w:rsidRDefault="00F53286" w:rsidP="00DF3F25">
            <w:pPr>
              <w:spacing w:after="225" w:line="360" w:lineRule="atLeast"/>
              <w:ind w:left="100"/>
              <w:rPr>
                <w:rFonts w:asciiTheme="minorHAnsi" w:eastAsia="Times New Roman" w:hAnsiTheme="minorHAnsi" w:cs="Times New Roman"/>
                <w:color w:val="808080" w:themeColor="background1" w:themeShade="80"/>
                <w:lang w:eastAsia="en-AU"/>
              </w:rPr>
            </w:pPr>
            <w:hyperlink r:id="rId22" w:history="1">
              <w:r w:rsidR="00FF2095" w:rsidRPr="00FF2095">
                <w:rPr>
                  <w:rStyle w:val="Hyperlink"/>
                  <w:rFonts w:asciiTheme="minorHAnsi" w:eastAsia="Times New Roman" w:hAnsiTheme="minorHAnsi" w:cs="Times New Roman"/>
                  <w:color w:val="808080" w:themeColor="background1" w:themeShade="80"/>
                  <w:lang w:eastAsia="en-AU"/>
                </w:rPr>
                <w:t>https://www.ncbi.nlm.nih.gov/pubmed/25336624</w:t>
              </w:r>
            </w:hyperlink>
          </w:p>
          <w:p w14:paraId="0EF50196" w14:textId="5DAFB16A" w:rsidR="00DF3F25" w:rsidRDefault="00DF3F25" w:rsidP="00DF3F25">
            <w:pPr>
              <w:spacing w:after="225" w:line="360" w:lineRule="atLeast"/>
              <w:ind w:left="100"/>
              <w:rPr>
                <w:rFonts w:asciiTheme="minorHAnsi" w:eastAsia="Times New Roman" w:hAnsiTheme="minorHAnsi" w:cs="Times New Roman"/>
                <w:color w:val="000000"/>
                <w:lang w:eastAsia="en-AU"/>
              </w:rPr>
            </w:pPr>
            <w:r w:rsidRPr="00AF5861">
              <w:rPr>
                <w:rFonts w:asciiTheme="minorHAnsi" w:eastAsia="Times New Roman" w:hAnsiTheme="minorHAnsi" w:cs="Times New Roman"/>
                <w:color w:val="000000"/>
                <w:lang w:eastAsia="en-AU"/>
              </w:rPr>
              <w:t xml:space="preserve">Nair R, </w:t>
            </w:r>
            <w:proofErr w:type="spellStart"/>
            <w:r w:rsidRPr="00AF5861">
              <w:rPr>
                <w:rFonts w:asciiTheme="minorHAnsi" w:eastAsia="Times New Roman" w:hAnsiTheme="minorHAnsi" w:cs="Times New Roman"/>
                <w:color w:val="000000"/>
                <w:lang w:eastAsia="en-AU"/>
              </w:rPr>
              <w:t>Gheith</w:t>
            </w:r>
            <w:proofErr w:type="spellEnd"/>
            <w:r w:rsidRPr="00AF5861">
              <w:rPr>
                <w:rFonts w:asciiTheme="minorHAnsi" w:eastAsia="Times New Roman" w:hAnsiTheme="minorHAnsi" w:cs="Times New Roman"/>
                <w:color w:val="000000"/>
                <w:lang w:eastAsia="en-AU"/>
              </w:rPr>
              <w:t xml:space="preserve"> S and Nair SG</w:t>
            </w:r>
            <w:r w:rsidR="00FF2095">
              <w:rPr>
                <w:rFonts w:asciiTheme="minorHAnsi" w:eastAsia="Times New Roman" w:hAnsiTheme="minorHAnsi" w:cs="Times New Roman"/>
                <w:color w:val="000000"/>
                <w:lang w:eastAsia="en-AU"/>
              </w:rPr>
              <w:t xml:space="preserve"> (2016)</w:t>
            </w:r>
            <w:r w:rsidRPr="00AF5861">
              <w:rPr>
                <w:rFonts w:asciiTheme="minorHAnsi" w:eastAsia="Times New Roman" w:hAnsiTheme="minorHAnsi" w:cs="Times New Roman"/>
                <w:color w:val="000000"/>
                <w:lang w:eastAsia="en-AU"/>
              </w:rPr>
              <w:t xml:space="preserve"> Immunotherapy-</w:t>
            </w:r>
            <w:proofErr w:type="spellStart"/>
            <w:r w:rsidRPr="00AF5861">
              <w:rPr>
                <w:rFonts w:asciiTheme="minorHAnsi" w:eastAsia="Times New Roman" w:hAnsiTheme="minorHAnsi" w:cs="Times New Roman"/>
                <w:color w:val="000000"/>
                <w:lang w:eastAsia="en-AU"/>
              </w:rPr>
              <w:t>Asoociated</w:t>
            </w:r>
            <w:proofErr w:type="spellEnd"/>
            <w:r w:rsidRPr="00AF5861">
              <w:rPr>
                <w:rFonts w:asciiTheme="minorHAnsi" w:eastAsia="Times New Roman" w:hAnsiTheme="minorHAnsi" w:cs="Times New Roman"/>
                <w:color w:val="000000"/>
                <w:lang w:eastAsia="en-AU"/>
              </w:rPr>
              <w:t xml:space="preserve"> </w:t>
            </w:r>
            <w:proofErr w:type="spellStart"/>
            <w:r w:rsidRPr="00AF5861">
              <w:rPr>
                <w:rFonts w:asciiTheme="minorHAnsi" w:eastAsia="Times New Roman" w:hAnsiTheme="minorHAnsi" w:cs="Times New Roman"/>
                <w:color w:val="000000"/>
                <w:lang w:eastAsia="en-AU"/>
              </w:rPr>
              <w:t>Hemolytic</w:t>
            </w:r>
            <w:proofErr w:type="spellEnd"/>
            <w:r w:rsidRPr="00AF5861">
              <w:rPr>
                <w:rFonts w:asciiTheme="minorHAnsi" w:eastAsia="Times New Roman" w:hAnsiTheme="minorHAnsi" w:cs="Times New Roman"/>
                <w:color w:val="000000"/>
                <w:lang w:eastAsia="en-AU"/>
              </w:rPr>
              <w:t xml:space="preserve"> </w:t>
            </w:r>
            <w:proofErr w:type="spellStart"/>
            <w:r w:rsidRPr="00AF5861">
              <w:rPr>
                <w:rFonts w:asciiTheme="minorHAnsi" w:eastAsia="Times New Roman" w:hAnsiTheme="minorHAnsi" w:cs="Times New Roman"/>
                <w:color w:val="000000"/>
                <w:lang w:eastAsia="en-AU"/>
              </w:rPr>
              <w:t>Anemia</w:t>
            </w:r>
            <w:proofErr w:type="spellEnd"/>
            <w:r w:rsidRPr="00AF5861">
              <w:rPr>
                <w:rFonts w:asciiTheme="minorHAnsi" w:eastAsia="Times New Roman" w:hAnsiTheme="minorHAnsi" w:cs="Times New Roman"/>
                <w:color w:val="000000"/>
                <w:lang w:eastAsia="en-AU"/>
              </w:rPr>
              <w:t xml:space="preserve"> with Pure Red-Cell Aplasia. </w:t>
            </w:r>
            <w:r w:rsidRPr="00BF6734">
              <w:rPr>
                <w:rFonts w:asciiTheme="minorHAnsi" w:eastAsia="Times New Roman" w:hAnsiTheme="minorHAnsi" w:cs="Times New Roman"/>
                <w:i/>
                <w:color w:val="000000"/>
                <w:lang w:eastAsia="en-AU"/>
              </w:rPr>
              <w:t>New England Journal of Medicine</w:t>
            </w:r>
            <w:r>
              <w:rPr>
                <w:rFonts w:asciiTheme="minorHAnsi" w:eastAsia="Times New Roman" w:hAnsiTheme="minorHAnsi" w:cs="Times New Roman"/>
                <w:color w:val="000000"/>
                <w:lang w:eastAsia="en-AU"/>
              </w:rPr>
              <w:t>,</w:t>
            </w:r>
            <w:r w:rsidR="00FF2095">
              <w:rPr>
                <w:rFonts w:asciiTheme="minorHAnsi" w:eastAsia="Times New Roman" w:hAnsiTheme="minorHAnsi" w:cs="Times New Roman"/>
                <w:color w:val="000000"/>
                <w:lang w:eastAsia="en-AU"/>
              </w:rPr>
              <w:t xml:space="preserve"> 374:</w:t>
            </w:r>
            <w:r w:rsidRPr="00AF5861">
              <w:rPr>
                <w:rFonts w:asciiTheme="minorHAnsi" w:eastAsia="Times New Roman" w:hAnsiTheme="minorHAnsi" w:cs="Times New Roman"/>
                <w:color w:val="000000"/>
                <w:lang w:eastAsia="en-AU"/>
              </w:rPr>
              <w:t>1096-7.</w:t>
            </w:r>
          </w:p>
          <w:p w14:paraId="3BD87723" w14:textId="0C89D240" w:rsidR="00384423" w:rsidRPr="00384423" w:rsidRDefault="00F53286" w:rsidP="00DF3F25">
            <w:pPr>
              <w:spacing w:after="225" w:line="360" w:lineRule="atLeast"/>
              <w:ind w:left="100"/>
              <w:rPr>
                <w:rFonts w:asciiTheme="minorHAnsi" w:eastAsia="Times New Roman" w:hAnsiTheme="minorHAnsi" w:cs="Times New Roman"/>
                <w:color w:val="808080" w:themeColor="background1" w:themeShade="80"/>
                <w:lang w:eastAsia="en-AU"/>
              </w:rPr>
            </w:pPr>
            <w:hyperlink r:id="rId23" w:history="1">
              <w:r w:rsidR="00384423" w:rsidRPr="00384423">
                <w:rPr>
                  <w:rStyle w:val="Hyperlink"/>
                  <w:rFonts w:asciiTheme="minorHAnsi" w:eastAsia="Times New Roman" w:hAnsiTheme="minorHAnsi" w:cs="Times New Roman"/>
                  <w:color w:val="808080" w:themeColor="background1" w:themeShade="80"/>
                  <w:lang w:eastAsia="en-AU"/>
                </w:rPr>
                <w:t>https://www.ncbi.nlm.nih.gov/pubmed/26981948</w:t>
              </w:r>
            </w:hyperlink>
          </w:p>
          <w:p w14:paraId="3D13640A" w14:textId="7BD8BC4D" w:rsidR="008639F9" w:rsidRDefault="008639F9" w:rsidP="008639F9">
            <w:pPr>
              <w:spacing w:after="225" w:line="360" w:lineRule="atLeast"/>
              <w:ind w:left="176"/>
              <w:rPr>
                <w:rFonts w:asciiTheme="minorHAnsi" w:hAnsiTheme="minorHAnsi"/>
                <w:color w:val="808080" w:themeColor="background1" w:themeShade="80"/>
              </w:rPr>
            </w:pPr>
            <w:r w:rsidRPr="002A1261">
              <w:rPr>
                <w:rFonts w:asciiTheme="minorHAnsi" w:hAnsiTheme="minorHAnsi"/>
              </w:rPr>
              <w:t>Ontario Regional Blood Coordinating Network (2016). Ontario Intravenous Immune Globulin (</w:t>
            </w:r>
            <w:r w:rsidR="00FB7459">
              <w:rPr>
                <w:rFonts w:asciiTheme="minorHAnsi" w:hAnsiTheme="minorHAnsi"/>
              </w:rPr>
              <w:t>IVIG</w:t>
            </w:r>
            <w:r w:rsidRPr="002A1261">
              <w:rPr>
                <w:rFonts w:asciiTheme="minorHAnsi" w:hAnsiTheme="minorHAnsi"/>
              </w:rPr>
              <w:t>) Utilization Management Guidelines, Version 3.0. [</w:t>
            </w:r>
            <w:proofErr w:type="gramStart"/>
            <w:r w:rsidRPr="002A1261">
              <w:rPr>
                <w:rFonts w:asciiTheme="minorHAnsi" w:hAnsiTheme="minorHAnsi"/>
              </w:rPr>
              <w:t>online</w:t>
            </w:r>
            <w:proofErr w:type="gramEnd"/>
            <w:r w:rsidRPr="002A1261">
              <w:rPr>
                <w:rFonts w:asciiTheme="minorHAnsi" w:hAnsiTheme="minorHAnsi"/>
              </w:rPr>
              <w:t xml:space="preserve">]. Available at: </w:t>
            </w:r>
            <w:hyperlink r:id="rId24" w:history="1">
              <w:r w:rsidR="00161D54" w:rsidRPr="00161D54">
                <w:rPr>
                  <w:rStyle w:val="Hyperlink"/>
                  <w:rFonts w:asciiTheme="minorHAnsi" w:hAnsiTheme="minorHAnsi"/>
                  <w:color w:val="808080" w:themeColor="background1" w:themeShade="80"/>
                </w:rPr>
                <w:t>http://transfusionontario.org/en/download/ontario-intravenous-immune-globulin-</w:t>
              </w:r>
              <w:r w:rsidR="00FB7459">
                <w:rPr>
                  <w:rStyle w:val="Hyperlink"/>
                  <w:rFonts w:asciiTheme="minorHAnsi" w:hAnsiTheme="minorHAnsi"/>
                  <w:color w:val="808080" w:themeColor="background1" w:themeShade="80"/>
                </w:rPr>
                <w:t>IVIg</w:t>
              </w:r>
              <w:r w:rsidR="00161D54" w:rsidRPr="00161D54">
                <w:rPr>
                  <w:rStyle w:val="Hyperlink"/>
                  <w:rFonts w:asciiTheme="minorHAnsi" w:hAnsiTheme="minorHAnsi"/>
                  <w:color w:val="808080" w:themeColor="background1" w:themeShade="80"/>
                </w:rPr>
                <w:t>-utilization-management-guidelines-2/</w:t>
              </w:r>
            </w:hyperlink>
            <w:r w:rsidRPr="00161D54">
              <w:rPr>
                <w:rFonts w:asciiTheme="minorHAnsi" w:hAnsiTheme="minorHAnsi"/>
                <w:color w:val="808080" w:themeColor="background1" w:themeShade="80"/>
              </w:rPr>
              <w:t>.</w:t>
            </w:r>
          </w:p>
          <w:p w14:paraId="54F139DC" w14:textId="7207E467" w:rsidR="00161D54" w:rsidRPr="00161D54" w:rsidRDefault="00161D54" w:rsidP="00161D54">
            <w:pPr>
              <w:spacing w:after="225" w:line="360" w:lineRule="atLeast"/>
              <w:ind w:left="176"/>
              <w:rPr>
                <w:rFonts w:asciiTheme="minorHAnsi" w:hAnsiTheme="minorHAnsi"/>
                <w:color w:val="808080" w:themeColor="background1" w:themeShade="80"/>
              </w:rPr>
            </w:pPr>
            <w:r w:rsidRPr="00161D54">
              <w:rPr>
                <w:rFonts w:asciiTheme="minorHAnsi" w:hAnsiTheme="minorHAnsi"/>
              </w:rPr>
              <w:t xml:space="preserve">UK Department of Health (2011) Clinical Guidelines for Immunoglobulin Use: Second Edition Update. Available at: </w:t>
            </w:r>
            <w:r w:rsidRPr="00161D54">
              <w:rPr>
                <w:rFonts w:asciiTheme="minorHAnsi" w:hAnsiTheme="minorHAnsi"/>
                <w:color w:val="808080" w:themeColor="background1" w:themeShade="80"/>
              </w:rPr>
              <w:t>https://www.gov.uk/government/uploads/system/uploads/attachment_data/file/216671/dh_131107.pdf</w:t>
            </w:r>
          </w:p>
          <w:p w14:paraId="2A44FE2B" w14:textId="45458F61" w:rsidR="00161D54" w:rsidRPr="00161D54" w:rsidRDefault="00161D54" w:rsidP="00161D54">
            <w:pPr>
              <w:spacing w:after="225" w:line="360" w:lineRule="atLeast"/>
              <w:ind w:left="176"/>
              <w:rPr>
                <w:rFonts w:asciiTheme="minorHAnsi" w:hAnsiTheme="minorHAnsi"/>
                <w:color w:val="808080" w:themeColor="background1" w:themeShade="80"/>
              </w:rPr>
            </w:pPr>
            <w:r w:rsidRPr="00161D54">
              <w:rPr>
                <w:rFonts w:asciiTheme="minorHAnsi" w:hAnsiTheme="minorHAnsi"/>
              </w:rPr>
              <w:t xml:space="preserve">UK Department of Health (2011) Clinical Guidelines for Immunoglobulin Use: Second Edition Update: Summary Poster. Available at: </w:t>
            </w:r>
            <w:r w:rsidRPr="00161D54">
              <w:rPr>
                <w:rFonts w:asciiTheme="minorHAnsi" w:hAnsiTheme="minorHAnsi"/>
                <w:color w:val="808080" w:themeColor="background1" w:themeShade="80"/>
              </w:rPr>
              <w:t>https://www.igd.nhs.uk/wp-content/uploads/2016/04/DemandManagementPoster_v4_February2016.pdf</w:t>
            </w:r>
          </w:p>
          <w:p w14:paraId="1AD7C7C8" w14:textId="77777777" w:rsidR="00DF3F25" w:rsidRDefault="00DF3F25" w:rsidP="00384423">
            <w:pPr>
              <w:spacing w:after="225" w:line="360" w:lineRule="atLeast"/>
              <w:ind w:left="100"/>
              <w:rPr>
                <w:rFonts w:asciiTheme="minorHAnsi" w:eastAsia="Times New Roman" w:hAnsiTheme="minorHAnsi" w:cs="Times New Roman"/>
                <w:color w:val="000000"/>
                <w:lang w:eastAsia="en-AU"/>
              </w:rPr>
            </w:pPr>
            <w:r w:rsidRPr="00AF5861">
              <w:rPr>
                <w:rFonts w:asciiTheme="minorHAnsi" w:eastAsia="Times New Roman" w:hAnsiTheme="minorHAnsi" w:cs="Times New Roman"/>
                <w:color w:val="000000"/>
                <w:lang w:eastAsia="en-AU"/>
              </w:rPr>
              <w:t xml:space="preserve">Zhang M, </w:t>
            </w:r>
            <w:proofErr w:type="spellStart"/>
            <w:r w:rsidRPr="00AF5861">
              <w:rPr>
                <w:rFonts w:asciiTheme="minorHAnsi" w:eastAsia="Times New Roman" w:hAnsiTheme="minorHAnsi" w:cs="Times New Roman"/>
                <w:color w:val="000000"/>
                <w:lang w:eastAsia="en-AU"/>
              </w:rPr>
              <w:t>Zhong</w:t>
            </w:r>
            <w:proofErr w:type="spellEnd"/>
            <w:r w:rsidRPr="00AF5861">
              <w:rPr>
                <w:rFonts w:asciiTheme="minorHAnsi" w:eastAsia="Times New Roman" w:hAnsiTheme="minorHAnsi" w:cs="Times New Roman"/>
                <w:color w:val="000000"/>
                <w:lang w:eastAsia="en-AU"/>
              </w:rPr>
              <w:t xml:space="preserve"> X, Zhang W, Xu J, Zhang M, Shen Y</w:t>
            </w:r>
            <w:r w:rsidR="00384423">
              <w:rPr>
                <w:rFonts w:asciiTheme="minorHAnsi" w:eastAsia="Times New Roman" w:hAnsiTheme="minorHAnsi" w:cs="Times New Roman"/>
                <w:color w:val="000000"/>
                <w:lang w:eastAsia="en-AU"/>
              </w:rPr>
              <w:t xml:space="preserve">, et al </w:t>
            </w:r>
            <w:r>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2015</w:t>
            </w:r>
            <w:r w:rsidR="00384423">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Human parvovirus B19 infection induced pure red cell aplasia in liver transplant recipients. </w:t>
            </w:r>
            <w:r w:rsidRPr="00A50810">
              <w:rPr>
                <w:rFonts w:asciiTheme="minorHAnsi" w:eastAsia="Times New Roman" w:hAnsiTheme="minorHAnsi" w:cs="Times New Roman"/>
                <w:i/>
                <w:color w:val="000000"/>
                <w:lang w:eastAsia="en-AU"/>
              </w:rPr>
              <w:t>International Journal of Clinical Practice Supplementary</w:t>
            </w:r>
            <w:r>
              <w:rPr>
                <w:rFonts w:asciiTheme="minorHAnsi" w:eastAsia="Times New Roman" w:hAnsiTheme="minorHAnsi" w:cs="Times New Roman"/>
                <w:color w:val="000000"/>
                <w:lang w:eastAsia="en-AU"/>
              </w:rPr>
              <w:t xml:space="preserve">, </w:t>
            </w:r>
            <w:r w:rsidR="00384423">
              <w:rPr>
                <w:rFonts w:asciiTheme="minorHAnsi" w:eastAsia="Times New Roman" w:hAnsiTheme="minorHAnsi" w:cs="Times New Roman"/>
                <w:color w:val="000000"/>
                <w:lang w:eastAsia="en-AU"/>
              </w:rPr>
              <w:t>183:</w:t>
            </w:r>
            <w:r w:rsidRPr="00AF5861">
              <w:rPr>
                <w:rFonts w:asciiTheme="minorHAnsi" w:eastAsia="Times New Roman" w:hAnsiTheme="minorHAnsi" w:cs="Times New Roman"/>
                <w:color w:val="000000"/>
                <w:lang w:eastAsia="en-AU"/>
              </w:rPr>
              <w:t>29-34.</w:t>
            </w:r>
          </w:p>
          <w:p w14:paraId="78A48FE6" w14:textId="30306958" w:rsidR="00384423" w:rsidRPr="00DF3F25" w:rsidRDefault="00F53286" w:rsidP="009221AD">
            <w:pPr>
              <w:spacing w:after="225" w:line="360" w:lineRule="atLeast"/>
              <w:ind w:left="100"/>
              <w:rPr>
                <w:rFonts w:asciiTheme="minorHAnsi" w:eastAsia="Times New Roman" w:hAnsiTheme="minorHAnsi" w:cs="Times New Roman"/>
                <w:color w:val="000000"/>
                <w:lang w:eastAsia="en-AU"/>
              </w:rPr>
            </w:pPr>
            <w:hyperlink r:id="rId25" w:history="1">
              <w:r w:rsidR="00384423" w:rsidRPr="00384423">
                <w:rPr>
                  <w:rStyle w:val="Hyperlink"/>
                  <w:rFonts w:asciiTheme="minorHAnsi" w:eastAsia="Times New Roman" w:hAnsiTheme="minorHAnsi" w:cs="Times New Roman"/>
                  <w:color w:val="808080" w:themeColor="background1" w:themeShade="80"/>
                  <w:lang w:eastAsia="en-AU"/>
                </w:rPr>
                <w:t>https://www.ncbi.nlm.nih.gov/pubmed/26177162</w:t>
              </w:r>
            </w:hyperlink>
          </w:p>
        </w:tc>
      </w:tr>
    </w:tbl>
    <w:p w14:paraId="4BFD0421"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843"/>
        <w:gridCol w:w="4252"/>
      </w:tblGrid>
      <w:tr w:rsidR="004A10A2" w:rsidRPr="00021243" w14:paraId="082A8521" w14:textId="77777777" w:rsidTr="008612AB">
        <w:tc>
          <w:tcPr>
            <w:tcW w:w="14601" w:type="dxa"/>
            <w:gridSpan w:val="7"/>
            <w:shd w:val="clear" w:color="auto" w:fill="F79646" w:themeFill="accent6"/>
          </w:tcPr>
          <w:p w14:paraId="44944BBE"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36883C92" w14:textId="77777777" w:rsidTr="008612AB">
        <w:tc>
          <w:tcPr>
            <w:tcW w:w="14601" w:type="dxa"/>
            <w:gridSpan w:val="7"/>
            <w:shd w:val="clear" w:color="auto" w:fill="auto"/>
          </w:tcPr>
          <w:p w14:paraId="5D30DC82" w14:textId="52213EE9" w:rsidR="00EA2E82" w:rsidRPr="00EA2E82" w:rsidRDefault="00520B7D" w:rsidP="008D79EE">
            <w:pPr>
              <w:spacing w:before="120" w:after="120"/>
              <w:rPr>
                <w:rFonts w:asciiTheme="minorHAnsi" w:hAnsiTheme="minorHAnsi"/>
              </w:rPr>
            </w:pPr>
            <w:r>
              <w:rPr>
                <w:rFonts w:asciiTheme="minorHAnsi" w:hAnsiTheme="minorHAnsi"/>
              </w:rPr>
              <w:t xml:space="preserve">Any </w:t>
            </w:r>
            <w:r w:rsidR="004B798D">
              <w:rPr>
                <w:rFonts w:asciiTheme="minorHAnsi" w:hAnsiTheme="minorHAnsi"/>
              </w:rPr>
              <w:t>potential operational impact of this change is considered to be minor</w:t>
            </w:r>
            <w:r w:rsidR="004B798D" w:rsidDel="00BB147B">
              <w:rPr>
                <w:rFonts w:asciiTheme="minorHAnsi" w:hAnsiTheme="minorHAnsi"/>
              </w:rPr>
              <w:t xml:space="preserve"> </w:t>
            </w:r>
            <w:r w:rsidR="004B798D">
              <w:rPr>
                <w:rFonts w:asciiTheme="minorHAnsi" w:hAnsiTheme="minorHAnsi"/>
              </w:rPr>
              <w:t xml:space="preserve">as the proposed criteria are expected to be in line with existing clinical practice. However, the </w:t>
            </w:r>
            <w:r>
              <w:rPr>
                <w:rFonts w:asciiTheme="minorHAnsi" w:hAnsiTheme="minorHAnsi"/>
              </w:rPr>
              <w:t xml:space="preserve">revised </w:t>
            </w:r>
            <w:r w:rsidR="004B798D">
              <w:rPr>
                <w:rFonts w:asciiTheme="minorHAnsi" w:hAnsiTheme="minorHAnsi"/>
              </w:rPr>
              <w:t>criteria will ensure that patients with immune PRCA following immunosuppressant therapy have been unresponsive to steroid</w:t>
            </w:r>
            <w:r w:rsidR="008D79EE">
              <w:rPr>
                <w:rFonts w:asciiTheme="minorHAnsi" w:hAnsiTheme="minorHAnsi"/>
              </w:rPr>
              <w:t xml:space="preserve"> and cyclophosphamide</w:t>
            </w:r>
            <w:r w:rsidR="004B798D">
              <w:rPr>
                <w:rFonts w:asciiTheme="minorHAnsi" w:hAnsiTheme="minorHAnsi"/>
              </w:rPr>
              <w:t xml:space="preserve"> </w:t>
            </w:r>
            <w:r w:rsidR="008D79EE">
              <w:rPr>
                <w:rFonts w:asciiTheme="minorHAnsi" w:hAnsiTheme="minorHAnsi"/>
              </w:rPr>
              <w:t xml:space="preserve">or </w:t>
            </w:r>
            <w:r w:rsidR="004B798D">
              <w:rPr>
                <w:rFonts w:asciiTheme="minorHAnsi" w:hAnsiTheme="minorHAnsi"/>
              </w:rPr>
              <w:t>cyclosporine therapy (unless contraindicated), prior to treatment</w:t>
            </w:r>
            <w:r>
              <w:rPr>
                <w:rFonts w:asciiTheme="minorHAnsi" w:hAnsiTheme="minorHAnsi"/>
              </w:rPr>
              <w:t xml:space="preserve"> with Ig therapy</w:t>
            </w:r>
            <w:r w:rsidR="004B798D">
              <w:rPr>
                <w:rFonts w:asciiTheme="minorHAnsi" w:hAnsiTheme="minorHAnsi"/>
              </w:rPr>
              <w:t xml:space="preserve">. The criteria will also define appropriate dosing levels and treatment period (up to three doses only) which are not currently stated. </w:t>
            </w:r>
          </w:p>
        </w:tc>
      </w:tr>
      <w:tr w:rsidR="004A10A2" w:rsidRPr="00021243" w14:paraId="47075EC8" w14:textId="77777777" w:rsidTr="008612AB">
        <w:tc>
          <w:tcPr>
            <w:tcW w:w="14601" w:type="dxa"/>
            <w:gridSpan w:val="7"/>
            <w:shd w:val="clear" w:color="auto" w:fill="F79646" w:themeFill="accent6"/>
          </w:tcPr>
          <w:p w14:paraId="2388829C"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14:paraId="7BDEFF5B" w14:textId="77777777" w:rsidTr="00832D0D">
        <w:tc>
          <w:tcPr>
            <w:tcW w:w="3545" w:type="dxa"/>
            <w:gridSpan w:val="2"/>
            <w:shd w:val="clear" w:color="auto" w:fill="auto"/>
          </w:tcPr>
          <w:p w14:paraId="00CBFCC5" w14:textId="77777777"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2CACCA70" w14:textId="03D96D46" w:rsidR="00832D0D" w:rsidRPr="00832D0D" w:rsidRDefault="00860996" w:rsidP="009F200E">
            <w:pPr>
              <w:spacing w:before="120" w:after="120"/>
              <w:rPr>
                <w:rFonts w:asciiTheme="minorHAnsi" w:hAnsiTheme="minorHAnsi"/>
              </w:rPr>
            </w:pPr>
            <w:r w:rsidRPr="006D67CF">
              <w:rPr>
                <w:rFonts w:asciiTheme="minorHAnsi" w:hAnsiTheme="minorHAnsi"/>
              </w:rPr>
              <w:t xml:space="preserve">There is not anticipated </w:t>
            </w:r>
            <w:r>
              <w:rPr>
                <w:rFonts w:asciiTheme="minorHAnsi" w:hAnsiTheme="minorHAnsi"/>
              </w:rPr>
              <w:t>that there will</w:t>
            </w:r>
            <w:r w:rsidRPr="006D67CF">
              <w:rPr>
                <w:rFonts w:asciiTheme="minorHAnsi" w:hAnsiTheme="minorHAnsi"/>
              </w:rPr>
              <w:t xml:space="preserve"> be any</w:t>
            </w:r>
            <w:r>
              <w:rPr>
                <w:rFonts w:asciiTheme="minorHAnsi" w:hAnsiTheme="minorHAnsi"/>
              </w:rPr>
              <w:t xml:space="preserve"> direct</w:t>
            </w:r>
            <w:r w:rsidRPr="006D67CF">
              <w:rPr>
                <w:rFonts w:asciiTheme="minorHAnsi" w:hAnsiTheme="minorHAnsi"/>
              </w:rPr>
              <w:t xml:space="preserve"> impact on patients</w:t>
            </w:r>
            <w:r>
              <w:rPr>
                <w:rFonts w:asciiTheme="minorHAnsi" w:hAnsiTheme="minorHAnsi"/>
              </w:rPr>
              <w:t xml:space="preserve"> as a result of these criteria given that the proposed changes are in line with current clinical practice in managing patients with this rare condition. The changes are also in line with international treatment guidelines. </w:t>
            </w:r>
            <w:r w:rsidR="00520B7D">
              <w:rPr>
                <w:rFonts w:asciiTheme="minorHAnsi" w:hAnsiTheme="minorHAnsi"/>
              </w:rPr>
              <w:t xml:space="preserve">The formal access criteria proposed </w:t>
            </w:r>
            <w:r w:rsidR="009F200E">
              <w:rPr>
                <w:rFonts w:asciiTheme="minorHAnsi" w:hAnsiTheme="minorHAnsi"/>
              </w:rPr>
              <w:t xml:space="preserve">now </w:t>
            </w:r>
            <w:r w:rsidR="00520B7D">
              <w:rPr>
                <w:rFonts w:asciiTheme="minorHAnsi" w:hAnsiTheme="minorHAnsi"/>
              </w:rPr>
              <w:t xml:space="preserve">require that a haematologist makes the diagnosis and manages the ongoing treatment. This is because it is important </w:t>
            </w:r>
            <w:r>
              <w:rPr>
                <w:rFonts w:asciiTheme="minorHAnsi" w:hAnsiTheme="minorHAnsi"/>
              </w:rPr>
              <w:t>to ensure its</w:t>
            </w:r>
            <w:r w:rsidR="00520B7D">
              <w:rPr>
                <w:rFonts w:asciiTheme="minorHAnsi" w:hAnsiTheme="minorHAnsi"/>
              </w:rPr>
              <w:t xml:space="preserve"> correct </w:t>
            </w:r>
            <w:r>
              <w:rPr>
                <w:rFonts w:asciiTheme="minorHAnsi" w:hAnsiTheme="minorHAnsi"/>
              </w:rPr>
              <w:t xml:space="preserve">diagnosis and </w:t>
            </w:r>
            <w:r w:rsidR="00520B7D">
              <w:rPr>
                <w:rFonts w:asciiTheme="minorHAnsi" w:hAnsiTheme="minorHAnsi"/>
              </w:rPr>
              <w:t xml:space="preserve">treatment. When the very low red blood cell count is caused by an infection, Ig treatment can be given immediately, however, when it is immune mediated, Ig therapy is only used after patients have not responded to other treatments unless </w:t>
            </w:r>
            <w:r>
              <w:rPr>
                <w:rFonts w:asciiTheme="minorHAnsi" w:hAnsiTheme="minorHAnsi"/>
              </w:rPr>
              <w:t xml:space="preserve">such therapies </w:t>
            </w:r>
            <w:r w:rsidR="00520B7D">
              <w:rPr>
                <w:rFonts w:asciiTheme="minorHAnsi" w:hAnsiTheme="minorHAnsi"/>
              </w:rPr>
              <w:t xml:space="preserve">are considered inappropriate. </w:t>
            </w:r>
            <w:r w:rsidR="00085B41">
              <w:rPr>
                <w:rFonts w:asciiTheme="minorHAnsi" w:hAnsiTheme="minorHAnsi"/>
              </w:rPr>
              <w:t xml:space="preserve">In both instances, treatment is short lived to a maximum of three doses and transition planning will ensure that any patients in the midst of treatment will be not be impacted at the time of implementation.  </w:t>
            </w:r>
            <w:r w:rsidR="00520B7D">
              <w:rPr>
                <w:rFonts w:asciiTheme="minorHAnsi" w:hAnsiTheme="minorHAnsi"/>
              </w:rPr>
              <w:t xml:space="preserve"> </w:t>
            </w:r>
            <w:r w:rsidR="00BB147B">
              <w:rPr>
                <w:rFonts w:asciiTheme="minorHAnsi" w:hAnsiTheme="minorHAnsi"/>
              </w:rPr>
              <w:t xml:space="preserve">. </w:t>
            </w:r>
          </w:p>
        </w:tc>
      </w:tr>
      <w:tr w:rsidR="00BB147B" w:rsidRPr="00021243" w14:paraId="0813EC1B" w14:textId="77777777" w:rsidTr="00832D0D">
        <w:tc>
          <w:tcPr>
            <w:tcW w:w="3545" w:type="dxa"/>
            <w:gridSpan w:val="2"/>
            <w:shd w:val="clear" w:color="auto" w:fill="auto"/>
          </w:tcPr>
          <w:p w14:paraId="303E1603" w14:textId="7F556B8C" w:rsidR="00BB147B" w:rsidRDefault="00BB147B" w:rsidP="004A10A2">
            <w:pPr>
              <w:spacing w:before="120" w:after="120"/>
              <w:rPr>
                <w:rFonts w:asciiTheme="minorHAnsi" w:hAnsiTheme="minorHAnsi"/>
                <w:b/>
              </w:rPr>
            </w:pPr>
            <w:r>
              <w:rPr>
                <w:rFonts w:asciiTheme="minorHAnsi" w:hAnsiTheme="minorHAnsi"/>
                <w:b/>
              </w:rPr>
              <w:t xml:space="preserve">Impact on demand: </w:t>
            </w:r>
          </w:p>
        </w:tc>
        <w:tc>
          <w:tcPr>
            <w:tcW w:w="11056" w:type="dxa"/>
            <w:gridSpan w:val="5"/>
            <w:shd w:val="clear" w:color="auto" w:fill="auto"/>
          </w:tcPr>
          <w:p w14:paraId="58DF42D6" w14:textId="25A438A7" w:rsidR="00BB147B" w:rsidRDefault="00BB147B">
            <w:pPr>
              <w:spacing w:before="120" w:after="120"/>
              <w:rPr>
                <w:rFonts w:asciiTheme="minorHAnsi" w:hAnsiTheme="minorHAnsi"/>
              </w:rPr>
            </w:pPr>
            <w:r>
              <w:rPr>
                <w:rFonts w:asciiTheme="minorHAnsi" w:hAnsiTheme="minorHAnsi"/>
              </w:rPr>
              <w:t xml:space="preserve">The increasing trend is usage is likely to be related to an increase in the number of patients being treated for haematological malignancy (due to the ageing of the population and increasing incidence of leukaemia) with the resultant unintended consequence of PRCA related to immunosuppressant therapy. This trend will be unchanged as a result of the proposed changes. </w:t>
            </w:r>
          </w:p>
        </w:tc>
      </w:tr>
      <w:tr w:rsidR="00D44449" w:rsidRPr="00853117" w14:paraId="507AEF61" w14:textId="77777777" w:rsidTr="00D44449">
        <w:tc>
          <w:tcPr>
            <w:tcW w:w="2161" w:type="dxa"/>
            <w:shd w:val="clear" w:color="auto" w:fill="auto"/>
          </w:tcPr>
          <w:p w14:paraId="34F73524" w14:textId="77777777" w:rsidR="00D44449" w:rsidRPr="00C92149" w:rsidRDefault="00D44449" w:rsidP="004A10A2">
            <w:pPr>
              <w:spacing w:before="120" w:after="120"/>
              <w:rPr>
                <w:rFonts w:asciiTheme="minorHAnsi" w:hAnsiTheme="minorHAnsi"/>
                <w:b/>
                <w:sz w:val="18"/>
                <w:szCs w:val="18"/>
              </w:rPr>
            </w:pPr>
          </w:p>
        </w:tc>
        <w:tc>
          <w:tcPr>
            <w:tcW w:w="1384" w:type="dxa"/>
            <w:shd w:val="clear" w:color="auto" w:fill="auto"/>
          </w:tcPr>
          <w:p w14:paraId="0ABE77AE" w14:textId="77777777" w:rsidR="00D44449" w:rsidRPr="00C92149" w:rsidRDefault="00D44449" w:rsidP="006C6A1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14:paraId="4801FA45" w14:textId="77777777" w:rsidR="00D44449" w:rsidRPr="00C92149" w:rsidRDefault="00D44449" w:rsidP="006C6A1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14:paraId="0EEAFB6A" w14:textId="77777777" w:rsidR="00D44449" w:rsidRPr="00C92149" w:rsidRDefault="00D44449" w:rsidP="006C6A1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14:paraId="67BBDCE2" w14:textId="77777777" w:rsidR="00D44449" w:rsidRPr="00C92149" w:rsidRDefault="00D44449" w:rsidP="006C6A1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43" w:type="dxa"/>
            <w:shd w:val="clear" w:color="auto" w:fill="auto"/>
          </w:tcPr>
          <w:p w14:paraId="5F1E892A" w14:textId="542502EB" w:rsidR="00D44449" w:rsidRPr="00C92149" w:rsidRDefault="00D44449" w:rsidP="00D44449">
            <w:pPr>
              <w:spacing w:before="120" w:after="120"/>
              <w:jc w:val="right"/>
              <w:rPr>
                <w:rFonts w:ascii="Gill Sans MT" w:hAnsi="Gill Sans MT"/>
                <w:sz w:val="18"/>
                <w:szCs w:val="18"/>
              </w:rPr>
            </w:pPr>
            <w:r w:rsidRPr="00C92149">
              <w:rPr>
                <w:rFonts w:asciiTheme="minorHAnsi" w:hAnsiTheme="minorHAnsi" w:cs="Helvetica"/>
                <w:b/>
                <w:color w:val="333333"/>
                <w:sz w:val="18"/>
                <w:szCs w:val="18"/>
              </w:rPr>
              <w:t>201</w:t>
            </w:r>
            <w:r>
              <w:rPr>
                <w:rFonts w:asciiTheme="minorHAnsi" w:hAnsiTheme="minorHAnsi" w:cs="Helvetica"/>
                <w:b/>
                <w:color w:val="333333"/>
                <w:sz w:val="18"/>
                <w:szCs w:val="18"/>
              </w:rPr>
              <w:t>5</w:t>
            </w:r>
            <w:r w:rsidRPr="00C92149">
              <w:rPr>
                <w:rFonts w:asciiTheme="minorHAnsi" w:hAnsiTheme="minorHAnsi" w:cs="Helvetica"/>
                <w:b/>
                <w:color w:val="333333"/>
                <w:sz w:val="18"/>
                <w:szCs w:val="18"/>
              </w:rPr>
              <w:t>-1</w:t>
            </w:r>
            <w:r>
              <w:rPr>
                <w:rFonts w:asciiTheme="minorHAnsi" w:hAnsiTheme="minorHAnsi" w:cs="Helvetica"/>
                <w:b/>
                <w:color w:val="333333"/>
                <w:sz w:val="18"/>
                <w:szCs w:val="18"/>
              </w:rPr>
              <w:t>6</w:t>
            </w:r>
          </w:p>
        </w:tc>
        <w:tc>
          <w:tcPr>
            <w:tcW w:w="4252" w:type="dxa"/>
            <w:vMerge w:val="restart"/>
            <w:shd w:val="clear" w:color="auto" w:fill="auto"/>
          </w:tcPr>
          <w:p w14:paraId="68FAD3E3" w14:textId="0B8E092F" w:rsidR="00D44449" w:rsidRPr="00AF5861" w:rsidRDefault="00D44449" w:rsidP="00AF5861">
            <w:pPr>
              <w:spacing w:before="240"/>
              <w:ind w:left="105"/>
              <w:rPr>
                <w:rFonts w:asciiTheme="minorHAnsi" w:hAnsiTheme="minorHAnsi"/>
                <w:sz w:val="18"/>
                <w:szCs w:val="18"/>
              </w:rPr>
            </w:pPr>
            <w:r w:rsidRPr="00AF5861">
              <w:rPr>
                <w:rFonts w:asciiTheme="minorHAnsi" w:hAnsiTheme="minorHAnsi"/>
                <w:sz w:val="18"/>
                <w:szCs w:val="18"/>
              </w:rPr>
              <w:t xml:space="preserve">The </w:t>
            </w:r>
            <w:r w:rsidR="00393674">
              <w:rPr>
                <w:rFonts w:asciiTheme="minorHAnsi" w:hAnsiTheme="minorHAnsi"/>
                <w:sz w:val="18"/>
                <w:szCs w:val="18"/>
              </w:rPr>
              <w:t>Specialist Working Group</w:t>
            </w:r>
            <w:r w:rsidR="00393674" w:rsidRPr="00AF5861">
              <w:rPr>
                <w:rFonts w:asciiTheme="minorHAnsi" w:hAnsiTheme="minorHAnsi"/>
                <w:sz w:val="18"/>
                <w:szCs w:val="18"/>
              </w:rPr>
              <w:t xml:space="preserve"> </w:t>
            </w:r>
            <w:r w:rsidRPr="00AF5861">
              <w:rPr>
                <w:rFonts w:asciiTheme="minorHAnsi" w:hAnsiTheme="minorHAnsi"/>
                <w:sz w:val="18"/>
                <w:szCs w:val="18"/>
              </w:rPr>
              <w:t>estimated magnitude of effect:</w:t>
            </w:r>
          </w:p>
          <w:p w14:paraId="30A9948D" w14:textId="0B3CF96E" w:rsidR="00D44449" w:rsidRPr="00AF5861" w:rsidRDefault="00D44449" w:rsidP="00D44449">
            <w:pPr>
              <w:ind w:left="105"/>
              <w:rPr>
                <w:rFonts w:asciiTheme="minorHAnsi" w:hAnsiTheme="minorHAnsi"/>
                <w:sz w:val="18"/>
                <w:szCs w:val="18"/>
              </w:rPr>
            </w:pPr>
            <w:r w:rsidRPr="00AF5861">
              <w:rPr>
                <w:rFonts w:asciiTheme="minorHAnsi" w:hAnsiTheme="minorHAnsi"/>
                <w:sz w:val="18"/>
                <w:szCs w:val="18"/>
              </w:rPr>
              <w:t>No impact</w:t>
            </w:r>
            <w:r w:rsidR="00B004EC">
              <w:rPr>
                <w:rFonts w:asciiTheme="minorHAnsi" w:hAnsiTheme="minorHAnsi"/>
                <w:sz w:val="18"/>
                <w:szCs w:val="18"/>
              </w:rPr>
              <w:t xml:space="preserve"> against projected demand</w:t>
            </w:r>
          </w:p>
          <w:p w14:paraId="74B4A06A" w14:textId="77777777" w:rsidR="00D44449" w:rsidRPr="00C92149" w:rsidRDefault="00D44449" w:rsidP="004A10A2">
            <w:pPr>
              <w:spacing w:before="120" w:after="120"/>
              <w:rPr>
                <w:rFonts w:asciiTheme="minorHAnsi" w:hAnsiTheme="minorHAnsi"/>
                <w:b/>
                <w:sz w:val="18"/>
                <w:szCs w:val="18"/>
              </w:rPr>
            </w:pPr>
            <w:bookmarkStart w:id="0" w:name="_GoBack"/>
            <w:bookmarkEnd w:id="0"/>
          </w:p>
        </w:tc>
      </w:tr>
      <w:tr w:rsidR="00D44449" w:rsidRPr="00853117" w14:paraId="40260A54" w14:textId="77777777" w:rsidTr="00D44449">
        <w:tc>
          <w:tcPr>
            <w:tcW w:w="2161" w:type="dxa"/>
            <w:shd w:val="clear" w:color="auto" w:fill="auto"/>
          </w:tcPr>
          <w:p w14:paraId="173E333C" w14:textId="77777777" w:rsidR="00D44449" w:rsidRPr="00C92149" w:rsidRDefault="00D44449"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14:paraId="484033DA"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18</w:t>
            </w:r>
          </w:p>
        </w:tc>
        <w:tc>
          <w:tcPr>
            <w:tcW w:w="1593" w:type="dxa"/>
            <w:shd w:val="clear" w:color="auto" w:fill="auto"/>
            <w:vAlign w:val="bottom"/>
          </w:tcPr>
          <w:p w14:paraId="62120EBB"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27</w:t>
            </w:r>
          </w:p>
        </w:tc>
        <w:tc>
          <w:tcPr>
            <w:tcW w:w="1667" w:type="dxa"/>
            <w:shd w:val="clear" w:color="auto" w:fill="auto"/>
            <w:vAlign w:val="bottom"/>
          </w:tcPr>
          <w:p w14:paraId="69CC0249"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30</w:t>
            </w:r>
          </w:p>
        </w:tc>
        <w:tc>
          <w:tcPr>
            <w:tcW w:w="1701" w:type="dxa"/>
            <w:shd w:val="clear" w:color="auto" w:fill="auto"/>
            <w:vAlign w:val="bottom"/>
          </w:tcPr>
          <w:p w14:paraId="52808901"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31</w:t>
            </w:r>
          </w:p>
        </w:tc>
        <w:tc>
          <w:tcPr>
            <w:tcW w:w="1843" w:type="dxa"/>
            <w:shd w:val="clear" w:color="auto" w:fill="auto"/>
          </w:tcPr>
          <w:p w14:paraId="28812F66" w14:textId="2AEDC6DE" w:rsidR="00D44449" w:rsidRPr="00C92149" w:rsidRDefault="00D44449" w:rsidP="00D44449">
            <w:pPr>
              <w:spacing w:before="120" w:after="120"/>
              <w:jc w:val="right"/>
              <w:rPr>
                <w:rFonts w:asciiTheme="minorHAnsi" w:hAnsiTheme="minorHAnsi"/>
                <w:b/>
                <w:sz w:val="18"/>
                <w:szCs w:val="18"/>
              </w:rPr>
            </w:pPr>
            <w:r>
              <w:rPr>
                <w:rFonts w:asciiTheme="minorHAnsi" w:hAnsiTheme="minorHAnsi"/>
                <w:b/>
                <w:sz w:val="18"/>
                <w:szCs w:val="18"/>
              </w:rPr>
              <w:t>24</w:t>
            </w:r>
          </w:p>
        </w:tc>
        <w:tc>
          <w:tcPr>
            <w:tcW w:w="4252" w:type="dxa"/>
            <w:vMerge/>
            <w:shd w:val="clear" w:color="auto" w:fill="auto"/>
          </w:tcPr>
          <w:p w14:paraId="2814C714" w14:textId="35055456" w:rsidR="00D44449" w:rsidRPr="00C92149" w:rsidRDefault="00D44449" w:rsidP="004A10A2">
            <w:pPr>
              <w:spacing w:before="120" w:after="120"/>
              <w:rPr>
                <w:rFonts w:asciiTheme="minorHAnsi" w:hAnsiTheme="minorHAnsi"/>
                <w:b/>
                <w:sz w:val="18"/>
                <w:szCs w:val="18"/>
              </w:rPr>
            </w:pPr>
          </w:p>
        </w:tc>
      </w:tr>
      <w:tr w:rsidR="00D44449" w:rsidRPr="00853117" w14:paraId="53EB84F7" w14:textId="77777777" w:rsidTr="00D44449">
        <w:trPr>
          <w:trHeight w:val="535"/>
        </w:trPr>
        <w:tc>
          <w:tcPr>
            <w:tcW w:w="2161" w:type="dxa"/>
            <w:shd w:val="clear" w:color="auto" w:fill="auto"/>
          </w:tcPr>
          <w:p w14:paraId="0E671DF9" w14:textId="77777777" w:rsidR="00D44449" w:rsidRPr="00C92149" w:rsidRDefault="00D44449"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24F58AB0"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5,867</w:t>
            </w:r>
          </w:p>
        </w:tc>
        <w:tc>
          <w:tcPr>
            <w:tcW w:w="1593" w:type="dxa"/>
            <w:shd w:val="clear" w:color="auto" w:fill="auto"/>
            <w:vAlign w:val="bottom"/>
          </w:tcPr>
          <w:p w14:paraId="7AD6425F"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7,034</w:t>
            </w:r>
          </w:p>
        </w:tc>
        <w:tc>
          <w:tcPr>
            <w:tcW w:w="1667" w:type="dxa"/>
            <w:shd w:val="clear" w:color="auto" w:fill="auto"/>
            <w:vAlign w:val="bottom"/>
          </w:tcPr>
          <w:p w14:paraId="08BD3ECF"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8,398</w:t>
            </w:r>
          </w:p>
        </w:tc>
        <w:tc>
          <w:tcPr>
            <w:tcW w:w="1701" w:type="dxa"/>
            <w:shd w:val="clear" w:color="auto" w:fill="auto"/>
            <w:vAlign w:val="bottom"/>
          </w:tcPr>
          <w:p w14:paraId="5F1F4E42"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8,091</w:t>
            </w:r>
          </w:p>
        </w:tc>
        <w:tc>
          <w:tcPr>
            <w:tcW w:w="1843" w:type="dxa"/>
            <w:shd w:val="clear" w:color="auto" w:fill="auto"/>
          </w:tcPr>
          <w:p w14:paraId="7B09761E" w14:textId="7EF2EFC9" w:rsidR="00D44449" w:rsidRPr="00C92149" w:rsidRDefault="00D44449" w:rsidP="00D44449">
            <w:pPr>
              <w:spacing w:before="120" w:after="120"/>
              <w:jc w:val="right"/>
              <w:rPr>
                <w:rFonts w:asciiTheme="minorHAnsi" w:hAnsiTheme="minorHAnsi"/>
                <w:b/>
                <w:sz w:val="18"/>
                <w:szCs w:val="18"/>
              </w:rPr>
            </w:pPr>
            <w:r>
              <w:rPr>
                <w:rFonts w:asciiTheme="minorHAnsi" w:hAnsiTheme="minorHAnsi"/>
                <w:b/>
                <w:sz w:val="18"/>
                <w:szCs w:val="18"/>
              </w:rPr>
              <w:t>8,422</w:t>
            </w:r>
          </w:p>
        </w:tc>
        <w:tc>
          <w:tcPr>
            <w:tcW w:w="4252" w:type="dxa"/>
            <w:vMerge/>
            <w:shd w:val="clear" w:color="auto" w:fill="auto"/>
          </w:tcPr>
          <w:p w14:paraId="4F0A299E" w14:textId="09A43171" w:rsidR="00D44449" w:rsidRPr="00C92149" w:rsidRDefault="00D44449" w:rsidP="004A10A2">
            <w:pPr>
              <w:spacing w:before="120" w:after="120"/>
              <w:rPr>
                <w:rFonts w:asciiTheme="minorHAnsi" w:hAnsiTheme="minorHAnsi"/>
                <w:b/>
                <w:sz w:val="18"/>
                <w:szCs w:val="18"/>
              </w:rPr>
            </w:pPr>
          </w:p>
        </w:tc>
      </w:tr>
      <w:tr w:rsidR="00D44449" w:rsidRPr="00853117" w14:paraId="085BCA0A" w14:textId="77777777" w:rsidTr="00D44449">
        <w:tc>
          <w:tcPr>
            <w:tcW w:w="2161" w:type="dxa"/>
            <w:shd w:val="clear" w:color="auto" w:fill="auto"/>
          </w:tcPr>
          <w:p w14:paraId="0D58C728" w14:textId="77777777" w:rsidR="00D44449" w:rsidRPr="00C92149" w:rsidRDefault="00D44449"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21DD11B0"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0.18%</w:t>
            </w:r>
          </w:p>
        </w:tc>
        <w:tc>
          <w:tcPr>
            <w:tcW w:w="1593" w:type="dxa"/>
            <w:shd w:val="clear" w:color="auto" w:fill="auto"/>
            <w:vAlign w:val="bottom"/>
          </w:tcPr>
          <w:p w14:paraId="38FC63B5" w14:textId="2A323754"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0.2%</w:t>
            </w:r>
          </w:p>
        </w:tc>
        <w:tc>
          <w:tcPr>
            <w:tcW w:w="1667" w:type="dxa"/>
            <w:shd w:val="clear" w:color="auto" w:fill="auto"/>
            <w:vAlign w:val="bottom"/>
          </w:tcPr>
          <w:p w14:paraId="4589D744"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0.21%</w:t>
            </w:r>
          </w:p>
        </w:tc>
        <w:tc>
          <w:tcPr>
            <w:tcW w:w="1701" w:type="dxa"/>
            <w:shd w:val="clear" w:color="auto" w:fill="auto"/>
            <w:vAlign w:val="bottom"/>
          </w:tcPr>
          <w:p w14:paraId="5414349A"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0.18%</w:t>
            </w:r>
          </w:p>
        </w:tc>
        <w:tc>
          <w:tcPr>
            <w:tcW w:w="1843" w:type="dxa"/>
            <w:shd w:val="clear" w:color="auto" w:fill="auto"/>
          </w:tcPr>
          <w:p w14:paraId="25355254" w14:textId="6381619D" w:rsidR="00D44449" w:rsidRPr="00C92149" w:rsidRDefault="00D44449" w:rsidP="00D44449">
            <w:pPr>
              <w:spacing w:before="120" w:after="120"/>
              <w:jc w:val="right"/>
              <w:rPr>
                <w:rFonts w:asciiTheme="minorHAnsi" w:hAnsiTheme="minorHAnsi"/>
                <w:b/>
                <w:sz w:val="18"/>
                <w:szCs w:val="18"/>
              </w:rPr>
            </w:pPr>
            <w:r>
              <w:rPr>
                <w:rFonts w:asciiTheme="minorHAnsi" w:hAnsiTheme="minorHAnsi"/>
                <w:b/>
                <w:sz w:val="18"/>
                <w:szCs w:val="18"/>
              </w:rPr>
              <w:t>0.1</w:t>
            </w:r>
            <w:r w:rsidR="00595A0A">
              <w:rPr>
                <w:rFonts w:asciiTheme="minorHAnsi" w:hAnsiTheme="minorHAnsi"/>
                <w:b/>
                <w:sz w:val="18"/>
                <w:szCs w:val="18"/>
              </w:rPr>
              <w:t>7</w:t>
            </w:r>
            <w:r>
              <w:rPr>
                <w:rFonts w:asciiTheme="minorHAnsi" w:hAnsiTheme="minorHAnsi"/>
                <w:b/>
                <w:sz w:val="18"/>
                <w:szCs w:val="18"/>
              </w:rPr>
              <w:t>%</w:t>
            </w:r>
          </w:p>
        </w:tc>
        <w:tc>
          <w:tcPr>
            <w:tcW w:w="4252" w:type="dxa"/>
            <w:vMerge/>
            <w:shd w:val="clear" w:color="auto" w:fill="auto"/>
          </w:tcPr>
          <w:p w14:paraId="2632DD2D" w14:textId="35F8CF4B" w:rsidR="00D44449" w:rsidRPr="00C92149" w:rsidRDefault="00D44449" w:rsidP="004A10A2">
            <w:pPr>
              <w:spacing w:before="120" w:after="120"/>
              <w:rPr>
                <w:rFonts w:asciiTheme="minorHAnsi" w:hAnsiTheme="minorHAnsi"/>
                <w:b/>
                <w:sz w:val="18"/>
                <w:szCs w:val="18"/>
              </w:rPr>
            </w:pPr>
          </w:p>
        </w:tc>
      </w:tr>
      <w:tr w:rsidR="006C6A14" w:rsidRPr="00021243" w14:paraId="130AFB59" w14:textId="77777777" w:rsidTr="005D45E6">
        <w:tc>
          <w:tcPr>
            <w:tcW w:w="14601" w:type="dxa"/>
            <w:gridSpan w:val="7"/>
            <w:shd w:val="clear" w:color="auto" w:fill="F79646" w:themeFill="accent6"/>
          </w:tcPr>
          <w:p w14:paraId="44628812" w14:textId="6302FEFA" w:rsidR="006C6A14" w:rsidRDefault="00393674" w:rsidP="005D45E6">
            <w:pPr>
              <w:spacing w:before="120" w:after="120"/>
              <w:rPr>
                <w:rFonts w:asciiTheme="minorHAnsi" w:hAnsiTheme="minorHAnsi"/>
                <w:b/>
              </w:rPr>
            </w:pPr>
            <w:r>
              <w:rPr>
                <w:rFonts w:asciiTheme="minorHAnsi" w:hAnsiTheme="minorHAnsi"/>
                <w:b/>
              </w:rPr>
              <w:t xml:space="preserve">Specialist Working Group </w:t>
            </w:r>
            <w:r w:rsidR="006C6A14">
              <w:rPr>
                <w:rFonts w:asciiTheme="minorHAnsi" w:hAnsiTheme="minorHAnsi"/>
                <w:b/>
              </w:rPr>
              <w:t>knowledge development opportunities and recommendations</w:t>
            </w:r>
          </w:p>
        </w:tc>
      </w:tr>
      <w:tr w:rsidR="006C6A14" w:rsidRPr="00021243" w14:paraId="28CD81DE" w14:textId="77777777" w:rsidTr="005D45E6">
        <w:tc>
          <w:tcPr>
            <w:tcW w:w="14601" w:type="dxa"/>
            <w:gridSpan w:val="7"/>
            <w:shd w:val="clear" w:color="auto" w:fill="auto"/>
          </w:tcPr>
          <w:p w14:paraId="275952E2" w14:textId="58E60732" w:rsidR="006C6A14" w:rsidRPr="002506FF" w:rsidRDefault="00B53845" w:rsidP="005D45E6">
            <w:pPr>
              <w:spacing w:before="120" w:after="120"/>
              <w:rPr>
                <w:rFonts w:asciiTheme="minorHAnsi" w:hAnsiTheme="minorHAnsi"/>
              </w:rPr>
            </w:pPr>
            <w:r>
              <w:rPr>
                <w:rFonts w:asciiTheme="minorHAnsi" w:hAnsiTheme="minorHAnsi"/>
              </w:rPr>
              <w:lastRenderedPageBreak/>
              <w:t>None identified at this stage.</w:t>
            </w:r>
          </w:p>
        </w:tc>
      </w:tr>
      <w:tr w:rsidR="002506FF" w:rsidRPr="00021243" w14:paraId="61EDF967" w14:textId="77777777" w:rsidTr="009F1DFC">
        <w:tblPrEx>
          <w:tblLook w:val="04A0" w:firstRow="1" w:lastRow="0" w:firstColumn="1" w:lastColumn="0" w:noHBand="0" w:noVBand="1"/>
        </w:tblPrEx>
        <w:tc>
          <w:tcPr>
            <w:tcW w:w="14601" w:type="dxa"/>
            <w:gridSpan w:val="7"/>
          </w:tcPr>
          <w:p w14:paraId="722A00AD" w14:textId="317530BB"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1F5C27">
              <w:rPr>
                <w:rFonts w:asciiTheme="minorHAnsi" w:hAnsiTheme="minorHAnsi"/>
                <w:b/>
              </w:rPr>
              <w:t>PUBLIC CONSULTATION</w:t>
            </w:r>
            <w:r>
              <w:rPr>
                <w:rFonts w:asciiTheme="minorHAnsi" w:hAnsiTheme="minorHAnsi"/>
                <w:b/>
              </w:rPr>
              <w:t xml:space="preserve"> DOCUMENT</w:t>
            </w:r>
          </w:p>
          <w:p w14:paraId="5068DCDD" w14:textId="04FCB1CA" w:rsidR="000E09C4" w:rsidRPr="00021243" w:rsidRDefault="001F5C27" w:rsidP="002506FF">
            <w:pPr>
              <w:spacing w:before="120" w:after="120"/>
              <w:jc w:val="center"/>
              <w:rPr>
                <w:rFonts w:asciiTheme="minorHAnsi" w:hAnsiTheme="minorHAnsi"/>
                <w:b/>
              </w:rPr>
            </w:pPr>
            <w:r>
              <w:rPr>
                <w:rFonts w:asciiTheme="minorHAnsi" w:hAnsiTheme="minorHAnsi"/>
                <w:b/>
              </w:rPr>
              <w:t>Next review</w:t>
            </w:r>
            <w:r w:rsidR="00BB147B">
              <w:rPr>
                <w:rFonts w:asciiTheme="minorHAnsi" w:hAnsiTheme="minorHAnsi"/>
                <w:b/>
              </w:rPr>
              <w:t>:</w:t>
            </w:r>
            <w:r w:rsidR="000E09C4">
              <w:rPr>
                <w:rFonts w:asciiTheme="minorHAnsi" w:hAnsiTheme="minorHAnsi"/>
                <w:b/>
              </w:rPr>
              <w:t xml:space="preserve"> </w:t>
            </w:r>
            <w:r w:rsidR="00BB147B">
              <w:rPr>
                <w:rFonts w:asciiTheme="minorHAnsi" w:hAnsiTheme="minorHAnsi"/>
                <w:b/>
              </w:rPr>
              <w:t xml:space="preserve">Twelve to eighteen months after </w:t>
            </w:r>
            <w:proofErr w:type="spellStart"/>
            <w:r w:rsidR="00BB147B">
              <w:rPr>
                <w:rFonts w:asciiTheme="minorHAnsi" w:hAnsiTheme="minorHAnsi"/>
                <w:b/>
              </w:rPr>
              <w:t>BloodSTAR</w:t>
            </w:r>
            <w:proofErr w:type="spellEnd"/>
            <w:r w:rsidR="00BB147B">
              <w:rPr>
                <w:rFonts w:asciiTheme="minorHAnsi" w:hAnsiTheme="minorHAnsi"/>
                <w:b/>
              </w:rPr>
              <w:t xml:space="preserve"> </w:t>
            </w:r>
            <w:r w:rsidR="00393674">
              <w:rPr>
                <w:rFonts w:asciiTheme="minorHAnsi" w:hAnsiTheme="minorHAnsi"/>
                <w:b/>
              </w:rPr>
              <w:t>v</w:t>
            </w:r>
            <w:r w:rsidR="00BB147B">
              <w:rPr>
                <w:rFonts w:asciiTheme="minorHAnsi" w:hAnsiTheme="minorHAnsi"/>
                <w:b/>
              </w:rPr>
              <w:t>3</w:t>
            </w:r>
            <w:r w:rsidR="002D3B35">
              <w:rPr>
                <w:rFonts w:asciiTheme="minorHAnsi" w:hAnsiTheme="minorHAnsi"/>
                <w:b/>
              </w:rPr>
              <w:t>.0</w:t>
            </w:r>
            <w:r w:rsidR="00BB147B">
              <w:rPr>
                <w:rFonts w:asciiTheme="minorHAnsi" w:hAnsiTheme="minorHAnsi"/>
                <w:b/>
              </w:rPr>
              <w:t xml:space="preserve"> implemented</w:t>
            </w:r>
          </w:p>
        </w:tc>
      </w:tr>
    </w:tbl>
    <w:p w14:paraId="4914A9D0" w14:textId="39D65F2D" w:rsidR="006627B5" w:rsidRPr="00FD2CCD" w:rsidRDefault="006627B5" w:rsidP="00E26190">
      <w:pPr>
        <w:spacing w:line="276" w:lineRule="auto"/>
      </w:pPr>
    </w:p>
    <w:sectPr w:rsidR="006627B5" w:rsidRPr="00FD2CCD" w:rsidSect="000E09C4">
      <w:headerReference w:type="first" r:id="rId26"/>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C575" w14:textId="77777777" w:rsidR="00B73719" w:rsidRDefault="00B73719" w:rsidP="00856708">
      <w:pPr>
        <w:spacing w:after="0"/>
      </w:pPr>
      <w:r>
        <w:separator/>
      </w:r>
    </w:p>
  </w:endnote>
  <w:endnote w:type="continuationSeparator" w:id="0">
    <w:p w14:paraId="75C18CDE" w14:textId="77777777" w:rsidR="00B73719" w:rsidRDefault="00B73719"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12E5" w14:textId="77777777" w:rsidR="00595A0A" w:rsidRDefault="00595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093542"/>
      <w:docPartObj>
        <w:docPartGallery w:val="Page Numbers (Bottom of Page)"/>
        <w:docPartUnique/>
      </w:docPartObj>
    </w:sdtPr>
    <w:sdtEndPr>
      <w:rPr>
        <w:noProof/>
      </w:rPr>
    </w:sdtEndPr>
    <w:sdtContent>
      <w:p w14:paraId="702E105F" w14:textId="00BC8A99" w:rsidR="00EF5DC3" w:rsidRDefault="00EF5DC3">
        <w:pPr>
          <w:pStyle w:val="Footer"/>
          <w:jc w:val="right"/>
        </w:pPr>
        <w:r>
          <w:fldChar w:fldCharType="begin"/>
        </w:r>
        <w:r>
          <w:instrText xml:space="preserve"> PAGE   \* MERGEFORMAT </w:instrText>
        </w:r>
        <w:r>
          <w:fldChar w:fldCharType="separate"/>
        </w:r>
        <w:r w:rsidR="00F53286">
          <w:rPr>
            <w:noProof/>
          </w:rPr>
          <w:t>9</w:t>
        </w:r>
        <w:r>
          <w:rPr>
            <w:noProof/>
          </w:rPr>
          <w:fldChar w:fldCharType="end"/>
        </w:r>
      </w:p>
    </w:sdtContent>
  </w:sdt>
  <w:p w14:paraId="38C0AC3A" w14:textId="41E30783" w:rsidR="00853117" w:rsidRPr="00652461" w:rsidRDefault="00853117" w:rsidP="00652461">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91869"/>
      <w:docPartObj>
        <w:docPartGallery w:val="Page Numbers (Bottom of Page)"/>
        <w:docPartUnique/>
      </w:docPartObj>
    </w:sdtPr>
    <w:sdtEndPr>
      <w:rPr>
        <w:noProof/>
      </w:rPr>
    </w:sdtEndPr>
    <w:sdtContent>
      <w:p w14:paraId="5738DD1C" w14:textId="549845F2" w:rsidR="00EF5DC3" w:rsidRDefault="00EF5DC3">
        <w:pPr>
          <w:pStyle w:val="Footer"/>
          <w:jc w:val="right"/>
        </w:pPr>
        <w:r>
          <w:fldChar w:fldCharType="begin"/>
        </w:r>
        <w:r>
          <w:instrText xml:space="preserve"> PAGE   \* MERGEFORMAT </w:instrText>
        </w:r>
        <w:r>
          <w:fldChar w:fldCharType="separate"/>
        </w:r>
        <w:r w:rsidR="00F53286">
          <w:rPr>
            <w:noProof/>
          </w:rPr>
          <w:t>8</w:t>
        </w:r>
        <w:r>
          <w:rPr>
            <w:noProof/>
          </w:rPr>
          <w:fldChar w:fldCharType="end"/>
        </w:r>
      </w:p>
    </w:sdtContent>
  </w:sdt>
  <w:p w14:paraId="1D5AA1B0" w14:textId="79172AF5" w:rsidR="00652461" w:rsidRPr="00EF5DC3" w:rsidRDefault="00652461" w:rsidP="00EF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EBEE7" w14:textId="77777777" w:rsidR="00B73719" w:rsidRDefault="00B73719" w:rsidP="00856708">
      <w:pPr>
        <w:spacing w:after="0"/>
      </w:pPr>
      <w:r>
        <w:separator/>
      </w:r>
    </w:p>
  </w:footnote>
  <w:footnote w:type="continuationSeparator" w:id="0">
    <w:p w14:paraId="7B3CCCD6" w14:textId="77777777" w:rsidR="00B73719" w:rsidRDefault="00B73719"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4089" w14:textId="77777777" w:rsidR="00595A0A" w:rsidRDefault="00595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B0531" w14:textId="78F6C842" w:rsidR="00EF5DC3" w:rsidRPr="00652461" w:rsidRDefault="00B004EC" w:rsidP="00EF5DC3">
    <w:pPr>
      <w:pStyle w:val="Footer"/>
      <w:rPr>
        <w:sz w:val="20"/>
        <w:szCs w:val="20"/>
      </w:rPr>
    </w:pPr>
    <w:r>
      <w:rPr>
        <w:sz w:val="20"/>
        <w:szCs w:val="20"/>
      </w:rPr>
      <w:t>PUBLIC CONSULTATION 2017</w:t>
    </w:r>
    <w:r w:rsidR="00EF5DC3" w:rsidRPr="00987C7B">
      <w:rPr>
        <w:sz w:val="20"/>
        <w:szCs w:val="20"/>
      </w:rPr>
      <w:t xml:space="preserve"> - </w:t>
    </w:r>
    <w:r w:rsidR="00EF5DC3">
      <w:rPr>
        <w:sz w:val="20"/>
        <w:szCs w:val="20"/>
      </w:rPr>
      <w:t>Pure red cell aplasia</w:t>
    </w:r>
  </w:p>
  <w:p w14:paraId="110C363D" w14:textId="77777777" w:rsidR="00EF5DC3" w:rsidRDefault="00EF5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7F191" w14:textId="6A1FF4A8" w:rsidR="00EF5DC3" w:rsidRPr="00652461" w:rsidRDefault="00B004EC" w:rsidP="00EF5DC3">
    <w:pPr>
      <w:pStyle w:val="Footer"/>
      <w:rPr>
        <w:sz w:val="20"/>
        <w:szCs w:val="20"/>
      </w:rPr>
    </w:pPr>
    <w:r>
      <w:rPr>
        <w:sz w:val="20"/>
        <w:szCs w:val="20"/>
      </w:rPr>
      <w:t>PUBLIC CONSULTATION 2017</w:t>
    </w:r>
    <w:r w:rsidR="00EF5DC3" w:rsidRPr="00987C7B">
      <w:rPr>
        <w:sz w:val="20"/>
        <w:szCs w:val="20"/>
      </w:rPr>
      <w:t xml:space="preserve"> - </w:t>
    </w:r>
    <w:r w:rsidR="00EF5DC3">
      <w:rPr>
        <w:sz w:val="20"/>
        <w:szCs w:val="20"/>
      </w:rPr>
      <w:t>Pure red cell aplasia</w:t>
    </w:r>
  </w:p>
  <w:p w14:paraId="56F77F5C" w14:textId="77777777" w:rsidR="00EF5DC3" w:rsidRDefault="00EF5D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F6D8" w14:textId="1374D684" w:rsidR="00EF5DC3" w:rsidRPr="00652461" w:rsidRDefault="00DC74EA" w:rsidP="00EF5DC3">
    <w:pPr>
      <w:pStyle w:val="Footer"/>
      <w:rPr>
        <w:sz w:val="20"/>
        <w:szCs w:val="20"/>
      </w:rPr>
    </w:pPr>
    <w:r>
      <w:rPr>
        <w:sz w:val="20"/>
        <w:szCs w:val="20"/>
      </w:rPr>
      <w:t>PUBLIC CONSULTATION 2017</w:t>
    </w:r>
    <w:r w:rsidR="00EF5DC3" w:rsidRPr="00987C7B">
      <w:rPr>
        <w:sz w:val="20"/>
        <w:szCs w:val="20"/>
      </w:rPr>
      <w:t xml:space="preserve"> - </w:t>
    </w:r>
    <w:r w:rsidR="00EF5DC3">
      <w:rPr>
        <w:sz w:val="20"/>
        <w:szCs w:val="20"/>
      </w:rPr>
      <w:t>Pure red cell aplasia</w:t>
    </w:r>
  </w:p>
  <w:p w14:paraId="2838CDF8" w14:textId="77777777"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EF0149"/>
    <w:multiLevelType w:val="hybridMultilevel"/>
    <w:tmpl w:val="1E2618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14B7E"/>
    <w:multiLevelType w:val="hybridMultilevel"/>
    <w:tmpl w:val="EED4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5">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572F8"/>
    <w:multiLevelType w:val="hybridMultilevel"/>
    <w:tmpl w:val="6BB218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D3557BE"/>
    <w:multiLevelType w:val="hybridMultilevel"/>
    <w:tmpl w:val="9AA8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40"/>
  </w:num>
  <w:num w:numId="5">
    <w:abstractNumId w:val="17"/>
  </w:num>
  <w:num w:numId="6">
    <w:abstractNumId w:val="2"/>
  </w:num>
  <w:num w:numId="7">
    <w:abstractNumId w:val="1"/>
  </w:num>
  <w:num w:numId="8">
    <w:abstractNumId w:val="4"/>
  </w:num>
  <w:num w:numId="9">
    <w:abstractNumId w:val="0"/>
  </w:num>
  <w:num w:numId="10">
    <w:abstractNumId w:val="44"/>
  </w:num>
  <w:num w:numId="11">
    <w:abstractNumId w:val="29"/>
  </w:num>
  <w:num w:numId="12">
    <w:abstractNumId w:val="35"/>
  </w:num>
  <w:num w:numId="13">
    <w:abstractNumId w:val="14"/>
  </w:num>
  <w:num w:numId="14">
    <w:abstractNumId w:val="22"/>
  </w:num>
  <w:num w:numId="15">
    <w:abstractNumId w:val="13"/>
  </w:num>
  <w:num w:numId="16">
    <w:abstractNumId w:val="39"/>
  </w:num>
  <w:num w:numId="17">
    <w:abstractNumId w:val="6"/>
  </w:num>
  <w:num w:numId="18">
    <w:abstractNumId w:val="18"/>
  </w:num>
  <w:num w:numId="19">
    <w:abstractNumId w:val="33"/>
  </w:num>
  <w:num w:numId="20">
    <w:abstractNumId w:val="46"/>
  </w:num>
  <w:num w:numId="21">
    <w:abstractNumId w:val="15"/>
  </w:num>
  <w:num w:numId="22">
    <w:abstractNumId w:val="34"/>
  </w:num>
  <w:num w:numId="23">
    <w:abstractNumId w:val="12"/>
  </w:num>
  <w:num w:numId="24">
    <w:abstractNumId w:val="3"/>
  </w:num>
  <w:num w:numId="25">
    <w:abstractNumId w:val="37"/>
  </w:num>
  <w:num w:numId="26">
    <w:abstractNumId w:val="25"/>
  </w:num>
  <w:num w:numId="27">
    <w:abstractNumId w:val="42"/>
  </w:num>
  <w:num w:numId="28">
    <w:abstractNumId w:val="30"/>
  </w:num>
  <w:num w:numId="29">
    <w:abstractNumId w:val="31"/>
  </w:num>
  <w:num w:numId="30">
    <w:abstractNumId w:val="9"/>
  </w:num>
  <w:num w:numId="31">
    <w:abstractNumId w:val="10"/>
  </w:num>
  <w:num w:numId="32">
    <w:abstractNumId w:val="28"/>
  </w:num>
  <w:num w:numId="33">
    <w:abstractNumId w:val="45"/>
  </w:num>
  <w:num w:numId="34">
    <w:abstractNumId w:val="21"/>
  </w:num>
  <w:num w:numId="35">
    <w:abstractNumId w:val="32"/>
  </w:num>
  <w:num w:numId="36">
    <w:abstractNumId w:val="20"/>
  </w:num>
  <w:num w:numId="37">
    <w:abstractNumId w:val="16"/>
  </w:num>
  <w:num w:numId="38">
    <w:abstractNumId w:val="24"/>
  </w:num>
  <w:num w:numId="39">
    <w:abstractNumId w:val="27"/>
  </w:num>
  <w:num w:numId="40">
    <w:abstractNumId w:val="8"/>
  </w:num>
  <w:num w:numId="41">
    <w:abstractNumId w:val="41"/>
  </w:num>
  <w:num w:numId="42">
    <w:abstractNumId w:val="43"/>
  </w:num>
  <w:num w:numId="43">
    <w:abstractNumId w:val="26"/>
  </w:num>
  <w:num w:numId="44">
    <w:abstractNumId w:val="7"/>
  </w:num>
  <w:num w:numId="45">
    <w:abstractNumId w:val="47"/>
  </w:num>
  <w:num w:numId="46">
    <w:abstractNumId w:val="11"/>
  </w:num>
  <w:num w:numId="47">
    <w:abstractNumId w:val="38"/>
  </w:num>
  <w:num w:numId="48">
    <w:abstractNumId w:val="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1494"/>
    <w:rsid w:val="00036EDC"/>
    <w:rsid w:val="0005378B"/>
    <w:rsid w:val="0007639A"/>
    <w:rsid w:val="00085B41"/>
    <w:rsid w:val="000A0CA8"/>
    <w:rsid w:val="000A3A69"/>
    <w:rsid w:val="000A65C9"/>
    <w:rsid w:val="000B27A7"/>
    <w:rsid w:val="000C0B02"/>
    <w:rsid w:val="000E09C4"/>
    <w:rsid w:val="000E4D1E"/>
    <w:rsid w:val="00101173"/>
    <w:rsid w:val="00153753"/>
    <w:rsid w:val="00161D54"/>
    <w:rsid w:val="00165F48"/>
    <w:rsid w:val="0017270F"/>
    <w:rsid w:val="001849B2"/>
    <w:rsid w:val="00184E12"/>
    <w:rsid w:val="00186CF7"/>
    <w:rsid w:val="001A2460"/>
    <w:rsid w:val="001A25B4"/>
    <w:rsid w:val="001A4BCD"/>
    <w:rsid w:val="001A5A47"/>
    <w:rsid w:val="001C45B4"/>
    <w:rsid w:val="001D0AF3"/>
    <w:rsid w:val="001E102B"/>
    <w:rsid w:val="001E1506"/>
    <w:rsid w:val="001E5EDE"/>
    <w:rsid w:val="001F5C27"/>
    <w:rsid w:val="00210B9B"/>
    <w:rsid w:val="0021160F"/>
    <w:rsid w:val="0021213D"/>
    <w:rsid w:val="00216823"/>
    <w:rsid w:val="00217D7D"/>
    <w:rsid w:val="002306B2"/>
    <w:rsid w:val="00236B19"/>
    <w:rsid w:val="00240825"/>
    <w:rsid w:val="002506FF"/>
    <w:rsid w:val="002537F2"/>
    <w:rsid w:val="00255740"/>
    <w:rsid w:val="00275679"/>
    <w:rsid w:val="00282F66"/>
    <w:rsid w:val="002936DD"/>
    <w:rsid w:val="00295CD3"/>
    <w:rsid w:val="002D0D03"/>
    <w:rsid w:val="002D2007"/>
    <w:rsid w:val="002D3B35"/>
    <w:rsid w:val="002F3325"/>
    <w:rsid w:val="00320BEB"/>
    <w:rsid w:val="00327526"/>
    <w:rsid w:val="0033060E"/>
    <w:rsid w:val="003803B9"/>
    <w:rsid w:val="00381922"/>
    <w:rsid w:val="00384423"/>
    <w:rsid w:val="0039167F"/>
    <w:rsid w:val="00393674"/>
    <w:rsid w:val="00395032"/>
    <w:rsid w:val="003A1F9D"/>
    <w:rsid w:val="003D1795"/>
    <w:rsid w:val="003D27F1"/>
    <w:rsid w:val="003E3235"/>
    <w:rsid w:val="003F11F8"/>
    <w:rsid w:val="00403201"/>
    <w:rsid w:val="00433C78"/>
    <w:rsid w:val="00433E58"/>
    <w:rsid w:val="00445EDE"/>
    <w:rsid w:val="00447869"/>
    <w:rsid w:val="00454FA8"/>
    <w:rsid w:val="00460325"/>
    <w:rsid w:val="00463B0C"/>
    <w:rsid w:val="00471438"/>
    <w:rsid w:val="0047615E"/>
    <w:rsid w:val="004856E4"/>
    <w:rsid w:val="004A10A2"/>
    <w:rsid w:val="004B14F4"/>
    <w:rsid w:val="004B798D"/>
    <w:rsid w:val="004D4636"/>
    <w:rsid w:val="004E0B2B"/>
    <w:rsid w:val="004E3F0B"/>
    <w:rsid w:val="004E4A52"/>
    <w:rsid w:val="005023CE"/>
    <w:rsid w:val="00520B7D"/>
    <w:rsid w:val="00525C51"/>
    <w:rsid w:val="00531E6D"/>
    <w:rsid w:val="00540020"/>
    <w:rsid w:val="00543C69"/>
    <w:rsid w:val="005546AE"/>
    <w:rsid w:val="00561F97"/>
    <w:rsid w:val="005629EE"/>
    <w:rsid w:val="00567286"/>
    <w:rsid w:val="00584BEC"/>
    <w:rsid w:val="005851ED"/>
    <w:rsid w:val="00595A0A"/>
    <w:rsid w:val="005960E7"/>
    <w:rsid w:val="005D2C3D"/>
    <w:rsid w:val="005E04F6"/>
    <w:rsid w:val="00602D7D"/>
    <w:rsid w:val="00613EE1"/>
    <w:rsid w:val="006201B1"/>
    <w:rsid w:val="00631EAB"/>
    <w:rsid w:val="006427C2"/>
    <w:rsid w:val="00642A5C"/>
    <w:rsid w:val="00644285"/>
    <w:rsid w:val="00652461"/>
    <w:rsid w:val="00657F36"/>
    <w:rsid w:val="006627B5"/>
    <w:rsid w:val="00662875"/>
    <w:rsid w:val="00662B91"/>
    <w:rsid w:val="006631E9"/>
    <w:rsid w:val="00666AA5"/>
    <w:rsid w:val="0067045D"/>
    <w:rsid w:val="00670D34"/>
    <w:rsid w:val="00685154"/>
    <w:rsid w:val="006855AF"/>
    <w:rsid w:val="0069022A"/>
    <w:rsid w:val="00695219"/>
    <w:rsid w:val="006B0323"/>
    <w:rsid w:val="006B4C33"/>
    <w:rsid w:val="006C6A14"/>
    <w:rsid w:val="006D221F"/>
    <w:rsid w:val="006D2521"/>
    <w:rsid w:val="006D2FA8"/>
    <w:rsid w:val="006D36A9"/>
    <w:rsid w:val="006E47EE"/>
    <w:rsid w:val="006F1FA7"/>
    <w:rsid w:val="006F485E"/>
    <w:rsid w:val="00702EB0"/>
    <w:rsid w:val="0075469F"/>
    <w:rsid w:val="00787242"/>
    <w:rsid w:val="007B0C7B"/>
    <w:rsid w:val="007B2100"/>
    <w:rsid w:val="007C7B0F"/>
    <w:rsid w:val="007F3022"/>
    <w:rsid w:val="008041F6"/>
    <w:rsid w:val="00805923"/>
    <w:rsid w:val="00812A91"/>
    <w:rsid w:val="00832D0D"/>
    <w:rsid w:val="00837689"/>
    <w:rsid w:val="00847EC8"/>
    <w:rsid w:val="008515FF"/>
    <w:rsid w:val="00853117"/>
    <w:rsid w:val="008565A9"/>
    <w:rsid w:val="00856708"/>
    <w:rsid w:val="00860996"/>
    <w:rsid w:val="008612AB"/>
    <w:rsid w:val="008639F9"/>
    <w:rsid w:val="00880ECB"/>
    <w:rsid w:val="00893E0A"/>
    <w:rsid w:val="00896241"/>
    <w:rsid w:val="008B1889"/>
    <w:rsid w:val="008C6A3E"/>
    <w:rsid w:val="008D79EE"/>
    <w:rsid w:val="00901446"/>
    <w:rsid w:val="00901F76"/>
    <w:rsid w:val="009025B7"/>
    <w:rsid w:val="0091649D"/>
    <w:rsid w:val="009208EC"/>
    <w:rsid w:val="009221AD"/>
    <w:rsid w:val="00933536"/>
    <w:rsid w:val="009347BC"/>
    <w:rsid w:val="0093594E"/>
    <w:rsid w:val="00951B85"/>
    <w:rsid w:val="00981216"/>
    <w:rsid w:val="00982D63"/>
    <w:rsid w:val="009B04BD"/>
    <w:rsid w:val="009C1E09"/>
    <w:rsid w:val="009E38CC"/>
    <w:rsid w:val="009F200E"/>
    <w:rsid w:val="009F4509"/>
    <w:rsid w:val="00A0276B"/>
    <w:rsid w:val="00A0352E"/>
    <w:rsid w:val="00A05745"/>
    <w:rsid w:val="00A23D1D"/>
    <w:rsid w:val="00A31C82"/>
    <w:rsid w:val="00A357C4"/>
    <w:rsid w:val="00A50810"/>
    <w:rsid w:val="00A57D60"/>
    <w:rsid w:val="00A7510F"/>
    <w:rsid w:val="00A80A19"/>
    <w:rsid w:val="00A81C38"/>
    <w:rsid w:val="00AA19C1"/>
    <w:rsid w:val="00AA48C6"/>
    <w:rsid w:val="00AB120F"/>
    <w:rsid w:val="00AD086B"/>
    <w:rsid w:val="00AD4362"/>
    <w:rsid w:val="00AE5015"/>
    <w:rsid w:val="00AE63FA"/>
    <w:rsid w:val="00AF5861"/>
    <w:rsid w:val="00B004EC"/>
    <w:rsid w:val="00B27930"/>
    <w:rsid w:val="00B35BD7"/>
    <w:rsid w:val="00B3726E"/>
    <w:rsid w:val="00B458D6"/>
    <w:rsid w:val="00B50562"/>
    <w:rsid w:val="00B53845"/>
    <w:rsid w:val="00B73719"/>
    <w:rsid w:val="00BA76E3"/>
    <w:rsid w:val="00BB147B"/>
    <w:rsid w:val="00BD6C2D"/>
    <w:rsid w:val="00BD7111"/>
    <w:rsid w:val="00BD735D"/>
    <w:rsid w:val="00BF6734"/>
    <w:rsid w:val="00C21002"/>
    <w:rsid w:val="00C24E0B"/>
    <w:rsid w:val="00C30FD5"/>
    <w:rsid w:val="00C34D27"/>
    <w:rsid w:val="00C364CA"/>
    <w:rsid w:val="00C51E04"/>
    <w:rsid w:val="00C84149"/>
    <w:rsid w:val="00C92149"/>
    <w:rsid w:val="00CA4321"/>
    <w:rsid w:val="00CB47C1"/>
    <w:rsid w:val="00CB50C5"/>
    <w:rsid w:val="00CC12B9"/>
    <w:rsid w:val="00CD5856"/>
    <w:rsid w:val="00CD71B0"/>
    <w:rsid w:val="00CD7B8A"/>
    <w:rsid w:val="00CE19CB"/>
    <w:rsid w:val="00CF45D6"/>
    <w:rsid w:val="00D16B82"/>
    <w:rsid w:val="00D17E7A"/>
    <w:rsid w:val="00D17FEC"/>
    <w:rsid w:val="00D24193"/>
    <w:rsid w:val="00D44449"/>
    <w:rsid w:val="00D67CFD"/>
    <w:rsid w:val="00D7454E"/>
    <w:rsid w:val="00D874FD"/>
    <w:rsid w:val="00D96987"/>
    <w:rsid w:val="00DB17C2"/>
    <w:rsid w:val="00DB1925"/>
    <w:rsid w:val="00DC74EA"/>
    <w:rsid w:val="00DD166F"/>
    <w:rsid w:val="00DF3F25"/>
    <w:rsid w:val="00E26190"/>
    <w:rsid w:val="00E337E6"/>
    <w:rsid w:val="00E4374A"/>
    <w:rsid w:val="00E62E16"/>
    <w:rsid w:val="00E672AA"/>
    <w:rsid w:val="00E712B5"/>
    <w:rsid w:val="00EA2E82"/>
    <w:rsid w:val="00EB78FB"/>
    <w:rsid w:val="00EC0889"/>
    <w:rsid w:val="00EF5DC3"/>
    <w:rsid w:val="00F42816"/>
    <w:rsid w:val="00F53286"/>
    <w:rsid w:val="00F66136"/>
    <w:rsid w:val="00F70578"/>
    <w:rsid w:val="00FB7459"/>
    <w:rsid w:val="00FC0E9B"/>
    <w:rsid w:val="00FC5CB0"/>
    <w:rsid w:val="00FD2CCD"/>
    <w:rsid w:val="00FE1B13"/>
    <w:rsid w:val="00FE1EE0"/>
    <w:rsid w:val="00FE5B66"/>
    <w:rsid w:val="00FF2095"/>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B75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4E3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4E3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 w:id="20208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cbi.nlm.nih.gov/pubmed/24134728"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ncbi.nlm.nih.gov/pubmed/1599007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24042508" TargetMode="External"/><Relationship Id="rId25" Type="http://schemas.openxmlformats.org/officeDocument/2006/relationships/hyperlink" Target="https://www.ncbi.nlm.nih.gov/pubmed/26177162" TargetMode="External"/><Relationship Id="rId2" Type="http://schemas.openxmlformats.org/officeDocument/2006/relationships/numbering" Target="numbering.xml"/><Relationship Id="rId16" Type="http://schemas.openxmlformats.org/officeDocument/2006/relationships/hyperlink" Target="https://www.ncbi.nlm.nih.gov/pubmed/11127313" TargetMode="External"/><Relationship Id="rId20" Type="http://schemas.openxmlformats.org/officeDocument/2006/relationships/hyperlink" Target="http://link.springer.com/article/10.1007/s00431-014-24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transfusionontario.org/en/download/ontario-intravenous-immune-globulin-ivig-utilization-management-guidelines-2/" TargetMode="External"/><Relationship Id="rId5" Type="http://schemas.openxmlformats.org/officeDocument/2006/relationships/settings" Target="settings.xml"/><Relationship Id="rId15" Type="http://schemas.openxmlformats.org/officeDocument/2006/relationships/hyperlink" Target="https://www.ncbi.nlm.nih.gov/pubmed/23243178" TargetMode="External"/><Relationship Id="rId23" Type="http://schemas.openxmlformats.org/officeDocument/2006/relationships/hyperlink" Target="https://www.ncbi.nlm.nih.gov/pubmed/26981948"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ncbi.nlm.nih.gov/pubmed/1033150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cbi.nlm.nih.gov/pubmed/2533662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74FA-45B4-4F5F-8180-2D84DB6F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12</cp:revision>
  <cp:lastPrinted>2017-04-10T23:51:00Z</cp:lastPrinted>
  <dcterms:created xsi:type="dcterms:W3CDTF">2017-03-15T22:50:00Z</dcterms:created>
  <dcterms:modified xsi:type="dcterms:W3CDTF">2017-04-10T23:51:00Z</dcterms:modified>
</cp:coreProperties>
</file>