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BD3D" w14:textId="19AF72F7" w:rsidR="00447869" w:rsidRPr="00892CC0" w:rsidRDefault="007146E1" w:rsidP="00892CC0">
      <w:pPr>
        <w:ind w:left="-28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92CC0">
        <w:rPr>
          <w:rFonts w:ascii="Arial" w:hAnsi="Arial" w:cs="Arial"/>
          <w:sz w:val="28"/>
          <w:szCs w:val="28"/>
        </w:rPr>
        <w:t xml:space="preserve">2017 (v3.0) Proposed changes to </w:t>
      </w:r>
      <w:r w:rsidR="00955F43" w:rsidRPr="00892CC0">
        <w:rPr>
          <w:rFonts w:ascii="Arial" w:hAnsi="Arial" w:cs="Arial"/>
          <w:sz w:val="28"/>
          <w:szCs w:val="28"/>
        </w:rPr>
        <w:t xml:space="preserve">v2.1 of </w:t>
      </w:r>
      <w:r w:rsidRPr="00892CC0">
        <w:rPr>
          <w:rFonts w:ascii="Arial" w:hAnsi="Arial" w:cs="Arial"/>
          <w:sz w:val="28"/>
          <w:szCs w:val="28"/>
        </w:rPr>
        <w:t>the Criteria for the clinical use of intravenous immunoglobulin in Australia</w:t>
      </w: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4537"/>
        <w:gridCol w:w="10064"/>
      </w:tblGrid>
      <w:tr w:rsidR="00BE772E" w:rsidRPr="00447869" w14:paraId="4583CDAE" w14:textId="77777777" w:rsidTr="007D47CD">
        <w:tc>
          <w:tcPr>
            <w:tcW w:w="4537" w:type="dxa"/>
            <w:shd w:val="clear" w:color="auto" w:fill="DBE5F1" w:themeFill="accent1" w:themeFillTint="33"/>
          </w:tcPr>
          <w:p w14:paraId="768C8E32" w14:textId="737572F4" w:rsidR="00793EB5" w:rsidRPr="00447869" w:rsidRDefault="00793EB5" w:rsidP="00A1253F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CONDITION NAME IN </w:t>
            </w:r>
            <w:r w:rsidR="00D86AB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2.1 </w:t>
            </w:r>
          </w:p>
        </w:tc>
        <w:tc>
          <w:tcPr>
            <w:tcW w:w="10064" w:type="dxa"/>
            <w:shd w:val="clear" w:color="auto" w:fill="DBE5F1" w:themeFill="accent1" w:themeFillTint="33"/>
          </w:tcPr>
          <w:p w14:paraId="0938077C" w14:textId="77777777" w:rsidR="00793EB5" w:rsidRPr="00447869" w:rsidRDefault="0028662F" w:rsidP="007830E1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 w:rsidRPr="0028662F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Pure white cell aplasia (PWCA)</w:t>
            </w:r>
          </w:p>
        </w:tc>
      </w:tr>
      <w:tr w:rsidR="00BE772E" w:rsidRPr="00447869" w14:paraId="5D28EBB4" w14:textId="77777777" w:rsidTr="007D47CD">
        <w:tc>
          <w:tcPr>
            <w:tcW w:w="4537" w:type="dxa"/>
            <w:shd w:val="clear" w:color="auto" w:fill="auto"/>
          </w:tcPr>
          <w:p w14:paraId="062FA119" w14:textId="2CBA123E" w:rsidR="00BE772E" w:rsidRDefault="001013E1" w:rsidP="00BE772E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PROPOSED APPROACH</w:t>
            </w:r>
            <w:r w:rsidR="00BE772E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: </w:t>
            </w:r>
          </w:p>
          <w:p w14:paraId="03308ACF" w14:textId="738186F6" w:rsidR="00BE772E" w:rsidRDefault="001013E1" w:rsidP="001013E1">
            <w:pP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To move</w:t>
            </w:r>
            <w:r w:rsidR="00BE772E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Pure white cell aplasia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from 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Exceptional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>circumstances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 only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to </w:t>
            </w:r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 xml:space="preserve">Not </w:t>
            </w:r>
            <w:proofErr w:type="gramStart"/>
            <w:r w:rsidRPr="00D43CAC">
              <w:rPr>
                <w:rFonts w:asciiTheme="minorHAnsi" w:eastAsia="Times New Roman" w:hAnsiTheme="minorHAnsi" w:cs="Times New Roman"/>
                <w:b/>
                <w:bCs/>
                <w:i/>
                <w:lang w:eastAsia="en-AU"/>
              </w:rPr>
              <w:t>supported</w:t>
            </w:r>
            <w:proofErr w:type="gramEnd"/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with the changes</w:t>
            </w:r>
            <w:r w:rsidR="006D16C9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as 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outlined.</w:t>
            </w:r>
          </w:p>
          <w:p w14:paraId="31EF3740" w14:textId="77777777" w:rsidR="003E3235" w:rsidRPr="00C92149" w:rsidRDefault="003E3235" w:rsidP="00AD1EF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</w:p>
        </w:tc>
        <w:tc>
          <w:tcPr>
            <w:tcW w:w="10064" w:type="dxa"/>
            <w:shd w:val="clear" w:color="auto" w:fill="auto"/>
          </w:tcPr>
          <w:p w14:paraId="4127547D" w14:textId="77777777" w:rsidR="00642A5C" w:rsidRDefault="00642A5C" w:rsidP="008612AB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SUMMARY OF RATIONALE: </w:t>
            </w:r>
          </w:p>
          <w:p w14:paraId="4CB365E0" w14:textId="77777777" w:rsidR="00BE772E" w:rsidRDefault="00BE772E" w:rsidP="00BE772E">
            <w:pPr>
              <w:pStyle w:val="ListParagraph"/>
              <w:ind w:left="0"/>
              <w:rPr>
                <w:b/>
                <w:lang w:eastAsia="en-AU"/>
              </w:rPr>
            </w:pPr>
            <w:r w:rsidRPr="004813E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The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recommendation is supported by factors including that:</w:t>
            </w:r>
          </w:p>
          <w:p w14:paraId="3F1ACB76" w14:textId="1ABFF271" w:rsidR="00D701A9" w:rsidRDefault="00D701A9">
            <w:pPr>
              <w:pStyle w:val="ListParagraph"/>
              <w:numPr>
                <w:ilvl w:val="0"/>
                <w:numId w:val="46"/>
              </w:numPr>
            </w:pPr>
            <w:r w:rsidRPr="003E0554">
              <w:t xml:space="preserve">There have been no </w:t>
            </w:r>
            <w:r>
              <w:t xml:space="preserve">published </w:t>
            </w:r>
            <w:r w:rsidRPr="003E0554">
              <w:t xml:space="preserve">randomised </w:t>
            </w:r>
            <w:r>
              <w:t xml:space="preserve">clinical </w:t>
            </w:r>
            <w:r w:rsidRPr="003E0554">
              <w:t xml:space="preserve">trials </w:t>
            </w:r>
            <w:r>
              <w:t>in PWCA and the only p</w:t>
            </w:r>
            <w:r w:rsidRPr="003E0554">
              <w:t xml:space="preserve">ublished evidence remains </w:t>
            </w:r>
            <w:r>
              <w:t xml:space="preserve">to be </w:t>
            </w:r>
            <w:r w:rsidRPr="003E0554">
              <w:t>single case presentations</w:t>
            </w:r>
            <w:r w:rsidR="00A426E7">
              <w:t xml:space="preserve"> (</w:t>
            </w:r>
            <w:proofErr w:type="spellStart"/>
            <w:r w:rsidR="00A426E7">
              <w:t>Barbui</w:t>
            </w:r>
            <w:proofErr w:type="spellEnd"/>
            <w:r w:rsidR="00A426E7">
              <w:t xml:space="preserve"> et al, 1984 and Kim et al</w:t>
            </w:r>
            <w:r w:rsidR="00E24836">
              <w:t xml:space="preserve">, 2016) </w:t>
            </w:r>
            <w:r>
              <w:t xml:space="preserve">reporting vague associations of response to </w:t>
            </w:r>
            <w:proofErr w:type="spellStart"/>
            <w:r w:rsidR="004939F2">
              <w:t>IVIg</w:t>
            </w:r>
            <w:proofErr w:type="spellEnd"/>
            <w:r>
              <w:t>.</w:t>
            </w:r>
          </w:p>
          <w:p w14:paraId="01FC45E9" w14:textId="01F2682E" w:rsidR="00D701A9" w:rsidRDefault="00D701A9" w:rsidP="00D701A9">
            <w:pPr>
              <w:pStyle w:val="ListParagraph"/>
              <w:numPr>
                <w:ilvl w:val="0"/>
                <w:numId w:val="46"/>
              </w:numPr>
            </w:pPr>
            <w:r>
              <w:t>Spontaneous resolution is expected following the removal of causal agents and treatment of underlying conditions with</w:t>
            </w:r>
            <w:r w:rsidR="00D75501">
              <w:t xml:space="preserve"> G-CSF (Granulocyte</w:t>
            </w:r>
            <w:r w:rsidR="00DF7A7B">
              <w:t xml:space="preserve"> - Colony Stimulating Factor)</w:t>
            </w:r>
            <w:r>
              <w:t xml:space="preserve">. </w:t>
            </w:r>
          </w:p>
          <w:p w14:paraId="4612BF88" w14:textId="77777777" w:rsidR="00D701A9" w:rsidRPr="00497123" w:rsidRDefault="00D701A9" w:rsidP="00D701A9">
            <w:pPr>
              <w:pStyle w:val="ListParagraph"/>
              <w:numPr>
                <w:ilvl w:val="0"/>
                <w:numId w:val="46"/>
              </w:numPr>
            </w:pPr>
            <w:r>
              <w:t>Alternate therapies of G-CSF, steroids, or other immunosuppressive treatments exist for this disorder.</w:t>
            </w:r>
          </w:p>
          <w:p w14:paraId="584A8D9D" w14:textId="075C08EA" w:rsidR="00D701A9" w:rsidRDefault="004939F2" w:rsidP="00D701A9">
            <w:pPr>
              <w:pStyle w:val="ListParagraph"/>
              <w:numPr>
                <w:ilvl w:val="0"/>
                <w:numId w:val="46"/>
              </w:numPr>
            </w:pPr>
            <w:proofErr w:type="spellStart"/>
            <w:r>
              <w:t>IVIg</w:t>
            </w:r>
            <w:proofErr w:type="spellEnd"/>
            <w:r w:rsidR="00D701A9" w:rsidRPr="003E0554">
              <w:t xml:space="preserve"> is not recommended </w:t>
            </w:r>
            <w:r w:rsidR="00D701A9">
              <w:t xml:space="preserve">for PWCA </w:t>
            </w:r>
            <w:r w:rsidR="00D701A9" w:rsidRPr="003E0554">
              <w:t xml:space="preserve">in the Canadian 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>(</w:t>
            </w:r>
            <w:r w:rsidR="00D75501" w:rsidRPr="002A1261">
              <w:rPr>
                <w:rFonts w:asciiTheme="minorHAnsi" w:hAnsiTheme="minorHAnsi"/>
              </w:rPr>
              <w:t>Ontario Regio</w:t>
            </w:r>
            <w:r w:rsidR="00D75501">
              <w:rPr>
                <w:rFonts w:asciiTheme="minorHAnsi" w:hAnsiTheme="minorHAnsi"/>
              </w:rPr>
              <w:t xml:space="preserve">nal Blood Coordinating Network, 2016) </w:t>
            </w:r>
            <w:r w:rsidR="00D701A9" w:rsidRPr="003E0554">
              <w:t>or UK guidelines</w:t>
            </w:r>
            <w:r w:rsidR="00D75501">
              <w:t xml:space="preserve"> (</w:t>
            </w:r>
            <w:r w:rsidR="00A426E7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UK Department of Health, 2011</w:t>
            </w:r>
            <w:r w:rsidR="00D75501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</w:t>
            </w:r>
            <w:r w:rsidR="00D701A9">
              <w:t xml:space="preserve"> for </w:t>
            </w:r>
            <w:proofErr w:type="spellStart"/>
            <w:r>
              <w:t>IVIg</w:t>
            </w:r>
            <w:proofErr w:type="spellEnd"/>
            <w:r w:rsidR="00D701A9">
              <w:t xml:space="preserve"> use</w:t>
            </w:r>
            <w:r w:rsidR="00D701A9" w:rsidRPr="003E0554">
              <w:t>.</w:t>
            </w:r>
          </w:p>
          <w:p w14:paraId="232FED48" w14:textId="77777777" w:rsidR="00FF4718" w:rsidRDefault="00D701A9" w:rsidP="00A426E7">
            <w:pPr>
              <w:pStyle w:val="ListParagraph"/>
              <w:numPr>
                <w:ilvl w:val="0"/>
                <w:numId w:val="46"/>
              </w:numPr>
            </w:pPr>
            <w:r>
              <w:t xml:space="preserve">There has been </w:t>
            </w:r>
            <w:r w:rsidR="00D95EFE">
              <w:t>negligible</w:t>
            </w:r>
            <w:r>
              <w:t xml:space="preserve"> Ig use fo</w:t>
            </w:r>
            <w:r w:rsidR="00530FD9">
              <w:t>r this condition over the last 5</w:t>
            </w:r>
            <w:r w:rsidR="00D95EFE">
              <w:t xml:space="preserve"> years (zero in the past two years).</w:t>
            </w:r>
          </w:p>
          <w:p w14:paraId="7E960ACA" w14:textId="0112DF9C" w:rsidR="009B0C00" w:rsidRPr="00A426E7" w:rsidRDefault="009B0C00" w:rsidP="009B0C00">
            <w:pPr>
              <w:pStyle w:val="ListParagraph"/>
            </w:pPr>
          </w:p>
        </w:tc>
      </w:tr>
      <w:tr w:rsidR="008612AB" w:rsidRPr="00447869" w14:paraId="15FC9F61" w14:textId="77777777" w:rsidTr="00437609">
        <w:tc>
          <w:tcPr>
            <w:tcW w:w="14601" w:type="dxa"/>
            <w:gridSpan w:val="2"/>
            <w:shd w:val="clear" w:color="auto" w:fill="auto"/>
          </w:tcPr>
          <w:p w14:paraId="49E4910C" w14:textId="42E72C4A" w:rsidR="00DF7A7B" w:rsidRDefault="008612AB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Role of Ig therapy</w:t>
            </w:r>
            <w:r w:rsidR="007830E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, if appropriate:</w:t>
            </w:r>
            <w:r w:rsidR="009E0D07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 </w:t>
            </w:r>
            <w:r w:rsidR="009E0D07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B82579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PWCA is 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very 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uncommon with patients presenting clinically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with severe neutropenia, 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>recurrent infections</w:t>
            </w:r>
            <w:r w:rsidR="003F221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and 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profound </w:t>
            </w:r>
            <w:r w:rsidR="003F2218">
              <w:rPr>
                <w:rFonts w:asciiTheme="minorHAnsi" w:eastAsia="Times New Roman" w:hAnsiTheme="minorHAnsi" w:cs="Times New Roman"/>
                <w:bCs/>
                <w:lang w:eastAsia="en-AU"/>
              </w:rPr>
              <w:t>agranulocytosis on bone marrow biopsy</w:t>
            </w:r>
            <w:r w:rsidR="00BE5352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The condition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has been assoc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iated with autoimmune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diseases</w:t>
            </w:r>
            <w:r w:rsidR="007B4938">
              <w:rPr>
                <w:rFonts w:asciiTheme="minorHAnsi" w:eastAsia="Times New Roman" w:hAnsiTheme="minorHAnsi" w:cs="Times New Roman"/>
                <w:bCs/>
                <w:lang w:eastAsia="en-AU"/>
              </w:rPr>
              <w:t>,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drug indu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ced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or</w:t>
            </w:r>
            <w:r w:rsidR="00B74C8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viral exposures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Treatment varies but is centred on immunosuppression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with the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removal of any offending agents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and treatment with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G-CSF. While some reported cases have been treated with Ig therapy in combination with the above, alternative therapies are seen to be more effective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and the evidence of any additional benefit from Ig therapy is very weak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PWCA is not listed in international Guidelines for </w:t>
            </w:r>
            <w:proofErr w:type="spellStart"/>
            <w:r w:rsidR="004939F2">
              <w:rPr>
                <w:rFonts w:asciiTheme="minorHAnsi" w:eastAsia="Times New Roman" w:hAnsiTheme="minorHAnsi" w:cs="Times New Roman"/>
                <w:bCs/>
                <w:lang w:eastAsia="en-AU"/>
              </w:rPr>
              <w:t>IVIg</w:t>
            </w:r>
            <w:proofErr w:type="spellEnd"/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utilization in Canada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</w:t>
            </w:r>
            <w:r w:rsidR="00D75501" w:rsidRPr="002A1261">
              <w:rPr>
                <w:rFonts w:asciiTheme="minorHAnsi" w:hAnsiTheme="minorHAnsi"/>
              </w:rPr>
              <w:t>Ontario Regio</w:t>
            </w:r>
            <w:r w:rsidR="00D75501">
              <w:rPr>
                <w:rFonts w:asciiTheme="minorHAnsi" w:hAnsiTheme="minorHAnsi"/>
              </w:rPr>
              <w:t xml:space="preserve">nal Blood Coordinating Network, 2016) 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>or the United Kingdom</w:t>
            </w:r>
            <w:r w:rsidR="00D7550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</w:t>
            </w:r>
            <w:r w:rsidR="00D75501">
              <w:t>(</w:t>
            </w:r>
            <w:r w:rsidR="00A426E7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UK Department of Health, 2011</w:t>
            </w:r>
            <w:r w:rsidR="00D75501">
              <w:rPr>
                <w:rFonts w:asciiTheme="minorHAnsi" w:eastAsia="Times New Roman" w:hAnsiTheme="minorHAnsi" w:cs="Times New Roman"/>
                <w:color w:val="000000"/>
                <w:lang w:eastAsia="en-AU"/>
              </w:rPr>
              <w:t>)</w:t>
            </w:r>
            <w:r w:rsidR="00DF7A7B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</w:p>
          <w:p w14:paraId="05E75034" w14:textId="4EDF9D7F" w:rsidR="008612AB" w:rsidRPr="009E0D07" w:rsidRDefault="00DF7A7B" w:rsidP="00507846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Where neutropenia is related to an underlying autoimmune process, </w:t>
            </w:r>
            <w:r w:rsidR="00875654">
              <w:rPr>
                <w:rFonts w:asciiTheme="minorHAnsi" w:eastAsia="Times New Roman" w:hAnsiTheme="minorHAnsi" w:cs="Times New Roman"/>
                <w:bCs/>
                <w:lang w:eastAsia="en-AU"/>
              </w:rPr>
              <w:t>that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condition (Autoimmune neutropenia) has been retained. </w:t>
            </w:r>
          </w:p>
        </w:tc>
      </w:tr>
      <w:tr w:rsidR="00E7550D" w:rsidRPr="00447869" w14:paraId="64CD9FDB" w14:textId="77777777" w:rsidTr="00437609">
        <w:trPr>
          <w:trHeight w:val="515"/>
        </w:trPr>
        <w:tc>
          <w:tcPr>
            <w:tcW w:w="14601" w:type="dxa"/>
            <w:gridSpan w:val="2"/>
            <w:shd w:val="clear" w:color="auto" w:fill="DBE5F1" w:themeFill="accent1" w:themeFillTint="33"/>
          </w:tcPr>
          <w:p w14:paraId="177B0077" w14:textId="7A1FB4E0" w:rsidR="00E7550D" w:rsidRDefault="00E7550D" w:rsidP="00A1253F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Access Information in </w:t>
            </w:r>
            <w:r w:rsidR="00D86AB1"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v</w:t>
            </w: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2.1 </w:t>
            </w:r>
          </w:p>
        </w:tc>
      </w:tr>
      <w:tr w:rsidR="00BE772E" w:rsidRPr="00447869" w14:paraId="054A1DCB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3F7A9177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 xml:space="preserve">Condition Category </w:t>
            </w:r>
          </w:p>
        </w:tc>
        <w:tc>
          <w:tcPr>
            <w:tcW w:w="10064" w:type="dxa"/>
            <w:shd w:val="clear" w:color="auto" w:fill="auto"/>
          </w:tcPr>
          <w:p w14:paraId="5C2B5433" w14:textId="2D6AFDE5" w:rsidR="00793EB5" w:rsidRPr="00E7550D" w:rsidRDefault="00A1253F" w:rsidP="00793EB5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Condition for which Ig use is in e</w:t>
            </w:r>
            <w:r w:rsidR="0028662F"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>xceptional circumstances only</w:t>
            </w:r>
            <w:r w:rsidR="001013E1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(Chapter 7)</w:t>
            </w:r>
          </w:p>
        </w:tc>
      </w:tr>
      <w:tr w:rsidR="00BE772E" w:rsidRPr="00447869" w14:paraId="550D61A6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0765B27E" w14:textId="77777777" w:rsidR="00E7550D" w:rsidRDefault="00E7550D" w:rsidP="007830E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Level of Evidence</w:t>
            </w:r>
          </w:p>
        </w:tc>
        <w:tc>
          <w:tcPr>
            <w:tcW w:w="10064" w:type="dxa"/>
            <w:shd w:val="clear" w:color="auto" w:fill="auto"/>
          </w:tcPr>
          <w:p w14:paraId="637D32A9" w14:textId="53374C9E" w:rsidR="00E7550D" w:rsidRPr="00793EB5" w:rsidRDefault="00E24836" w:rsidP="007830E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No included studies</w:t>
            </w:r>
            <w:r w:rsidR="0028662F"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 (Category 4b)</w:t>
            </w:r>
          </w:p>
        </w:tc>
      </w:tr>
      <w:tr w:rsidR="00BE772E" w:rsidRPr="00447869" w14:paraId="6C7A5BF4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7D67F87D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hAnsiTheme="minorHAnsi"/>
                <w:b/>
              </w:rPr>
              <w:t xml:space="preserve">Description </w:t>
            </w:r>
          </w:p>
        </w:tc>
        <w:tc>
          <w:tcPr>
            <w:tcW w:w="10064" w:type="dxa"/>
            <w:shd w:val="clear" w:color="auto" w:fill="auto"/>
          </w:tcPr>
          <w:p w14:paraId="18B4D5CA" w14:textId="071C4B05" w:rsidR="00793EB5" w:rsidRPr="00793EB5" w:rsidRDefault="0028662F" w:rsidP="007830E1">
            <w:pPr>
              <w:spacing w:before="120" w:after="120"/>
              <w:rPr>
                <w:rFonts w:asciiTheme="minorHAnsi" w:eastAsia="Times New Roman" w:hAnsiTheme="minorHAnsi" w:cs="Times New Roman"/>
                <w:bCs/>
                <w:lang w:eastAsia="en-AU"/>
              </w:rPr>
            </w:pPr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>PWCA is a rare syndrome of severe neutropenia and a selective deficiency of granulocyte progenitors. Intravenous immunoglobulin (</w:t>
            </w:r>
            <w:proofErr w:type="spellStart"/>
            <w:r w:rsidR="004939F2">
              <w:rPr>
                <w:rFonts w:asciiTheme="minorHAnsi" w:eastAsia="Times New Roman" w:hAnsiTheme="minorHAnsi" w:cs="Times New Roman"/>
                <w:bCs/>
                <w:lang w:eastAsia="en-AU"/>
              </w:rPr>
              <w:t>IVIg</w:t>
            </w:r>
            <w:proofErr w:type="spellEnd"/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) is a reasonable option for patients with immunological PWCA who have </w:t>
            </w:r>
            <w:r w:rsidRPr="0028662F">
              <w:rPr>
                <w:rFonts w:asciiTheme="minorHAnsi" w:eastAsia="Times New Roman" w:hAnsiTheme="minorHAnsi" w:cs="Times New Roman"/>
                <w:bCs/>
                <w:lang w:eastAsia="en-AU"/>
              </w:rPr>
              <w:lastRenderedPageBreak/>
              <w:t>failed other therapies (e.g. prednisone or cyclosporine).</w:t>
            </w:r>
          </w:p>
        </w:tc>
      </w:tr>
      <w:tr w:rsidR="00BE772E" w:rsidRPr="00447869" w14:paraId="47776251" w14:textId="77777777" w:rsidTr="007D47CD">
        <w:trPr>
          <w:trHeight w:val="515"/>
        </w:trPr>
        <w:tc>
          <w:tcPr>
            <w:tcW w:w="4537" w:type="dxa"/>
            <w:shd w:val="clear" w:color="auto" w:fill="auto"/>
          </w:tcPr>
          <w:p w14:paraId="2D269AF9" w14:textId="77777777" w:rsidR="00793EB5" w:rsidRDefault="00793EB5" w:rsidP="00E7550D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lastRenderedPageBreak/>
              <w:t xml:space="preserve">Qualifying Criteria </w:t>
            </w:r>
          </w:p>
        </w:tc>
        <w:tc>
          <w:tcPr>
            <w:tcW w:w="10064" w:type="dxa"/>
            <w:shd w:val="clear" w:color="auto" w:fill="auto"/>
          </w:tcPr>
          <w:p w14:paraId="3D141BB2" w14:textId="5BD42CBF" w:rsidR="00793EB5" w:rsidRDefault="00793E1F" w:rsidP="00D87794">
            <w:pPr>
              <w:spacing w:before="120" w:after="120"/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lang w:eastAsia="en-AU"/>
              </w:rPr>
              <w:t>Blank</w:t>
            </w:r>
          </w:p>
        </w:tc>
      </w:tr>
      <w:tr w:rsidR="008612AB" w:rsidRPr="00021243" w14:paraId="05EEA777" w14:textId="77777777" w:rsidTr="00437609">
        <w:tblPrEx>
          <w:tblLook w:val="04A0" w:firstRow="1" w:lastRow="0" w:firstColumn="1" w:lastColumn="0" w:noHBand="0" w:noVBand="1"/>
        </w:tblPrEx>
        <w:tc>
          <w:tcPr>
            <w:tcW w:w="14601" w:type="dxa"/>
            <w:gridSpan w:val="2"/>
            <w:shd w:val="clear" w:color="auto" w:fill="DBE5F1" w:themeFill="accent1" w:themeFillTint="33"/>
          </w:tcPr>
          <w:p w14:paraId="08BD79C4" w14:textId="77777777" w:rsidR="009A43A4" w:rsidRDefault="00F42816" w:rsidP="0004182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References</w:t>
            </w:r>
            <w:r w:rsidR="00E7550D">
              <w:rPr>
                <w:rFonts w:asciiTheme="minorHAnsi" w:hAnsiTheme="minorHAnsi"/>
                <w:b/>
              </w:rPr>
              <w:t xml:space="preserve"> </w:t>
            </w:r>
          </w:p>
          <w:p w14:paraId="4A03916C" w14:textId="3D097D55" w:rsidR="00901F76" w:rsidRPr="00021243" w:rsidRDefault="00901F76" w:rsidP="00041825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</w:t>
            </w:r>
            <w:r w:rsidR="00360326">
              <w:rPr>
                <w:rFonts w:asciiTheme="minorHAnsi" w:hAnsiTheme="minorHAnsi"/>
                <w:b/>
              </w:rPr>
              <w:t xml:space="preserve">most </w:t>
            </w:r>
            <w:r>
              <w:rPr>
                <w:rFonts w:asciiTheme="minorHAnsi" w:hAnsiTheme="minorHAnsi"/>
                <w:b/>
              </w:rPr>
              <w:t>recent update</w:t>
            </w:r>
            <w:r w:rsidR="009A43A4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41825">
              <w:rPr>
                <w:rFonts w:asciiTheme="minorHAnsi" w:hAnsiTheme="minorHAnsi"/>
                <w:b/>
              </w:rPr>
              <w:t>March 2016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8612AB" w:rsidRPr="00255740" w14:paraId="7237E01C" w14:textId="77777777" w:rsidTr="00A426E7">
        <w:tblPrEx>
          <w:tblLook w:val="04A0" w:firstRow="1" w:lastRow="0" w:firstColumn="1" w:lastColumn="0" w:noHBand="0" w:noVBand="1"/>
        </w:tblPrEx>
        <w:trPr>
          <w:trHeight w:val="5134"/>
        </w:trPr>
        <w:tc>
          <w:tcPr>
            <w:tcW w:w="14601" w:type="dxa"/>
            <w:gridSpan w:val="2"/>
          </w:tcPr>
          <w:p w14:paraId="11795EB6" w14:textId="77777777" w:rsidR="00D701A9" w:rsidRPr="007D47CD" w:rsidRDefault="00D701A9" w:rsidP="007D47CD">
            <w:pPr>
              <w:pStyle w:val="ListParagraph"/>
            </w:pPr>
          </w:p>
          <w:p w14:paraId="46DD83F0" w14:textId="2CCB1842" w:rsidR="00D701A9" w:rsidRDefault="008B79D4" w:rsidP="00570AE6">
            <w:pPr>
              <w:ind w:left="360"/>
            </w:pPr>
            <w:proofErr w:type="spellStart"/>
            <w:r>
              <w:t>Barbui</w:t>
            </w:r>
            <w:proofErr w:type="spellEnd"/>
            <w:r>
              <w:t xml:space="preserve"> T, </w:t>
            </w:r>
            <w:proofErr w:type="spellStart"/>
            <w:r>
              <w:t>Bassan</w:t>
            </w:r>
            <w:proofErr w:type="spellEnd"/>
            <w:r>
              <w:t xml:space="preserve"> R, </w:t>
            </w:r>
            <w:proofErr w:type="spellStart"/>
            <w:r>
              <w:t>Viero</w:t>
            </w:r>
            <w:proofErr w:type="spellEnd"/>
            <w:r>
              <w:t xml:space="preserve"> P, </w:t>
            </w:r>
            <w:proofErr w:type="spellStart"/>
            <w:r>
              <w:t>Minetti</w:t>
            </w:r>
            <w:proofErr w:type="spellEnd"/>
            <w:r>
              <w:t xml:space="preserve"> B</w:t>
            </w:r>
            <w:r w:rsidR="00570AE6">
              <w:t xml:space="preserve">, </w:t>
            </w:r>
            <w:proofErr w:type="spellStart"/>
            <w:r w:rsidR="00570AE6">
              <w:t>Comotti</w:t>
            </w:r>
            <w:proofErr w:type="spellEnd"/>
            <w:r>
              <w:t xml:space="preserve"> B and </w:t>
            </w:r>
            <w:proofErr w:type="spellStart"/>
            <w:r>
              <w:t>Buelli</w:t>
            </w:r>
            <w:proofErr w:type="spellEnd"/>
            <w:r>
              <w:t xml:space="preserve"> M (1984) </w:t>
            </w:r>
            <w:r w:rsidR="00D701A9">
              <w:t xml:space="preserve">Pure white cell aplasia treated by high dose intravenous immunoglobulin. </w:t>
            </w:r>
            <w:r w:rsidR="00D701A9" w:rsidRPr="00570AE6">
              <w:rPr>
                <w:i/>
              </w:rPr>
              <w:t>B</w:t>
            </w:r>
            <w:r w:rsidR="00570AE6" w:rsidRPr="00570AE6">
              <w:rPr>
                <w:i/>
              </w:rPr>
              <w:t>ritish</w:t>
            </w:r>
            <w:r w:rsidR="00D701A9" w:rsidRPr="00570AE6">
              <w:rPr>
                <w:i/>
              </w:rPr>
              <w:t xml:space="preserve"> J</w:t>
            </w:r>
            <w:r w:rsidR="00570AE6" w:rsidRPr="00570AE6">
              <w:rPr>
                <w:i/>
              </w:rPr>
              <w:t>ournal of</w:t>
            </w:r>
            <w:r w:rsidR="00D701A9" w:rsidRPr="00570AE6">
              <w:rPr>
                <w:i/>
              </w:rPr>
              <w:t xml:space="preserve"> </w:t>
            </w:r>
            <w:proofErr w:type="spellStart"/>
            <w:r w:rsidR="00D701A9" w:rsidRPr="00570AE6">
              <w:rPr>
                <w:i/>
              </w:rPr>
              <w:t>Haemtol</w:t>
            </w:r>
            <w:r w:rsidR="00570AE6" w:rsidRPr="00570AE6">
              <w:rPr>
                <w:i/>
              </w:rPr>
              <w:t>ogy</w:t>
            </w:r>
            <w:proofErr w:type="spellEnd"/>
            <w:r w:rsidR="00570AE6">
              <w:t>,</w:t>
            </w:r>
            <w:r w:rsidR="00D701A9">
              <w:t xml:space="preserve"> </w:t>
            </w:r>
            <w:r>
              <w:t>58(3):</w:t>
            </w:r>
            <w:r w:rsidR="00D701A9">
              <w:t>554-555.</w:t>
            </w:r>
          </w:p>
          <w:p w14:paraId="3661227A" w14:textId="77777777" w:rsidR="008B79D4" w:rsidRDefault="008B79D4" w:rsidP="00570AE6">
            <w:pPr>
              <w:ind w:left="360"/>
            </w:pPr>
          </w:p>
          <w:p w14:paraId="26732992" w14:textId="155EE698" w:rsidR="008B79D4" w:rsidRPr="008B79D4" w:rsidRDefault="00CA531E" w:rsidP="00570AE6">
            <w:pPr>
              <w:ind w:left="360"/>
              <w:rPr>
                <w:color w:val="808080" w:themeColor="background1" w:themeShade="80"/>
              </w:rPr>
            </w:pPr>
            <w:hyperlink r:id="rId9" w:history="1">
              <w:r w:rsidR="008B79D4" w:rsidRPr="008B79D4">
                <w:rPr>
                  <w:rStyle w:val="Hyperlink"/>
                  <w:color w:val="808080" w:themeColor="background1" w:themeShade="80"/>
                </w:rPr>
                <w:t>https://www.ncbi.nlm.nih.gov/pubmed/6498105</w:t>
              </w:r>
            </w:hyperlink>
          </w:p>
          <w:p w14:paraId="4774799D" w14:textId="77777777" w:rsidR="008B79D4" w:rsidRDefault="008B79D4" w:rsidP="00570AE6">
            <w:pPr>
              <w:ind w:left="360"/>
            </w:pPr>
          </w:p>
          <w:p w14:paraId="7B56F583" w14:textId="5D969C62" w:rsidR="00D701A9" w:rsidRDefault="00D701A9" w:rsidP="00570AE6">
            <w:pPr>
              <w:ind w:left="360"/>
            </w:pPr>
            <w:r>
              <w:t>Kim</w:t>
            </w:r>
            <w:r w:rsidR="008B79D4">
              <w:t xml:space="preserve"> </w:t>
            </w:r>
            <w:r>
              <w:t>PG</w:t>
            </w:r>
            <w:r w:rsidR="008B79D4">
              <w:t xml:space="preserve">, Suh J, Adelman M, </w:t>
            </w:r>
            <w:proofErr w:type="spellStart"/>
            <w:r w:rsidR="008B79D4">
              <w:t>Oduro</w:t>
            </w:r>
            <w:proofErr w:type="spellEnd"/>
            <w:r w:rsidR="008B79D4">
              <w:t xml:space="preserve"> K, Williams E, Brunner A and </w:t>
            </w:r>
            <w:proofErr w:type="spellStart"/>
            <w:r w:rsidR="008B79D4">
              <w:t>Kuter</w:t>
            </w:r>
            <w:proofErr w:type="spellEnd"/>
            <w:r w:rsidR="008B79D4">
              <w:t xml:space="preserve"> D</w:t>
            </w:r>
            <w:r>
              <w:t xml:space="preserve"> </w:t>
            </w:r>
            <w:r w:rsidR="008B79D4">
              <w:t>(2016)</w:t>
            </w:r>
            <w:r>
              <w:t xml:space="preserve"> Pure white cell aplasia and Necrotizing Myopathies. </w:t>
            </w:r>
            <w:r w:rsidR="00570AE6" w:rsidRPr="00570AE6">
              <w:rPr>
                <w:i/>
              </w:rPr>
              <w:t xml:space="preserve">Case Reports in </w:t>
            </w:r>
            <w:proofErr w:type="spellStart"/>
            <w:r w:rsidR="00570AE6" w:rsidRPr="00570AE6">
              <w:rPr>
                <w:i/>
              </w:rPr>
              <w:t>Hematology</w:t>
            </w:r>
            <w:proofErr w:type="spellEnd"/>
            <w:r w:rsidR="00570AE6">
              <w:t>, 2016, Article ID 4161679, 5 pages.</w:t>
            </w:r>
          </w:p>
          <w:p w14:paraId="03F96089" w14:textId="77777777" w:rsidR="008B79D4" w:rsidRDefault="008B79D4" w:rsidP="00570AE6">
            <w:pPr>
              <w:ind w:left="360"/>
            </w:pPr>
          </w:p>
          <w:p w14:paraId="10F92836" w14:textId="7825AB67" w:rsidR="008B79D4" w:rsidRPr="008B79D4" w:rsidRDefault="00CA531E" w:rsidP="00570AE6">
            <w:pPr>
              <w:ind w:left="360"/>
              <w:rPr>
                <w:color w:val="808080" w:themeColor="background1" w:themeShade="80"/>
              </w:rPr>
            </w:pPr>
            <w:hyperlink r:id="rId10" w:history="1">
              <w:r w:rsidR="008B79D4" w:rsidRPr="008B79D4">
                <w:rPr>
                  <w:rStyle w:val="Hyperlink"/>
                  <w:color w:val="808080" w:themeColor="background1" w:themeShade="80"/>
                </w:rPr>
                <w:t>https://www.hindawi.com/journals/crihem/2016/4161679/</w:t>
              </w:r>
            </w:hyperlink>
          </w:p>
          <w:p w14:paraId="4682F0F7" w14:textId="49969B45" w:rsidR="00D75501" w:rsidRPr="002A1261" w:rsidRDefault="00D75501" w:rsidP="00D75501">
            <w:pPr>
              <w:spacing w:after="225" w:line="360" w:lineRule="atLeast"/>
              <w:ind w:left="360"/>
              <w:rPr>
                <w:rFonts w:asciiTheme="minorHAnsi" w:hAnsiTheme="minorHAnsi"/>
              </w:rPr>
            </w:pPr>
            <w:r w:rsidRPr="002A1261">
              <w:rPr>
                <w:rFonts w:asciiTheme="minorHAnsi" w:hAnsiTheme="minorHAnsi"/>
              </w:rPr>
              <w:t>Ontario Regional Blood Coordinating Network (2016). Ontario Intravenous Immune Globulin (</w:t>
            </w:r>
            <w:r w:rsidR="004939F2">
              <w:rPr>
                <w:rFonts w:asciiTheme="minorHAnsi" w:hAnsiTheme="minorHAnsi"/>
              </w:rPr>
              <w:t>IVIG</w:t>
            </w:r>
            <w:r w:rsidRPr="002A1261">
              <w:rPr>
                <w:rFonts w:asciiTheme="minorHAnsi" w:hAnsiTheme="minorHAnsi"/>
              </w:rPr>
              <w:t>) Utilization Management Guidelines, Version 3.0. [</w:t>
            </w:r>
            <w:proofErr w:type="gramStart"/>
            <w:r w:rsidRPr="002A1261">
              <w:rPr>
                <w:rFonts w:asciiTheme="minorHAnsi" w:hAnsiTheme="minorHAnsi"/>
              </w:rPr>
              <w:t>online</w:t>
            </w:r>
            <w:proofErr w:type="gramEnd"/>
            <w:r w:rsidRPr="002A1261">
              <w:rPr>
                <w:rFonts w:asciiTheme="minorHAnsi" w:hAnsiTheme="minorHAnsi"/>
              </w:rPr>
              <w:t xml:space="preserve">]. Available at: </w:t>
            </w:r>
            <w:r w:rsidRPr="008B79D4">
              <w:rPr>
                <w:rFonts w:asciiTheme="minorHAnsi" w:hAnsiTheme="minorHAnsi"/>
                <w:color w:val="808080" w:themeColor="background1" w:themeShade="80"/>
              </w:rPr>
              <w:t>http://transfusionontario.org/en/download/ontario-intravenous-immune-globulin-</w:t>
            </w:r>
            <w:r w:rsidR="004939F2">
              <w:rPr>
                <w:rFonts w:asciiTheme="minorHAnsi" w:hAnsiTheme="minorHAnsi"/>
                <w:color w:val="808080" w:themeColor="background1" w:themeShade="80"/>
              </w:rPr>
              <w:t>IVIg</w:t>
            </w:r>
            <w:r w:rsidRPr="008B79D4">
              <w:rPr>
                <w:rFonts w:asciiTheme="minorHAnsi" w:hAnsiTheme="minorHAnsi"/>
                <w:color w:val="808080" w:themeColor="background1" w:themeShade="80"/>
              </w:rPr>
              <w:t>-utilization-management-guidelines-2/.</w:t>
            </w:r>
          </w:p>
          <w:p w14:paraId="5C848089" w14:textId="77777777" w:rsidR="00A426E7" w:rsidRPr="00A426E7" w:rsidRDefault="00A426E7" w:rsidP="00A426E7">
            <w:pPr>
              <w:ind w:left="360"/>
              <w:rPr>
                <w:rFonts w:asciiTheme="minorHAnsi" w:hAnsiTheme="minorHAnsi"/>
                <w:color w:val="808080" w:themeColor="background1" w:themeShade="80"/>
              </w:rPr>
            </w:pPr>
            <w:r w:rsidRPr="00A426E7">
              <w:rPr>
                <w:rFonts w:asciiTheme="minorHAnsi" w:hAnsiTheme="minorHAnsi"/>
              </w:rPr>
              <w:t xml:space="preserve">UK Department of Health (2011) Clinical Guidelines for Immunoglobulin Use: Second Edition Update. Available at: </w:t>
            </w:r>
            <w:r w:rsidRPr="00A426E7">
              <w:rPr>
                <w:rFonts w:asciiTheme="minorHAnsi" w:hAnsiTheme="minorHAnsi"/>
                <w:color w:val="808080" w:themeColor="background1" w:themeShade="80"/>
              </w:rPr>
              <w:t>https://www.gov.uk/government/uploads/system/uploads/attachment_data/file/216671/dh_131107.pdf</w:t>
            </w:r>
          </w:p>
          <w:p w14:paraId="6243DF22" w14:textId="77777777" w:rsidR="00A426E7" w:rsidRPr="00A426E7" w:rsidRDefault="00A426E7" w:rsidP="00A426E7">
            <w:pPr>
              <w:ind w:left="360"/>
              <w:rPr>
                <w:rFonts w:asciiTheme="minorHAnsi" w:hAnsiTheme="minorHAnsi"/>
              </w:rPr>
            </w:pPr>
          </w:p>
          <w:p w14:paraId="2F9B41CB" w14:textId="60D4139C" w:rsidR="00D75501" w:rsidRPr="00A80A19" w:rsidRDefault="00A426E7" w:rsidP="00A426E7">
            <w:pPr>
              <w:ind w:left="360"/>
              <w:rPr>
                <w:rFonts w:asciiTheme="minorHAnsi" w:hAnsiTheme="minorHAnsi"/>
              </w:rPr>
            </w:pPr>
            <w:r w:rsidRPr="00A426E7">
              <w:rPr>
                <w:rFonts w:asciiTheme="minorHAnsi" w:hAnsiTheme="minorHAnsi"/>
              </w:rPr>
              <w:t xml:space="preserve">UK Department of Health (2011) Clinical Guidelines for Immunoglobulin Use: Second Edition Update: Summary Poster. Available at: </w:t>
            </w:r>
            <w:r w:rsidRPr="00A426E7">
              <w:rPr>
                <w:rFonts w:asciiTheme="minorHAnsi" w:hAnsiTheme="minorHAnsi"/>
                <w:color w:val="808080" w:themeColor="background1" w:themeShade="80"/>
              </w:rPr>
              <w:t>https://www.igd.nhs.uk/wp-content/uploads/2016/04/DemandManagementPoster_v4_February2016.pdf</w:t>
            </w:r>
          </w:p>
        </w:tc>
      </w:tr>
    </w:tbl>
    <w:p w14:paraId="171861B6" w14:textId="77777777" w:rsidR="00CD489A" w:rsidRDefault="00CD489A">
      <w:pPr>
        <w:spacing w:line="276" w:lineRule="auto"/>
      </w:pPr>
      <w:r>
        <w:br w:type="page"/>
      </w:r>
    </w:p>
    <w:tbl>
      <w:tblPr>
        <w:tblStyle w:val="TableGrid"/>
        <w:tblW w:w="14601" w:type="dxa"/>
        <w:tblInd w:w="-318" w:type="dxa"/>
        <w:tblLook w:val="0680" w:firstRow="0" w:lastRow="0" w:firstColumn="1" w:lastColumn="0" w:noHBand="1" w:noVBand="1"/>
      </w:tblPr>
      <w:tblGrid>
        <w:gridCol w:w="2161"/>
        <w:gridCol w:w="1384"/>
        <w:gridCol w:w="1593"/>
        <w:gridCol w:w="1667"/>
        <w:gridCol w:w="1701"/>
        <w:gridCol w:w="1985"/>
        <w:gridCol w:w="4110"/>
      </w:tblGrid>
      <w:tr w:rsidR="004A10A2" w:rsidRPr="00021243" w14:paraId="6B909229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1D694BE0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lastRenderedPageBreak/>
              <w:t>POTENTIAL OPERATIONAL IMPACT</w:t>
            </w:r>
          </w:p>
        </w:tc>
      </w:tr>
      <w:tr w:rsidR="004A10A2" w:rsidRPr="00021243" w14:paraId="2B6F3D68" w14:textId="77777777" w:rsidTr="008612AB">
        <w:tc>
          <w:tcPr>
            <w:tcW w:w="14601" w:type="dxa"/>
            <w:gridSpan w:val="7"/>
            <w:shd w:val="clear" w:color="auto" w:fill="auto"/>
          </w:tcPr>
          <w:p w14:paraId="12BE5929" w14:textId="2A5DB119" w:rsidR="00EA2E82" w:rsidRPr="00EA2E82" w:rsidRDefault="00793E1F" w:rsidP="00A1253F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Given </w:t>
            </w:r>
            <w:r w:rsidR="00875654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absence of</w:t>
            </w:r>
            <w:r w:rsidR="00D86AB1">
              <w:rPr>
                <w:rFonts w:asciiTheme="minorHAnsi" w:hAnsiTheme="minorHAnsi"/>
              </w:rPr>
              <w:t xml:space="preserve"> </w:t>
            </w:r>
            <w:r w:rsidR="00875654">
              <w:rPr>
                <w:rFonts w:asciiTheme="minorHAnsi" w:hAnsiTheme="minorHAnsi"/>
              </w:rPr>
              <w:t xml:space="preserve">use over recent years, </w:t>
            </w:r>
            <w:r>
              <w:rPr>
                <w:rFonts w:asciiTheme="minorHAnsi" w:hAnsiTheme="minorHAnsi"/>
              </w:rPr>
              <w:t>there is not anticipated to be any significant operational impact</w:t>
            </w:r>
            <w:r w:rsidR="009B0C00">
              <w:rPr>
                <w:rFonts w:asciiTheme="minorHAnsi" w:hAnsiTheme="minorHAnsi"/>
              </w:rPr>
              <w:t xml:space="preserve"> arising from the proposed changes</w:t>
            </w:r>
            <w:r>
              <w:rPr>
                <w:rFonts w:asciiTheme="minorHAnsi" w:hAnsiTheme="minorHAnsi"/>
              </w:rPr>
              <w:t xml:space="preserve">. </w:t>
            </w:r>
            <w:r w:rsidR="00875654">
              <w:rPr>
                <w:rFonts w:asciiTheme="minorHAnsi" w:hAnsiTheme="minorHAnsi"/>
              </w:rPr>
              <w:t>Following public consultation and the subsequent endorsement by governments, specific communication with any current prescribers / patients would occur. It is anticipated that the timing of existing patient transition would be at the time o</w:t>
            </w:r>
            <w:r w:rsidR="00B42D91">
              <w:rPr>
                <w:rFonts w:asciiTheme="minorHAnsi" w:hAnsiTheme="minorHAnsi"/>
              </w:rPr>
              <w:t xml:space="preserve">f implementation of </w:t>
            </w:r>
            <w:r w:rsidR="00D86AB1">
              <w:rPr>
                <w:rFonts w:asciiTheme="minorHAnsi" w:hAnsiTheme="minorHAnsi"/>
              </w:rPr>
              <w:t>v</w:t>
            </w:r>
            <w:r w:rsidR="00B42D91">
              <w:rPr>
                <w:rFonts w:asciiTheme="minorHAnsi" w:hAnsiTheme="minorHAnsi"/>
              </w:rPr>
              <w:t>3.0</w:t>
            </w:r>
            <w:r w:rsidR="00875654">
              <w:rPr>
                <w:rFonts w:asciiTheme="minorHAnsi" w:hAnsiTheme="minorHAnsi"/>
              </w:rPr>
              <w:t xml:space="preserve">. Advice to prescribers would </w:t>
            </w:r>
            <w:r>
              <w:rPr>
                <w:rFonts w:asciiTheme="minorHAnsi" w:hAnsiTheme="minorHAnsi"/>
              </w:rPr>
              <w:t xml:space="preserve">precede </w:t>
            </w:r>
            <w:r w:rsidR="00875654">
              <w:rPr>
                <w:rFonts w:asciiTheme="minorHAnsi" w:hAnsiTheme="minorHAnsi"/>
              </w:rPr>
              <w:t xml:space="preserve">this date so that Ig therapy weaning of any existing patients can occur, </w:t>
            </w:r>
            <w:r w:rsidR="00782F6C">
              <w:rPr>
                <w:rFonts w:asciiTheme="minorHAnsi" w:hAnsiTheme="minorHAnsi"/>
              </w:rPr>
              <w:t>if</w:t>
            </w:r>
            <w:r w:rsidR="00875654">
              <w:rPr>
                <w:rFonts w:asciiTheme="minorHAnsi" w:hAnsiTheme="minorHAnsi"/>
              </w:rPr>
              <w:t xml:space="preserve"> </w:t>
            </w:r>
            <w:r w:rsidR="00782F6C">
              <w:rPr>
                <w:rFonts w:asciiTheme="minorHAnsi" w:hAnsiTheme="minorHAnsi"/>
              </w:rPr>
              <w:t>required</w:t>
            </w:r>
            <w:r w:rsidR="00875654">
              <w:rPr>
                <w:rFonts w:asciiTheme="minorHAnsi" w:hAnsiTheme="minorHAnsi"/>
              </w:rPr>
              <w:t>.</w:t>
            </w:r>
          </w:p>
        </w:tc>
      </w:tr>
      <w:tr w:rsidR="004A10A2" w:rsidRPr="00021243" w14:paraId="685BD410" w14:textId="77777777" w:rsidTr="008612AB">
        <w:tc>
          <w:tcPr>
            <w:tcW w:w="14601" w:type="dxa"/>
            <w:gridSpan w:val="7"/>
            <w:shd w:val="clear" w:color="auto" w:fill="F79646" w:themeFill="accent6"/>
          </w:tcPr>
          <w:p w14:paraId="65938B81" w14:textId="77777777" w:rsidR="004A10A2" w:rsidRDefault="004A10A2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 w:rsidRPr="00BF6734">
              <w:rPr>
                <w:rFonts w:asciiTheme="minorHAnsi" w:hAnsiTheme="minorHAnsi"/>
                <w:b/>
              </w:rPr>
              <w:t xml:space="preserve">POTENTIAL IMPACT ON </w:t>
            </w:r>
            <w:r w:rsidR="007830E1">
              <w:rPr>
                <w:rFonts w:asciiTheme="minorHAnsi" w:hAnsiTheme="minorHAnsi"/>
                <w:b/>
              </w:rPr>
              <w:t xml:space="preserve">PATIENTS, </w:t>
            </w:r>
            <w:r w:rsidRPr="00BF6734">
              <w:rPr>
                <w:rFonts w:asciiTheme="minorHAnsi" w:hAnsiTheme="minorHAnsi"/>
                <w:b/>
              </w:rPr>
              <w:t>DEMAND</w:t>
            </w:r>
            <w:r w:rsidR="00695219">
              <w:rPr>
                <w:rFonts w:asciiTheme="minorHAnsi" w:hAnsiTheme="minorHAnsi"/>
                <w:b/>
              </w:rPr>
              <w:t xml:space="preserve"> AND EXPENDITURE</w:t>
            </w:r>
          </w:p>
        </w:tc>
      </w:tr>
      <w:tr w:rsidR="00875654" w:rsidRPr="00021243" w14:paraId="1F2D9B39" w14:textId="77777777" w:rsidTr="007D47CD">
        <w:trPr>
          <w:trHeight w:val="510"/>
        </w:trPr>
        <w:tc>
          <w:tcPr>
            <w:tcW w:w="3545" w:type="dxa"/>
            <w:gridSpan w:val="2"/>
            <w:shd w:val="clear" w:color="auto" w:fill="auto"/>
          </w:tcPr>
          <w:p w14:paraId="2BE5602D" w14:textId="18CE9D4B" w:rsidR="00875654" w:rsidRDefault="0039259A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Description of </w:t>
            </w:r>
            <w:r w:rsidR="00875654">
              <w:rPr>
                <w:rFonts w:asciiTheme="minorHAnsi" w:hAnsiTheme="minorHAnsi"/>
                <w:b/>
              </w:rPr>
              <w:t>impact on patients: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25E361D9" w14:textId="2754E046" w:rsidR="00875654" w:rsidRPr="007D47CD" w:rsidRDefault="00DC073E" w:rsidP="003806F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is recognised that this condition is very rare and 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>alternative therapies have been demonstrated to be more effective in treatment than Ig therapy. These therapies are available and are being used in Australia</w:t>
            </w:r>
            <w:r w:rsidR="003806F7">
              <w:rPr>
                <w:rFonts w:asciiTheme="minorHAnsi" w:eastAsia="Times New Roman" w:hAnsiTheme="minorHAnsi" w:cs="Times New Roman"/>
                <w:bCs/>
                <w:lang w:eastAsia="en-AU"/>
              </w:rPr>
              <w:t>, and therefore access to Ig therapy will no longer be supported</w:t>
            </w:r>
            <w:r>
              <w:rPr>
                <w:rFonts w:asciiTheme="minorHAnsi" w:eastAsia="Times New Roman" w:hAnsiTheme="minorHAnsi" w:cs="Times New Roman"/>
                <w:bCs/>
                <w:lang w:eastAsia="en-AU"/>
              </w:rPr>
              <w:t xml:space="preserve">. </w:t>
            </w:r>
            <w:r w:rsidR="00782F6C">
              <w:rPr>
                <w:rFonts w:asciiTheme="minorHAnsi" w:hAnsiTheme="minorHAnsi"/>
              </w:rPr>
              <w:t>Given the</w:t>
            </w:r>
            <w:r w:rsidR="009B0C00">
              <w:rPr>
                <w:rFonts w:asciiTheme="minorHAnsi" w:hAnsiTheme="minorHAnsi"/>
              </w:rPr>
              <w:t xml:space="preserve"> very</w:t>
            </w:r>
            <w:r w:rsidR="00782F6C">
              <w:rPr>
                <w:rFonts w:asciiTheme="minorHAnsi" w:hAnsiTheme="minorHAnsi"/>
              </w:rPr>
              <w:t xml:space="preserve"> low level of use</w:t>
            </w:r>
            <w:r w:rsidR="009B0C00">
              <w:rPr>
                <w:rFonts w:asciiTheme="minorHAnsi" w:hAnsiTheme="minorHAnsi"/>
              </w:rPr>
              <w:t xml:space="preserve"> over the last few years for this condition</w:t>
            </w:r>
            <w:r w:rsidR="00782F6C">
              <w:rPr>
                <w:rFonts w:asciiTheme="minorHAnsi" w:hAnsiTheme="minorHAnsi"/>
              </w:rPr>
              <w:t xml:space="preserve">, it is </w:t>
            </w:r>
            <w:r w:rsidR="009B0C00">
              <w:rPr>
                <w:rFonts w:asciiTheme="minorHAnsi" w:hAnsiTheme="minorHAnsi"/>
              </w:rPr>
              <w:t xml:space="preserve">clear </w:t>
            </w:r>
            <w:r w:rsidR="00782F6C">
              <w:rPr>
                <w:rFonts w:asciiTheme="minorHAnsi" w:hAnsiTheme="minorHAnsi"/>
              </w:rPr>
              <w:t xml:space="preserve">that </w:t>
            </w:r>
            <w:r w:rsidR="009B0C00">
              <w:rPr>
                <w:rFonts w:asciiTheme="minorHAnsi" w:hAnsiTheme="minorHAnsi"/>
              </w:rPr>
              <w:t xml:space="preserve">where </w:t>
            </w:r>
            <w:r w:rsidR="00782F6C">
              <w:rPr>
                <w:rFonts w:asciiTheme="minorHAnsi" w:hAnsiTheme="minorHAnsi"/>
              </w:rPr>
              <w:t xml:space="preserve">patients </w:t>
            </w:r>
            <w:r w:rsidR="009B0C00">
              <w:rPr>
                <w:rFonts w:asciiTheme="minorHAnsi" w:hAnsiTheme="minorHAnsi"/>
              </w:rPr>
              <w:t xml:space="preserve">have </w:t>
            </w:r>
            <w:r w:rsidR="00782F6C">
              <w:rPr>
                <w:rFonts w:asciiTheme="minorHAnsi" w:hAnsiTheme="minorHAnsi"/>
              </w:rPr>
              <w:t>receiv</w:t>
            </w:r>
            <w:r w:rsidR="009B0C00">
              <w:rPr>
                <w:rFonts w:asciiTheme="minorHAnsi" w:hAnsiTheme="minorHAnsi"/>
              </w:rPr>
              <w:t>ed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 xml:space="preserve">Ig therapy, it has been for </w:t>
            </w:r>
            <w:r w:rsidR="00782F6C">
              <w:rPr>
                <w:rFonts w:asciiTheme="minorHAnsi" w:hAnsiTheme="minorHAnsi"/>
              </w:rPr>
              <w:t>very short periods of treatment</w:t>
            </w:r>
            <w:r w:rsidR="009B0C00">
              <w:rPr>
                <w:rFonts w:asciiTheme="minorHAnsi" w:hAnsiTheme="minorHAnsi"/>
              </w:rPr>
              <w:t xml:space="preserve"> only. 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>It is therefore unlikely that there would be any impact to ongoing patient care at the time of transition</w:t>
            </w:r>
            <w:r w:rsidR="00782F6C">
              <w:rPr>
                <w:rFonts w:asciiTheme="minorHAnsi" w:hAnsiTheme="minorHAnsi"/>
              </w:rPr>
              <w:t>.</w:t>
            </w:r>
            <w:r w:rsidR="009B0C00">
              <w:rPr>
                <w:rFonts w:asciiTheme="minorHAnsi" w:hAnsiTheme="minorHAnsi"/>
              </w:rPr>
              <w:t xml:space="preserve"> It is recognised that</w:t>
            </w:r>
            <w:r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>that for any patients with Autoimmune neutropenia</w:t>
            </w:r>
            <w:r>
              <w:rPr>
                <w:rFonts w:asciiTheme="minorHAnsi" w:hAnsiTheme="minorHAnsi"/>
              </w:rPr>
              <w:t>, which is a condition with very low white cell counts</w:t>
            </w:r>
            <w:r w:rsidR="009B0C00">
              <w:rPr>
                <w:rFonts w:asciiTheme="minorHAnsi" w:hAnsiTheme="minorHAnsi"/>
              </w:rPr>
              <w:t>,</w:t>
            </w:r>
            <w:r w:rsidR="00782F6C">
              <w:rPr>
                <w:rFonts w:asciiTheme="minorHAnsi" w:hAnsiTheme="minorHAnsi"/>
              </w:rPr>
              <w:t xml:space="preserve"> </w:t>
            </w:r>
            <w:r w:rsidR="009B0C00">
              <w:rPr>
                <w:rFonts w:asciiTheme="minorHAnsi" w:hAnsiTheme="minorHAnsi"/>
              </w:rPr>
              <w:t xml:space="preserve">Ig therapy will continue to be </w:t>
            </w:r>
            <w:r w:rsidR="003806F7">
              <w:rPr>
                <w:rFonts w:asciiTheme="minorHAnsi" w:hAnsiTheme="minorHAnsi"/>
              </w:rPr>
              <w:t>supported</w:t>
            </w:r>
            <w:r w:rsidR="009B0C00">
              <w:rPr>
                <w:rFonts w:asciiTheme="minorHAnsi" w:hAnsiTheme="minorHAnsi"/>
              </w:rPr>
              <w:t xml:space="preserve">. It is </w:t>
            </w:r>
            <w:r w:rsidR="002767E7">
              <w:rPr>
                <w:rFonts w:asciiTheme="minorHAnsi" w:hAnsiTheme="minorHAnsi"/>
              </w:rPr>
              <w:t>possible</w:t>
            </w:r>
            <w:r w:rsidR="009B0C00">
              <w:rPr>
                <w:rFonts w:asciiTheme="minorHAnsi" w:hAnsiTheme="minorHAnsi"/>
              </w:rPr>
              <w:t xml:space="preserve"> that the patients treated under this condition, did in fact have Autoimmune neutropenia. </w:t>
            </w:r>
          </w:p>
        </w:tc>
      </w:tr>
      <w:tr w:rsidR="00875654" w:rsidRPr="00021243" w14:paraId="7B0A3D7B" w14:textId="77777777" w:rsidTr="007D47CD">
        <w:trPr>
          <w:trHeight w:val="510"/>
        </w:trPr>
        <w:tc>
          <w:tcPr>
            <w:tcW w:w="3545" w:type="dxa"/>
            <w:gridSpan w:val="2"/>
            <w:shd w:val="clear" w:color="auto" w:fill="auto"/>
          </w:tcPr>
          <w:p w14:paraId="6FE5F56B" w14:textId="19A7726B" w:rsidR="00875654" w:rsidRDefault="00875654" w:rsidP="004A10A2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Impact on demand: </w:t>
            </w:r>
          </w:p>
        </w:tc>
        <w:tc>
          <w:tcPr>
            <w:tcW w:w="11056" w:type="dxa"/>
            <w:gridSpan w:val="5"/>
            <w:shd w:val="clear" w:color="auto" w:fill="auto"/>
          </w:tcPr>
          <w:p w14:paraId="58C43AA2" w14:textId="330CCB2F" w:rsidR="00875654" w:rsidRPr="007D47CD" w:rsidRDefault="00875654">
            <w:pPr>
              <w:spacing w:before="120" w:after="120"/>
              <w:rPr>
                <w:rFonts w:asciiTheme="minorHAnsi" w:hAnsiTheme="minorHAnsi"/>
              </w:rPr>
            </w:pPr>
            <w:r w:rsidRPr="007D47CD">
              <w:rPr>
                <w:rFonts w:asciiTheme="minorHAnsi" w:hAnsiTheme="minorHAnsi"/>
              </w:rPr>
              <w:t xml:space="preserve">There has been minimal use for this condition over the last 5 years </w:t>
            </w:r>
            <w:r w:rsidR="007B4938">
              <w:rPr>
                <w:rFonts w:asciiTheme="minorHAnsi" w:hAnsiTheme="minorHAnsi"/>
              </w:rPr>
              <w:t>and thus the</w:t>
            </w:r>
            <w:r w:rsidRPr="007D47CD">
              <w:rPr>
                <w:rFonts w:asciiTheme="minorHAnsi" w:hAnsiTheme="minorHAnsi"/>
              </w:rPr>
              <w:t xml:space="preserve"> </w:t>
            </w:r>
            <w:r w:rsidR="007B4938" w:rsidRPr="00875654">
              <w:rPr>
                <w:rFonts w:asciiTheme="minorHAnsi" w:hAnsiTheme="minorHAnsi"/>
              </w:rPr>
              <w:t>withdrawal</w:t>
            </w:r>
            <w:r w:rsidRPr="007D47CD">
              <w:rPr>
                <w:rFonts w:asciiTheme="minorHAnsi" w:hAnsiTheme="minorHAnsi"/>
              </w:rPr>
              <w:t xml:space="preserve"> of access is anticipated to be minimal with no material impact on demand. </w:t>
            </w:r>
          </w:p>
        </w:tc>
      </w:tr>
      <w:tr w:rsidR="007D47CD" w:rsidRPr="00853117" w14:paraId="48C79D5A" w14:textId="77777777" w:rsidTr="007D47CD">
        <w:tc>
          <w:tcPr>
            <w:tcW w:w="2161" w:type="dxa"/>
            <w:shd w:val="clear" w:color="auto" w:fill="auto"/>
          </w:tcPr>
          <w:p w14:paraId="33A8A7EF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14:paraId="683F4793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2011-12</w:t>
            </w:r>
          </w:p>
        </w:tc>
        <w:tc>
          <w:tcPr>
            <w:tcW w:w="1593" w:type="dxa"/>
            <w:shd w:val="clear" w:color="auto" w:fill="auto"/>
          </w:tcPr>
          <w:p w14:paraId="5EA9C4BE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2012-13</w:t>
            </w:r>
          </w:p>
        </w:tc>
        <w:tc>
          <w:tcPr>
            <w:tcW w:w="1667" w:type="dxa"/>
            <w:shd w:val="clear" w:color="auto" w:fill="auto"/>
          </w:tcPr>
          <w:p w14:paraId="31ED8DE8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2013-14</w:t>
            </w:r>
          </w:p>
        </w:tc>
        <w:tc>
          <w:tcPr>
            <w:tcW w:w="1701" w:type="dxa"/>
            <w:shd w:val="clear" w:color="auto" w:fill="auto"/>
          </w:tcPr>
          <w:p w14:paraId="0169D1CE" w14:textId="77777777" w:rsidR="007D47CD" w:rsidRPr="00C92149" w:rsidRDefault="007D47CD" w:rsidP="002507CE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2014-15</w:t>
            </w:r>
          </w:p>
        </w:tc>
        <w:tc>
          <w:tcPr>
            <w:tcW w:w="1985" w:type="dxa"/>
            <w:shd w:val="clear" w:color="auto" w:fill="auto"/>
          </w:tcPr>
          <w:p w14:paraId="47497260" w14:textId="281CB141" w:rsidR="007D47CD" w:rsidRDefault="00D95EFE" w:rsidP="007D47CD">
            <w:pPr>
              <w:spacing w:before="120" w:after="120"/>
              <w:jc w:val="righ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2015-16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744FE0A" w14:textId="77777777" w:rsidR="007D47CD" w:rsidRPr="00704AD4" w:rsidRDefault="007D47CD" w:rsidP="007D47CD">
            <w:pPr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Estimated number of patients that will be affected.</w:t>
            </w:r>
          </w:p>
          <w:p w14:paraId="31FCB8A9" w14:textId="77777777" w:rsidR="007D47CD" w:rsidRPr="00704AD4" w:rsidRDefault="007D47CD" w:rsidP="00695219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3C67905" w14:textId="7ADA246D" w:rsidR="007D47CD" w:rsidRPr="00704AD4" w:rsidRDefault="007D47CD" w:rsidP="00695219">
            <w:pPr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The</w:t>
            </w:r>
            <w:r w:rsidR="007146E1">
              <w:rPr>
                <w:rFonts w:asciiTheme="minorHAnsi" w:hAnsiTheme="minorHAnsi"/>
                <w:sz w:val="18"/>
                <w:szCs w:val="18"/>
              </w:rPr>
              <w:t xml:space="preserve"> Specialist Working Group</w:t>
            </w:r>
            <w:r w:rsidRPr="00704AD4">
              <w:rPr>
                <w:rFonts w:asciiTheme="minorHAnsi" w:hAnsiTheme="minorHAnsi"/>
                <w:sz w:val="18"/>
                <w:szCs w:val="18"/>
              </w:rPr>
              <w:t xml:space="preserve"> estimated magnitude of effect:</w:t>
            </w:r>
          </w:p>
          <w:p w14:paraId="2D3E77F6" w14:textId="7B8DC67F" w:rsidR="007D47CD" w:rsidRPr="00704AD4" w:rsidRDefault="007D47CD" w:rsidP="00695219">
            <w:pPr>
              <w:ind w:left="720"/>
              <w:rPr>
                <w:rFonts w:asciiTheme="minorHAnsi" w:hAnsiTheme="minorHAnsi"/>
                <w:sz w:val="18"/>
                <w:szCs w:val="18"/>
              </w:rPr>
            </w:pPr>
            <w:r w:rsidRPr="00704AD4">
              <w:rPr>
                <w:rFonts w:asciiTheme="minorHAnsi" w:hAnsiTheme="minorHAnsi"/>
                <w:sz w:val="18"/>
                <w:szCs w:val="18"/>
              </w:rPr>
              <w:t>No impact</w:t>
            </w:r>
            <w:r w:rsidR="00712654">
              <w:rPr>
                <w:rFonts w:asciiTheme="minorHAnsi" w:hAnsiTheme="minorHAnsi"/>
                <w:sz w:val="18"/>
                <w:szCs w:val="18"/>
              </w:rPr>
              <w:t xml:space="preserve"> against projected demand</w:t>
            </w:r>
          </w:p>
          <w:p w14:paraId="508CE8B1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2B9B4DA7" w14:textId="77777777" w:rsidTr="007D47CD">
        <w:tc>
          <w:tcPr>
            <w:tcW w:w="2161" w:type="dxa"/>
            <w:shd w:val="clear" w:color="auto" w:fill="auto"/>
          </w:tcPr>
          <w:p w14:paraId="2CEC5160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Patient number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00FA94E3" w14:textId="4FF55EA0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282E871B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1C01EAF5" w14:textId="01E20C83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F774F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0 </w:t>
            </w:r>
          </w:p>
        </w:tc>
        <w:tc>
          <w:tcPr>
            <w:tcW w:w="1985" w:type="dxa"/>
            <w:shd w:val="clear" w:color="auto" w:fill="auto"/>
          </w:tcPr>
          <w:p w14:paraId="175231B4" w14:textId="2C88C689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4110" w:type="dxa"/>
            <w:vMerge/>
            <w:shd w:val="clear" w:color="auto" w:fill="auto"/>
          </w:tcPr>
          <w:p w14:paraId="50B0D9AB" w14:textId="70E18903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23929699" w14:textId="77777777" w:rsidTr="007D47CD">
        <w:trPr>
          <w:trHeight w:val="535"/>
        </w:trPr>
        <w:tc>
          <w:tcPr>
            <w:tcW w:w="2161" w:type="dxa"/>
            <w:shd w:val="clear" w:color="auto" w:fill="auto"/>
          </w:tcPr>
          <w:p w14:paraId="7FFEB743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69C97D00" w14:textId="450478CD" w:rsidR="007D47CD" w:rsidRPr="002507CE" w:rsidRDefault="000D6C6C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&lt;500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71CD45FC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0 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6B02BE58" w14:textId="579B3759" w:rsidR="007D47CD" w:rsidRPr="002507CE" w:rsidRDefault="000D6C6C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D2217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FC342AC" w14:textId="16353C6E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4110" w:type="dxa"/>
            <w:vMerge/>
            <w:shd w:val="clear" w:color="auto" w:fill="auto"/>
          </w:tcPr>
          <w:p w14:paraId="2121AA65" w14:textId="3B4A62F6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D47CD" w:rsidRPr="00853117" w14:paraId="5222BE8C" w14:textId="77777777" w:rsidTr="007D47CD">
        <w:tc>
          <w:tcPr>
            <w:tcW w:w="2161" w:type="dxa"/>
            <w:shd w:val="clear" w:color="auto" w:fill="auto"/>
          </w:tcPr>
          <w:p w14:paraId="49A81E02" w14:textId="77777777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92149">
              <w:rPr>
                <w:rFonts w:asciiTheme="minorHAnsi" w:hAnsiTheme="minorHAnsi"/>
                <w:b/>
                <w:sz w:val="18"/>
                <w:szCs w:val="18"/>
              </w:rPr>
              <w:t>% Total Grams issued</w:t>
            </w:r>
          </w:p>
        </w:tc>
        <w:tc>
          <w:tcPr>
            <w:tcW w:w="1384" w:type="dxa"/>
            <w:shd w:val="clear" w:color="auto" w:fill="auto"/>
            <w:vAlign w:val="bottom"/>
          </w:tcPr>
          <w:p w14:paraId="519415EE" w14:textId="4EC98B08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&lt;0.02%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391A382F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0.000%</w:t>
            </w:r>
          </w:p>
        </w:tc>
        <w:tc>
          <w:tcPr>
            <w:tcW w:w="1667" w:type="dxa"/>
            <w:shd w:val="clear" w:color="auto" w:fill="auto"/>
            <w:vAlign w:val="bottom"/>
          </w:tcPr>
          <w:p w14:paraId="3DEA2C0E" w14:textId="59845218" w:rsidR="007D47CD" w:rsidRPr="002507CE" w:rsidRDefault="000106EB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&lt;0.01%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8EBC7" w14:textId="77777777" w:rsidR="007D47CD" w:rsidRPr="002507CE" w:rsidRDefault="007D47CD" w:rsidP="002507CE">
            <w:pPr>
              <w:spacing w:before="120" w:after="120"/>
              <w:jc w:val="right"/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</w:pPr>
            <w:r w:rsidRPr="002507CE">
              <w:rPr>
                <w:rFonts w:asciiTheme="minorHAnsi" w:hAnsiTheme="minorHAnsi" w:cs="Helvetica"/>
                <w:b/>
                <w:color w:val="333333"/>
                <w:sz w:val="18"/>
                <w:szCs w:val="18"/>
              </w:rPr>
              <w:t>0.000%</w:t>
            </w:r>
          </w:p>
        </w:tc>
        <w:tc>
          <w:tcPr>
            <w:tcW w:w="1985" w:type="dxa"/>
            <w:shd w:val="clear" w:color="auto" w:fill="auto"/>
          </w:tcPr>
          <w:p w14:paraId="5E95FE51" w14:textId="135C0674" w:rsidR="007D47CD" w:rsidRPr="00C92149" w:rsidRDefault="007D47CD" w:rsidP="007D47CD">
            <w:pPr>
              <w:spacing w:before="120" w:after="12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0.00%</w:t>
            </w:r>
          </w:p>
        </w:tc>
        <w:tc>
          <w:tcPr>
            <w:tcW w:w="4110" w:type="dxa"/>
            <w:vMerge/>
            <w:shd w:val="clear" w:color="auto" w:fill="auto"/>
          </w:tcPr>
          <w:p w14:paraId="7A6A1133" w14:textId="371FEB63" w:rsidR="007D47CD" w:rsidRPr="00C92149" w:rsidRDefault="007D47CD" w:rsidP="004A10A2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507CE" w:rsidRPr="00021243" w14:paraId="6320438F" w14:textId="77777777" w:rsidTr="005D45E6">
        <w:tc>
          <w:tcPr>
            <w:tcW w:w="14601" w:type="dxa"/>
            <w:gridSpan w:val="7"/>
            <w:shd w:val="clear" w:color="auto" w:fill="F79646" w:themeFill="accent6"/>
          </w:tcPr>
          <w:p w14:paraId="19F4E5CA" w14:textId="64174BAE" w:rsidR="002507CE" w:rsidRDefault="00A1253F" w:rsidP="005D45E6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Specialist Working Group  </w:t>
            </w:r>
            <w:r w:rsidR="002507CE">
              <w:rPr>
                <w:rFonts w:asciiTheme="minorHAnsi" w:hAnsiTheme="minorHAnsi"/>
                <w:b/>
              </w:rPr>
              <w:t>knowledge development opportunities and recommendations</w:t>
            </w:r>
          </w:p>
        </w:tc>
      </w:tr>
      <w:tr w:rsidR="002507CE" w:rsidRPr="00021243" w14:paraId="3078B71B" w14:textId="77777777" w:rsidTr="005D45E6">
        <w:tc>
          <w:tcPr>
            <w:tcW w:w="14601" w:type="dxa"/>
            <w:gridSpan w:val="7"/>
            <w:shd w:val="clear" w:color="auto" w:fill="auto"/>
          </w:tcPr>
          <w:p w14:paraId="67CCA23C" w14:textId="2EA286B8" w:rsidR="002507CE" w:rsidRPr="002506FF" w:rsidRDefault="00892CC0" w:rsidP="005D45E6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None identified at this stage. </w:t>
            </w:r>
          </w:p>
        </w:tc>
      </w:tr>
    </w:tbl>
    <w:p w14:paraId="66C0782C" w14:textId="77777777" w:rsidR="00447869" w:rsidRDefault="00447869" w:rsidP="00FD2CCD"/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14601"/>
      </w:tblGrid>
      <w:tr w:rsidR="002506FF" w:rsidRPr="00021243" w14:paraId="33FA1D1D" w14:textId="77777777" w:rsidTr="009F1DFC">
        <w:tc>
          <w:tcPr>
            <w:tcW w:w="14601" w:type="dxa"/>
          </w:tcPr>
          <w:p w14:paraId="00CF1883" w14:textId="6476D705" w:rsidR="002506FF" w:rsidRDefault="002506FF" w:rsidP="002506F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21243">
              <w:rPr>
                <w:rFonts w:asciiTheme="minorHAnsi" w:hAnsiTheme="minorHAnsi"/>
                <w:b/>
              </w:rPr>
              <w:lastRenderedPageBreak/>
              <w:t xml:space="preserve">END OF </w:t>
            </w:r>
            <w:r w:rsidR="004939F2">
              <w:rPr>
                <w:rFonts w:asciiTheme="minorHAnsi" w:hAnsiTheme="minorHAnsi"/>
                <w:b/>
              </w:rPr>
              <w:t>PUBLIC CONSULTATION</w:t>
            </w:r>
            <w:r>
              <w:rPr>
                <w:rFonts w:asciiTheme="minorHAnsi" w:hAnsiTheme="minorHAnsi"/>
                <w:b/>
              </w:rPr>
              <w:t xml:space="preserve"> DOCUMENT</w:t>
            </w:r>
          </w:p>
          <w:p w14:paraId="23EC1BFA" w14:textId="2D6124FE" w:rsidR="000E09C4" w:rsidRPr="00021243" w:rsidRDefault="004939F2" w:rsidP="00793E1F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Next review: </w:t>
            </w:r>
            <w:r w:rsidR="00793E1F">
              <w:rPr>
                <w:rFonts w:asciiTheme="minorHAnsi" w:hAnsiTheme="minorHAnsi"/>
                <w:b/>
              </w:rPr>
              <w:t>Two years</w:t>
            </w:r>
            <w:r w:rsidR="00D86AB1">
              <w:rPr>
                <w:rFonts w:asciiTheme="minorHAnsi" w:hAnsiTheme="minorHAnsi"/>
                <w:b/>
              </w:rPr>
              <w:t xml:space="preserve"> </w:t>
            </w:r>
            <w:r w:rsidR="007B4938">
              <w:rPr>
                <w:rFonts w:asciiTheme="minorHAnsi" w:hAnsiTheme="minorHAnsi"/>
                <w:b/>
              </w:rPr>
              <w:t xml:space="preserve">after </w:t>
            </w:r>
            <w:proofErr w:type="spellStart"/>
            <w:r w:rsidR="007B4938">
              <w:rPr>
                <w:rFonts w:asciiTheme="minorHAnsi" w:hAnsiTheme="minorHAnsi"/>
                <w:b/>
              </w:rPr>
              <w:t>BloodSTAR</w:t>
            </w:r>
            <w:proofErr w:type="spellEnd"/>
            <w:r w:rsidR="007B4938">
              <w:rPr>
                <w:rFonts w:asciiTheme="minorHAnsi" w:hAnsiTheme="minorHAnsi"/>
                <w:b/>
              </w:rPr>
              <w:t xml:space="preserve"> </w:t>
            </w:r>
            <w:r w:rsidR="00D86AB1">
              <w:rPr>
                <w:rFonts w:asciiTheme="minorHAnsi" w:hAnsiTheme="minorHAnsi"/>
                <w:b/>
              </w:rPr>
              <w:t>v</w:t>
            </w:r>
            <w:r w:rsidR="007B4938">
              <w:rPr>
                <w:rFonts w:asciiTheme="minorHAnsi" w:hAnsiTheme="minorHAnsi"/>
                <w:b/>
              </w:rPr>
              <w:t>3</w:t>
            </w:r>
            <w:r w:rsidR="00B42D91">
              <w:rPr>
                <w:rFonts w:asciiTheme="minorHAnsi" w:hAnsiTheme="minorHAnsi"/>
                <w:b/>
              </w:rPr>
              <w:t>.0</w:t>
            </w:r>
            <w:r w:rsidR="007B4938">
              <w:rPr>
                <w:rFonts w:asciiTheme="minorHAnsi" w:hAnsiTheme="minorHAnsi"/>
                <w:b/>
              </w:rPr>
              <w:t xml:space="preserve"> implemented</w:t>
            </w:r>
          </w:p>
        </w:tc>
      </w:tr>
    </w:tbl>
    <w:p w14:paraId="170D596F" w14:textId="77777777" w:rsidR="006627B5" w:rsidRPr="00FD2CCD" w:rsidRDefault="006627B5" w:rsidP="007830E1">
      <w:pPr>
        <w:spacing w:line="276" w:lineRule="auto"/>
      </w:pPr>
    </w:p>
    <w:sectPr w:rsidR="006627B5" w:rsidRPr="00FD2CCD" w:rsidSect="000E09C4">
      <w:headerReference w:type="default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13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8C98" w14:textId="77777777" w:rsidR="00916F09" w:rsidRDefault="00916F09" w:rsidP="00856708">
      <w:pPr>
        <w:spacing w:after="0"/>
      </w:pPr>
      <w:r>
        <w:separator/>
      </w:r>
    </w:p>
  </w:endnote>
  <w:endnote w:type="continuationSeparator" w:id="0">
    <w:p w14:paraId="11382E7C" w14:textId="77777777" w:rsidR="00916F09" w:rsidRDefault="00916F09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N-Light">
    <w:charset w:val="00"/>
    <w:family w:val="swiss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02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A24D4" w14:textId="277E3D9A" w:rsidR="001825E0" w:rsidRDefault="00182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3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94ADA7" w14:textId="1904D055" w:rsidR="003E6A3C" w:rsidRPr="005F0799" w:rsidRDefault="003E6A3C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8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A54F" w14:textId="0A11D899" w:rsidR="001825E0" w:rsidRDefault="00182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C4E044" w14:textId="45F0ACFC" w:rsidR="003E6A3C" w:rsidRPr="001825E0" w:rsidRDefault="003E6A3C" w:rsidP="00182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7B05" w14:textId="77777777" w:rsidR="00916F09" w:rsidRDefault="00916F09" w:rsidP="00856708">
      <w:pPr>
        <w:spacing w:after="0"/>
      </w:pPr>
      <w:r>
        <w:separator/>
      </w:r>
    </w:p>
  </w:footnote>
  <w:footnote w:type="continuationSeparator" w:id="0">
    <w:p w14:paraId="07F4E021" w14:textId="77777777" w:rsidR="00916F09" w:rsidRDefault="00916F09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F8B3" w14:textId="05EA83D3" w:rsidR="001825E0" w:rsidRPr="005F0799" w:rsidRDefault="00712654" w:rsidP="001825E0">
    <w:pPr>
      <w:pStyle w:val="Footer"/>
      <w:rPr>
        <w:sz w:val="20"/>
        <w:szCs w:val="20"/>
      </w:rPr>
    </w:pPr>
    <w:r>
      <w:rPr>
        <w:sz w:val="20"/>
        <w:szCs w:val="20"/>
      </w:rPr>
      <w:t>PUBLIC CONSULTATION 2017</w:t>
    </w:r>
    <w:r w:rsidR="001825E0" w:rsidRPr="005F0799">
      <w:rPr>
        <w:sz w:val="20"/>
        <w:szCs w:val="20"/>
      </w:rPr>
      <w:t xml:space="preserve"> - Pure white cell aplasia</w:t>
    </w:r>
  </w:p>
  <w:p w14:paraId="2C54BCAB" w14:textId="77777777" w:rsidR="001825E0" w:rsidRDefault="001825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90921" w14:textId="231F3283" w:rsidR="001825E0" w:rsidRPr="005F0799" w:rsidRDefault="00712654" w:rsidP="001825E0">
    <w:pPr>
      <w:pStyle w:val="Footer"/>
      <w:rPr>
        <w:sz w:val="20"/>
        <w:szCs w:val="20"/>
      </w:rPr>
    </w:pPr>
    <w:r>
      <w:rPr>
        <w:sz w:val="20"/>
        <w:szCs w:val="20"/>
      </w:rPr>
      <w:t>PUBLIC CONSULTATION 2017</w:t>
    </w:r>
    <w:r w:rsidR="001825E0" w:rsidRPr="005F0799">
      <w:rPr>
        <w:sz w:val="20"/>
        <w:szCs w:val="20"/>
      </w:rPr>
      <w:t xml:space="preserve"> - Pure white cell aplasia</w:t>
    </w:r>
  </w:p>
  <w:p w14:paraId="6726BD25" w14:textId="77777777" w:rsidR="001825E0" w:rsidRDefault="00182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87F28"/>
    <w:multiLevelType w:val="hybridMultilevel"/>
    <w:tmpl w:val="6EBF54D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DB7B68"/>
    <w:multiLevelType w:val="hybridMultilevel"/>
    <w:tmpl w:val="B68855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BC2D58"/>
    <w:multiLevelType w:val="hybridMultilevel"/>
    <w:tmpl w:val="B6886A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9F10B1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79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057570CC"/>
    <w:multiLevelType w:val="hybridMultilevel"/>
    <w:tmpl w:val="6117DE0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6E7F16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E3A09A6"/>
    <w:multiLevelType w:val="hybridMultilevel"/>
    <w:tmpl w:val="7922B40C"/>
    <w:lvl w:ilvl="0" w:tplc="4E126DC2">
      <w:numFmt w:val="bullet"/>
      <w:lvlText w:val="-"/>
      <w:lvlJc w:val="left"/>
      <w:pPr>
        <w:ind w:left="720" w:hanging="360"/>
      </w:pPr>
      <w:rPr>
        <w:rFonts w:ascii="Calibri" w:eastAsia="Dotum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06073"/>
    <w:multiLevelType w:val="hybridMultilevel"/>
    <w:tmpl w:val="C7F8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30C25"/>
    <w:multiLevelType w:val="hybridMultilevel"/>
    <w:tmpl w:val="3D7E8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47667A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2947A29"/>
    <w:multiLevelType w:val="multilevel"/>
    <w:tmpl w:val="8A04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82DC6"/>
    <w:multiLevelType w:val="hybridMultilevel"/>
    <w:tmpl w:val="79F40D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925D73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11670AD"/>
    <w:multiLevelType w:val="hybridMultilevel"/>
    <w:tmpl w:val="F790FD7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08BA"/>
    <w:multiLevelType w:val="hybridMultilevel"/>
    <w:tmpl w:val="EBD8718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7871129"/>
    <w:multiLevelType w:val="hybridMultilevel"/>
    <w:tmpl w:val="536CD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567CD"/>
    <w:multiLevelType w:val="hybridMultilevel"/>
    <w:tmpl w:val="E066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2550D"/>
    <w:multiLevelType w:val="hybridMultilevel"/>
    <w:tmpl w:val="427C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38A7547"/>
    <w:multiLevelType w:val="hybridMultilevel"/>
    <w:tmpl w:val="E40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F1334"/>
    <w:multiLevelType w:val="hybridMultilevel"/>
    <w:tmpl w:val="0ECE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8D0155"/>
    <w:multiLevelType w:val="hybridMultilevel"/>
    <w:tmpl w:val="D15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F283D"/>
    <w:multiLevelType w:val="hybridMultilevel"/>
    <w:tmpl w:val="4B02111A"/>
    <w:lvl w:ilvl="0" w:tplc="676AE308">
      <w:start w:val="1"/>
      <w:numFmt w:val="decimal"/>
      <w:lvlText w:val="%1."/>
      <w:lvlJc w:val="left"/>
      <w:pPr>
        <w:ind w:left="357" w:hanging="360"/>
      </w:pPr>
      <w:rPr>
        <w:b w:val="0"/>
        <w:sz w:val="20"/>
      </w:rPr>
    </w:lvl>
    <w:lvl w:ilvl="1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42171BD4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3DA4202"/>
    <w:multiLevelType w:val="hybridMultilevel"/>
    <w:tmpl w:val="518E3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01C86"/>
    <w:multiLevelType w:val="hybridMultilevel"/>
    <w:tmpl w:val="5D24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D01261"/>
    <w:multiLevelType w:val="hybridMultilevel"/>
    <w:tmpl w:val="94A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CE719"/>
    <w:multiLevelType w:val="hybridMultilevel"/>
    <w:tmpl w:val="3D5A05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1D10A28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8567D5"/>
    <w:multiLevelType w:val="hybridMultilevel"/>
    <w:tmpl w:val="A84AC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BA50922"/>
    <w:multiLevelType w:val="hybridMultilevel"/>
    <w:tmpl w:val="FDFC768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961A14"/>
    <w:multiLevelType w:val="hybridMultilevel"/>
    <w:tmpl w:val="3A2C206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32582F"/>
    <w:multiLevelType w:val="hybridMultilevel"/>
    <w:tmpl w:val="67BE83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243016">
      <w:start w:val="1"/>
      <w:numFmt w:val="decimal"/>
      <w:lvlText w:val="%4)"/>
      <w:lvlJc w:val="left"/>
      <w:pPr>
        <w:ind w:left="2520" w:hanging="360"/>
      </w:pPr>
      <w:rPr>
        <w:rFonts w:hint="default"/>
        <w:b w:val="0"/>
        <w:sz w:val="18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8245E1"/>
    <w:multiLevelType w:val="hybridMultilevel"/>
    <w:tmpl w:val="6366972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B6EAB62">
      <w:numFmt w:val="bullet"/>
      <w:lvlText w:val=""/>
      <w:lvlJc w:val="left"/>
      <w:pPr>
        <w:ind w:left="2340" w:hanging="360"/>
      </w:pPr>
      <w:rPr>
        <w:rFonts w:ascii="Wingdings" w:eastAsia="Dotum" w:hAnsi="Wingdings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22B98"/>
    <w:multiLevelType w:val="hybridMultilevel"/>
    <w:tmpl w:val="5D980E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E73143E"/>
    <w:multiLevelType w:val="hybridMultilevel"/>
    <w:tmpl w:val="77DA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A67CE"/>
    <w:multiLevelType w:val="hybridMultilevel"/>
    <w:tmpl w:val="4218F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C5097"/>
    <w:multiLevelType w:val="hybridMultilevel"/>
    <w:tmpl w:val="6DFCF99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C83CF2"/>
    <w:multiLevelType w:val="hybridMultilevel"/>
    <w:tmpl w:val="9BB4E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E6CD1"/>
    <w:multiLevelType w:val="hybridMultilevel"/>
    <w:tmpl w:val="160134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9D70665"/>
    <w:multiLevelType w:val="hybridMultilevel"/>
    <w:tmpl w:val="42C00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EE31E7"/>
    <w:multiLevelType w:val="hybridMultilevel"/>
    <w:tmpl w:val="5CBE7584"/>
    <w:lvl w:ilvl="0" w:tplc="0C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7E1F2D9B"/>
    <w:multiLevelType w:val="hybridMultilevel"/>
    <w:tmpl w:val="ACA24BA8"/>
    <w:lvl w:ilvl="0" w:tplc="7A544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3"/>
  </w:num>
  <w:num w:numId="4">
    <w:abstractNumId w:val="38"/>
  </w:num>
  <w:num w:numId="5">
    <w:abstractNumId w:val="17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42"/>
  </w:num>
  <w:num w:numId="11">
    <w:abstractNumId w:val="29"/>
  </w:num>
  <w:num w:numId="12">
    <w:abstractNumId w:val="35"/>
  </w:num>
  <w:num w:numId="13">
    <w:abstractNumId w:val="13"/>
  </w:num>
  <w:num w:numId="14">
    <w:abstractNumId w:val="22"/>
  </w:num>
  <w:num w:numId="15">
    <w:abstractNumId w:val="12"/>
  </w:num>
  <w:num w:numId="16">
    <w:abstractNumId w:val="37"/>
  </w:num>
  <w:num w:numId="17">
    <w:abstractNumId w:val="5"/>
  </w:num>
  <w:num w:numId="18">
    <w:abstractNumId w:val="18"/>
  </w:num>
  <w:num w:numId="19">
    <w:abstractNumId w:val="33"/>
  </w:num>
  <w:num w:numId="20">
    <w:abstractNumId w:val="44"/>
  </w:num>
  <w:num w:numId="21">
    <w:abstractNumId w:val="14"/>
  </w:num>
  <w:num w:numId="22">
    <w:abstractNumId w:val="34"/>
  </w:num>
  <w:num w:numId="23">
    <w:abstractNumId w:val="11"/>
  </w:num>
  <w:num w:numId="24">
    <w:abstractNumId w:val="3"/>
  </w:num>
  <w:num w:numId="25">
    <w:abstractNumId w:val="36"/>
  </w:num>
  <w:num w:numId="26">
    <w:abstractNumId w:val="25"/>
  </w:num>
  <w:num w:numId="27">
    <w:abstractNumId w:val="40"/>
  </w:num>
  <w:num w:numId="28">
    <w:abstractNumId w:val="30"/>
  </w:num>
  <w:num w:numId="29">
    <w:abstractNumId w:val="31"/>
  </w:num>
  <w:num w:numId="30">
    <w:abstractNumId w:val="9"/>
  </w:num>
  <w:num w:numId="31">
    <w:abstractNumId w:val="10"/>
  </w:num>
  <w:num w:numId="32">
    <w:abstractNumId w:val="28"/>
  </w:num>
  <w:num w:numId="33">
    <w:abstractNumId w:val="43"/>
  </w:num>
  <w:num w:numId="34">
    <w:abstractNumId w:val="21"/>
  </w:num>
  <w:num w:numId="35">
    <w:abstractNumId w:val="32"/>
  </w:num>
  <w:num w:numId="36">
    <w:abstractNumId w:val="20"/>
  </w:num>
  <w:num w:numId="37">
    <w:abstractNumId w:val="16"/>
  </w:num>
  <w:num w:numId="38">
    <w:abstractNumId w:val="24"/>
  </w:num>
  <w:num w:numId="39">
    <w:abstractNumId w:val="27"/>
  </w:num>
  <w:num w:numId="40">
    <w:abstractNumId w:val="8"/>
  </w:num>
  <w:num w:numId="41">
    <w:abstractNumId w:val="39"/>
  </w:num>
  <w:num w:numId="42">
    <w:abstractNumId w:val="41"/>
  </w:num>
  <w:num w:numId="43">
    <w:abstractNumId w:val="26"/>
  </w:num>
  <w:num w:numId="44">
    <w:abstractNumId w:val="6"/>
  </w:num>
  <w:num w:numId="45">
    <w:abstractNumId w:val="45"/>
  </w:num>
  <w:num w:numId="46">
    <w:abstractNumId w:val="7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F"/>
    <w:rsid w:val="000106EB"/>
    <w:rsid w:val="00013C2F"/>
    <w:rsid w:val="00021243"/>
    <w:rsid w:val="00022A4A"/>
    <w:rsid w:val="00036EDC"/>
    <w:rsid w:val="00041825"/>
    <w:rsid w:val="0007639A"/>
    <w:rsid w:val="000A3A69"/>
    <w:rsid w:val="000A65C9"/>
    <w:rsid w:val="000B27A7"/>
    <w:rsid w:val="000D6C6C"/>
    <w:rsid w:val="000E09C4"/>
    <w:rsid w:val="000E4D1E"/>
    <w:rsid w:val="001013E1"/>
    <w:rsid w:val="00153753"/>
    <w:rsid w:val="00165F48"/>
    <w:rsid w:val="0017270F"/>
    <w:rsid w:val="001825E0"/>
    <w:rsid w:val="001849B2"/>
    <w:rsid w:val="00184E12"/>
    <w:rsid w:val="00186CF7"/>
    <w:rsid w:val="001A2460"/>
    <w:rsid w:val="001C45B4"/>
    <w:rsid w:val="0021213D"/>
    <w:rsid w:val="00216823"/>
    <w:rsid w:val="0022664C"/>
    <w:rsid w:val="002306B2"/>
    <w:rsid w:val="00236B19"/>
    <w:rsid w:val="00240825"/>
    <w:rsid w:val="002506FF"/>
    <w:rsid w:val="002507CE"/>
    <w:rsid w:val="002537F2"/>
    <w:rsid w:val="00253E53"/>
    <w:rsid w:val="00255740"/>
    <w:rsid w:val="00275679"/>
    <w:rsid w:val="002767E7"/>
    <w:rsid w:val="00282F66"/>
    <w:rsid w:val="0028662F"/>
    <w:rsid w:val="002936DD"/>
    <w:rsid w:val="00295CD3"/>
    <w:rsid w:val="002D2007"/>
    <w:rsid w:val="002F3325"/>
    <w:rsid w:val="00320BEB"/>
    <w:rsid w:val="00327526"/>
    <w:rsid w:val="0033060E"/>
    <w:rsid w:val="00360326"/>
    <w:rsid w:val="003806F7"/>
    <w:rsid w:val="0039259A"/>
    <w:rsid w:val="00395032"/>
    <w:rsid w:val="003A1F9D"/>
    <w:rsid w:val="003D1795"/>
    <w:rsid w:val="003D27F1"/>
    <w:rsid w:val="003E3235"/>
    <w:rsid w:val="003E6A3C"/>
    <w:rsid w:val="003F11F8"/>
    <w:rsid w:val="003F2218"/>
    <w:rsid w:val="003F3538"/>
    <w:rsid w:val="00403201"/>
    <w:rsid w:val="00420DA8"/>
    <w:rsid w:val="00433C78"/>
    <w:rsid w:val="00437609"/>
    <w:rsid w:val="00445EDE"/>
    <w:rsid w:val="00447869"/>
    <w:rsid w:val="00454FA8"/>
    <w:rsid w:val="00460325"/>
    <w:rsid w:val="00463B0C"/>
    <w:rsid w:val="0047615E"/>
    <w:rsid w:val="004856E4"/>
    <w:rsid w:val="004926F2"/>
    <w:rsid w:val="004939F2"/>
    <w:rsid w:val="004A10A2"/>
    <w:rsid w:val="004B14F4"/>
    <w:rsid w:val="004D4636"/>
    <w:rsid w:val="004E4A52"/>
    <w:rsid w:val="005023CE"/>
    <w:rsid w:val="00507846"/>
    <w:rsid w:val="00525C51"/>
    <w:rsid w:val="00530FD9"/>
    <w:rsid w:val="00531E6D"/>
    <w:rsid w:val="0053724E"/>
    <w:rsid w:val="00540020"/>
    <w:rsid w:val="00543C69"/>
    <w:rsid w:val="005546AE"/>
    <w:rsid w:val="005629EE"/>
    <w:rsid w:val="00570AE6"/>
    <w:rsid w:val="00584BEC"/>
    <w:rsid w:val="005851ED"/>
    <w:rsid w:val="005960E7"/>
    <w:rsid w:val="005C78F4"/>
    <w:rsid w:val="005D2C3D"/>
    <w:rsid w:val="005E04F6"/>
    <w:rsid w:val="005F0799"/>
    <w:rsid w:val="00602D7D"/>
    <w:rsid w:val="00617D9D"/>
    <w:rsid w:val="006201B1"/>
    <w:rsid w:val="006427C2"/>
    <w:rsid w:val="00642A5C"/>
    <w:rsid w:val="00644285"/>
    <w:rsid w:val="00657F36"/>
    <w:rsid w:val="00660C34"/>
    <w:rsid w:val="006627B5"/>
    <w:rsid w:val="006631E9"/>
    <w:rsid w:val="00666AA5"/>
    <w:rsid w:val="00670D34"/>
    <w:rsid w:val="006855AF"/>
    <w:rsid w:val="00695219"/>
    <w:rsid w:val="006B0323"/>
    <w:rsid w:val="006B4C33"/>
    <w:rsid w:val="006D16C9"/>
    <w:rsid w:val="006D2521"/>
    <w:rsid w:val="006D2FA8"/>
    <w:rsid w:val="006D36A9"/>
    <w:rsid w:val="006F1FA7"/>
    <w:rsid w:val="006F485E"/>
    <w:rsid w:val="00702EB0"/>
    <w:rsid w:val="00704AD4"/>
    <w:rsid w:val="00712654"/>
    <w:rsid w:val="007146E1"/>
    <w:rsid w:val="00722415"/>
    <w:rsid w:val="00772338"/>
    <w:rsid w:val="007770B7"/>
    <w:rsid w:val="00780D9A"/>
    <w:rsid w:val="00782F6C"/>
    <w:rsid w:val="007830E1"/>
    <w:rsid w:val="00787242"/>
    <w:rsid w:val="00793E1F"/>
    <w:rsid w:val="00793EB5"/>
    <w:rsid w:val="007B0C7B"/>
    <w:rsid w:val="007B2100"/>
    <w:rsid w:val="007B4938"/>
    <w:rsid w:val="007C0915"/>
    <w:rsid w:val="007C7B0F"/>
    <w:rsid w:val="007D47CD"/>
    <w:rsid w:val="007F3022"/>
    <w:rsid w:val="008041F6"/>
    <w:rsid w:val="00847EC8"/>
    <w:rsid w:val="0085141B"/>
    <w:rsid w:val="00853117"/>
    <w:rsid w:val="00856708"/>
    <w:rsid w:val="008612AB"/>
    <w:rsid w:val="00875654"/>
    <w:rsid w:val="00880ECB"/>
    <w:rsid w:val="00892CC0"/>
    <w:rsid w:val="00893E0A"/>
    <w:rsid w:val="00896241"/>
    <w:rsid w:val="008B79D4"/>
    <w:rsid w:val="00901446"/>
    <w:rsid w:val="00901F76"/>
    <w:rsid w:val="009025B7"/>
    <w:rsid w:val="00916F09"/>
    <w:rsid w:val="009208EC"/>
    <w:rsid w:val="00933536"/>
    <w:rsid w:val="009347BC"/>
    <w:rsid w:val="0093594E"/>
    <w:rsid w:val="00946655"/>
    <w:rsid w:val="00951B85"/>
    <w:rsid w:val="00955F43"/>
    <w:rsid w:val="00982D63"/>
    <w:rsid w:val="009A43A4"/>
    <w:rsid w:val="009B04BD"/>
    <w:rsid w:val="009B0C00"/>
    <w:rsid w:val="009C1E09"/>
    <w:rsid w:val="009E0D07"/>
    <w:rsid w:val="009E38CC"/>
    <w:rsid w:val="009F4509"/>
    <w:rsid w:val="00A0276B"/>
    <w:rsid w:val="00A0352E"/>
    <w:rsid w:val="00A05745"/>
    <w:rsid w:val="00A1253F"/>
    <w:rsid w:val="00A23D1D"/>
    <w:rsid w:val="00A31C82"/>
    <w:rsid w:val="00A357C4"/>
    <w:rsid w:val="00A426E7"/>
    <w:rsid w:val="00A57D60"/>
    <w:rsid w:val="00A7510F"/>
    <w:rsid w:val="00A80A19"/>
    <w:rsid w:val="00A81C38"/>
    <w:rsid w:val="00AA19C1"/>
    <w:rsid w:val="00AB120F"/>
    <w:rsid w:val="00AD086B"/>
    <w:rsid w:val="00AD1EF1"/>
    <w:rsid w:val="00AD4362"/>
    <w:rsid w:val="00AE5015"/>
    <w:rsid w:val="00AE63FA"/>
    <w:rsid w:val="00B35BD7"/>
    <w:rsid w:val="00B3726E"/>
    <w:rsid w:val="00B42D91"/>
    <w:rsid w:val="00B74C84"/>
    <w:rsid w:val="00B82579"/>
    <w:rsid w:val="00B97261"/>
    <w:rsid w:val="00BA76E3"/>
    <w:rsid w:val="00BD6C2D"/>
    <w:rsid w:val="00BD7111"/>
    <w:rsid w:val="00BD735D"/>
    <w:rsid w:val="00BE5352"/>
    <w:rsid w:val="00BE772E"/>
    <w:rsid w:val="00C21002"/>
    <w:rsid w:val="00C24E0B"/>
    <w:rsid w:val="00C30FD5"/>
    <w:rsid w:val="00C34D27"/>
    <w:rsid w:val="00C364CA"/>
    <w:rsid w:val="00C51E04"/>
    <w:rsid w:val="00C92149"/>
    <w:rsid w:val="00CA4321"/>
    <w:rsid w:val="00CA531E"/>
    <w:rsid w:val="00CB47C1"/>
    <w:rsid w:val="00CB50C5"/>
    <w:rsid w:val="00CC12B9"/>
    <w:rsid w:val="00CD489A"/>
    <w:rsid w:val="00CD5856"/>
    <w:rsid w:val="00CD7B8A"/>
    <w:rsid w:val="00D16B82"/>
    <w:rsid w:val="00D17E7A"/>
    <w:rsid w:val="00D17FEC"/>
    <w:rsid w:val="00D24193"/>
    <w:rsid w:val="00D33192"/>
    <w:rsid w:val="00D43CAC"/>
    <w:rsid w:val="00D67CFD"/>
    <w:rsid w:val="00D701A9"/>
    <w:rsid w:val="00D75501"/>
    <w:rsid w:val="00D86AB1"/>
    <w:rsid w:val="00D874FD"/>
    <w:rsid w:val="00D87794"/>
    <w:rsid w:val="00D95EFE"/>
    <w:rsid w:val="00D96987"/>
    <w:rsid w:val="00DB17C2"/>
    <w:rsid w:val="00DB1925"/>
    <w:rsid w:val="00DC073E"/>
    <w:rsid w:val="00DD166F"/>
    <w:rsid w:val="00DF7A7B"/>
    <w:rsid w:val="00E23B4C"/>
    <w:rsid w:val="00E24836"/>
    <w:rsid w:val="00E337E6"/>
    <w:rsid w:val="00E62E16"/>
    <w:rsid w:val="00E672AA"/>
    <w:rsid w:val="00E7550D"/>
    <w:rsid w:val="00EA2E82"/>
    <w:rsid w:val="00EB78FB"/>
    <w:rsid w:val="00EC0889"/>
    <w:rsid w:val="00F42816"/>
    <w:rsid w:val="00F66136"/>
    <w:rsid w:val="00F70578"/>
    <w:rsid w:val="00FC0E9B"/>
    <w:rsid w:val="00FC5CB0"/>
    <w:rsid w:val="00FD2CCD"/>
    <w:rsid w:val="00FE1B13"/>
    <w:rsid w:val="00FE1EE0"/>
    <w:rsid w:val="00FE5B66"/>
    <w:rsid w:val="00FF394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47EB8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8B7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0F"/>
    <w:rPr>
      <w:rFonts w:ascii="Tahoma" w:eastAsia="Dotum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1727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Pa17">
    <w:name w:val="Pa17"/>
    <w:basedOn w:val="Normal"/>
    <w:next w:val="Normal"/>
    <w:uiPriority w:val="99"/>
    <w:rsid w:val="00DD166F"/>
    <w:pPr>
      <w:autoSpaceDE w:val="0"/>
      <w:autoSpaceDN w:val="0"/>
      <w:adjustRightInd w:val="0"/>
      <w:spacing w:after="0" w:line="181" w:lineRule="atLeast"/>
    </w:pPr>
    <w:rPr>
      <w:rFonts w:ascii="DIN-Medium" w:eastAsiaTheme="minorHAnsi" w:hAnsi="DIN-Medium" w:cstheme="minorBidi"/>
      <w:sz w:val="24"/>
      <w:szCs w:val="24"/>
    </w:rPr>
  </w:style>
  <w:style w:type="paragraph" w:customStyle="1" w:styleId="Default">
    <w:name w:val="Default"/>
    <w:rsid w:val="00DD166F"/>
    <w:pPr>
      <w:autoSpaceDE w:val="0"/>
      <w:autoSpaceDN w:val="0"/>
      <w:adjustRightInd w:val="0"/>
      <w:spacing w:after="0" w:line="240" w:lineRule="auto"/>
    </w:pPr>
    <w:rPr>
      <w:rFonts w:ascii="DIN-Light" w:hAnsi="DIN-Light" w:cs="DIN-Light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531E6D"/>
    <w:pPr>
      <w:spacing w:line="181" w:lineRule="atLeast"/>
    </w:pPr>
    <w:rPr>
      <w:rFonts w:cstheme="minorBidi"/>
      <w:color w:val="auto"/>
    </w:rPr>
  </w:style>
  <w:style w:type="paragraph" w:customStyle="1" w:styleId="heading10">
    <w:name w:val="heading1"/>
    <w:basedOn w:val="Normal"/>
    <w:rsid w:val="00584BEC"/>
    <w:pPr>
      <w:spacing w:after="225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584BEC"/>
    <w:rPr>
      <w:b/>
      <w:bCs/>
    </w:rPr>
  </w:style>
  <w:style w:type="character" w:styleId="Emphasis">
    <w:name w:val="Emphasis"/>
    <w:basedOn w:val="DefaultParagraphFont"/>
    <w:uiPriority w:val="20"/>
    <w:qFormat/>
    <w:rsid w:val="00FD2C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A4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21"/>
    <w:rPr>
      <w:rFonts w:ascii="Calibri" w:eastAsia="Dotum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21"/>
    <w:rPr>
      <w:rFonts w:ascii="Calibri" w:eastAsia="Dotum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394A"/>
    <w:pPr>
      <w:spacing w:after="0" w:line="240" w:lineRule="auto"/>
    </w:pPr>
    <w:rPr>
      <w:rFonts w:ascii="Calibri" w:eastAsia="Dotum" w:hAnsi="Calibri" w:cs="Calibri"/>
    </w:rPr>
  </w:style>
  <w:style w:type="paragraph" w:customStyle="1" w:styleId="heading">
    <w:name w:val="heading"/>
    <w:basedOn w:val="Normal"/>
    <w:rsid w:val="00282F6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2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82F66"/>
  </w:style>
  <w:style w:type="character" w:customStyle="1" w:styleId="ListParagraphChar">
    <w:name w:val="List Paragraph Char"/>
    <w:link w:val="ListParagraph"/>
    <w:uiPriority w:val="34"/>
    <w:rsid w:val="00F70578"/>
    <w:rPr>
      <w:rFonts w:ascii="Calibri" w:eastAsia="Dotum" w:hAnsi="Calibri" w:cs="Calibri"/>
    </w:rPr>
  </w:style>
  <w:style w:type="character" w:styleId="Hyperlink">
    <w:name w:val="Hyperlink"/>
    <w:basedOn w:val="DefaultParagraphFont"/>
    <w:uiPriority w:val="99"/>
    <w:unhideWhenUsed/>
    <w:rsid w:val="008B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61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indawi.com/journals/crihem/2016/416167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649810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55DB6-F8FE-462B-9C2E-29076F3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Wicks</cp:lastModifiedBy>
  <cp:revision>10</cp:revision>
  <cp:lastPrinted>2017-04-10T23:46:00Z</cp:lastPrinted>
  <dcterms:created xsi:type="dcterms:W3CDTF">2017-03-15T22:46:00Z</dcterms:created>
  <dcterms:modified xsi:type="dcterms:W3CDTF">2017-04-10T23:46:00Z</dcterms:modified>
</cp:coreProperties>
</file>