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6902B9" w:rsidRDefault="00E201F2" w:rsidP="006902B9">
      <w:pPr>
        <w:pStyle w:val="Heading3"/>
        <w:ind w:left="-284"/>
        <w:rPr>
          <w:i/>
          <w:color w:val="auto"/>
        </w:rPr>
      </w:pPr>
      <w:r w:rsidRPr="006902B9">
        <w:rPr>
          <w:color w:val="auto"/>
        </w:rPr>
        <w:t>2017 (v3.0) Proposed changes to v2.1 of the Criteria for the clinical use of intravenous immunoglobulin in Australia</w:t>
      </w:r>
    </w:p>
    <w:p w:rsidR="00447869" w:rsidRDefault="00447869" w:rsidP="00447869"/>
    <w:tbl>
      <w:tblPr>
        <w:tblStyle w:val="TableGrid"/>
        <w:tblW w:w="14601" w:type="dxa"/>
        <w:tblInd w:w="-318" w:type="dxa"/>
        <w:tblLook w:val="0680" w:firstRow="0" w:lastRow="0" w:firstColumn="1" w:lastColumn="0" w:noHBand="1" w:noVBand="1"/>
      </w:tblPr>
      <w:tblGrid>
        <w:gridCol w:w="4679"/>
        <w:gridCol w:w="9922"/>
      </w:tblGrid>
      <w:tr w:rsidR="008612AB" w:rsidRPr="005C4C4B" w:rsidTr="00832D0D">
        <w:trPr>
          <w:tblHeader/>
        </w:trPr>
        <w:tc>
          <w:tcPr>
            <w:tcW w:w="14601" w:type="dxa"/>
            <w:gridSpan w:val="2"/>
            <w:shd w:val="clear" w:color="auto" w:fill="DBE5F1" w:themeFill="accent1" w:themeFillTint="33"/>
          </w:tcPr>
          <w:p w:rsidR="008612AB" w:rsidRPr="00CC3849" w:rsidRDefault="00E201F2" w:rsidP="00C23675">
            <w:pPr>
              <w:spacing w:before="120" w:after="120"/>
              <w:rPr>
                <w:rFonts w:asciiTheme="minorHAnsi" w:eastAsia="Times New Roman" w:hAnsiTheme="minorHAnsi" w:cs="Times New Roman"/>
                <w:b/>
                <w:bCs/>
                <w:lang w:val="fr-FR" w:eastAsia="en-AU"/>
              </w:rPr>
            </w:pPr>
            <w:r w:rsidRPr="00CC3849">
              <w:rPr>
                <w:rFonts w:asciiTheme="minorHAnsi" w:eastAsia="Times New Roman" w:hAnsiTheme="minorHAnsi" w:cs="Times New Roman"/>
                <w:b/>
                <w:bCs/>
                <w:lang w:val="fr-FR" w:eastAsia="en-AU"/>
              </w:rPr>
              <w:t>v</w:t>
            </w:r>
            <w:r w:rsidR="00631EAB" w:rsidRPr="00CC3849">
              <w:rPr>
                <w:rFonts w:asciiTheme="minorHAnsi" w:eastAsia="Times New Roman" w:hAnsiTheme="minorHAnsi" w:cs="Times New Roman"/>
                <w:b/>
                <w:bCs/>
                <w:lang w:val="fr-FR" w:eastAsia="en-AU"/>
              </w:rPr>
              <w:t xml:space="preserve">2.1 </w:t>
            </w:r>
            <w:r w:rsidR="008612AB" w:rsidRPr="00CC3849">
              <w:rPr>
                <w:rFonts w:asciiTheme="minorHAnsi" w:eastAsia="Times New Roman" w:hAnsiTheme="minorHAnsi" w:cs="Times New Roman"/>
                <w:b/>
                <w:bCs/>
                <w:lang w:val="fr-FR" w:eastAsia="en-AU"/>
              </w:rPr>
              <w:t>CONDITION NAME:</w:t>
            </w:r>
            <w:r w:rsidR="00C23675" w:rsidRPr="00CC3849">
              <w:rPr>
                <w:rFonts w:asciiTheme="minorHAnsi" w:eastAsia="Times New Roman" w:hAnsiTheme="minorHAnsi" w:cs="Times New Roman"/>
                <w:b/>
                <w:bCs/>
                <w:lang w:val="fr-FR" w:eastAsia="en-AU"/>
              </w:rPr>
              <w:tab/>
              <w:t>Autoimmune uveitis</w:t>
            </w:r>
          </w:p>
        </w:tc>
      </w:tr>
      <w:tr w:rsidR="006D67CF" w:rsidRPr="00E201F2" w:rsidTr="00832D0D">
        <w:trPr>
          <w:tblHeader/>
        </w:trPr>
        <w:tc>
          <w:tcPr>
            <w:tcW w:w="14601" w:type="dxa"/>
            <w:gridSpan w:val="2"/>
            <w:shd w:val="clear" w:color="auto" w:fill="DBE5F1" w:themeFill="accent1" w:themeFillTint="33"/>
          </w:tcPr>
          <w:p w:rsidR="006D67CF" w:rsidRPr="00CC3849" w:rsidRDefault="00E201F2" w:rsidP="00C23675">
            <w:pPr>
              <w:spacing w:before="120" w:after="120"/>
              <w:rPr>
                <w:rFonts w:asciiTheme="minorHAnsi" w:eastAsia="Times New Roman" w:hAnsiTheme="minorHAnsi" w:cs="Times New Roman"/>
                <w:b/>
                <w:bCs/>
                <w:lang w:val="fr-FR" w:eastAsia="en-AU"/>
              </w:rPr>
            </w:pPr>
            <w:r w:rsidRPr="00CC3849">
              <w:rPr>
                <w:rFonts w:asciiTheme="minorHAnsi" w:eastAsia="Times New Roman" w:hAnsiTheme="minorHAnsi" w:cs="Times New Roman"/>
                <w:b/>
                <w:bCs/>
                <w:lang w:val="fr-FR" w:eastAsia="en-AU"/>
              </w:rPr>
              <w:t>v</w:t>
            </w:r>
            <w:r w:rsidR="00AD6B81" w:rsidRPr="00CC3849">
              <w:rPr>
                <w:rFonts w:asciiTheme="minorHAnsi" w:eastAsia="Times New Roman" w:hAnsiTheme="minorHAnsi" w:cs="Times New Roman"/>
                <w:b/>
                <w:bCs/>
                <w:lang w:val="fr-FR" w:eastAsia="en-AU"/>
              </w:rPr>
              <w:t>3.0</w:t>
            </w:r>
            <w:r w:rsidR="006D67CF" w:rsidRPr="00CC3849">
              <w:rPr>
                <w:rFonts w:asciiTheme="minorHAnsi" w:eastAsia="Times New Roman" w:hAnsiTheme="minorHAnsi" w:cs="Times New Roman"/>
                <w:b/>
                <w:bCs/>
                <w:lang w:val="fr-FR" w:eastAsia="en-AU"/>
              </w:rPr>
              <w:t xml:space="preserve"> CONDITION NAME:</w:t>
            </w:r>
            <w:r w:rsidR="006D67CF" w:rsidRPr="00CC3849">
              <w:rPr>
                <w:rFonts w:asciiTheme="minorHAnsi" w:eastAsia="Times New Roman" w:hAnsiTheme="minorHAnsi" w:cs="Times New Roman"/>
                <w:b/>
                <w:bCs/>
                <w:lang w:val="fr-FR" w:eastAsia="en-AU"/>
              </w:rPr>
              <w:tab/>
              <w:t>Autoimmune retinopathy</w:t>
            </w:r>
            <w:r w:rsidR="00120A7A">
              <w:rPr>
                <w:rFonts w:asciiTheme="minorHAnsi" w:eastAsia="Times New Roman" w:hAnsiTheme="minorHAnsi" w:cs="Times New Roman"/>
                <w:b/>
                <w:bCs/>
                <w:lang w:val="fr-FR" w:eastAsia="en-AU"/>
              </w:rPr>
              <w:t xml:space="preserve"> (AIR)</w:t>
            </w:r>
          </w:p>
        </w:tc>
      </w:tr>
      <w:tr w:rsidR="00642A5C" w:rsidRPr="00447869" w:rsidTr="001B2F7B">
        <w:trPr>
          <w:tblHeader/>
        </w:trPr>
        <w:tc>
          <w:tcPr>
            <w:tcW w:w="4679" w:type="dxa"/>
            <w:shd w:val="clear" w:color="auto" w:fill="auto"/>
          </w:tcPr>
          <w:p w:rsidR="003E3235" w:rsidRPr="00CC3849" w:rsidRDefault="00E201F2" w:rsidP="008612AB">
            <w:pPr>
              <w:spacing w:before="120" w:after="120"/>
              <w:rPr>
                <w:rFonts w:asciiTheme="minorHAnsi" w:eastAsia="Times New Roman" w:hAnsiTheme="minorHAnsi" w:cs="Times New Roman"/>
                <w:b/>
                <w:bCs/>
                <w:lang w:eastAsia="en-AU"/>
              </w:rPr>
            </w:pPr>
            <w:r w:rsidRPr="00CC3849">
              <w:rPr>
                <w:rFonts w:asciiTheme="minorHAnsi" w:eastAsia="Times New Roman" w:hAnsiTheme="minorHAnsi" w:cs="Times New Roman"/>
                <w:b/>
                <w:bCs/>
                <w:lang w:eastAsia="en-AU"/>
              </w:rPr>
              <w:t>PROPOSED APPROACH:</w:t>
            </w:r>
          </w:p>
          <w:p w:rsidR="00E201F2" w:rsidRPr="00E201F2" w:rsidRDefault="00E201F2" w:rsidP="008612AB">
            <w:pPr>
              <w:spacing w:before="120" w:after="120"/>
              <w:rPr>
                <w:rFonts w:asciiTheme="minorHAnsi" w:eastAsia="Times New Roman" w:hAnsiTheme="minorHAnsi" w:cs="Times New Roman"/>
                <w:bCs/>
                <w:lang w:eastAsia="en-AU"/>
              </w:rPr>
            </w:pPr>
            <w:r w:rsidRPr="00CC3849">
              <w:rPr>
                <w:rFonts w:asciiTheme="minorHAnsi" w:eastAsia="Times New Roman" w:hAnsiTheme="minorHAnsi" w:cs="Times New Roman"/>
                <w:b/>
                <w:bCs/>
                <w:lang w:eastAsia="en-AU"/>
              </w:rPr>
              <w:t>To retain Autoimmune retinopathy</w:t>
            </w:r>
            <w:r w:rsidRPr="00E201F2">
              <w:rPr>
                <w:rFonts w:asciiTheme="minorHAnsi" w:eastAsia="Times New Roman" w:hAnsiTheme="minorHAnsi" w:cs="Times New Roman"/>
                <w:b/>
                <w:bCs/>
                <w:lang w:eastAsia="en-AU"/>
              </w:rPr>
              <w:t xml:space="preserve"> in </w:t>
            </w:r>
            <w:r w:rsidRPr="00CC3849">
              <w:rPr>
                <w:rFonts w:asciiTheme="minorHAnsi" w:eastAsia="Times New Roman" w:hAnsiTheme="minorHAnsi" w:cs="Times New Roman"/>
                <w:b/>
                <w:bCs/>
                <w:i/>
                <w:lang w:eastAsia="en-AU"/>
              </w:rPr>
              <w:t>Exceptional circumstances only</w:t>
            </w:r>
            <w:r w:rsidRPr="00E201F2">
              <w:rPr>
                <w:rFonts w:asciiTheme="minorHAnsi" w:eastAsia="Times New Roman" w:hAnsiTheme="minorHAnsi" w:cs="Times New Roman"/>
                <w:b/>
                <w:bCs/>
                <w:lang w:eastAsia="en-AU"/>
              </w:rPr>
              <w:t xml:space="preserve"> with changes </w:t>
            </w:r>
            <w:r w:rsidR="00CC3849">
              <w:rPr>
                <w:rFonts w:asciiTheme="minorHAnsi" w:eastAsia="Times New Roman" w:hAnsiTheme="minorHAnsi" w:cs="Times New Roman"/>
                <w:b/>
                <w:bCs/>
                <w:lang w:eastAsia="en-AU"/>
              </w:rPr>
              <w:t xml:space="preserve">as </w:t>
            </w:r>
            <w:r w:rsidRPr="00E201F2">
              <w:rPr>
                <w:rFonts w:asciiTheme="minorHAnsi" w:eastAsia="Times New Roman" w:hAnsiTheme="minorHAnsi" w:cs="Times New Roman"/>
                <w:b/>
                <w:bCs/>
                <w:lang w:eastAsia="en-AU"/>
              </w:rPr>
              <w:t>outlined.</w:t>
            </w:r>
          </w:p>
        </w:tc>
        <w:tc>
          <w:tcPr>
            <w:tcW w:w="9922"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6D67CF" w:rsidRDefault="006D67CF" w:rsidP="006D67CF">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rsidR="006D67CF" w:rsidRPr="00711A47" w:rsidRDefault="006D67CF" w:rsidP="006D67CF">
            <w:pPr>
              <w:pStyle w:val="ListParagraph"/>
              <w:numPr>
                <w:ilvl w:val="0"/>
                <w:numId w:val="44"/>
              </w:numPr>
              <w:spacing w:before="120" w:after="120"/>
              <w:ind w:left="360"/>
              <w:rPr>
                <w:rFonts w:asciiTheme="minorHAnsi" w:eastAsia="Times New Roman" w:hAnsiTheme="minorHAnsi" w:cs="Times New Roman"/>
                <w:bCs/>
                <w:lang w:eastAsia="en-AU"/>
              </w:rPr>
            </w:pPr>
            <w:r w:rsidRPr="003B2589">
              <w:rPr>
                <w:rFonts w:asciiTheme="minorHAnsi" w:eastAsiaTheme="minorHAnsi" w:hAnsiTheme="minorHAnsi" w:cs="Century Gothic"/>
                <w:lang w:val="en-US"/>
              </w:rPr>
              <w:t xml:space="preserve">Although not commonly prescribed, </w:t>
            </w:r>
            <w:r>
              <w:rPr>
                <w:rFonts w:asciiTheme="minorHAnsi" w:eastAsiaTheme="minorHAnsi" w:hAnsiTheme="minorHAnsi" w:cs="Century Gothic"/>
                <w:lang w:val="en-US"/>
              </w:rPr>
              <w:t>Ig therapy should remain as an</w:t>
            </w:r>
            <w:r w:rsidRPr="003B2589">
              <w:rPr>
                <w:rFonts w:asciiTheme="minorHAnsi" w:eastAsiaTheme="minorHAnsi" w:hAnsiTheme="minorHAnsi" w:cs="Century Gothic"/>
                <w:lang w:val="en-US"/>
              </w:rPr>
              <w:t xml:space="preserve"> option for use for patients with persistent severe </w:t>
            </w:r>
            <w:r>
              <w:rPr>
                <w:rFonts w:asciiTheme="minorHAnsi" w:eastAsiaTheme="minorHAnsi" w:hAnsiTheme="minorHAnsi" w:cs="Century Gothic"/>
                <w:lang w:val="en-US"/>
              </w:rPr>
              <w:t>A</w:t>
            </w:r>
            <w:r w:rsidR="00120A7A">
              <w:rPr>
                <w:rFonts w:asciiTheme="minorHAnsi" w:eastAsiaTheme="minorHAnsi" w:hAnsiTheme="minorHAnsi" w:cs="Century Gothic"/>
                <w:lang w:val="en-US"/>
              </w:rPr>
              <w:t xml:space="preserve">utoimmune </w:t>
            </w:r>
            <w:r>
              <w:rPr>
                <w:rFonts w:asciiTheme="minorHAnsi" w:eastAsiaTheme="minorHAnsi" w:hAnsiTheme="minorHAnsi" w:cs="Century Gothic"/>
                <w:lang w:val="en-US"/>
              </w:rPr>
              <w:t>R</w:t>
            </w:r>
            <w:r w:rsidR="00120A7A">
              <w:rPr>
                <w:rFonts w:asciiTheme="minorHAnsi" w:eastAsiaTheme="minorHAnsi" w:hAnsiTheme="minorHAnsi" w:cs="Century Gothic"/>
                <w:lang w:val="en-US"/>
              </w:rPr>
              <w:t>etinopathy</w:t>
            </w:r>
            <w:r>
              <w:rPr>
                <w:rFonts w:asciiTheme="minorHAnsi" w:eastAsiaTheme="minorHAnsi" w:hAnsiTheme="minorHAnsi" w:cs="Century Gothic"/>
                <w:lang w:val="en-US"/>
              </w:rPr>
              <w:t xml:space="preserve"> </w:t>
            </w:r>
            <w:r w:rsidR="00120A7A">
              <w:rPr>
                <w:rFonts w:asciiTheme="minorHAnsi" w:eastAsiaTheme="minorHAnsi" w:hAnsiTheme="minorHAnsi" w:cs="Century Gothic"/>
                <w:lang w:val="en-US"/>
              </w:rPr>
              <w:t xml:space="preserve">(AIR) </w:t>
            </w:r>
            <w:r>
              <w:rPr>
                <w:rFonts w:asciiTheme="minorHAnsi" w:eastAsiaTheme="minorHAnsi" w:hAnsiTheme="minorHAnsi" w:cs="Century Gothic"/>
                <w:lang w:val="en-US"/>
              </w:rPr>
              <w:t xml:space="preserve">and anti-retinal antibodies as </w:t>
            </w:r>
            <w:r w:rsidRPr="004A4549">
              <w:rPr>
                <w:rFonts w:asciiTheme="minorHAnsi" w:eastAsiaTheme="minorHAnsi" w:hAnsiTheme="minorHAnsi" w:cs="Century Gothic"/>
                <w:lang w:val="en-US"/>
              </w:rPr>
              <w:t xml:space="preserve">it </w:t>
            </w:r>
            <w:r>
              <w:rPr>
                <w:rFonts w:asciiTheme="minorHAnsi" w:eastAsiaTheme="minorHAnsi" w:hAnsiTheme="minorHAnsi" w:cs="Century Gothic"/>
                <w:lang w:val="en-US"/>
              </w:rPr>
              <w:t xml:space="preserve">is a rare condition </w:t>
            </w:r>
            <w:r w:rsidRPr="00711A47">
              <w:rPr>
                <w:rFonts w:asciiTheme="minorHAnsi" w:hAnsiTheme="minorHAnsi" w:cs="Lucida Grande"/>
                <w:color w:val="000000"/>
              </w:rPr>
              <w:t>associated with severe, progressive and irreversible visual loss.</w:t>
            </w:r>
            <w:r>
              <w:rPr>
                <w:rFonts w:asciiTheme="minorHAnsi" w:hAnsiTheme="minorHAnsi" w:cs="Lucida Grande"/>
                <w:color w:val="000000"/>
                <w:sz w:val="18"/>
                <w:szCs w:val="18"/>
              </w:rPr>
              <w:t xml:space="preserve">  </w:t>
            </w:r>
          </w:p>
          <w:p w:rsidR="006D67CF" w:rsidRDefault="006D67CF" w:rsidP="006D67CF">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The need for ongoing access to Ig therapy has been confirmed by</w:t>
            </w:r>
            <w:r w:rsidR="00387685">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 and these criteria have been developed in consultation with</w:t>
            </w:r>
            <w:r w:rsidR="00387685">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 the Royal Australian and New Zealand College of Ophthalmologists’ (RANZCO) Therapeutics Committee and the RANZCO Uveitis Special Interest Group. </w:t>
            </w:r>
          </w:p>
          <w:p w:rsidR="006D67CF" w:rsidRDefault="006D67CF" w:rsidP="006D67CF">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The criteria have been developed to place Ig therapy as third line treatment (or second line if Rituximab is unavailable) in patients with refractory persistent and severe disease, and specific diagnostic requirements have been defined. </w:t>
            </w:r>
          </w:p>
          <w:p w:rsidR="00FE6E37" w:rsidRDefault="006D67CF" w:rsidP="006D67CF">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The use of Ig therapy is very low with </w:t>
            </w:r>
            <w:r w:rsidR="005F148B">
              <w:rPr>
                <w:rFonts w:asciiTheme="minorHAnsi" w:eastAsia="Times New Roman" w:hAnsiTheme="minorHAnsi" w:cs="Times New Roman"/>
                <w:bCs/>
                <w:lang w:eastAsia="en-AU"/>
              </w:rPr>
              <w:t>less than five</w:t>
            </w:r>
            <w:r>
              <w:rPr>
                <w:rFonts w:asciiTheme="minorHAnsi" w:eastAsia="Times New Roman" w:hAnsiTheme="minorHAnsi" w:cs="Times New Roman"/>
                <w:bCs/>
                <w:lang w:eastAsia="en-AU"/>
              </w:rPr>
              <w:t xml:space="preserve"> patients</w:t>
            </w:r>
            <w:r w:rsidR="005F148B">
              <w:rPr>
                <w:rFonts w:asciiTheme="minorHAnsi" w:eastAsia="Times New Roman" w:hAnsiTheme="minorHAnsi" w:cs="Times New Roman"/>
                <w:bCs/>
                <w:lang w:eastAsia="en-AU"/>
              </w:rPr>
              <w:t xml:space="preserve"> being</w:t>
            </w:r>
            <w:r>
              <w:rPr>
                <w:rFonts w:asciiTheme="minorHAnsi" w:eastAsia="Times New Roman" w:hAnsiTheme="minorHAnsi" w:cs="Times New Roman"/>
                <w:bCs/>
                <w:lang w:eastAsia="en-AU"/>
              </w:rPr>
              <w:t xml:space="preserve"> treated annually for the last 5 years.</w:t>
            </w:r>
          </w:p>
          <w:p w:rsidR="00FF4718" w:rsidRPr="00FE6E37" w:rsidRDefault="00905D94" w:rsidP="006D67CF">
            <w:pPr>
              <w:pStyle w:val="ListParagraph"/>
              <w:numPr>
                <w:ilvl w:val="0"/>
                <w:numId w:val="44"/>
              </w:numPr>
              <w:spacing w:before="120" w:after="120"/>
              <w:ind w:left="360"/>
              <w:rPr>
                <w:rFonts w:asciiTheme="minorHAnsi" w:eastAsia="Times New Roman" w:hAnsiTheme="minorHAnsi" w:cs="Times New Roman"/>
                <w:bCs/>
                <w:lang w:eastAsia="en-AU"/>
              </w:rPr>
            </w:pPr>
            <w:r w:rsidRPr="00905D94">
              <w:rPr>
                <w:rFonts w:asciiTheme="minorHAnsi" w:eastAsia="Times New Roman" w:hAnsiTheme="minorHAnsi" w:cs="Times New Roman"/>
                <w:bCs/>
                <w:lang w:eastAsia="en-AU"/>
              </w:rPr>
              <w:t>This very rare indication is listed in the Clinical Guidelines for Ig Use of the United Kingdom (</w:t>
            </w:r>
            <w:r w:rsidRPr="00905D94">
              <w:rPr>
                <w:rFonts w:asciiTheme="minorHAnsi" w:hAnsiTheme="minorHAnsi"/>
              </w:rPr>
              <w:t>UK Department of Health, 2011)</w:t>
            </w:r>
            <w:r w:rsidRPr="00905D94">
              <w:rPr>
                <w:rFonts w:asciiTheme="minorHAnsi" w:eastAsia="Times New Roman" w:hAnsiTheme="minorHAnsi" w:cs="Times New Roman"/>
                <w:bCs/>
                <w:lang w:eastAsia="en-AU"/>
              </w:rPr>
              <w:t xml:space="preserve"> - when eyesight is threatened - but not the</w:t>
            </w:r>
            <w:r w:rsidRPr="00FE6E37">
              <w:rPr>
                <w:rFonts w:asciiTheme="minorHAnsi" w:eastAsia="Times New Roman" w:hAnsiTheme="minorHAnsi" w:cs="Times New Roman"/>
                <w:bCs/>
                <w:lang w:eastAsia="en-AU"/>
              </w:rPr>
              <w:t xml:space="preserve"> Canadian </w:t>
            </w:r>
            <w:r w:rsidR="00736906">
              <w:rPr>
                <w:rFonts w:asciiTheme="minorHAnsi" w:eastAsia="Times New Roman" w:hAnsiTheme="minorHAnsi" w:cs="Times New Roman"/>
                <w:bCs/>
                <w:lang w:eastAsia="en-AU"/>
              </w:rPr>
              <w:t>IVIg</w:t>
            </w:r>
            <w:r w:rsidRPr="00FE6E37">
              <w:rPr>
                <w:rFonts w:asciiTheme="minorHAnsi" w:eastAsia="Times New Roman" w:hAnsiTheme="minorHAnsi" w:cs="Times New Roman"/>
                <w:bCs/>
                <w:lang w:eastAsia="en-AU"/>
              </w:rPr>
              <w:t xml:space="preserve"> Utilisation Management Guidelines</w:t>
            </w:r>
            <w:r>
              <w:rPr>
                <w:rFonts w:asciiTheme="minorHAnsi" w:eastAsia="Times New Roman" w:hAnsiTheme="minorHAnsi" w:cs="Times New Roman"/>
                <w:bCs/>
                <w:lang w:eastAsia="en-AU"/>
              </w:rPr>
              <w:t xml:space="preserve"> (</w:t>
            </w:r>
            <w:r w:rsidRPr="002A1261">
              <w:rPr>
                <w:rFonts w:asciiTheme="minorHAnsi" w:hAnsiTheme="minorHAnsi"/>
              </w:rPr>
              <w:t>Ontario Regional Blood Coordinating Network</w:t>
            </w:r>
            <w:r>
              <w:rPr>
                <w:rFonts w:asciiTheme="minorHAnsi" w:hAnsiTheme="minorHAnsi"/>
              </w:rPr>
              <w:t>, 2016)</w:t>
            </w:r>
            <w:r w:rsidRPr="00FE6E37">
              <w:rPr>
                <w:rFonts w:asciiTheme="minorHAnsi" w:eastAsia="Times New Roman" w:hAnsiTheme="minorHAnsi" w:cs="Times New Roman"/>
                <w:bCs/>
                <w:lang w:eastAsia="en-AU"/>
              </w:rPr>
              <w:t>, but may be approved for funding at the local level</w:t>
            </w:r>
            <w:r w:rsidR="001B2F7B">
              <w:rPr>
                <w:rFonts w:asciiTheme="minorHAnsi" w:eastAsia="Times New Roman" w:hAnsiTheme="minorHAnsi" w:cs="Times New Roman"/>
                <w:bCs/>
                <w:lang w:eastAsia="en-AU"/>
              </w:rPr>
              <w:t>.</w:t>
            </w:r>
          </w:p>
        </w:tc>
      </w:tr>
      <w:tr w:rsidR="00631EAB" w:rsidRPr="00447869" w:rsidTr="008612AB">
        <w:trPr>
          <w:tblHeader/>
        </w:trPr>
        <w:tc>
          <w:tcPr>
            <w:tcW w:w="14601" w:type="dxa"/>
            <w:gridSpan w:val="2"/>
            <w:shd w:val="clear" w:color="auto" w:fill="auto"/>
          </w:tcPr>
          <w:p w:rsidR="00631EAB" w:rsidRDefault="00E201F2"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A365FB">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 xml:space="preserve">Condition for which Ig is used in </w:t>
            </w:r>
            <w:r>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4B7F75" w:rsidRDefault="004B7F75" w:rsidP="004B7F7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Condition for which Ig is used in </w:t>
            </w:r>
            <w:r>
              <w:rPr>
                <w:rFonts w:asciiTheme="minorHAnsi" w:eastAsia="Times New Roman" w:hAnsiTheme="minorHAnsi" w:cs="Times New Roman"/>
                <w:bCs/>
                <w:lang w:eastAsia="en-AU"/>
              </w:rPr>
              <w:t>exceptional circumstances only (Chapter 7)</w:t>
            </w:r>
          </w:p>
          <w:p w:rsidR="004B7F75" w:rsidRDefault="004B7F75" w:rsidP="008612AB">
            <w:pPr>
              <w:spacing w:before="120" w:after="120"/>
              <w:rPr>
                <w:rFonts w:asciiTheme="minorHAnsi" w:eastAsia="Times New Roman" w:hAnsiTheme="minorHAnsi" w:cs="Times New Roman"/>
                <w:b/>
                <w:bCs/>
                <w:lang w:eastAsia="en-AU"/>
              </w:rPr>
            </w:pPr>
          </w:p>
        </w:tc>
      </w:tr>
      <w:tr w:rsidR="008612AB" w:rsidRPr="00447869" w:rsidTr="008612AB">
        <w:trPr>
          <w:tblHeader/>
        </w:trPr>
        <w:tc>
          <w:tcPr>
            <w:tcW w:w="14601" w:type="dxa"/>
            <w:gridSpan w:val="2"/>
            <w:shd w:val="clear" w:color="auto" w:fill="auto"/>
          </w:tcPr>
          <w:p w:rsidR="006D67CF" w:rsidRDefault="008612AB" w:rsidP="006D67CF">
            <w:pPr>
              <w:widowControl w:val="0"/>
              <w:autoSpaceDE w:val="0"/>
              <w:autoSpaceDN w:val="0"/>
              <w:adjustRightInd w:val="0"/>
              <w:rPr>
                <w:rFonts w:asciiTheme="minorHAnsi" w:eastAsiaTheme="minorHAnsi" w:hAnsiTheme="minorHAnsi" w:cs="Times"/>
                <w:lang w:val="en-US"/>
              </w:rPr>
            </w:pPr>
            <w:r>
              <w:rPr>
                <w:rFonts w:asciiTheme="minorHAnsi" w:eastAsia="Times New Roman" w:hAnsiTheme="minorHAnsi" w:cs="Times New Roman"/>
                <w:b/>
                <w:bCs/>
                <w:lang w:eastAsia="en-AU"/>
              </w:rPr>
              <w:lastRenderedPageBreak/>
              <w:t>Role of Ig therapy:</w:t>
            </w:r>
            <w:r w:rsidR="006D67CF">
              <w:rPr>
                <w:rFonts w:asciiTheme="minorHAnsi" w:eastAsia="Times New Roman" w:hAnsiTheme="minorHAnsi" w:cs="Times New Roman"/>
                <w:b/>
                <w:bCs/>
                <w:lang w:eastAsia="en-AU"/>
              </w:rPr>
              <w:t xml:space="preserve"> : </w:t>
            </w:r>
            <w:r w:rsidR="006D67CF" w:rsidRPr="009827A8">
              <w:rPr>
                <w:rFonts w:asciiTheme="minorHAnsi" w:eastAsiaTheme="minorHAnsi" w:hAnsiTheme="minorHAnsi" w:cs="Times"/>
                <w:lang w:val="en-US"/>
              </w:rPr>
              <w:t xml:space="preserve">Ig </w:t>
            </w:r>
            <w:r w:rsidR="006D67CF">
              <w:rPr>
                <w:rFonts w:asciiTheme="minorHAnsi" w:eastAsiaTheme="minorHAnsi" w:hAnsiTheme="minorHAnsi" w:cs="Times"/>
                <w:lang w:val="en-US"/>
              </w:rPr>
              <w:t xml:space="preserve">therapy should be considered </w:t>
            </w:r>
            <w:r w:rsidR="006D67CF" w:rsidRPr="009827A8">
              <w:rPr>
                <w:rFonts w:asciiTheme="minorHAnsi" w:eastAsiaTheme="minorHAnsi" w:hAnsiTheme="minorHAnsi" w:cs="Times"/>
                <w:lang w:val="en-US"/>
              </w:rPr>
              <w:t>for patients with Autoimmune reti</w:t>
            </w:r>
            <w:r w:rsidR="006D67CF">
              <w:rPr>
                <w:rFonts w:asciiTheme="minorHAnsi" w:eastAsiaTheme="minorHAnsi" w:hAnsiTheme="minorHAnsi" w:cs="Times"/>
                <w:lang w:val="en-US"/>
              </w:rPr>
              <w:t>nopathy</w:t>
            </w:r>
            <w:r w:rsidR="006D67CF" w:rsidRPr="009827A8">
              <w:rPr>
                <w:rFonts w:asciiTheme="minorHAnsi" w:eastAsiaTheme="minorHAnsi" w:hAnsiTheme="minorHAnsi" w:cs="Times"/>
                <w:lang w:val="en-US"/>
              </w:rPr>
              <w:t xml:space="preserve"> as a </w:t>
            </w:r>
            <w:r w:rsidR="006D67CF">
              <w:rPr>
                <w:rFonts w:asciiTheme="minorHAnsi" w:eastAsiaTheme="minorHAnsi" w:hAnsiTheme="minorHAnsi" w:cs="Times"/>
                <w:lang w:val="en-US"/>
              </w:rPr>
              <w:t>treatment of “last resort”</w:t>
            </w:r>
            <w:r w:rsidR="006D67CF" w:rsidRPr="009827A8">
              <w:rPr>
                <w:rFonts w:asciiTheme="minorHAnsi" w:eastAsiaTheme="minorHAnsi" w:hAnsiTheme="minorHAnsi" w:cs="Times"/>
                <w:lang w:val="en-US"/>
              </w:rPr>
              <w:t xml:space="preserve"> </w:t>
            </w:r>
            <w:r w:rsidR="006D67CF">
              <w:rPr>
                <w:rFonts w:asciiTheme="minorHAnsi" w:eastAsiaTheme="minorHAnsi" w:hAnsiTheme="minorHAnsi" w:cs="Times"/>
                <w:lang w:val="en-US"/>
              </w:rPr>
              <w:t xml:space="preserve">for refractory severe disease because </w:t>
            </w:r>
            <w:r w:rsidR="006D67CF" w:rsidRPr="009827A8">
              <w:rPr>
                <w:rFonts w:asciiTheme="minorHAnsi" w:eastAsiaTheme="minorHAnsi" w:hAnsiTheme="minorHAnsi" w:cs="Times"/>
                <w:lang w:val="en-US"/>
              </w:rPr>
              <w:t>o</w:t>
            </w:r>
            <w:r w:rsidR="006D67CF">
              <w:rPr>
                <w:rFonts w:asciiTheme="minorHAnsi" w:eastAsiaTheme="minorHAnsi" w:hAnsiTheme="minorHAnsi" w:cs="Times"/>
                <w:lang w:val="en-US"/>
              </w:rPr>
              <w:t>f</w:t>
            </w:r>
            <w:r w:rsidR="006D67CF" w:rsidRPr="009827A8">
              <w:rPr>
                <w:rFonts w:asciiTheme="minorHAnsi" w:eastAsiaTheme="minorHAnsi" w:hAnsiTheme="minorHAnsi" w:cs="Times"/>
                <w:lang w:val="en-US"/>
              </w:rPr>
              <w:t xml:space="preserve"> the severe, progressive and irreversible nature of the visual loss in these patients, and the demonstrated autoimmune nature of the disease (as evidenced by the presence of anti-retinal antibodies). </w:t>
            </w:r>
            <w:r w:rsidR="006D67CF">
              <w:rPr>
                <w:rFonts w:asciiTheme="minorHAnsi" w:eastAsiaTheme="minorHAnsi" w:hAnsiTheme="minorHAnsi" w:cs="Times"/>
                <w:lang w:val="en-US"/>
              </w:rPr>
              <w:t xml:space="preserve">Use in Australia is very low which is in line with expected prevalence of refractory disease as patients will usually respond to alternative therapies. </w:t>
            </w:r>
          </w:p>
          <w:p w:rsidR="006D67CF" w:rsidRPr="00711A47" w:rsidRDefault="006D67CF" w:rsidP="006D67CF">
            <w:pPr>
              <w:widowControl w:val="0"/>
              <w:autoSpaceDE w:val="0"/>
              <w:autoSpaceDN w:val="0"/>
              <w:adjustRightInd w:val="0"/>
              <w:rPr>
                <w:rFonts w:asciiTheme="minorHAnsi" w:eastAsiaTheme="minorHAnsi" w:hAnsiTheme="minorHAnsi" w:cs="Times"/>
                <w:lang w:val="en-US"/>
              </w:rPr>
            </w:pPr>
            <w:r>
              <w:rPr>
                <w:rFonts w:asciiTheme="minorHAnsi" w:eastAsiaTheme="minorHAnsi" w:hAnsiTheme="minorHAnsi" w:cs="Times"/>
                <w:lang w:val="en-US"/>
              </w:rPr>
              <w:t xml:space="preserve">First line treatment of AIR is with at least three months of corticosteroid therapy and at least two immunosuppressant medications (such as cyclosporine, methotrexate and rituximab). </w:t>
            </w:r>
            <w:r w:rsidRPr="00711A47">
              <w:rPr>
                <w:rFonts w:asciiTheme="minorHAnsi" w:eastAsiaTheme="minorHAnsi" w:hAnsiTheme="minorHAnsi" w:cs="Times"/>
                <w:lang w:val="en-US"/>
              </w:rPr>
              <w:t xml:space="preserve">Although Rituximab (anti-B cell monoclonal Ab) has been used to treat AIR, it has </w:t>
            </w:r>
            <w:r>
              <w:rPr>
                <w:rFonts w:asciiTheme="minorHAnsi" w:eastAsiaTheme="minorHAnsi" w:hAnsiTheme="minorHAnsi" w:cs="Times"/>
                <w:lang w:val="en-US"/>
              </w:rPr>
              <w:t>been used with</w:t>
            </w:r>
            <w:r w:rsidRPr="00711A47">
              <w:rPr>
                <w:rFonts w:asciiTheme="minorHAnsi" w:eastAsiaTheme="minorHAnsi" w:hAnsiTheme="minorHAnsi" w:cs="Times"/>
                <w:lang w:val="en-US"/>
              </w:rPr>
              <w:t xml:space="preserve"> mixed success, and </w:t>
            </w:r>
            <w:r>
              <w:rPr>
                <w:rFonts w:asciiTheme="minorHAnsi" w:eastAsiaTheme="minorHAnsi" w:hAnsiTheme="minorHAnsi" w:cs="Times"/>
                <w:lang w:val="en-US"/>
              </w:rPr>
              <w:t xml:space="preserve">it is noted that </w:t>
            </w:r>
            <w:r w:rsidRPr="00711A47">
              <w:rPr>
                <w:rFonts w:asciiTheme="minorHAnsi" w:eastAsiaTheme="minorHAnsi" w:hAnsiTheme="minorHAnsi" w:cs="Times"/>
                <w:lang w:val="en-US"/>
              </w:rPr>
              <w:t xml:space="preserve">access </w:t>
            </w:r>
            <w:r>
              <w:rPr>
                <w:rFonts w:asciiTheme="minorHAnsi" w:eastAsiaTheme="minorHAnsi" w:hAnsiTheme="minorHAnsi" w:cs="Times"/>
                <w:lang w:val="en-US"/>
              </w:rPr>
              <w:t xml:space="preserve">to Rituximab </w:t>
            </w:r>
            <w:r w:rsidRPr="00711A47">
              <w:rPr>
                <w:rFonts w:asciiTheme="minorHAnsi" w:eastAsiaTheme="minorHAnsi" w:hAnsiTheme="minorHAnsi" w:cs="Times"/>
                <w:lang w:val="en-US"/>
              </w:rPr>
              <w:t xml:space="preserve">in Australia remains limited. </w:t>
            </w:r>
          </w:p>
          <w:p w:rsidR="008612AB" w:rsidRPr="00447869" w:rsidRDefault="006D67CF" w:rsidP="006D67CF">
            <w:pPr>
              <w:spacing w:before="120" w:after="120"/>
              <w:rPr>
                <w:rFonts w:asciiTheme="minorHAnsi" w:eastAsia="Times New Roman" w:hAnsiTheme="minorHAnsi" w:cs="Times New Roman"/>
                <w:b/>
                <w:bCs/>
                <w:lang w:eastAsia="en-AU"/>
              </w:rPr>
            </w:pPr>
            <w:r>
              <w:rPr>
                <w:rFonts w:asciiTheme="minorHAnsi" w:hAnsiTheme="minorHAnsi" w:cs="Lucida Grande"/>
                <w:color w:val="000000"/>
              </w:rPr>
              <w:t>For refractory patients responding to Ig therapy, the</w:t>
            </w:r>
            <w:r w:rsidRPr="00711A47">
              <w:rPr>
                <w:rFonts w:asciiTheme="minorHAnsi" w:hAnsiTheme="minorHAnsi" w:cs="Lucida Grande"/>
                <w:color w:val="000000"/>
              </w:rPr>
              <w:t xml:space="preserve"> value lie</w:t>
            </w:r>
            <w:r>
              <w:rPr>
                <w:rFonts w:asciiTheme="minorHAnsi" w:hAnsiTheme="minorHAnsi" w:cs="Lucida Grande"/>
                <w:color w:val="000000"/>
              </w:rPr>
              <w:t>s</w:t>
            </w:r>
            <w:r w:rsidRPr="00711A47">
              <w:rPr>
                <w:rFonts w:asciiTheme="minorHAnsi" w:hAnsiTheme="minorHAnsi" w:cs="Lucida Grande"/>
                <w:color w:val="000000"/>
              </w:rPr>
              <w:t xml:space="preserve"> in arresting decline rather than </w:t>
            </w:r>
            <w:r>
              <w:rPr>
                <w:rFonts w:asciiTheme="minorHAnsi" w:hAnsiTheme="minorHAnsi" w:cs="Lucida Grande"/>
                <w:color w:val="000000"/>
              </w:rPr>
              <w:t xml:space="preserve">necessarily </w:t>
            </w:r>
            <w:r w:rsidRPr="00711A47">
              <w:rPr>
                <w:rFonts w:asciiTheme="minorHAnsi" w:hAnsiTheme="minorHAnsi" w:cs="Lucida Grande"/>
                <w:color w:val="000000"/>
              </w:rPr>
              <w:t>causing an improvement in function.</w:t>
            </w:r>
            <w:r>
              <w:rPr>
                <w:rFonts w:asciiTheme="minorHAnsi" w:hAnsiTheme="minorHAnsi" w:cs="Lucida Grande"/>
                <w:color w:val="000000"/>
                <w:sz w:val="18"/>
                <w:szCs w:val="18"/>
              </w:rPr>
              <w:t xml:space="preserve"> </w:t>
            </w:r>
            <w:r w:rsidRPr="00711A47">
              <w:rPr>
                <w:rFonts w:asciiTheme="minorHAnsi" w:eastAsiaTheme="minorHAnsi" w:hAnsiTheme="minorHAnsi" w:cs="Times"/>
                <w:lang w:val="en-US"/>
              </w:rPr>
              <w:t>Long term use of intravenous immunoglobulin may be required in cases where cessation of treatment is accompanied by disease progression.</w:t>
            </w:r>
          </w:p>
        </w:tc>
      </w:tr>
    </w:tbl>
    <w:p w:rsidR="005851ED" w:rsidRDefault="005851ED"/>
    <w:tbl>
      <w:tblPr>
        <w:tblStyle w:val="TableGrid"/>
        <w:tblW w:w="14601" w:type="dxa"/>
        <w:tblInd w:w="-318" w:type="dxa"/>
        <w:tblLook w:val="0680" w:firstRow="0" w:lastRow="0" w:firstColumn="1" w:lastColumn="0" w:noHBand="1" w:noVBand="1"/>
      </w:tblPr>
      <w:tblGrid>
        <w:gridCol w:w="1560"/>
        <w:gridCol w:w="2268"/>
        <w:gridCol w:w="1985"/>
        <w:gridCol w:w="1000"/>
        <w:gridCol w:w="2260"/>
        <w:gridCol w:w="5528"/>
      </w:tblGrid>
      <w:tr w:rsidR="00447869" w:rsidRPr="00853117" w:rsidTr="00FE6E37">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68" w:type="dxa"/>
            <w:shd w:val="clear" w:color="auto" w:fill="DBE5F1" w:themeFill="accent1" w:themeFillTint="33"/>
          </w:tcPr>
          <w:p w:rsidR="004A10A2" w:rsidRPr="00C92149" w:rsidRDefault="00E201F2" w:rsidP="00631EAB">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1E102B">
              <w:rPr>
                <w:rFonts w:asciiTheme="minorHAnsi" w:hAnsiTheme="minorHAnsi"/>
                <w:b/>
                <w:sz w:val="20"/>
                <w:szCs w:val="18"/>
              </w:rPr>
              <w:t xml:space="preserve">v2.1 </w:t>
            </w:r>
          </w:p>
        </w:tc>
        <w:tc>
          <w:tcPr>
            <w:tcW w:w="5245"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5528" w:type="dxa"/>
            <w:shd w:val="clear" w:color="auto" w:fill="DBE5F1" w:themeFill="accent1" w:themeFillTint="33"/>
          </w:tcPr>
          <w:p w:rsidR="00447869" w:rsidRPr="00C92149" w:rsidRDefault="00E201F2">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6B774D">
              <w:rPr>
                <w:rFonts w:asciiTheme="minorHAnsi" w:eastAsia="Times New Roman" w:hAnsiTheme="minorHAnsi" w:cs="Times New Roman"/>
                <w:b/>
                <w:bCs/>
                <w:sz w:val="20"/>
                <w:szCs w:val="20"/>
                <w:lang w:eastAsia="en-AU"/>
              </w:rPr>
              <w:t xml:space="preserve"> </w:t>
            </w:r>
            <w:r w:rsidR="006B774D" w:rsidRPr="006B774D">
              <w:rPr>
                <w:rFonts w:asciiTheme="minorHAnsi" w:eastAsia="Times New Roman" w:hAnsiTheme="minorHAnsi" w:cs="Times New Roman"/>
                <w:b/>
                <w:bCs/>
                <w:sz w:val="20"/>
                <w:szCs w:val="20"/>
                <w:lang w:eastAsia="en-AU"/>
              </w:rPr>
              <w:t>RATIONALE FOR ADDITIONS/CLARIFICATIONS</w:t>
            </w:r>
          </w:p>
        </w:tc>
      </w:tr>
      <w:tr w:rsidR="00021243" w:rsidRPr="00447869" w:rsidTr="00FE6E37">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68" w:type="dxa"/>
          </w:tcPr>
          <w:p w:rsidR="003A1F9D" w:rsidRPr="00C23675" w:rsidRDefault="00C23675" w:rsidP="00C23675">
            <w:pPr>
              <w:spacing w:before="120" w:after="120"/>
              <w:rPr>
                <w:rFonts w:asciiTheme="minorHAnsi" w:hAnsiTheme="minorHAnsi"/>
              </w:rPr>
            </w:pPr>
            <w:r w:rsidRPr="00C23675">
              <w:rPr>
                <w:rFonts w:asciiTheme="minorHAnsi" w:hAnsiTheme="minorHAnsi"/>
              </w:rPr>
              <w:t>Autoimmune uveitis</w:t>
            </w:r>
          </w:p>
          <w:p w:rsidR="00021243" w:rsidRPr="00896241" w:rsidRDefault="00021243" w:rsidP="00021243">
            <w:pPr>
              <w:spacing w:before="120" w:after="120"/>
              <w:rPr>
                <w:rFonts w:asciiTheme="minorHAnsi" w:hAnsiTheme="minorHAnsi"/>
                <w:b/>
              </w:rPr>
            </w:pPr>
          </w:p>
        </w:tc>
        <w:tc>
          <w:tcPr>
            <w:tcW w:w="5245" w:type="dxa"/>
            <w:gridSpan w:val="3"/>
          </w:tcPr>
          <w:p w:rsidR="00021243" w:rsidRPr="00AF2FAD" w:rsidRDefault="00AF2FAD" w:rsidP="00021243">
            <w:pPr>
              <w:spacing w:before="120" w:after="120"/>
              <w:rPr>
                <w:rFonts w:asciiTheme="minorHAnsi" w:hAnsiTheme="minorHAnsi"/>
              </w:rPr>
            </w:pPr>
            <w:r>
              <w:rPr>
                <w:rFonts w:asciiTheme="minorHAnsi" w:hAnsiTheme="minorHAnsi"/>
              </w:rPr>
              <w:t>Autoimmune retinopathy</w:t>
            </w:r>
          </w:p>
        </w:tc>
        <w:tc>
          <w:tcPr>
            <w:tcW w:w="5528" w:type="dxa"/>
          </w:tcPr>
          <w:p w:rsidR="005960E7" w:rsidRPr="00C92149" w:rsidRDefault="006D67CF"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 xml:space="preserve">Name change was recommended by the College of Ophthalmology and better describes the eligible sub-group of patients with Autoimmune uveitis.  </w:t>
            </w:r>
          </w:p>
        </w:tc>
      </w:tr>
      <w:tr w:rsidR="00447869" w:rsidRPr="00447869" w:rsidTr="00FE6E37">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268" w:type="dxa"/>
          </w:tcPr>
          <w:p w:rsidR="00447869" w:rsidRPr="00447869" w:rsidRDefault="00C23675" w:rsidP="00021243">
            <w:pPr>
              <w:spacing w:before="120" w:after="120"/>
              <w:rPr>
                <w:rFonts w:asciiTheme="minorHAnsi" w:hAnsiTheme="minorHAnsi"/>
              </w:rPr>
            </w:pPr>
            <w:r>
              <w:rPr>
                <w:rFonts w:asciiTheme="minorHAnsi" w:hAnsiTheme="minorHAnsi"/>
              </w:rPr>
              <w:t>Immunology</w:t>
            </w:r>
          </w:p>
        </w:tc>
        <w:tc>
          <w:tcPr>
            <w:tcW w:w="5245" w:type="dxa"/>
            <w:gridSpan w:val="3"/>
          </w:tcPr>
          <w:p w:rsidR="00447869" w:rsidRPr="00447869" w:rsidRDefault="00AF2FAD" w:rsidP="00021243">
            <w:pPr>
              <w:spacing w:before="120" w:after="120"/>
              <w:rPr>
                <w:rFonts w:asciiTheme="minorHAnsi" w:hAnsiTheme="minorHAnsi"/>
              </w:rPr>
            </w:pPr>
            <w:r>
              <w:rPr>
                <w:rFonts w:asciiTheme="minorHAnsi" w:hAnsiTheme="minorHAnsi"/>
              </w:rPr>
              <w:t>Immunology</w:t>
            </w:r>
          </w:p>
        </w:tc>
        <w:tc>
          <w:tcPr>
            <w:tcW w:w="5528" w:type="dxa"/>
          </w:tcPr>
          <w:p w:rsidR="00447869" w:rsidRPr="009208EC" w:rsidRDefault="00AF2FAD"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FE6E37">
        <w:tc>
          <w:tcPr>
            <w:tcW w:w="1560" w:type="dxa"/>
            <w:shd w:val="clear" w:color="auto" w:fill="D9D9D9" w:themeFill="background1" w:themeFillShade="D9"/>
          </w:tcPr>
          <w:p w:rsidR="00021243" w:rsidRPr="00447869" w:rsidRDefault="00CC3849" w:rsidP="00021243">
            <w:pPr>
              <w:spacing w:before="120" w:after="120"/>
              <w:rPr>
                <w:rFonts w:asciiTheme="minorHAnsi" w:hAnsiTheme="minorHAnsi"/>
              </w:rPr>
            </w:pPr>
            <w:r>
              <w:rPr>
                <w:rFonts w:asciiTheme="minorHAnsi" w:hAnsiTheme="minorHAnsi"/>
                <w:b/>
              </w:rPr>
              <w:t>Category</w:t>
            </w:r>
          </w:p>
        </w:tc>
        <w:tc>
          <w:tcPr>
            <w:tcW w:w="2268" w:type="dxa"/>
          </w:tcPr>
          <w:p w:rsidR="00021243" w:rsidRPr="00CC3849" w:rsidRDefault="00CC3849" w:rsidP="008515FF">
            <w:pPr>
              <w:spacing w:before="120" w:after="120"/>
              <w:rPr>
                <w:rFonts w:asciiTheme="minorHAnsi" w:hAnsiTheme="minorHAnsi"/>
                <w:i/>
              </w:rPr>
            </w:pPr>
            <w:r>
              <w:rPr>
                <w:rFonts w:asciiTheme="minorHAnsi" w:hAnsiTheme="minorHAnsi"/>
                <w:i/>
              </w:rPr>
              <w:t>Exceptional use only</w:t>
            </w:r>
          </w:p>
        </w:tc>
        <w:tc>
          <w:tcPr>
            <w:tcW w:w="5245" w:type="dxa"/>
            <w:gridSpan w:val="3"/>
          </w:tcPr>
          <w:p w:rsidR="00021243" w:rsidRPr="00447869" w:rsidRDefault="00CC3849" w:rsidP="00021243">
            <w:pPr>
              <w:spacing w:before="120" w:after="120"/>
              <w:rPr>
                <w:rFonts w:asciiTheme="minorHAnsi" w:hAnsiTheme="minorHAnsi"/>
              </w:rPr>
            </w:pPr>
            <w:r>
              <w:rPr>
                <w:rFonts w:asciiTheme="minorHAnsi" w:hAnsiTheme="minorHAnsi"/>
                <w:i/>
              </w:rPr>
              <w:t>Exceptional use only</w:t>
            </w:r>
          </w:p>
        </w:tc>
        <w:tc>
          <w:tcPr>
            <w:tcW w:w="5528" w:type="dxa"/>
          </w:tcPr>
          <w:p w:rsidR="00021243" w:rsidRPr="009208EC" w:rsidRDefault="00AF2FAD" w:rsidP="00631EAB">
            <w:pPr>
              <w:spacing w:before="120" w:after="120"/>
              <w:rPr>
                <w:rFonts w:asciiTheme="minorHAnsi" w:hAnsiTheme="minorHAnsi"/>
                <w:szCs w:val="20"/>
              </w:rPr>
            </w:pPr>
            <w:r>
              <w:rPr>
                <w:rFonts w:asciiTheme="minorHAnsi" w:hAnsiTheme="minorHAnsi"/>
                <w:szCs w:val="20"/>
              </w:rPr>
              <w:t>No change</w:t>
            </w:r>
          </w:p>
        </w:tc>
      </w:tr>
      <w:tr w:rsidR="00447869" w:rsidRPr="00447869" w:rsidTr="00FE6E37">
        <w:tc>
          <w:tcPr>
            <w:tcW w:w="156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68" w:type="dxa"/>
          </w:tcPr>
          <w:p w:rsidR="004A10A2" w:rsidRPr="00447869" w:rsidRDefault="00C23675" w:rsidP="008515FF">
            <w:pPr>
              <w:spacing w:before="120" w:after="120"/>
              <w:rPr>
                <w:rFonts w:asciiTheme="minorHAnsi" w:hAnsiTheme="minorHAnsi"/>
              </w:rPr>
            </w:pPr>
            <w:r w:rsidRPr="00C23675">
              <w:rPr>
                <w:rFonts w:asciiTheme="minorHAnsi" w:hAnsiTheme="minorHAnsi"/>
              </w:rPr>
              <w:t>Autoimmune uveitis</w:t>
            </w:r>
          </w:p>
        </w:tc>
        <w:tc>
          <w:tcPr>
            <w:tcW w:w="5245" w:type="dxa"/>
            <w:gridSpan w:val="3"/>
          </w:tcPr>
          <w:p w:rsidR="00447869" w:rsidRPr="00447869" w:rsidRDefault="00AF2FAD" w:rsidP="00AF2FAD">
            <w:pPr>
              <w:spacing w:before="120" w:after="120"/>
              <w:rPr>
                <w:rFonts w:asciiTheme="minorHAnsi" w:hAnsiTheme="minorHAnsi"/>
              </w:rPr>
            </w:pPr>
            <w:r>
              <w:rPr>
                <w:rFonts w:asciiTheme="minorHAnsi" w:hAnsiTheme="minorHAnsi"/>
              </w:rPr>
              <w:t>Autoimmune retinopathy</w:t>
            </w:r>
            <w:r w:rsidR="006D67CF">
              <w:rPr>
                <w:rFonts w:asciiTheme="minorHAnsi" w:hAnsiTheme="minorHAnsi"/>
              </w:rPr>
              <w:t xml:space="preserve"> (AIR)</w:t>
            </w:r>
          </w:p>
        </w:tc>
        <w:tc>
          <w:tcPr>
            <w:tcW w:w="5528" w:type="dxa"/>
          </w:tcPr>
          <w:p w:rsidR="00447869" w:rsidRPr="00C92149" w:rsidRDefault="00AF2FAD" w:rsidP="00021243">
            <w:pPr>
              <w:spacing w:before="120" w:after="120"/>
              <w:rPr>
                <w:rFonts w:asciiTheme="minorHAnsi" w:hAnsiTheme="minorHAnsi"/>
                <w:szCs w:val="20"/>
              </w:rPr>
            </w:pPr>
            <w:r>
              <w:rPr>
                <w:rFonts w:asciiTheme="minorHAnsi" w:hAnsiTheme="minorHAnsi"/>
                <w:szCs w:val="20"/>
              </w:rPr>
              <w:t>Name change reflected in specific conditions</w:t>
            </w:r>
          </w:p>
        </w:tc>
      </w:tr>
      <w:tr w:rsidR="00021243" w:rsidRPr="00447869" w:rsidTr="00FE6E37">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2268" w:type="dxa"/>
          </w:tcPr>
          <w:p w:rsidR="00021243" w:rsidRPr="00447869" w:rsidRDefault="00C23675" w:rsidP="00021243">
            <w:pPr>
              <w:spacing w:before="120" w:after="120"/>
              <w:rPr>
                <w:rFonts w:asciiTheme="minorHAnsi" w:hAnsiTheme="minorHAnsi"/>
              </w:rPr>
            </w:pPr>
            <w:r w:rsidRPr="00C23675">
              <w:rPr>
                <w:rFonts w:asciiTheme="minorHAnsi" w:hAnsiTheme="minorHAnsi"/>
              </w:rPr>
              <w:t>Insufficient data (Category 4a)</w:t>
            </w:r>
          </w:p>
        </w:tc>
        <w:tc>
          <w:tcPr>
            <w:tcW w:w="5245" w:type="dxa"/>
            <w:gridSpan w:val="3"/>
          </w:tcPr>
          <w:p w:rsidR="00021243" w:rsidRPr="00447869" w:rsidRDefault="00AF2FAD" w:rsidP="008515FF">
            <w:pPr>
              <w:spacing w:before="120" w:after="120"/>
              <w:rPr>
                <w:rFonts w:asciiTheme="minorHAnsi" w:hAnsiTheme="minorHAnsi"/>
              </w:rPr>
            </w:pPr>
            <w:r>
              <w:t>Insufficient data (Category 4a)</w:t>
            </w:r>
          </w:p>
        </w:tc>
        <w:tc>
          <w:tcPr>
            <w:tcW w:w="5528" w:type="dxa"/>
          </w:tcPr>
          <w:p w:rsidR="00021243" w:rsidRPr="009208EC" w:rsidRDefault="00AF2FAD" w:rsidP="00021243">
            <w:pPr>
              <w:spacing w:before="120" w:after="120"/>
              <w:rPr>
                <w:rFonts w:asciiTheme="minorHAnsi" w:hAnsiTheme="minorHAnsi"/>
                <w:szCs w:val="20"/>
              </w:rPr>
            </w:pPr>
            <w:r>
              <w:rPr>
                <w:rFonts w:asciiTheme="minorHAnsi" w:hAnsiTheme="minorHAnsi"/>
                <w:szCs w:val="20"/>
              </w:rPr>
              <w:t>No change</w:t>
            </w:r>
          </w:p>
        </w:tc>
      </w:tr>
      <w:tr w:rsidR="00AB120F" w:rsidRPr="00447869" w:rsidTr="00FE6E37">
        <w:tc>
          <w:tcPr>
            <w:tcW w:w="156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2268" w:type="dxa"/>
          </w:tcPr>
          <w:p w:rsidR="00AB120F" w:rsidRPr="00447869" w:rsidRDefault="00AB120F" w:rsidP="00CE69D0">
            <w:pPr>
              <w:spacing w:before="120" w:after="120"/>
              <w:rPr>
                <w:rFonts w:asciiTheme="minorHAnsi" w:hAnsiTheme="minorHAnsi"/>
              </w:rPr>
            </w:pPr>
            <w:r>
              <w:rPr>
                <w:rFonts w:asciiTheme="minorHAnsi" w:hAnsiTheme="minorHAnsi"/>
              </w:rPr>
              <w:lastRenderedPageBreak/>
              <w:t xml:space="preserve"> </w:t>
            </w:r>
          </w:p>
        </w:tc>
        <w:tc>
          <w:tcPr>
            <w:tcW w:w="5245" w:type="dxa"/>
            <w:gridSpan w:val="3"/>
          </w:tcPr>
          <w:p w:rsidR="00AB120F" w:rsidRPr="00447869" w:rsidRDefault="00DC4758" w:rsidP="00915A48">
            <w:pPr>
              <w:spacing w:before="120" w:after="120"/>
              <w:rPr>
                <w:rFonts w:asciiTheme="minorHAnsi" w:hAnsiTheme="minorHAnsi"/>
              </w:rPr>
            </w:pPr>
            <w:r w:rsidRPr="00DC4758">
              <w:rPr>
                <w:rFonts w:asciiTheme="minorHAnsi" w:hAnsiTheme="minorHAnsi"/>
              </w:rPr>
              <w:t>While there is little high level evidence conclusively demonstrating benefit of Ig therapy, AIR is a ve</w:t>
            </w:r>
            <w:r>
              <w:rPr>
                <w:rFonts w:asciiTheme="minorHAnsi" w:hAnsiTheme="minorHAnsi"/>
              </w:rPr>
              <w:t>ry rare condition and open label</w:t>
            </w:r>
            <w:r w:rsidRPr="00DC4758">
              <w:rPr>
                <w:rFonts w:asciiTheme="minorHAnsi" w:hAnsiTheme="minorHAnsi"/>
              </w:rPr>
              <w:t xml:space="preserve"> studies and case series do demonstrate some benefit including r</w:t>
            </w:r>
            <w:r w:rsidR="00915A48">
              <w:rPr>
                <w:rFonts w:asciiTheme="minorHAnsi" w:hAnsiTheme="minorHAnsi"/>
              </w:rPr>
              <w:t xml:space="preserve">ecent publications </w:t>
            </w:r>
            <w:r w:rsidR="00915A48">
              <w:rPr>
                <w:rFonts w:asciiTheme="minorHAnsi" w:hAnsiTheme="minorHAnsi"/>
              </w:rPr>
              <w:lastRenderedPageBreak/>
              <w:t>(Castiblanco</w:t>
            </w:r>
            <w:r w:rsidR="00736906">
              <w:rPr>
                <w:rFonts w:asciiTheme="minorHAnsi" w:hAnsiTheme="minorHAnsi"/>
              </w:rPr>
              <w:t xml:space="preserve"> </w:t>
            </w:r>
            <w:r w:rsidR="00915A48">
              <w:rPr>
                <w:rFonts w:asciiTheme="minorHAnsi" w:hAnsiTheme="minorHAnsi"/>
              </w:rPr>
              <w:t>&amp;</w:t>
            </w:r>
            <w:r w:rsidRPr="00DC4758">
              <w:rPr>
                <w:rFonts w:asciiTheme="minorHAnsi" w:hAnsiTheme="minorHAnsi"/>
              </w:rPr>
              <w:t xml:space="preserve"> Foster</w:t>
            </w:r>
            <w:r w:rsidR="00915A48">
              <w:rPr>
                <w:rFonts w:asciiTheme="minorHAnsi" w:hAnsiTheme="minorHAnsi"/>
              </w:rPr>
              <w:t>, 2014 and Garcia-Geremias,</w:t>
            </w:r>
            <w:r w:rsidRPr="00DC4758">
              <w:rPr>
                <w:rFonts w:asciiTheme="minorHAnsi" w:hAnsiTheme="minorHAnsi"/>
              </w:rPr>
              <w:t xml:space="preserve"> 2015). It is important to acknowledge that autoimmune retinopathy is sight threatening and when refractory to corticosteroid and immunosuppressant therapy, observational studies conclude that </w:t>
            </w:r>
            <w:r w:rsidR="006D67CF" w:rsidRPr="00DC4758">
              <w:rPr>
                <w:rFonts w:asciiTheme="minorHAnsi" w:hAnsiTheme="minorHAnsi"/>
              </w:rPr>
              <w:t xml:space="preserve">Ig </w:t>
            </w:r>
            <w:r w:rsidR="00CD5575">
              <w:rPr>
                <w:rFonts w:asciiTheme="minorHAnsi" w:hAnsiTheme="minorHAnsi"/>
              </w:rPr>
              <w:t>therapy</w:t>
            </w:r>
            <w:r w:rsidR="006D67CF">
              <w:rPr>
                <w:rFonts w:asciiTheme="minorHAnsi" w:hAnsiTheme="minorHAnsi"/>
              </w:rPr>
              <w:t xml:space="preserve"> is </w:t>
            </w:r>
            <w:r w:rsidRPr="00DC4758">
              <w:rPr>
                <w:rFonts w:asciiTheme="minorHAnsi" w:hAnsiTheme="minorHAnsi"/>
              </w:rPr>
              <w:t>well-tolerated and effective in arresting disease in some patients.</w:t>
            </w:r>
          </w:p>
        </w:tc>
        <w:tc>
          <w:tcPr>
            <w:tcW w:w="5528" w:type="dxa"/>
          </w:tcPr>
          <w:p w:rsidR="00AB120F" w:rsidRPr="00C92149" w:rsidRDefault="00DC4758" w:rsidP="001B2F7B">
            <w:pPr>
              <w:spacing w:before="120" w:after="120"/>
              <w:rPr>
                <w:rFonts w:asciiTheme="minorHAnsi" w:hAnsiTheme="minorHAnsi"/>
                <w:szCs w:val="20"/>
              </w:rPr>
            </w:pPr>
            <w:r>
              <w:rPr>
                <w:rFonts w:asciiTheme="minorHAnsi" w:hAnsiTheme="minorHAnsi"/>
                <w:szCs w:val="20"/>
              </w:rPr>
              <w:lastRenderedPageBreak/>
              <w:t xml:space="preserve">Justification for Evidence drafted based on </w:t>
            </w:r>
            <w:r w:rsidR="001B2F7B">
              <w:rPr>
                <w:rFonts w:asciiTheme="minorHAnsi" w:hAnsiTheme="minorHAnsi"/>
                <w:szCs w:val="20"/>
              </w:rPr>
              <w:t xml:space="preserve">consultation of the </w:t>
            </w:r>
            <w:r>
              <w:rPr>
                <w:rFonts w:asciiTheme="minorHAnsi" w:hAnsiTheme="minorHAnsi"/>
                <w:szCs w:val="20"/>
              </w:rPr>
              <w:t xml:space="preserve">literature and advice from the </w:t>
            </w:r>
            <w:r w:rsidR="00322D93">
              <w:rPr>
                <w:rFonts w:asciiTheme="minorHAnsi" w:hAnsiTheme="minorHAnsi"/>
                <w:szCs w:val="20"/>
              </w:rPr>
              <w:t xml:space="preserve">Royal Australian and New Zealand </w:t>
            </w:r>
            <w:r>
              <w:rPr>
                <w:rFonts w:asciiTheme="minorHAnsi" w:hAnsiTheme="minorHAnsi"/>
                <w:szCs w:val="20"/>
              </w:rPr>
              <w:t>College of Ophthalmologists</w:t>
            </w:r>
            <w:r w:rsidR="00322D93">
              <w:rPr>
                <w:rFonts w:asciiTheme="minorHAnsi" w:hAnsiTheme="minorHAnsi"/>
                <w:szCs w:val="20"/>
              </w:rPr>
              <w:t xml:space="preserve"> (RANZCO)</w:t>
            </w:r>
            <w:r>
              <w:rPr>
                <w:rFonts w:asciiTheme="minorHAnsi" w:hAnsiTheme="minorHAnsi"/>
                <w:szCs w:val="20"/>
              </w:rPr>
              <w:t xml:space="preserve">. </w:t>
            </w:r>
          </w:p>
        </w:tc>
      </w:tr>
      <w:tr w:rsidR="00AB120F" w:rsidRPr="00447869" w:rsidTr="00FE6E37">
        <w:tc>
          <w:tcPr>
            <w:tcW w:w="1560" w:type="dxa"/>
            <w:shd w:val="clear" w:color="auto" w:fill="D9D9D9" w:themeFill="background1" w:themeFillShade="D9"/>
          </w:tcPr>
          <w:p w:rsidR="00AB120F" w:rsidRPr="00447869" w:rsidRDefault="00AB120F" w:rsidP="00FE6E37">
            <w:pPr>
              <w:spacing w:before="120" w:after="120"/>
              <w:rPr>
                <w:rFonts w:asciiTheme="minorHAnsi" w:hAnsiTheme="minorHAnsi"/>
              </w:rPr>
            </w:pPr>
            <w:r w:rsidRPr="00447869">
              <w:rPr>
                <w:rFonts w:asciiTheme="minorHAnsi" w:hAnsiTheme="minorHAnsi"/>
                <w:b/>
              </w:rPr>
              <w:lastRenderedPageBreak/>
              <w:t>Indications</w:t>
            </w:r>
          </w:p>
        </w:tc>
        <w:tc>
          <w:tcPr>
            <w:tcW w:w="2268" w:type="dxa"/>
          </w:tcPr>
          <w:p w:rsidR="00AB120F" w:rsidRPr="00447869" w:rsidRDefault="00AB120F" w:rsidP="00CE69D0">
            <w:pPr>
              <w:spacing w:before="120" w:after="120"/>
              <w:rPr>
                <w:rFonts w:asciiTheme="minorHAnsi" w:hAnsiTheme="minorHAnsi"/>
              </w:rPr>
            </w:pPr>
            <w:r>
              <w:t xml:space="preserve"> </w:t>
            </w:r>
          </w:p>
        </w:tc>
        <w:tc>
          <w:tcPr>
            <w:tcW w:w="5245" w:type="dxa"/>
            <w:gridSpan w:val="3"/>
          </w:tcPr>
          <w:p w:rsidR="00AB120F" w:rsidRPr="00CC3849" w:rsidRDefault="00387685" w:rsidP="00CC3849">
            <w:pPr>
              <w:spacing w:before="120" w:after="120"/>
              <w:rPr>
                <w:rFonts w:asciiTheme="minorHAnsi" w:hAnsiTheme="minorHAnsi"/>
                <w:b/>
              </w:rPr>
            </w:pPr>
            <w:r w:rsidRPr="00CC3849">
              <w:rPr>
                <w:rFonts w:asciiTheme="minorHAnsi" w:hAnsiTheme="minorHAnsi"/>
                <w:b/>
              </w:rPr>
              <w:t xml:space="preserve"> A</w:t>
            </w:r>
            <w:r w:rsidR="00CC3849">
              <w:rPr>
                <w:rFonts w:asciiTheme="minorHAnsi" w:hAnsiTheme="minorHAnsi"/>
                <w:b/>
              </w:rPr>
              <w:t xml:space="preserve">utoimmune </w:t>
            </w:r>
            <w:r w:rsidRPr="00CC3849">
              <w:rPr>
                <w:rFonts w:asciiTheme="minorHAnsi" w:hAnsiTheme="minorHAnsi"/>
                <w:b/>
              </w:rPr>
              <w:t>R</w:t>
            </w:r>
            <w:r w:rsidR="00CC3849">
              <w:rPr>
                <w:rFonts w:asciiTheme="minorHAnsi" w:hAnsiTheme="minorHAnsi"/>
                <w:b/>
              </w:rPr>
              <w:t>etinopathy</w:t>
            </w:r>
            <w:r w:rsidR="00DB37C6">
              <w:rPr>
                <w:rFonts w:asciiTheme="minorHAnsi" w:hAnsiTheme="minorHAnsi"/>
                <w:b/>
              </w:rPr>
              <w:t xml:space="preserve"> that is sight threatening and refractory to corticosteroid and immunosuppressant therapy</w:t>
            </w:r>
          </w:p>
        </w:tc>
        <w:tc>
          <w:tcPr>
            <w:tcW w:w="5528" w:type="dxa"/>
          </w:tcPr>
          <w:p w:rsidR="00AB120F" w:rsidRPr="00C92149" w:rsidRDefault="00AB120F" w:rsidP="00CE69D0">
            <w:pPr>
              <w:spacing w:before="120" w:after="120"/>
              <w:rPr>
                <w:sz w:val="20"/>
                <w:szCs w:val="20"/>
              </w:rPr>
            </w:pPr>
            <w:r w:rsidRPr="00C92149">
              <w:rPr>
                <w:sz w:val="20"/>
                <w:szCs w:val="20"/>
              </w:rPr>
              <w:t xml:space="preserve"> </w:t>
            </w:r>
          </w:p>
          <w:p w:rsidR="00AB120F" w:rsidRPr="00C92149" w:rsidRDefault="00AB120F" w:rsidP="00CE69D0">
            <w:pPr>
              <w:spacing w:before="120" w:after="120"/>
              <w:rPr>
                <w:rFonts w:asciiTheme="minorHAnsi" w:hAnsiTheme="minorHAnsi"/>
                <w:sz w:val="20"/>
                <w:szCs w:val="20"/>
              </w:rPr>
            </w:pPr>
          </w:p>
        </w:tc>
      </w:tr>
      <w:tr w:rsidR="00BA76E3" w:rsidRPr="00447869" w:rsidTr="00FE6E37">
        <w:tc>
          <w:tcPr>
            <w:tcW w:w="156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rsidR="00BA76E3" w:rsidRPr="00447869" w:rsidRDefault="00BA76E3" w:rsidP="00282F66">
            <w:pPr>
              <w:spacing w:before="120" w:after="120"/>
              <w:rPr>
                <w:rFonts w:asciiTheme="minorHAnsi" w:hAnsiTheme="minorHAnsi"/>
              </w:rPr>
            </w:pPr>
          </w:p>
        </w:tc>
        <w:tc>
          <w:tcPr>
            <w:tcW w:w="2268" w:type="dxa"/>
          </w:tcPr>
          <w:p w:rsidR="00C23675" w:rsidRPr="00C23675" w:rsidRDefault="00C23675" w:rsidP="00C23675">
            <w:pPr>
              <w:spacing w:after="225" w:line="293" w:lineRule="atLeast"/>
              <w:rPr>
                <w:rFonts w:asciiTheme="minorHAnsi" w:eastAsiaTheme="minorHAnsi" w:hAnsiTheme="minorHAnsi" w:cs="Times New Roman"/>
                <w:color w:val="000000"/>
              </w:rPr>
            </w:pPr>
            <w:r w:rsidRPr="00C23675">
              <w:rPr>
                <w:rFonts w:asciiTheme="minorHAnsi" w:eastAsiaTheme="minorHAnsi" w:hAnsiTheme="minorHAnsi" w:cs="Times New Roman"/>
                <w:color w:val="000000"/>
              </w:rPr>
              <w:t xml:space="preserve">Uveitis refers to inflammation of the uvea of the eye and can be caused by infection, exposure to toxins or autoimmune disorders. Symptoms may include redness of the eye, blurred vision, unusual sensitivity to light, dark floating spots in the vision and eye pain. Ocular inflammation of this kind may threaten sight and be resistant to standard </w:t>
            </w:r>
            <w:r w:rsidRPr="00C23675">
              <w:rPr>
                <w:rFonts w:asciiTheme="minorHAnsi" w:eastAsiaTheme="minorHAnsi" w:hAnsiTheme="minorHAnsi" w:cs="Times New Roman"/>
                <w:color w:val="000000"/>
              </w:rPr>
              <w:lastRenderedPageBreak/>
              <w:t>immunosuppression.</w:t>
            </w:r>
          </w:p>
          <w:p w:rsidR="00BA76E3" w:rsidRPr="00FE6E37" w:rsidRDefault="00C23675" w:rsidP="00FE6E37">
            <w:pPr>
              <w:spacing w:after="225" w:line="293" w:lineRule="atLeast"/>
              <w:rPr>
                <w:rFonts w:asciiTheme="minorHAnsi" w:eastAsiaTheme="minorHAnsi" w:hAnsiTheme="minorHAnsi" w:cs="Times New Roman"/>
                <w:color w:val="000000"/>
              </w:rPr>
            </w:pPr>
            <w:r w:rsidRPr="00C23675">
              <w:rPr>
                <w:rFonts w:asciiTheme="minorHAnsi" w:eastAsiaTheme="minorHAnsi" w:hAnsiTheme="minorHAnsi" w:cs="Times New Roman"/>
                <w:color w:val="000000"/>
              </w:rPr>
              <w:t>Intravenous immunoglobulin (</w:t>
            </w:r>
            <w:r w:rsidR="00736906">
              <w:rPr>
                <w:rFonts w:asciiTheme="minorHAnsi" w:eastAsiaTheme="minorHAnsi" w:hAnsiTheme="minorHAnsi" w:cs="Times New Roman"/>
                <w:color w:val="000000"/>
              </w:rPr>
              <w:t>IVIg</w:t>
            </w:r>
            <w:r w:rsidRPr="00C23675">
              <w:rPr>
                <w:rFonts w:asciiTheme="minorHAnsi" w:eastAsiaTheme="minorHAnsi" w:hAnsiTheme="minorHAnsi" w:cs="Times New Roman"/>
                <w:color w:val="000000"/>
              </w:rPr>
              <w:t>) therapy may be considered for immune-mediated, sight- threatening uveitis with persistent activity despite both oral corticosteroid and systemic immunosuppressive therapy. Uveitis of non-immune origin is not indicated.</w:t>
            </w:r>
          </w:p>
        </w:tc>
        <w:tc>
          <w:tcPr>
            <w:tcW w:w="5245" w:type="dxa"/>
            <w:gridSpan w:val="3"/>
          </w:tcPr>
          <w:p w:rsidR="006D67CF" w:rsidRPr="00AF2FAD" w:rsidRDefault="00282F66" w:rsidP="006D67CF">
            <w:pPr>
              <w:rPr>
                <w:rFonts w:asciiTheme="minorHAnsi" w:eastAsia="Times New Roman" w:hAnsiTheme="minorHAnsi" w:cs="Times New Roman"/>
                <w:color w:val="000000"/>
                <w:lang w:eastAsia="en-AU"/>
              </w:rPr>
            </w:pPr>
            <w:r w:rsidRPr="00282F66">
              <w:rPr>
                <w:rFonts w:asciiTheme="minorHAnsi" w:eastAsia="Times New Roman" w:hAnsiTheme="minorHAnsi" w:cs="Times New Roman"/>
                <w:color w:val="000000"/>
                <w:lang w:eastAsia="en-AU"/>
              </w:rPr>
              <w:lastRenderedPageBreak/>
              <w:t xml:space="preserve"> </w:t>
            </w:r>
            <w:r w:rsidR="006D67CF" w:rsidRPr="00AF2FAD">
              <w:rPr>
                <w:rFonts w:asciiTheme="minorHAnsi" w:eastAsia="Times New Roman" w:hAnsiTheme="minorHAnsi" w:cs="Times New Roman"/>
                <w:color w:val="000000"/>
                <w:lang w:eastAsia="en-AU"/>
              </w:rPr>
              <w:t xml:space="preserve">Autoimmune retinopathy </w:t>
            </w:r>
            <w:r w:rsidR="006D67CF">
              <w:rPr>
                <w:rFonts w:asciiTheme="minorHAnsi" w:eastAsia="Times New Roman" w:hAnsiTheme="minorHAnsi" w:cs="Times New Roman"/>
                <w:color w:val="000000"/>
                <w:lang w:eastAsia="en-AU"/>
              </w:rPr>
              <w:t xml:space="preserve">(AIR) </w:t>
            </w:r>
            <w:r w:rsidR="006D67CF" w:rsidRPr="00AF2FAD">
              <w:rPr>
                <w:rFonts w:asciiTheme="minorHAnsi" w:eastAsia="Times New Roman" w:hAnsiTheme="minorHAnsi" w:cs="Times New Roman"/>
                <w:color w:val="000000"/>
                <w:lang w:eastAsia="en-AU"/>
              </w:rPr>
              <w:t>is the main disease within the broader condition of ‘uveitis’</w:t>
            </w:r>
            <w:r w:rsidR="006D67CF">
              <w:rPr>
                <w:rFonts w:asciiTheme="minorHAnsi" w:eastAsia="Times New Roman" w:hAnsiTheme="minorHAnsi" w:cs="Times New Roman"/>
                <w:color w:val="000000"/>
                <w:lang w:eastAsia="en-AU"/>
              </w:rPr>
              <w:t>.  AIR</w:t>
            </w:r>
            <w:r w:rsidR="006D67CF" w:rsidRPr="00AF2FAD">
              <w:rPr>
                <w:rFonts w:asciiTheme="minorHAnsi" w:eastAsia="Times New Roman" w:hAnsiTheme="minorHAnsi" w:cs="Times New Roman"/>
                <w:color w:val="000000"/>
                <w:lang w:eastAsia="en-AU"/>
              </w:rPr>
              <w:t xml:space="preserve"> can be associated with severe, progressive and irreversible visual loss and demonstration of anti-retinal antibodies.  Symptoms</w:t>
            </w:r>
            <w:r w:rsidR="006D67CF">
              <w:rPr>
                <w:rFonts w:asciiTheme="minorHAnsi" w:eastAsia="Times New Roman" w:hAnsiTheme="minorHAnsi" w:cs="Times New Roman"/>
                <w:color w:val="000000"/>
                <w:lang w:eastAsia="en-AU"/>
              </w:rPr>
              <w:t xml:space="preserve"> may include, blurred vision, </w:t>
            </w:r>
            <w:r w:rsidR="006D67CF" w:rsidRPr="00AF2FAD">
              <w:rPr>
                <w:rFonts w:asciiTheme="minorHAnsi" w:eastAsia="Times New Roman" w:hAnsiTheme="minorHAnsi" w:cs="Times New Roman"/>
                <w:color w:val="000000"/>
                <w:lang w:eastAsia="en-AU"/>
              </w:rPr>
              <w:t>dark floating spots in the vision fie</w:t>
            </w:r>
            <w:r w:rsidR="00CD5575">
              <w:rPr>
                <w:rFonts w:asciiTheme="minorHAnsi" w:eastAsia="Times New Roman" w:hAnsiTheme="minorHAnsi" w:cs="Times New Roman"/>
                <w:color w:val="000000"/>
                <w:lang w:eastAsia="en-AU"/>
              </w:rPr>
              <w:t xml:space="preserve">ld and sub-acute visual loss. </w:t>
            </w:r>
            <w:r w:rsidR="006D67CF" w:rsidRPr="00AF2FAD">
              <w:rPr>
                <w:rFonts w:asciiTheme="minorHAnsi" w:eastAsia="Times New Roman" w:hAnsiTheme="minorHAnsi" w:cs="Times New Roman"/>
                <w:color w:val="000000"/>
                <w:lang w:eastAsia="en-AU"/>
              </w:rPr>
              <w:t>Ig therapy may be used to treat autoimmune sight- threatening retinopathy that is refrac</w:t>
            </w:r>
            <w:r w:rsidR="00FE6E37">
              <w:rPr>
                <w:rFonts w:asciiTheme="minorHAnsi" w:eastAsia="Times New Roman" w:hAnsiTheme="minorHAnsi" w:cs="Times New Roman"/>
                <w:color w:val="000000"/>
                <w:lang w:eastAsia="en-AU"/>
              </w:rPr>
              <w:t>tory to both corticosteroid and</w:t>
            </w:r>
            <w:r w:rsidR="006D67CF" w:rsidRPr="00AF2FAD">
              <w:rPr>
                <w:rFonts w:asciiTheme="minorHAnsi" w:eastAsia="Times New Roman" w:hAnsiTheme="minorHAnsi" w:cs="Times New Roman"/>
                <w:color w:val="000000"/>
                <w:lang w:eastAsia="en-AU"/>
              </w:rPr>
              <w:t xml:space="preserve"> immunosuppressant therapy. Although Rituximab has been used to treat AIR, it has had mixed success, and its access in Australia remains limited. </w:t>
            </w:r>
          </w:p>
          <w:p w:rsidR="006D67CF" w:rsidRPr="00282F66" w:rsidRDefault="006D67CF" w:rsidP="006D67CF">
            <w:pPr>
              <w:rPr>
                <w:rFonts w:asciiTheme="minorHAnsi" w:hAnsiTheme="minorHAnsi" w:cs="Lucida Grande"/>
                <w:color w:val="000000"/>
              </w:rPr>
            </w:pPr>
            <w:r w:rsidRPr="00AF2FAD">
              <w:rPr>
                <w:rFonts w:asciiTheme="minorHAnsi" w:eastAsia="Times New Roman" w:hAnsiTheme="minorHAnsi" w:cs="Times New Roman"/>
                <w:color w:val="000000"/>
                <w:lang w:eastAsia="en-AU"/>
              </w:rPr>
              <w:t xml:space="preserve"> The value of treatment may lie in arresting decline rather than causing an improvement in function. Indicators of disease status include visual acuity, visual field, electroretinography and integrity of macular anatomy by optical coherence tomography testing.</w:t>
            </w:r>
          </w:p>
          <w:p w:rsidR="00BA76E3" w:rsidRPr="00447869" w:rsidRDefault="00BA76E3" w:rsidP="005960E7">
            <w:pPr>
              <w:rPr>
                <w:rFonts w:asciiTheme="minorHAnsi" w:hAnsiTheme="minorHAnsi"/>
              </w:rPr>
            </w:pPr>
          </w:p>
        </w:tc>
        <w:tc>
          <w:tcPr>
            <w:tcW w:w="5528" w:type="dxa"/>
          </w:tcPr>
          <w:p w:rsidR="00A82ADF" w:rsidRPr="00DC4758" w:rsidRDefault="00AF2FAD" w:rsidP="00A82ADF">
            <w:pPr>
              <w:spacing w:before="120" w:after="120"/>
              <w:rPr>
                <w:rFonts w:asciiTheme="minorHAnsi" w:eastAsia="Times New Roman" w:hAnsiTheme="minorHAnsi" w:cs="Times New Roman"/>
                <w:color w:val="000000"/>
                <w:lang w:eastAsia="en-AU"/>
              </w:rPr>
            </w:pPr>
            <w:r w:rsidRPr="00DC4758">
              <w:rPr>
                <w:rFonts w:asciiTheme="minorHAnsi" w:eastAsia="Times New Roman" w:hAnsiTheme="minorHAnsi" w:cs="Times New Roman"/>
                <w:color w:val="000000"/>
                <w:lang w:eastAsia="en-AU"/>
              </w:rPr>
              <w:t>The description and diagnostic criteria were substantially revised</w:t>
            </w:r>
            <w:r w:rsidR="001B2F7B">
              <w:rPr>
                <w:rFonts w:asciiTheme="minorHAnsi" w:eastAsia="Times New Roman" w:hAnsiTheme="minorHAnsi" w:cs="Times New Roman"/>
                <w:color w:val="000000"/>
                <w:lang w:eastAsia="en-AU"/>
              </w:rPr>
              <w:t xml:space="preserve"> following consultation of the </w:t>
            </w:r>
            <w:r w:rsidRPr="00DC4758">
              <w:rPr>
                <w:rFonts w:asciiTheme="minorHAnsi" w:eastAsia="Times New Roman" w:hAnsiTheme="minorHAnsi" w:cs="Times New Roman"/>
                <w:color w:val="000000"/>
                <w:lang w:eastAsia="en-AU"/>
              </w:rPr>
              <w:t xml:space="preserve">literature and advice from </w:t>
            </w:r>
            <w:r w:rsidR="006D67CF">
              <w:rPr>
                <w:rFonts w:asciiTheme="minorHAnsi" w:eastAsia="Times New Roman" w:hAnsiTheme="minorHAnsi" w:cs="Times New Roman"/>
                <w:color w:val="000000"/>
                <w:lang w:eastAsia="en-AU"/>
              </w:rPr>
              <w:t>RANZCO</w:t>
            </w:r>
            <w:r w:rsidR="006D67CF" w:rsidRPr="00DC4758">
              <w:rPr>
                <w:rFonts w:asciiTheme="minorHAnsi" w:eastAsia="Times New Roman" w:hAnsiTheme="minorHAnsi" w:cs="Times New Roman"/>
                <w:color w:val="000000"/>
                <w:lang w:eastAsia="en-AU"/>
              </w:rPr>
              <w:t>.</w:t>
            </w:r>
          </w:p>
          <w:p w:rsidR="00BA76E3" w:rsidRPr="00DC4758" w:rsidRDefault="00AF2FAD" w:rsidP="00DC4758">
            <w:pPr>
              <w:spacing w:before="120" w:after="120"/>
              <w:rPr>
                <w:rFonts w:asciiTheme="minorHAnsi" w:eastAsia="Times New Roman" w:hAnsiTheme="minorHAnsi" w:cs="Times New Roman"/>
                <w:color w:val="000000"/>
                <w:lang w:eastAsia="en-AU"/>
              </w:rPr>
            </w:pPr>
            <w:r w:rsidRPr="00DC4758">
              <w:rPr>
                <w:rFonts w:asciiTheme="minorHAnsi" w:eastAsia="Times New Roman" w:hAnsiTheme="minorHAnsi" w:cs="Times New Roman"/>
                <w:color w:val="000000"/>
                <w:lang w:eastAsia="en-AU"/>
              </w:rPr>
              <w:t xml:space="preserve">The </w:t>
            </w:r>
            <w:r w:rsidR="00A82ADF" w:rsidRPr="00DC4758">
              <w:rPr>
                <w:rFonts w:asciiTheme="minorHAnsi" w:eastAsia="Times New Roman" w:hAnsiTheme="minorHAnsi" w:cs="Times New Roman"/>
                <w:color w:val="000000"/>
                <w:lang w:eastAsia="en-AU"/>
              </w:rPr>
              <w:t>focus for Ig therapy has been narrowed to</w:t>
            </w:r>
            <w:r w:rsidRPr="00DC4758">
              <w:rPr>
                <w:rFonts w:asciiTheme="minorHAnsi" w:eastAsia="Times New Roman" w:hAnsiTheme="minorHAnsi" w:cs="Times New Roman"/>
                <w:color w:val="000000"/>
                <w:lang w:eastAsia="en-AU"/>
              </w:rPr>
              <w:t xml:space="preserve"> autoimmune sight-thr</w:t>
            </w:r>
            <w:r w:rsidR="00A82ADF" w:rsidRPr="00DC4758">
              <w:rPr>
                <w:rFonts w:asciiTheme="minorHAnsi" w:eastAsia="Times New Roman" w:hAnsiTheme="minorHAnsi" w:cs="Times New Roman"/>
                <w:color w:val="000000"/>
                <w:lang w:eastAsia="en-AU"/>
              </w:rPr>
              <w:t>e</w:t>
            </w:r>
            <w:r w:rsidRPr="00DC4758">
              <w:rPr>
                <w:rFonts w:asciiTheme="minorHAnsi" w:eastAsia="Times New Roman" w:hAnsiTheme="minorHAnsi" w:cs="Times New Roman"/>
                <w:color w:val="000000"/>
                <w:lang w:eastAsia="en-AU"/>
              </w:rPr>
              <w:t xml:space="preserve">atening retinopathy refractory to both corticosteroid and immunosuppressant therapy. </w:t>
            </w:r>
          </w:p>
          <w:p w:rsidR="00DC4758" w:rsidRPr="00C92149" w:rsidRDefault="00DC4758" w:rsidP="0068082A">
            <w:pPr>
              <w:spacing w:before="120" w:after="120"/>
              <w:rPr>
                <w:rFonts w:asciiTheme="minorHAnsi" w:hAnsiTheme="minorHAnsi"/>
                <w:sz w:val="20"/>
                <w:szCs w:val="20"/>
              </w:rPr>
            </w:pPr>
            <w:r w:rsidRPr="00DC4758">
              <w:rPr>
                <w:rFonts w:asciiTheme="minorHAnsi" w:eastAsia="Times New Roman" w:hAnsiTheme="minorHAnsi" w:cs="Times New Roman"/>
                <w:color w:val="000000"/>
                <w:lang w:eastAsia="en-AU"/>
              </w:rPr>
              <w:t>The treatment goal now includes arresting decline rather than functional improvement alone.</w:t>
            </w:r>
            <w:r>
              <w:rPr>
                <w:rFonts w:asciiTheme="minorHAnsi" w:hAnsiTheme="minorHAnsi"/>
                <w:sz w:val="20"/>
                <w:szCs w:val="20"/>
              </w:rPr>
              <w:t xml:space="preserve"> </w:t>
            </w:r>
          </w:p>
        </w:tc>
      </w:tr>
      <w:tr w:rsidR="00447869" w:rsidRPr="00853117" w:rsidTr="00FE6E37">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268" w:type="dxa"/>
            <w:vMerge w:val="restart"/>
          </w:tcPr>
          <w:p w:rsidR="00447869" w:rsidRPr="00447869" w:rsidRDefault="00282F66" w:rsidP="00021243">
            <w:pPr>
              <w:spacing w:before="120" w:after="120"/>
              <w:rPr>
                <w:rFonts w:asciiTheme="minorHAnsi" w:hAnsiTheme="minorHAnsi"/>
                <w:b/>
              </w:rPr>
            </w:pPr>
            <w:r>
              <w:t xml:space="preserve"> </w:t>
            </w:r>
          </w:p>
        </w:tc>
        <w:tc>
          <w:tcPr>
            <w:tcW w:w="1985" w:type="dxa"/>
          </w:tcPr>
          <w:p w:rsidR="00447869" w:rsidRPr="00447869" w:rsidRDefault="00DC4758" w:rsidP="00021243">
            <w:pPr>
              <w:spacing w:before="120" w:after="120"/>
              <w:rPr>
                <w:rFonts w:asciiTheme="minorHAnsi" w:hAnsiTheme="minorHAnsi"/>
              </w:rPr>
            </w:pPr>
            <w:r>
              <w:rPr>
                <w:rFonts w:asciiTheme="minorHAnsi" w:hAnsiTheme="minorHAnsi"/>
              </w:rPr>
              <w:t>Yes</w:t>
            </w:r>
          </w:p>
        </w:tc>
        <w:tc>
          <w:tcPr>
            <w:tcW w:w="1000" w:type="dxa"/>
            <w:shd w:val="clear" w:color="auto" w:fill="BFBFBF" w:themeFill="background1" w:themeFillShade="BF"/>
          </w:tcPr>
          <w:p w:rsidR="00447869" w:rsidRPr="00447869" w:rsidRDefault="00447869" w:rsidP="00DC4758">
            <w:pPr>
              <w:spacing w:before="120" w:after="120"/>
              <w:ind w:left="-108" w:firstLine="49"/>
              <w:rPr>
                <w:rFonts w:asciiTheme="minorHAnsi" w:hAnsiTheme="minorHAnsi"/>
              </w:rPr>
            </w:pPr>
            <w:r w:rsidRPr="00447869">
              <w:rPr>
                <w:rFonts w:asciiTheme="minorHAnsi" w:hAnsiTheme="minorHAnsi"/>
              </w:rPr>
              <w:t>By which specialty</w:t>
            </w:r>
          </w:p>
        </w:tc>
        <w:tc>
          <w:tcPr>
            <w:tcW w:w="2260" w:type="dxa"/>
          </w:tcPr>
          <w:p w:rsidR="00447869" w:rsidRPr="00447869" w:rsidRDefault="00322D93" w:rsidP="006D67CF">
            <w:pPr>
              <w:spacing w:before="120" w:after="120"/>
              <w:rPr>
                <w:rFonts w:asciiTheme="minorHAnsi" w:hAnsiTheme="minorHAnsi"/>
              </w:rPr>
            </w:pPr>
            <w:r>
              <w:rPr>
                <w:rFonts w:asciiTheme="minorHAnsi" w:hAnsiTheme="minorHAnsi"/>
              </w:rPr>
              <w:t>Any specialist</w:t>
            </w:r>
          </w:p>
        </w:tc>
        <w:tc>
          <w:tcPr>
            <w:tcW w:w="5528" w:type="dxa"/>
            <w:vMerge w:val="restart"/>
          </w:tcPr>
          <w:p w:rsidR="00DC4758" w:rsidRPr="00DC4758" w:rsidRDefault="00DC4758" w:rsidP="005C4C4B">
            <w:pPr>
              <w:spacing w:before="120" w:after="120"/>
              <w:ind w:right="90"/>
              <w:rPr>
                <w:rFonts w:asciiTheme="minorHAnsi" w:hAnsiTheme="minorHAnsi"/>
                <w:szCs w:val="20"/>
              </w:rPr>
            </w:pPr>
            <w:r>
              <w:rPr>
                <w:rFonts w:asciiTheme="minorHAnsi" w:hAnsiTheme="minorHAnsi"/>
                <w:szCs w:val="20"/>
              </w:rPr>
              <w:t xml:space="preserve">Must now be diagnosed by a specialist </w:t>
            </w:r>
            <w:r w:rsidR="00322D93">
              <w:rPr>
                <w:rFonts w:asciiTheme="minorHAnsi" w:hAnsiTheme="minorHAnsi"/>
                <w:szCs w:val="20"/>
              </w:rPr>
              <w:t xml:space="preserve">noting that the qualifying criteria require the diagnosis to be either made or confirmed by an ophthalmologist . </w:t>
            </w:r>
          </w:p>
        </w:tc>
      </w:tr>
      <w:tr w:rsidR="00447869" w:rsidRPr="00853117" w:rsidTr="00FE6E37">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268" w:type="dxa"/>
            <w:vMerge/>
          </w:tcPr>
          <w:p w:rsidR="00447869" w:rsidRPr="00447869" w:rsidRDefault="00447869" w:rsidP="00021243">
            <w:pPr>
              <w:spacing w:before="120" w:after="120"/>
              <w:rPr>
                <w:rFonts w:asciiTheme="minorHAnsi" w:hAnsiTheme="minorHAnsi"/>
              </w:rPr>
            </w:pPr>
          </w:p>
        </w:tc>
        <w:tc>
          <w:tcPr>
            <w:tcW w:w="1985" w:type="dxa"/>
          </w:tcPr>
          <w:p w:rsidR="00447869" w:rsidRPr="00447869" w:rsidRDefault="006D67CF" w:rsidP="00021243">
            <w:pPr>
              <w:spacing w:before="120" w:after="120"/>
              <w:rPr>
                <w:rFonts w:asciiTheme="minorHAnsi" w:hAnsiTheme="minorHAnsi"/>
              </w:rPr>
            </w:pPr>
            <w:r>
              <w:rPr>
                <w:rFonts w:asciiTheme="minorHAnsi" w:hAnsiTheme="minorHAnsi"/>
              </w:rPr>
              <w:t>No</w:t>
            </w:r>
          </w:p>
        </w:tc>
        <w:tc>
          <w:tcPr>
            <w:tcW w:w="1000"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260" w:type="dxa"/>
          </w:tcPr>
          <w:p w:rsidR="00447869" w:rsidRPr="00447869" w:rsidRDefault="00447869" w:rsidP="00021243">
            <w:pPr>
              <w:spacing w:before="120" w:after="120"/>
              <w:rPr>
                <w:rFonts w:asciiTheme="minorHAnsi" w:hAnsiTheme="minorHAnsi"/>
              </w:rPr>
            </w:pPr>
          </w:p>
        </w:tc>
        <w:tc>
          <w:tcPr>
            <w:tcW w:w="5528" w:type="dxa"/>
            <w:vMerge/>
          </w:tcPr>
          <w:p w:rsidR="00447869" w:rsidRPr="00C92149" w:rsidRDefault="00447869" w:rsidP="00021243">
            <w:pPr>
              <w:spacing w:before="120" w:after="120"/>
              <w:rPr>
                <w:rFonts w:asciiTheme="minorHAnsi" w:hAnsiTheme="minorHAnsi"/>
                <w:szCs w:val="20"/>
              </w:rPr>
            </w:pPr>
          </w:p>
        </w:tc>
      </w:tr>
      <w:tr w:rsidR="00447869" w:rsidRPr="00853117" w:rsidTr="00FE6E37">
        <w:trPr>
          <w:trHeight w:val="931"/>
        </w:trPr>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Exclusion Criteria</w:t>
            </w:r>
          </w:p>
          <w:p w:rsidR="00447869" w:rsidRPr="00447869" w:rsidRDefault="00447869" w:rsidP="00021243">
            <w:pPr>
              <w:spacing w:before="120" w:after="120"/>
              <w:rPr>
                <w:rFonts w:asciiTheme="minorHAnsi" w:hAnsiTheme="minorHAnsi"/>
              </w:rPr>
            </w:pPr>
          </w:p>
        </w:tc>
        <w:tc>
          <w:tcPr>
            <w:tcW w:w="2268"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r w:rsidR="00DC4758">
              <w:rPr>
                <w:rFonts w:asciiTheme="minorHAnsi" w:hAnsiTheme="minorHAnsi"/>
              </w:rPr>
              <w:t>Uveitis of non-immune origin is not indicated.</w:t>
            </w:r>
          </w:p>
        </w:tc>
        <w:tc>
          <w:tcPr>
            <w:tcW w:w="5245" w:type="dxa"/>
            <w:gridSpan w:val="3"/>
          </w:tcPr>
          <w:p w:rsidR="00447869" w:rsidRPr="00DC4758" w:rsidRDefault="00DC4758" w:rsidP="00021243">
            <w:pPr>
              <w:spacing w:before="120" w:after="120"/>
              <w:rPr>
                <w:rFonts w:asciiTheme="minorHAnsi" w:hAnsiTheme="minorHAnsi"/>
              </w:rPr>
            </w:pPr>
            <w:r w:rsidRPr="00DC4758">
              <w:rPr>
                <w:rFonts w:asciiTheme="minorHAnsi" w:hAnsiTheme="minorHAnsi"/>
              </w:rPr>
              <w:t>Uveitis with features of anterior or posterior chamber inflammation.</w:t>
            </w:r>
          </w:p>
        </w:tc>
        <w:tc>
          <w:tcPr>
            <w:tcW w:w="5528" w:type="dxa"/>
          </w:tcPr>
          <w:p w:rsidR="00447869" w:rsidRPr="00C92149" w:rsidRDefault="006D67CF" w:rsidP="00CB0878">
            <w:pPr>
              <w:spacing w:before="120" w:after="120"/>
              <w:rPr>
                <w:rFonts w:asciiTheme="minorHAnsi" w:hAnsiTheme="minorHAnsi"/>
                <w:szCs w:val="20"/>
              </w:rPr>
            </w:pPr>
            <w:r w:rsidRPr="00711A47">
              <w:t xml:space="preserve">The exclusion criteria </w:t>
            </w:r>
            <w:r>
              <w:t>describe types of uveitis which are not eligible for Ig therapy.</w:t>
            </w:r>
          </w:p>
        </w:tc>
      </w:tr>
      <w:tr w:rsidR="00021243" w:rsidRPr="00853117" w:rsidTr="00FE6E37">
        <w:tc>
          <w:tcPr>
            <w:tcW w:w="1560" w:type="dxa"/>
            <w:shd w:val="clear" w:color="auto" w:fill="D9D9D9" w:themeFill="background1" w:themeFillShade="D9"/>
          </w:tcPr>
          <w:p w:rsidR="00021243" w:rsidRPr="00447869" w:rsidRDefault="00021243" w:rsidP="006D67CF">
            <w:pPr>
              <w:spacing w:before="120" w:after="120"/>
              <w:rPr>
                <w:rFonts w:asciiTheme="minorHAnsi" w:hAnsiTheme="minorHAnsi"/>
              </w:rPr>
            </w:pPr>
            <w:r w:rsidRPr="00447869">
              <w:rPr>
                <w:rFonts w:asciiTheme="minorHAnsi" w:hAnsiTheme="minorHAnsi"/>
                <w:b/>
              </w:rPr>
              <w:t xml:space="preserve">Qualifying </w:t>
            </w:r>
            <w:r w:rsidRPr="00447869">
              <w:rPr>
                <w:rFonts w:asciiTheme="minorHAnsi" w:hAnsiTheme="minorHAnsi"/>
                <w:b/>
              </w:rPr>
              <w:lastRenderedPageBreak/>
              <w:t>Criteria</w:t>
            </w:r>
          </w:p>
        </w:tc>
        <w:tc>
          <w:tcPr>
            <w:tcW w:w="2268"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5245" w:type="dxa"/>
            <w:gridSpan w:val="3"/>
          </w:tcPr>
          <w:p w:rsidR="00322D93" w:rsidRDefault="00322D93" w:rsidP="00BF063F">
            <w:pPr>
              <w:pStyle w:val="ListParagraph"/>
              <w:numPr>
                <w:ilvl w:val="0"/>
                <w:numId w:val="47"/>
              </w:numPr>
              <w:spacing w:before="100" w:beforeAutospacing="1"/>
              <w:rPr>
                <w:rFonts w:asciiTheme="minorHAnsi" w:hAnsiTheme="minorHAnsi"/>
              </w:rPr>
            </w:pPr>
            <w:r>
              <w:rPr>
                <w:rFonts w:asciiTheme="minorHAnsi" w:hAnsiTheme="minorHAnsi"/>
              </w:rPr>
              <w:lastRenderedPageBreak/>
              <w:t>Diagnosis made or confirmed by an ophthalmologist</w:t>
            </w:r>
          </w:p>
          <w:p w:rsidR="00322D93" w:rsidRPr="005C4C4B" w:rsidRDefault="00322D93" w:rsidP="005C4C4B">
            <w:pPr>
              <w:spacing w:before="100" w:beforeAutospacing="1"/>
              <w:ind w:left="360"/>
              <w:jc w:val="center"/>
              <w:rPr>
                <w:rFonts w:asciiTheme="minorHAnsi" w:hAnsiTheme="minorHAnsi"/>
              </w:rPr>
            </w:pPr>
            <w:r>
              <w:rPr>
                <w:rFonts w:asciiTheme="minorHAnsi" w:hAnsiTheme="minorHAnsi"/>
              </w:rPr>
              <w:lastRenderedPageBreak/>
              <w:t>AND</w:t>
            </w:r>
          </w:p>
          <w:p w:rsidR="00880ECB" w:rsidRDefault="00CB0878" w:rsidP="00BF063F">
            <w:pPr>
              <w:pStyle w:val="ListParagraph"/>
              <w:numPr>
                <w:ilvl w:val="0"/>
                <w:numId w:val="47"/>
              </w:numPr>
              <w:spacing w:before="100" w:beforeAutospacing="1"/>
              <w:rPr>
                <w:rFonts w:asciiTheme="minorHAnsi" w:hAnsiTheme="minorHAnsi"/>
              </w:rPr>
            </w:pPr>
            <w:r w:rsidRPr="00CB0878">
              <w:rPr>
                <w:rFonts w:asciiTheme="minorHAnsi" w:hAnsiTheme="minorHAnsi"/>
              </w:rPr>
              <w:t>Persistent severe disease threatening eyesight limited to the retinal plane confirmed by ERG with integrity of macular anatomy confirmed by optical coherence tomography testing</w:t>
            </w:r>
          </w:p>
          <w:p w:rsidR="004C7676" w:rsidRPr="004C7676" w:rsidRDefault="004C7676" w:rsidP="004C7676">
            <w:pPr>
              <w:spacing w:before="100" w:beforeAutospacing="1"/>
              <w:rPr>
                <w:rFonts w:asciiTheme="minorHAnsi" w:hAnsiTheme="minorHAnsi"/>
              </w:rPr>
            </w:pPr>
            <w:r w:rsidRPr="004C7676">
              <w:rPr>
                <w:rFonts w:asciiTheme="minorHAnsi" w:hAnsiTheme="minorHAnsi"/>
              </w:rPr>
              <w:t>AND</w:t>
            </w:r>
          </w:p>
          <w:p w:rsidR="004C7676" w:rsidRDefault="004C7676" w:rsidP="00BF063F">
            <w:pPr>
              <w:pStyle w:val="ListParagraph"/>
              <w:numPr>
                <w:ilvl w:val="0"/>
                <w:numId w:val="47"/>
              </w:numPr>
              <w:spacing w:before="100" w:beforeAutospacing="1"/>
              <w:rPr>
                <w:rFonts w:asciiTheme="minorHAnsi" w:hAnsiTheme="minorHAnsi"/>
              </w:rPr>
            </w:pPr>
            <w:r w:rsidRPr="004C7676">
              <w:rPr>
                <w:rFonts w:asciiTheme="minorHAnsi" w:hAnsiTheme="minorHAnsi"/>
              </w:rPr>
              <w:t>Poorly responsive to oral or intravenous corticosteroid therapy</w:t>
            </w:r>
            <w:r w:rsidR="006D67CF">
              <w:rPr>
                <w:rFonts w:asciiTheme="minorHAnsi" w:hAnsiTheme="minorHAnsi"/>
              </w:rPr>
              <w:t xml:space="preserve"> for at least three months</w:t>
            </w:r>
          </w:p>
          <w:p w:rsidR="00BF063F" w:rsidRPr="006C6D38" w:rsidRDefault="00BF063F" w:rsidP="00BF063F">
            <w:pPr>
              <w:spacing w:before="100" w:beforeAutospacing="1"/>
              <w:ind w:left="394"/>
              <w:jc w:val="center"/>
              <w:rPr>
                <w:rFonts w:asciiTheme="minorHAnsi" w:hAnsiTheme="minorHAnsi"/>
              </w:rPr>
            </w:pPr>
            <w:r>
              <w:rPr>
                <w:rFonts w:asciiTheme="minorHAnsi" w:hAnsiTheme="minorHAnsi"/>
              </w:rPr>
              <w:t>OR</w:t>
            </w:r>
          </w:p>
          <w:p w:rsidR="00BF063F" w:rsidRDefault="00BF063F" w:rsidP="00BF063F">
            <w:pPr>
              <w:pStyle w:val="ListParagraph"/>
              <w:numPr>
                <w:ilvl w:val="0"/>
                <w:numId w:val="47"/>
              </w:numPr>
              <w:spacing w:before="100" w:beforeAutospacing="1"/>
              <w:rPr>
                <w:rFonts w:asciiTheme="minorHAnsi" w:hAnsiTheme="minorHAnsi"/>
              </w:rPr>
            </w:pPr>
            <w:r>
              <w:rPr>
                <w:rFonts w:asciiTheme="minorHAnsi" w:hAnsiTheme="minorHAnsi"/>
              </w:rPr>
              <w:t xml:space="preserve">Corticosteroid therapy is contraindicated or has resulted in unacceptable side effects or significant toxicity </w:t>
            </w:r>
          </w:p>
          <w:p w:rsidR="00BF063F" w:rsidRPr="005C4C4B" w:rsidRDefault="00BF063F" w:rsidP="005C4C4B">
            <w:pPr>
              <w:spacing w:before="100" w:beforeAutospacing="1"/>
              <w:ind w:left="360"/>
              <w:rPr>
                <w:rFonts w:asciiTheme="minorHAnsi" w:hAnsiTheme="minorHAnsi"/>
              </w:rPr>
            </w:pPr>
          </w:p>
          <w:p w:rsidR="004C7676" w:rsidRPr="004C7676" w:rsidRDefault="004C7676" w:rsidP="004C7676">
            <w:pPr>
              <w:spacing w:before="100" w:beforeAutospacing="1"/>
              <w:rPr>
                <w:rFonts w:asciiTheme="minorHAnsi" w:hAnsiTheme="minorHAnsi"/>
              </w:rPr>
            </w:pPr>
            <w:r w:rsidRPr="004C7676">
              <w:rPr>
                <w:rFonts w:asciiTheme="minorHAnsi" w:hAnsiTheme="minorHAnsi"/>
              </w:rPr>
              <w:t>AND</w:t>
            </w:r>
          </w:p>
          <w:p w:rsidR="004C7676" w:rsidRDefault="004C7676" w:rsidP="00BF063F">
            <w:pPr>
              <w:pStyle w:val="ListParagraph"/>
              <w:numPr>
                <w:ilvl w:val="0"/>
                <w:numId w:val="47"/>
              </w:numPr>
              <w:spacing w:before="100" w:beforeAutospacing="1"/>
              <w:rPr>
                <w:rFonts w:asciiTheme="minorHAnsi" w:hAnsiTheme="minorHAnsi"/>
              </w:rPr>
            </w:pPr>
            <w:r w:rsidRPr="004C7676">
              <w:rPr>
                <w:rFonts w:asciiTheme="minorHAnsi" w:hAnsiTheme="minorHAnsi"/>
              </w:rPr>
              <w:t xml:space="preserve">Unresponsive to </w:t>
            </w:r>
            <w:r w:rsidR="006D67CF">
              <w:rPr>
                <w:rFonts w:asciiTheme="minorHAnsi" w:hAnsiTheme="minorHAnsi"/>
              </w:rPr>
              <w:t xml:space="preserve">at least two </w:t>
            </w:r>
            <w:r w:rsidRPr="004C7676">
              <w:rPr>
                <w:rFonts w:asciiTheme="minorHAnsi" w:hAnsiTheme="minorHAnsi"/>
              </w:rPr>
              <w:t xml:space="preserve">immunosuppressant </w:t>
            </w:r>
            <w:r w:rsidR="006D67CF">
              <w:rPr>
                <w:rFonts w:asciiTheme="minorHAnsi" w:hAnsiTheme="minorHAnsi"/>
              </w:rPr>
              <w:t>agents</w:t>
            </w:r>
          </w:p>
          <w:p w:rsidR="004C7676" w:rsidRPr="004C7676" w:rsidRDefault="004C7676" w:rsidP="004C7676">
            <w:pPr>
              <w:spacing w:before="100" w:beforeAutospacing="1"/>
              <w:jc w:val="center"/>
              <w:rPr>
                <w:rFonts w:asciiTheme="minorHAnsi" w:hAnsiTheme="minorHAnsi"/>
              </w:rPr>
            </w:pPr>
            <w:r w:rsidRPr="004C7676">
              <w:rPr>
                <w:rFonts w:asciiTheme="minorHAnsi" w:hAnsiTheme="minorHAnsi"/>
              </w:rPr>
              <w:t>OR</w:t>
            </w:r>
          </w:p>
          <w:p w:rsidR="004C7676" w:rsidRPr="00FE6E37" w:rsidRDefault="004C7676" w:rsidP="00BF063F">
            <w:pPr>
              <w:pStyle w:val="ListParagraph"/>
              <w:numPr>
                <w:ilvl w:val="0"/>
                <w:numId w:val="47"/>
              </w:numPr>
              <w:spacing w:before="100" w:beforeAutospacing="1"/>
              <w:rPr>
                <w:rFonts w:asciiTheme="minorHAnsi" w:hAnsiTheme="minorHAnsi"/>
              </w:rPr>
            </w:pPr>
            <w:r w:rsidRPr="004C7676">
              <w:rPr>
                <w:rFonts w:asciiTheme="minorHAnsi" w:hAnsiTheme="minorHAnsi"/>
              </w:rPr>
              <w:t xml:space="preserve">Immunosuppressant medication is contraindicated or has resulted in unacceptable </w:t>
            </w:r>
            <w:r w:rsidRPr="004C7676">
              <w:rPr>
                <w:rFonts w:asciiTheme="minorHAnsi" w:hAnsiTheme="minorHAnsi"/>
              </w:rPr>
              <w:lastRenderedPageBreak/>
              <w:t xml:space="preserve">side effects or significant toxicity </w:t>
            </w:r>
          </w:p>
        </w:tc>
        <w:tc>
          <w:tcPr>
            <w:tcW w:w="5528" w:type="dxa"/>
          </w:tcPr>
          <w:p w:rsidR="008515FF" w:rsidRPr="00C92149" w:rsidRDefault="004C7676" w:rsidP="008515FF">
            <w:pPr>
              <w:spacing w:before="120" w:after="120"/>
              <w:rPr>
                <w:rFonts w:asciiTheme="minorHAnsi" w:hAnsiTheme="minorHAnsi"/>
                <w:szCs w:val="20"/>
              </w:rPr>
            </w:pPr>
            <w:r>
              <w:rPr>
                <w:szCs w:val="20"/>
              </w:rPr>
              <w:lastRenderedPageBreak/>
              <w:t xml:space="preserve">Qualifying criteria drafted following consultation with </w:t>
            </w:r>
            <w:r w:rsidR="006D67CF">
              <w:rPr>
                <w:szCs w:val="20"/>
              </w:rPr>
              <w:lastRenderedPageBreak/>
              <w:t>RANZCO and confirm the required approach to diagnosis and previous treatments.</w:t>
            </w:r>
          </w:p>
          <w:p w:rsidR="00880ECB" w:rsidRDefault="00880ECB" w:rsidP="003A1F9D">
            <w:pPr>
              <w:spacing w:before="120" w:after="120"/>
              <w:rPr>
                <w:rFonts w:asciiTheme="minorHAnsi" w:hAnsiTheme="minorHAnsi"/>
                <w:szCs w:val="20"/>
              </w:rPr>
            </w:pPr>
          </w:p>
          <w:p w:rsidR="006D67CF" w:rsidRDefault="006D67CF" w:rsidP="003A1F9D">
            <w:pPr>
              <w:spacing w:before="120" w:after="120"/>
              <w:rPr>
                <w:rFonts w:asciiTheme="minorHAnsi" w:hAnsiTheme="minorHAnsi"/>
                <w:szCs w:val="20"/>
              </w:rPr>
            </w:pPr>
          </w:p>
          <w:p w:rsidR="006D67CF" w:rsidRDefault="006D67CF" w:rsidP="003A1F9D">
            <w:pPr>
              <w:spacing w:before="120" w:after="120"/>
              <w:rPr>
                <w:rFonts w:asciiTheme="minorHAnsi" w:hAnsiTheme="minorHAnsi"/>
                <w:szCs w:val="20"/>
              </w:rPr>
            </w:pPr>
          </w:p>
          <w:p w:rsidR="006D67CF" w:rsidRDefault="006D67CF" w:rsidP="006D67CF">
            <w:pPr>
              <w:spacing w:before="120" w:after="120"/>
              <w:rPr>
                <w:szCs w:val="20"/>
              </w:rPr>
            </w:pPr>
            <w:r>
              <w:rPr>
                <w:szCs w:val="20"/>
              </w:rPr>
              <w:t>Valid contraindication reasons to immunosuppressant medication include</w:t>
            </w:r>
          </w:p>
          <w:p w:rsidR="006D67CF" w:rsidRPr="00711A47" w:rsidRDefault="006D67CF" w:rsidP="006D67CF">
            <w:pPr>
              <w:pStyle w:val="ListParagraph"/>
              <w:numPr>
                <w:ilvl w:val="0"/>
                <w:numId w:val="49"/>
              </w:numPr>
            </w:pPr>
            <w:r w:rsidRPr="00711A47">
              <w:t>Significant infection including sepsis</w:t>
            </w:r>
          </w:p>
          <w:p w:rsidR="006D67CF" w:rsidRPr="00711A47" w:rsidRDefault="006D67CF" w:rsidP="006D67CF">
            <w:pPr>
              <w:pStyle w:val="ListParagraph"/>
              <w:numPr>
                <w:ilvl w:val="0"/>
                <w:numId w:val="49"/>
              </w:numPr>
            </w:pPr>
            <w:r w:rsidRPr="00711A47">
              <w:t>Potential for life threatening infection</w:t>
            </w:r>
          </w:p>
          <w:p w:rsidR="006D67CF" w:rsidRPr="00711A47" w:rsidRDefault="006D67CF" w:rsidP="006D67CF">
            <w:pPr>
              <w:pStyle w:val="ListParagraph"/>
              <w:numPr>
                <w:ilvl w:val="0"/>
                <w:numId w:val="49"/>
              </w:numPr>
            </w:pPr>
            <w:r w:rsidRPr="00711A47">
              <w:t>Pregnancy</w:t>
            </w:r>
          </w:p>
          <w:p w:rsidR="006D67CF" w:rsidRPr="00711A47" w:rsidRDefault="006D67CF" w:rsidP="006D67CF">
            <w:pPr>
              <w:pStyle w:val="ListParagraph"/>
              <w:numPr>
                <w:ilvl w:val="0"/>
                <w:numId w:val="49"/>
              </w:numPr>
            </w:pPr>
            <w:r w:rsidRPr="00711A47">
              <w:t>Marrow suppression and /or cytopenia</w:t>
            </w:r>
          </w:p>
          <w:p w:rsidR="006D67CF" w:rsidRPr="00711A47" w:rsidRDefault="006D67CF" w:rsidP="006D67CF">
            <w:pPr>
              <w:pStyle w:val="ListParagraph"/>
              <w:numPr>
                <w:ilvl w:val="0"/>
                <w:numId w:val="49"/>
              </w:numPr>
            </w:pPr>
            <w:r w:rsidRPr="00711A47">
              <w:t>Steroid induced side effects</w:t>
            </w:r>
            <w:r>
              <w:t xml:space="preserve"> or</w:t>
            </w:r>
          </w:p>
          <w:p w:rsidR="006D67CF" w:rsidRPr="00711A47" w:rsidRDefault="006D67CF" w:rsidP="006D67CF">
            <w:pPr>
              <w:pStyle w:val="ListParagraph"/>
              <w:numPr>
                <w:ilvl w:val="0"/>
                <w:numId w:val="49"/>
              </w:numPr>
            </w:pPr>
            <w:r w:rsidRPr="00711A47">
              <w:t>Significant toxicity</w:t>
            </w:r>
            <w:r>
              <w:t xml:space="preserve">. </w:t>
            </w:r>
            <w:r w:rsidRPr="00711A47">
              <w:t xml:space="preserve"> </w:t>
            </w:r>
          </w:p>
          <w:p w:rsidR="006D67CF" w:rsidRPr="00C92149" w:rsidRDefault="006D67CF" w:rsidP="003A1F9D">
            <w:pPr>
              <w:spacing w:before="120" w:after="120"/>
              <w:rPr>
                <w:rFonts w:asciiTheme="minorHAnsi" w:hAnsiTheme="minorHAnsi"/>
                <w:szCs w:val="20"/>
              </w:rPr>
            </w:pPr>
          </w:p>
        </w:tc>
      </w:tr>
      <w:tr w:rsidR="00021243" w:rsidRPr="00853117" w:rsidTr="00FE6E37">
        <w:tc>
          <w:tcPr>
            <w:tcW w:w="1560" w:type="dxa"/>
            <w:shd w:val="clear" w:color="auto" w:fill="D9D9D9" w:themeFill="background1" w:themeFillShade="D9"/>
          </w:tcPr>
          <w:p w:rsidR="00021243" w:rsidRPr="00447869" w:rsidRDefault="00021243" w:rsidP="006D67CF">
            <w:pPr>
              <w:spacing w:before="120" w:after="120"/>
              <w:rPr>
                <w:rFonts w:asciiTheme="minorHAnsi" w:hAnsiTheme="minorHAnsi"/>
              </w:rPr>
            </w:pPr>
            <w:r w:rsidRPr="00447869">
              <w:rPr>
                <w:rFonts w:asciiTheme="minorHAnsi" w:hAnsiTheme="minorHAnsi"/>
                <w:b/>
              </w:rPr>
              <w:lastRenderedPageBreak/>
              <w:t>Review Criteria</w:t>
            </w:r>
          </w:p>
        </w:tc>
        <w:tc>
          <w:tcPr>
            <w:tcW w:w="2268"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5245" w:type="dxa"/>
            <w:gridSpan w:val="3"/>
          </w:tcPr>
          <w:p w:rsidR="004C7676" w:rsidRPr="004C7676" w:rsidRDefault="004C7676" w:rsidP="004C7676">
            <w:pPr>
              <w:spacing w:before="120" w:after="120"/>
            </w:pPr>
            <w:r w:rsidRPr="004C7676">
              <w:t>Review by a</w:t>
            </w:r>
            <w:r w:rsidR="008508C6">
              <w:t xml:space="preserve"> specialist in collaboration with an</w:t>
            </w:r>
            <w:r w:rsidRPr="004C7676">
              <w:t xml:space="preserve"> Ophthalmologist    is required within 3 months of treatment to determine whether the patient has respo</w:t>
            </w:r>
            <w:r w:rsidR="00FA06EA">
              <w:t xml:space="preserve">nded, and annually thereafter. </w:t>
            </w:r>
          </w:p>
          <w:p w:rsidR="004C7676" w:rsidRPr="004C7676" w:rsidRDefault="004C7676" w:rsidP="004C7676">
            <w:pPr>
              <w:spacing w:before="120" w:after="120"/>
            </w:pPr>
            <w:r w:rsidRPr="004C7676">
              <w:t xml:space="preserve">Documentation of clinical effectiveness is necessary for continuation of </w:t>
            </w:r>
            <w:r w:rsidR="00736906">
              <w:t>IVIg</w:t>
            </w:r>
            <w:r w:rsidRPr="004C7676">
              <w:t xml:space="preserve"> therapy.  </w:t>
            </w:r>
          </w:p>
          <w:p w:rsidR="004C7676" w:rsidRPr="004C7676" w:rsidRDefault="004C7676" w:rsidP="004C7676">
            <w:pPr>
              <w:spacing w:before="120" w:after="120"/>
              <w:rPr>
                <w:b/>
              </w:rPr>
            </w:pPr>
            <w:r w:rsidRPr="004C7676">
              <w:rPr>
                <w:b/>
              </w:rPr>
              <w:t>On review of the initial authorisation period</w:t>
            </w:r>
          </w:p>
          <w:p w:rsidR="004C7676" w:rsidRPr="004C7676" w:rsidRDefault="004C7676" w:rsidP="004C7676">
            <w:pPr>
              <w:spacing w:before="120" w:after="120"/>
            </w:pPr>
            <w:r w:rsidRPr="004C7676">
              <w:t>Clinical effectiveness of Ig t</w:t>
            </w:r>
            <w:r>
              <w:t xml:space="preserve">herapy can be demonstrated by: </w:t>
            </w:r>
          </w:p>
          <w:p w:rsidR="004C7676" w:rsidRDefault="004C7676" w:rsidP="004C7676">
            <w:pPr>
              <w:pStyle w:val="ListParagraph"/>
              <w:numPr>
                <w:ilvl w:val="0"/>
                <w:numId w:val="47"/>
              </w:numPr>
              <w:spacing w:before="120" w:after="120"/>
            </w:pPr>
            <w:r w:rsidRPr="004C7676">
              <w:t>Improvement in visual function or an arrest in the decline of visual function as determined by an Ophthalmologist</w:t>
            </w:r>
          </w:p>
          <w:p w:rsidR="004C7676" w:rsidRPr="004C7676" w:rsidRDefault="004C7676" w:rsidP="006D67CF">
            <w:pPr>
              <w:pStyle w:val="ListParagraph"/>
              <w:spacing w:before="120" w:after="120"/>
            </w:pPr>
          </w:p>
          <w:p w:rsidR="004C7676" w:rsidRPr="004C7676" w:rsidRDefault="004C7676" w:rsidP="004C7676">
            <w:pPr>
              <w:spacing w:before="120" w:after="120"/>
              <w:rPr>
                <w:rFonts w:asciiTheme="minorHAnsi" w:eastAsia="Times New Roman" w:hAnsiTheme="minorHAnsi" w:cs="Times New Roman"/>
                <w:b/>
                <w:color w:val="000000"/>
                <w:lang w:eastAsia="en-AU"/>
              </w:rPr>
            </w:pPr>
            <w:r w:rsidRPr="004C7676">
              <w:rPr>
                <w:rFonts w:asciiTheme="minorHAnsi" w:eastAsia="Times New Roman" w:hAnsiTheme="minorHAnsi" w:cs="Times New Roman"/>
                <w:b/>
                <w:color w:val="000000"/>
                <w:lang w:eastAsia="en-AU"/>
              </w:rPr>
              <w:t xml:space="preserve">On review of a continuing authorisation period </w:t>
            </w:r>
          </w:p>
          <w:p w:rsidR="004C7676" w:rsidRPr="004C7676" w:rsidRDefault="004C7676" w:rsidP="004C7676">
            <w:pPr>
              <w:spacing w:before="120" w:after="120"/>
              <w:rPr>
                <w:rFonts w:asciiTheme="minorHAnsi" w:eastAsia="Times New Roman" w:hAnsiTheme="minorHAnsi" w:cs="Times New Roman"/>
                <w:color w:val="000000"/>
                <w:lang w:eastAsia="en-AU"/>
              </w:rPr>
            </w:pPr>
            <w:r w:rsidRPr="004C7676">
              <w:rPr>
                <w:rFonts w:asciiTheme="minorHAnsi" w:eastAsia="Times New Roman" w:hAnsiTheme="minorHAnsi" w:cs="Times New Roman"/>
                <w:color w:val="000000"/>
                <w:lang w:eastAsia="en-AU"/>
              </w:rPr>
              <w:t xml:space="preserve">For stable patients on maintenance treatment, review by an Ophthalmologist in collaboration with </w:t>
            </w:r>
            <w:r w:rsidR="006365C5">
              <w:rPr>
                <w:rFonts w:asciiTheme="minorHAnsi" w:eastAsia="Times New Roman" w:hAnsiTheme="minorHAnsi" w:cs="Times New Roman"/>
                <w:color w:val="000000"/>
                <w:lang w:eastAsia="en-AU"/>
              </w:rPr>
              <w:t>is the treating specialist is</w:t>
            </w:r>
            <w:r w:rsidRPr="004C7676">
              <w:rPr>
                <w:rFonts w:asciiTheme="minorHAnsi" w:eastAsia="Times New Roman" w:hAnsiTheme="minorHAnsi" w:cs="Times New Roman"/>
                <w:color w:val="000000"/>
                <w:lang w:eastAsia="en-AU"/>
              </w:rPr>
              <w:t xml:space="preserve"> required at least annually.</w:t>
            </w:r>
            <w:bookmarkStart w:id="0" w:name="_GoBack"/>
            <w:bookmarkEnd w:id="0"/>
          </w:p>
          <w:p w:rsidR="004C7676" w:rsidRPr="004C7676" w:rsidRDefault="006D67CF" w:rsidP="004C7676">
            <w:pPr>
              <w:spacing w:before="120" w:after="120"/>
              <w:rPr>
                <w:rFonts w:asciiTheme="minorHAnsi" w:eastAsia="Times New Roman" w:hAnsiTheme="minorHAnsi" w:cs="Times New Roman"/>
                <w:color w:val="000000"/>
                <w:lang w:eastAsia="en-AU"/>
              </w:rPr>
            </w:pPr>
            <w:r w:rsidRPr="004C7676">
              <w:rPr>
                <w:rFonts w:asciiTheme="minorHAnsi" w:eastAsia="Times New Roman" w:hAnsiTheme="minorHAnsi" w:cs="Times New Roman"/>
                <w:color w:val="000000"/>
                <w:lang w:eastAsia="en-AU"/>
              </w:rPr>
              <w:t>Clinical</w:t>
            </w:r>
            <w:r w:rsidR="004C7676" w:rsidRPr="004C7676">
              <w:rPr>
                <w:rFonts w:asciiTheme="minorHAnsi" w:eastAsia="Times New Roman" w:hAnsiTheme="minorHAnsi" w:cs="Times New Roman"/>
                <w:color w:val="000000"/>
                <w:lang w:eastAsia="en-AU"/>
              </w:rPr>
              <w:t xml:space="preserve"> effectiveness of Ig therapy can be demonstrated by: </w:t>
            </w:r>
          </w:p>
          <w:p w:rsidR="00021243" w:rsidRPr="00447869" w:rsidRDefault="004C7676" w:rsidP="00FA06EA">
            <w:pPr>
              <w:pStyle w:val="ListParagraph"/>
              <w:numPr>
                <w:ilvl w:val="0"/>
                <w:numId w:val="48"/>
              </w:numPr>
              <w:spacing w:before="120" w:after="120"/>
              <w:rPr>
                <w:rFonts w:asciiTheme="minorHAnsi" w:hAnsiTheme="minorHAnsi"/>
              </w:rPr>
            </w:pPr>
            <w:r w:rsidRPr="00FA06EA">
              <w:rPr>
                <w:rFonts w:asciiTheme="minorHAnsi" w:eastAsia="Times New Roman" w:hAnsiTheme="minorHAnsi" w:cs="Times New Roman"/>
                <w:color w:val="000000"/>
                <w:lang w:eastAsia="en-AU"/>
              </w:rPr>
              <w:t>Improvement in visual function or an arrest in the decline of visual function as determined by an Ophthalmologist</w:t>
            </w:r>
          </w:p>
        </w:tc>
        <w:tc>
          <w:tcPr>
            <w:tcW w:w="5528" w:type="dxa"/>
          </w:tcPr>
          <w:p w:rsidR="006D67CF" w:rsidRPr="00C92149" w:rsidRDefault="00FA06EA" w:rsidP="006D67CF">
            <w:pPr>
              <w:spacing w:before="120" w:after="120"/>
              <w:rPr>
                <w:szCs w:val="20"/>
              </w:rPr>
            </w:pPr>
            <w:r>
              <w:rPr>
                <w:szCs w:val="20"/>
              </w:rPr>
              <w:t xml:space="preserve">Review criteria drafted following consultation with </w:t>
            </w:r>
            <w:r w:rsidR="006D67CF">
              <w:rPr>
                <w:szCs w:val="20"/>
              </w:rPr>
              <w:t xml:space="preserve">RANZCO and confirm a treatment period of three months prior to assessing initial clinical response. </w:t>
            </w:r>
            <w:r w:rsidR="006D67CF" w:rsidRPr="003B2589">
              <w:rPr>
                <w:rFonts w:asciiTheme="minorHAnsi" w:eastAsiaTheme="minorHAnsi" w:hAnsiTheme="minorHAnsi" w:cs="Times"/>
                <w:lang w:val="en-US"/>
              </w:rPr>
              <w:t>Since ophthalmologists rarely prescribe intravenous immunoglobulins</w:t>
            </w:r>
            <w:r w:rsidR="006D67CF">
              <w:rPr>
                <w:rFonts w:asciiTheme="minorHAnsi" w:eastAsiaTheme="minorHAnsi" w:hAnsiTheme="minorHAnsi" w:cs="Times"/>
                <w:lang w:val="en-US"/>
              </w:rPr>
              <w:t xml:space="preserve">, they have indicated </w:t>
            </w:r>
            <w:r w:rsidR="006D67CF" w:rsidRPr="003B2589">
              <w:rPr>
                <w:rFonts w:asciiTheme="minorHAnsi" w:eastAsiaTheme="minorHAnsi" w:hAnsiTheme="minorHAnsi" w:cs="Times"/>
                <w:lang w:val="en-US"/>
              </w:rPr>
              <w:t xml:space="preserve">support </w:t>
            </w:r>
            <w:r w:rsidR="006D67CF">
              <w:rPr>
                <w:rFonts w:asciiTheme="minorHAnsi" w:eastAsiaTheme="minorHAnsi" w:hAnsiTheme="minorHAnsi" w:cs="Times"/>
                <w:lang w:val="en-US"/>
              </w:rPr>
              <w:t xml:space="preserve">for </w:t>
            </w:r>
            <w:r w:rsidR="006D67CF" w:rsidRPr="003B2589">
              <w:rPr>
                <w:rFonts w:asciiTheme="minorHAnsi" w:eastAsiaTheme="minorHAnsi" w:hAnsiTheme="minorHAnsi" w:cs="Times"/>
                <w:lang w:val="en-US"/>
              </w:rPr>
              <w:t xml:space="preserve">collaborative care </w:t>
            </w:r>
            <w:r w:rsidR="008508C6">
              <w:rPr>
                <w:rFonts w:asciiTheme="minorHAnsi" w:eastAsiaTheme="minorHAnsi" w:hAnsiTheme="minorHAnsi" w:cs="Times"/>
                <w:lang w:val="en-US"/>
              </w:rPr>
              <w:t>with another specialist</w:t>
            </w:r>
            <w:r w:rsidR="006D67CF">
              <w:rPr>
                <w:rFonts w:asciiTheme="minorHAnsi" w:eastAsiaTheme="minorHAnsi" w:hAnsiTheme="minorHAnsi" w:cs="Times"/>
                <w:lang w:val="en-US"/>
              </w:rPr>
              <w:t xml:space="preserve"> in all cases. They</w:t>
            </w:r>
            <w:r w:rsidR="006D67CF" w:rsidRPr="003B2589">
              <w:rPr>
                <w:rFonts w:asciiTheme="minorHAnsi" w:eastAsiaTheme="minorHAnsi" w:hAnsiTheme="minorHAnsi" w:cs="Times"/>
                <w:lang w:val="en-US"/>
              </w:rPr>
              <w:t xml:space="preserve"> recommend that the treating ophthalmologist consults the collaborating specialist with regard to </w:t>
            </w:r>
            <w:r w:rsidR="006D67CF">
              <w:rPr>
                <w:rFonts w:asciiTheme="minorHAnsi" w:eastAsiaTheme="minorHAnsi" w:hAnsiTheme="minorHAnsi" w:cs="Times"/>
                <w:lang w:val="en-US"/>
              </w:rPr>
              <w:t>dosing with t</w:t>
            </w:r>
            <w:r w:rsidR="006D67CF" w:rsidRPr="003B2589">
              <w:rPr>
                <w:rFonts w:asciiTheme="minorHAnsi" w:eastAsiaTheme="minorHAnsi" w:hAnsiTheme="minorHAnsi" w:cs="Times"/>
                <w:lang w:val="en-US"/>
              </w:rPr>
              <w:t xml:space="preserve">he treating ophthalmologist </w:t>
            </w:r>
            <w:r w:rsidR="006D67CF">
              <w:rPr>
                <w:rFonts w:asciiTheme="minorHAnsi" w:eastAsiaTheme="minorHAnsi" w:hAnsiTheme="minorHAnsi" w:cs="Times"/>
                <w:lang w:val="en-US"/>
              </w:rPr>
              <w:t>providing</w:t>
            </w:r>
            <w:r w:rsidR="006D67CF" w:rsidRPr="003B2589">
              <w:rPr>
                <w:rFonts w:asciiTheme="minorHAnsi" w:eastAsiaTheme="minorHAnsi" w:hAnsiTheme="minorHAnsi" w:cs="Times"/>
                <w:lang w:val="en-US"/>
              </w:rPr>
              <w:t xml:space="preserve"> assessments of disease activity, severity and progression</w:t>
            </w:r>
            <w:r w:rsidR="006D67CF">
              <w:rPr>
                <w:rFonts w:asciiTheme="minorHAnsi" w:eastAsiaTheme="minorHAnsi" w:hAnsiTheme="minorHAnsi" w:cs="Times"/>
                <w:lang w:val="en-US"/>
              </w:rPr>
              <w:t xml:space="preserve">. </w:t>
            </w:r>
          </w:p>
          <w:p w:rsidR="00BD6C2D" w:rsidRPr="00C92149" w:rsidRDefault="00BD6C2D" w:rsidP="00021243">
            <w:pPr>
              <w:spacing w:before="120" w:after="120"/>
              <w:rPr>
                <w:szCs w:val="20"/>
              </w:rPr>
            </w:pPr>
          </w:p>
          <w:p w:rsidR="00BD6C2D" w:rsidRDefault="00BD6C2D" w:rsidP="00021243">
            <w:pPr>
              <w:spacing w:before="120" w:after="120"/>
              <w:rPr>
                <w:rFonts w:asciiTheme="minorHAnsi" w:hAnsiTheme="minorHAnsi"/>
                <w:szCs w:val="20"/>
              </w:rPr>
            </w:pPr>
          </w:p>
          <w:p w:rsidR="006D67CF" w:rsidRDefault="006D67CF" w:rsidP="00021243">
            <w:pPr>
              <w:spacing w:before="120" w:after="120"/>
              <w:rPr>
                <w:rFonts w:asciiTheme="minorHAnsi" w:hAnsiTheme="minorHAnsi"/>
                <w:szCs w:val="20"/>
              </w:rPr>
            </w:pPr>
          </w:p>
          <w:p w:rsidR="006D67CF" w:rsidRDefault="006D67CF" w:rsidP="00021243">
            <w:pPr>
              <w:spacing w:before="120" w:after="120"/>
              <w:rPr>
                <w:rFonts w:asciiTheme="minorHAnsi" w:hAnsiTheme="minorHAnsi"/>
                <w:szCs w:val="20"/>
              </w:rPr>
            </w:pPr>
          </w:p>
          <w:p w:rsidR="006D67CF" w:rsidRPr="00C92149" w:rsidRDefault="006D67CF" w:rsidP="00021243">
            <w:pPr>
              <w:spacing w:before="120" w:after="120"/>
              <w:rPr>
                <w:rFonts w:asciiTheme="minorHAnsi" w:hAnsiTheme="minorHAnsi"/>
                <w:szCs w:val="20"/>
              </w:rPr>
            </w:pPr>
            <w:r>
              <w:rPr>
                <w:rFonts w:asciiTheme="minorHAnsi" w:hAnsiTheme="minorHAnsi"/>
                <w:szCs w:val="20"/>
              </w:rPr>
              <w:t>RANZCO have advised that t</w:t>
            </w:r>
            <w:r w:rsidRPr="00FA06EA">
              <w:rPr>
                <w:rFonts w:asciiTheme="minorHAnsi" w:hAnsiTheme="minorHAnsi"/>
                <w:szCs w:val="20"/>
              </w:rPr>
              <w:t>he continued use of intravenous immunoglobulin would be justified if function were to improve or if decline were to be halted. Long term use of intravenous immunoglobulin may be required in cases where cessation of treatment is accompanied by disease progression</w:t>
            </w:r>
            <w:r>
              <w:rPr>
                <w:rFonts w:asciiTheme="minorHAnsi" w:hAnsiTheme="minorHAnsi"/>
                <w:szCs w:val="20"/>
              </w:rPr>
              <w:t>.</w:t>
            </w:r>
          </w:p>
        </w:tc>
      </w:tr>
      <w:tr w:rsidR="00021243" w:rsidRPr="00853117" w:rsidTr="00FE6E37">
        <w:tc>
          <w:tcPr>
            <w:tcW w:w="1560" w:type="dxa"/>
            <w:shd w:val="clear" w:color="auto" w:fill="D9D9D9" w:themeFill="background1" w:themeFillShade="D9"/>
          </w:tcPr>
          <w:p w:rsidR="00021243" w:rsidRPr="00447869" w:rsidRDefault="00021243" w:rsidP="006D67CF">
            <w:pPr>
              <w:spacing w:before="120" w:after="120"/>
              <w:rPr>
                <w:rFonts w:asciiTheme="minorHAnsi" w:hAnsiTheme="minorHAnsi"/>
              </w:rPr>
            </w:pPr>
            <w:r w:rsidRPr="00447869">
              <w:rPr>
                <w:rFonts w:asciiTheme="minorHAnsi" w:hAnsiTheme="minorHAnsi"/>
                <w:b/>
              </w:rPr>
              <w:t>Dose</w:t>
            </w:r>
          </w:p>
        </w:tc>
        <w:tc>
          <w:tcPr>
            <w:tcW w:w="2268" w:type="dxa"/>
          </w:tcPr>
          <w:p w:rsidR="00C23675" w:rsidRPr="00C23675" w:rsidRDefault="00C23675" w:rsidP="00C23675">
            <w:pPr>
              <w:spacing w:before="120" w:after="120"/>
              <w:rPr>
                <w:rFonts w:asciiTheme="minorHAnsi" w:eastAsiaTheme="minorHAnsi" w:hAnsiTheme="minorHAnsi" w:cs="Times New Roman"/>
                <w:color w:val="000000"/>
              </w:rPr>
            </w:pPr>
            <w:r w:rsidRPr="00C23675">
              <w:rPr>
                <w:rFonts w:asciiTheme="minorHAnsi" w:eastAsiaTheme="minorHAnsi" w:hAnsiTheme="minorHAnsi" w:cs="Times New Roman"/>
                <w:color w:val="000000"/>
              </w:rPr>
              <w:t xml:space="preserve">Recommended dose is 1.5 g/kg/month for three months, with </w:t>
            </w:r>
            <w:r w:rsidRPr="00C23675">
              <w:rPr>
                <w:rFonts w:asciiTheme="minorHAnsi" w:eastAsiaTheme="minorHAnsi" w:hAnsiTheme="minorHAnsi" w:cs="Times New Roman"/>
                <w:color w:val="000000"/>
              </w:rPr>
              <w:lastRenderedPageBreak/>
              <w:t>further maintenance dependent upon evidence of significant improvement in visual acuity and ocular inflammation.</w:t>
            </w:r>
          </w:p>
          <w:p w:rsidR="00C23675" w:rsidRPr="00C23675" w:rsidRDefault="00C23675" w:rsidP="00C23675">
            <w:pPr>
              <w:spacing w:before="120" w:after="120"/>
              <w:rPr>
                <w:rFonts w:asciiTheme="minorHAnsi" w:eastAsiaTheme="minorHAnsi" w:hAnsiTheme="minorHAnsi" w:cs="Times New Roman"/>
                <w:color w:val="000000"/>
              </w:rPr>
            </w:pPr>
            <w:r w:rsidRPr="00C23675">
              <w:rPr>
                <w:rFonts w:asciiTheme="minorHAnsi" w:eastAsiaTheme="minorHAnsi" w:hAnsiTheme="minorHAnsi" w:cs="Times New Roman"/>
                <w:color w:val="000000"/>
              </w:rPr>
              <w:t xml:space="preserve"> Dosing above 1 g/kg per day is contraindicated for some </w:t>
            </w:r>
            <w:r w:rsidR="00736906">
              <w:rPr>
                <w:rFonts w:asciiTheme="minorHAnsi" w:eastAsiaTheme="minorHAnsi" w:hAnsiTheme="minorHAnsi" w:cs="Times New Roman"/>
                <w:color w:val="000000"/>
              </w:rPr>
              <w:t>IVIg</w:t>
            </w:r>
            <w:r w:rsidRPr="00C23675">
              <w:rPr>
                <w:rFonts w:asciiTheme="minorHAnsi" w:eastAsiaTheme="minorHAnsi" w:hAnsiTheme="minorHAnsi" w:cs="Times New Roman"/>
                <w:color w:val="000000"/>
              </w:rPr>
              <w:t xml:space="preserve"> products.</w:t>
            </w:r>
          </w:p>
          <w:p w:rsidR="00C23675" w:rsidRPr="00C23675" w:rsidRDefault="00C23675" w:rsidP="00C23675">
            <w:pPr>
              <w:spacing w:before="120" w:after="120"/>
              <w:rPr>
                <w:rFonts w:asciiTheme="minorHAnsi" w:eastAsiaTheme="minorHAnsi" w:hAnsiTheme="minorHAnsi" w:cs="Times New Roman"/>
                <w:color w:val="000000"/>
              </w:rPr>
            </w:pPr>
            <w:r w:rsidRPr="00C23675">
              <w:rPr>
                <w:rFonts w:asciiTheme="minorHAnsi" w:eastAsiaTheme="minorHAnsi" w:hAnsiTheme="minorHAnsi" w:cs="Times New Roman"/>
                <w:color w:val="000000"/>
              </w:rPr>
              <w:t>Refer to the current product information sheet for further information.</w:t>
            </w:r>
          </w:p>
          <w:p w:rsidR="00021243" w:rsidRPr="00447869" w:rsidRDefault="00C23675" w:rsidP="00C23675">
            <w:pPr>
              <w:spacing w:before="120" w:after="120"/>
              <w:rPr>
                <w:rFonts w:asciiTheme="minorHAnsi" w:hAnsiTheme="minorHAnsi"/>
                <w:b/>
              </w:rPr>
            </w:pPr>
            <w:r w:rsidRPr="00C23675">
              <w:rPr>
                <w:rFonts w:asciiTheme="minorHAnsi" w:eastAsiaTheme="minorHAnsi" w:hAnsiTheme="minorHAnsi" w:cs="Times New Roman"/>
                <w:color w:val="000000"/>
              </w:rPr>
              <w:t xml:space="preserve"> The aim should be to use the lowest dose possible that achieves the appropriate clinical outcome for each patient.</w:t>
            </w:r>
          </w:p>
        </w:tc>
        <w:tc>
          <w:tcPr>
            <w:tcW w:w="5245" w:type="dxa"/>
            <w:gridSpan w:val="3"/>
          </w:tcPr>
          <w:p w:rsidR="00FA06EA" w:rsidRPr="006D67CF" w:rsidRDefault="00FA06EA" w:rsidP="00FA06EA">
            <w:pPr>
              <w:rPr>
                <w:rFonts w:asciiTheme="minorHAnsi" w:eastAsia="Times New Roman" w:hAnsiTheme="minorHAnsi" w:cs="Times New Roman"/>
                <w:b/>
                <w:color w:val="000000"/>
                <w:lang w:eastAsia="en-AU"/>
              </w:rPr>
            </w:pPr>
            <w:r w:rsidRPr="006D67CF">
              <w:rPr>
                <w:rFonts w:asciiTheme="minorHAnsi" w:eastAsia="Times New Roman" w:hAnsiTheme="minorHAnsi" w:cs="Times New Roman"/>
                <w:b/>
                <w:color w:val="000000"/>
                <w:lang w:eastAsia="en-AU"/>
              </w:rPr>
              <w:lastRenderedPageBreak/>
              <w:t xml:space="preserve">Induction </w:t>
            </w:r>
            <w:r w:rsidR="006D67CF" w:rsidRPr="006D67CF">
              <w:rPr>
                <w:rFonts w:asciiTheme="minorHAnsi" w:eastAsia="Times New Roman" w:hAnsiTheme="minorHAnsi" w:cs="Times New Roman"/>
                <w:b/>
                <w:color w:val="000000"/>
                <w:lang w:eastAsia="en-AU"/>
              </w:rPr>
              <w:t xml:space="preserve">Dose </w:t>
            </w:r>
            <w:r w:rsidRPr="006D67CF">
              <w:rPr>
                <w:rFonts w:asciiTheme="minorHAnsi" w:eastAsia="Times New Roman" w:hAnsiTheme="minorHAnsi" w:cs="Times New Roman"/>
                <w:b/>
                <w:color w:val="000000"/>
                <w:lang w:eastAsia="en-AU"/>
              </w:rPr>
              <w:t xml:space="preserve">–  </w:t>
            </w:r>
            <w:r w:rsidRPr="00CC3849">
              <w:rPr>
                <w:rFonts w:asciiTheme="minorHAnsi" w:eastAsia="Times New Roman" w:hAnsiTheme="minorHAnsi" w:cs="Times New Roman"/>
                <w:color w:val="000000"/>
                <w:lang w:eastAsia="en-AU"/>
              </w:rPr>
              <w:t>1.5g/kg in divided dose over 3 days</w:t>
            </w:r>
          </w:p>
          <w:p w:rsidR="00FA06EA" w:rsidRPr="006D67CF" w:rsidRDefault="00FA06EA" w:rsidP="00FA06EA">
            <w:pPr>
              <w:rPr>
                <w:rFonts w:asciiTheme="minorHAnsi" w:eastAsia="Times New Roman" w:hAnsiTheme="minorHAnsi" w:cs="Times New Roman"/>
                <w:b/>
                <w:color w:val="000000"/>
                <w:lang w:eastAsia="en-AU"/>
              </w:rPr>
            </w:pPr>
          </w:p>
          <w:p w:rsidR="00FA06EA" w:rsidRPr="006D67CF" w:rsidRDefault="00FA06EA" w:rsidP="00FA06EA">
            <w:pPr>
              <w:rPr>
                <w:rFonts w:asciiTheme="minorHAnsi" w:eastAsia="Times New Roman" w:hAnsiTheme="minorHAnsi" w:cs="Times New Roman"/>
                <w:b/>
                <w:color w:val="000000"/>
                <w:lang w:eastAsia="en-AU"/>
              </w:rPr>
            </w:pPr>
            <w:r w:rsidRPr="006D67CF">
              <w:rPr>
                <w:rFonts w:asciiTheme="minorHAnsi" w:eastAsia="Times New Roman" w:hAnsiTheme="minorHAnsi" w:cs="Times New Roman"/>
                <w:b/>
                <w:color w:val="000000"/>
                <w:lang w:eastAsia="en-AU"/>
              </w:rPr>
              <w:t xml:space="preserve">Maintenance </w:t>
            </w:r>
            <w:r w:rsidR="006D67CF" w:rsidRPr="006D67CF">
              <w:rPr>
                <w:rFonts w:asciiTheme="minorHAnsi" w:eastAsia="Times New Roman" w:hAnsiTheme="minorHAnsi" w:cs="Times New Roman"/>
                <w:b/>
                <w:color w:val="000000"/>
                <w:lang w:eastAsia="en-AU"/>
              </w:rPr>
              <w:t xml:space="preserve">Dose </w:t>
            </w:r>
            <w:r w:rsidRPr="006D67CF">
              <w:rPr>
                <w:rFonts w:asciiTheme="minorHAnsi" w:eastAsia="Times New Roman" w:hAnsiTheme="minorHAnsi" w:cs="Times New Roman"/>
                <w:b/>
                <w:color w:val="000000"/>
                <w:lang w:eastAsia="en-AU"/>
              </w:rPr>
              <w:t xml:space="preserve">– </w:t>
            </w:r>
            <w:r w:rsidRPr="00CC3849">
              <w:rPr>
                <w:rFonts w:asciiTheme="minorHAnsi" w:eastAsia="Times New Roman" w:hAnsiTheme="minorHAnsi" w:cs="Times New Roman"/>
                <w:color w:val="000000"/>
                <w:lang w:eastAsia="en-AU"/>
              </w:rPr>
              <w:t xml:space="preserve">0.4 to 1.5 g/kg in single or divided </w:t>
            </w:r>
            <w:r w:rsidRPr="00CC3849">
              <w:rPr>
                <w:rFonts w:asciiTheme="minorHAnsi" w:eastAsia="Times New Roman" w:hAnsiTheme="minorHAnsi" w:cs="Times New Roman"/>
                <w:color w:val="000000"/>
                <w:lang w:eastAsia="en-AU"/>
              </w:rPr>
              <w:lastRenderedPageBreak/>
              <w:t>doses monthly.</w:t>
            </w:r>
          </w:p>
          <w:p w:rsidR="00E76771" w:rsidRPr="00E76771" w:rsidRDefault="00FA06EA" w:rsidP="00E76771">
            <w:pPr>
              <w:spacing w:before="120" w:after="120"/>
              <w:rPr>
                <w:rFonts w:asciiTheme="minorHAnsi" w:hAnsiTheme="minorHAnsi"/>
              </w:rPr>
            </w:pPr>
            <w:r>
              <w:rPr>
                <w:rFonts w:asciiTheme="minorHAnsi" w:hAnsiTheme="minorHAnsi"/>
              </w:rPr>
              <w:t xml:space="preserve"> </w:t>
            </w:r>
            <w:r w:rsidR="00E76771" w:rsidRPr="00E76771">
              <w:rPr>
                <w:rFonts w:asciiTheme="minorHAnsi" w:hAnsiTheme="minorHAnsi"/>
              </w:rPr>
              <w:t>The aim should be to use the lowest dose possible that achieves the appropriate clinical outcome for each patient.</w:t>
            </w:r>
          </w:p>
          <w:p w:rsidR="00E76771" w:rsidRPr="00E76771" w:rsidRDefault="00E76771" w:rsidP="00E76771">
            <w:pPr>
              <w:spacing w:before="120" w:after="120"/>
              <w:rPr>
                <w:rFonts w:asciiTheme="minorHAnsi" w:hAnsiTheme="minorHAnsi"/>
              </w:rPr>
            </w:pPr>
          </w:p>
          <w:p w:rsidR="00021243" w:rsidRPr="00447869" w:rsidRDefault="00E76771" w:rsidP="00E76771">
            <w:pPr>
              <w:spacing w:before="120" w:after="120"/>
              <w:rPr>
                <w:rFonts w:asciiTheme="minorHAnsi" w:hAnsiTheme="minorHAnsi"/>
              </w:rPr>
            </w:pPr>
            <w:r w:rsidRPr="00E76771">
              <w:rPr>
                <w:rFonts w:asciiTheme="minorHAnsi" w:hAnsiTheme="minorHAnsi"/>
              </w:rPr>
              <w:t>Refer to the current product information sheet for further information on dose, administration and contraindications</w:t>
            </w:r>
            <w:r w:rsidR="00736906">
              <w:rPr>
                <w:rFonts w:asciiTheme="minorHAnsi" w:hAnsiTheme="minorHAnsi"/>
              </w:rPr>
              <w:t>.</w:t>
            </w:r>
          </w:p>
        </w:tc>
        <w:tc>
          <w:tcPr>
            <w:tcW w:w="5528" w:type="dxa"/>
          </w:tcPr>
          <w:p w:rsidR="00021243" w:rsidRPr="00C92149" w:rsidRDefault="006D67CF" w:rsidP="00880ECB">
            <w:pPr>
              <w:spacing w:before="120" w:after="120"/>
              <w:rPr>
                <w:rFonts w:asciiTheme="minorHAnsi" w:hAnsiTheme="minorHAnsi"/>
                <w:szCs w:val="20"/>
              </w:rPr>
            </w:pPr>
            <w:r w:rsidRPr="006D67CF">
              <w:rPr>
                <w:rFonts w:asciiTheme="minorHAnsi" w:hAnsiTheme="minorHAnsi"/>
                <w:szCs w:val="20"/>
              </w:rPr>
              <w:lastRenderedPageBreak/>
              <w:t>Induction and maintenance doses have been defined</w:t>
            </w: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071B48">
            <w:pPr>
              <w:spacing w:before="120" w:after="120"/>
              <w:jc w:val="center"/>
              <w:rPr>
                <w:rFonts w:asciiTheme="minorHAnsi" w:hAnsiTheme="minorHAnsi"/>
                <w:b/>
              </w:rPr>
            </w:pPr>
            <w:r>
              <w:rPr>
                <w:rFonts w:asciiTheme="minorHAnsi" w:hAnsiTheme="minorHAnsi"/>
                <w:b/>
              </w:rPr>
              <w:t>(</w:t>
            </w:r>
            <w:r w:rsidR="00071B48">
              <w:rPr>
                <w:rFonts w:asciiTheme="minorHAnsi" w:hAnsiTheme="minorHAnsi"/>
                <w:b/>
              </w:rPr>
              <w:t xml:space="preserve">most </w:t>
            </w:r>
            <w:r>
              <w:rPr>
                <w:rFonts w:asciiTheme="minorHAnsi" w:hAnsiTheme="minorHAnsi"/>
                <w:b/>
              </w:rPr>
              <w:t>recent update</w:t>
            </w:r>
            <w:r w:rsidR="00071B48">
              <w:rPr>
                <w:rFonts w:asciiTheme="minorHAnsi" w:hAnsiTheme="minorHAnsi"/>
                <w:b/>
              </w:rPr>
              <w:t>:</w:t>
            </w:r>
            <w:r>
              <w:rPr>
                <w:rFonts w:asciiTheme="minorHAnsi" w:hAnsiTheme="minorHAnsi"/>
                <w:b/>
              </w:rPr>
              <w:t xml:space="preserve"> </w:t>
            </w:r>
            <w:r w:rsidR="00071B48">
              <w:rPr>
                <w:rFonts w:asciiTheme="minorHAnsi" w:hAnsiTheme="minorHAnsi"/>
                <w:b/>
              </w:rPr>
              <w:t xml:space="preserve">Month </w:t>
            </w:r>
            <w:r w:rsidR="008515FF">
              <w:rPr>
                <w:rFonts w:asciiTheme="minorHAnsi" w:hAnsiTheme="minorHAnsi"/>
                <w:b/>
              </w:rPr>
              <w:t>YYYY</w:t>
            </w:r>
            <w:r>
              <w:rPr>
                <w:rFonts w:asciiTheme="minorHAnsi" w:hAnsiTheme="minorHAnsi"/>
                <w:b/>
              </w:rPr>
              <w:t>)</w:t>
            </w:r>
          </w:p>
        </w:tc>
      </w:tr>
      <w:tr w:rsidR="008612AB" w:rsidRPr="00255740" w:rsidTr="008612AB">
        <w:tc>
          <w:tcPr>
            <w:tcW w:w="14601" w:type="dxa"/>
          </w:tcPr>
          <w:p w:rsidR="00FA06EA" w:rsidRDefault="00AC3451" w:rsidP="00FA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lang w:eastAsia="en-AU"/>
              </w:rPr>
            </w:pPr>
            <w:r>
              <w:rPr>
                <w:rFonts w:asciiTheme="minorHAnsi" w:eastAsia="Times New Roman" w:hAnsiTheme="minorHAnsi" w:cs="Courier New"/>
                <w:lang w:eastAsia="en-AU"/>
              </w:rPr>
              <w:t>Castiblanco C and Foster</w:t>
            </w:r>
            <w:r w:rsidR="00FA06EA">
              <w:rPr>
                <w:rFonts w:asciiTheme="minorHAnsi" w:eastAsia="Times New Roman" w:hAnsiTheme="minorHAnsi" w:cs="Courier New"/>
                <w:lang w:eastAsia="en-AU"/>
              </w:rPr>
              <w:t xml:space="preserve"> CS, </w:t>
            </w:r>
            <w:r>
              <w:rPr>
                <w:rFonts w:asciiTheme="minorHAnsi" w:eastAsia="Times New Roman" w:hAnsiTheme="minorHAnsi" w:cs="Courier New"/>
                <w:lang w:eastAsia="en-AU"/>
              </w:rPr>
              <w:t>(</w:t>
            </w:r>
            <w:r w:rsidR="00FA06EA">
              <w:rPr>
                <w:rFonts w:asciiTheme="minorHAnsi" w:eastAsia="Times New Roman" w:hAnsiTheme="minorHAnsi" w:cs="Courier New"/>
                <w:lang w:eastAsia="en-AU"/>
              </w:rPr>
              <w:t>2014</w:t>
            </w:r>
            <w:r>
              <w:rPr>
                <w:rFonts w:asciiTheme="minorHAnsi" w:eastAsia="Times New Roman" w:hAnsiTheme="minorHAnsi" w:cs="Courier New"/>
                <w:lang w:eastAsia="en-AU"/>
              </w:rPr>
              <w:t xml:space="preserve">) </w:t>
            </w:r>
            <w:r w:rsidR="00FA06EA">
              <w:rPr>
                <w:rFonts w:asciiTheme="minorHAnsi" w:eastAsia="Times New Roman" w:hAnsiTheme="minorHAnsi" w:cs="Courier New"/>
                <w:lang w:eastAsia="en-AU"/>
              </w:rPr>
              <w:t>Review of Systemic Immunosuppr</w:t>
            </w:r>
            <w:r>
              <w:rPr>
                <w:rFonts w:asciiTheme="minorHAnsi" w:eastAsia="Times New Roman" w:hAnsiTheme="minorHAnsi" w:cs="Courier New"/>
                <w:lang w:eastAsia="en-AU"/>
              </w:rPr>
              <w:t xml:space="preserve">ession for Autoimmune Uveitis. </w:t>
            </w:r>
            <w:r w:rsidR="00FA06EA" w:rsidRPr="00340ACD">
              <w:rPr>
                <w:rFonts w:asciiTheme="minorHAnsi" w:eastAsia="Times New Roman" w:hAnsiTheme="minorHAnsi" w:cs="Courier New"/>
                <w:i/>
                <w:lang w:eastAsia="en-AU"/>
              </w:rPr>
              <w:t>Opthammol Ther</w:t>
            </w:r>
            <w:r>
              <w:rPr>
                <w:rFonts w:asciiTheme="minorHAnsi" w:eastAsia="Times New Roman" w:hAnsiTheme="minorHAnsi" w:cs="Courier New"/>
                <w:lang w:eastAsia="en-AU"/>
              </w:rPr>
              <w:t>, 3:</w:t>
            </w:r>
            <w:r w:rsidR="00FA06EA">
              <w:rPr>
                <w:rFonts w:asciiTheme="minorHAnsi" w:eastAsia="Times New Roman" w:hAnsiTheme="minorHAnsi" w:cs="Courier New"/>
                <w:lang w:eastAsia="en-AU"/>
              </w:rPr>
              <w:t>17-36.</w:t>
            </w:r>
          </w:p>
          <w:p w:rsidR="00AC3451" w:rsidRDefault="006855B5" w:rsidP="00FA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lang w:eastAsia="en-AU"/>
              </w:rPr>
            </w:pPr>
            <w:hyperlink r:id="rId13" w:history="1">
              <w:r w:rsidR="00AC3451" w:rsidRPr="00AC3451">
                <w:rPr>
                  <w:rStyle w:val="Hyperlink"/>
                  <w:rFonts w:asciiTheme="minorHAnsi" w:eastAsia="Times New Roman" w:hAnsiTheme="minorHAnsi" w:cs="Courier New"/>
                  <w:color w:val="808080" w:themeColor="background1" w:themeShade="80"/>
                  <w:lang w:eastAsia="en-AU"/>
                </w:rPr>
                <w:t>https://www.ncbi.nlm.nih.gov/pmc/articles/PMC4254861/</w:t>
              </w:r>
            </w:hyperlink>
          </w:p>
          <w:p w:rsidR="00FA06EA" w:rsidRDefault="00FA06EA" w:rsidP="00FA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lang w:eastAsia="en-AU"/>
              </w:rPr>
            </w:pPr>
          </w:p>
          <w:p w:rsidR="00FA06EA" w:rsidRDefault="00FA06EA" w:rsidP="00FA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lang w:eastAsia="en-AU"/>
              </w:rPr>
            </w:pPr>
            <w:r w:rsidRPr="00340ACD">
              <w:rPr>
                <w:rFonts w:asciiTheme="minorHAnsi" w:eastAsia="Times New Roman" w:hAnsiTheme="minorHAnsi" w:cs="Courier New"/>
                <w:lang w:eastAsia="en-AU"/>
              </w:rPr>
              <w:t>Garcia-Geremia</w:t>
            </w:r>
            <w:r w:rsidR="00AC3451">
              <w:rPr>
                <w:rFonts w:asciiTheme="minorHAnsi" w:eastAsia="Times New Roman" w:hAnsiTheme="minorHAnsi" w:cs="Courier New"/>
                <w:lang w:eastAsia="en-AU"/>
              </w:rPr>
              <w:t>s M, Carreño E, Epps SJ, Lee RW and Dick AD (</w:t>
            </w:r>
            <w:r w:rsidRPr="009A761C">
              <w:rPr>
                <w:rFonts w:asciiTheme="minorHAnsi" w:eastAsia="Times New Roman" w:hAnsiTheme="minorHAnsi" w:cs="Courier New"/>
                <w:lang w:eastAsia="en-AU"/>
              </w:rPr>
              <w:t>2015</w:t>
            </w:r>
            <w:r w:rsidR="00AC3451">
              <w:rPr>
                <w:rFonts w:asciiTheme="minorHAnsi" w:eastAsia="Times New Roman" w:hAnsiTheme="minorHAnsi" w:cs="Courier New"/>
                <w:lang w:eastAsia="en-AU"/>
              </w:rPr>
              <w:t xml:space="preserve">) </w:t>
            </w:r>
            <w:r w:rsidRPr="00340ACD">
              <w:rPr>
                <w:rFonts w:asciiTheme="minorHAnsi" w:eastAsia="Times New Roman" w:hAnsiTheme="minorHAnsi" w:cs="Courier New"/>
                <w:lang w:eastAsia="en-AU"/>
              </w:rPr>
              <w:t xml:space="preserve">Clinical outcomes of intravenous immunoglobulin therapy in refractory uveitis. </w:t>
            </w:r>
            <w:r w:rsidRPr="00340ACD">
              <w:rPr>
                <w:rFonts w:asciiTheme="minorHAnsi" w:eastAsia="Times New Roman" w:hAnsiTheme="minorHAnsi" w:cs="Courier New"/>
                <w:i/>
                <w:lang w:eastAsia="en-AU"/>
              </w:rPr>
              <w:t>Int Ophthalmol.</w:t>
            </w:r>
            <w:r w:rsidRPr="00340ACD">
              <w:rPr>
                <w:rFonts w:asciiTheme="minorHAnsi" w:eastAsia="Times New Roman" w:hAnsiTheme="minorHAnsi" w:cs="Courier New"/>
                <w:lang w:eastAsia="en-AU"/>
              </w:rPr>
              <w:t>; 35:281-5.</w:t>
            </w:r>
          </w:p>
          <w:p w:rsidR="00AC3451" w:rsidRDefault="006855B5" w:rsidP="00FA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lang w:eastAsia="en-AU"/>
              </w:rPr>
            </w:pPr>
            <w:hyperlink r:id="rId14" w:history="1">
              <w:r w:rsidR="00AC3451" w:rsidRPr="00AC3451">
                <w:rPr>
                  <w:rStyle w:val="Hyperlink"/>
                  <w:rFonts w:asciiTheme="minorHAnsi" w:eastAsia="Times New Roman" w:hAnsiTheme="minorHAnsi" w:cs="Courier New"/>
                  <w:color w:val="808080" w:themeColor="background1" w:themeShade="80"/>
                  <w:lang w:eastAsia="en-AU"/>
                </w:rPr>
                <w:t>https://www.ncbi.nlm.nih.gov/pubmed/25708281</w:t>
              </w:r>
            </w:hyperlink>
          </w:p>
          <w:p w:rsidR="00AC3451" w:rsidRDefault="00AC3451" w:rsidP="00FA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lang w:eastAsia="en-AU"/>
              </w:rPr>
            </w:pPr>
          </w:p>
          <w:p w:rsidR="00C23675" w:rsidRDefault="00AC3451" w:rsidP="00C23675">
            <w:pPr>
              <w:spacing w:before="120" w:after="120"/>
              <w:rPr>
                <w:rFonts w:asciiTheme="minorHAnsi" w:hAnsiTheme="minorHAnsi"/>
              </w:rPr>
            </w:pPr>
            <w:r>
              <w:rPr>
                <w:rFonts w:asciiTheme="minorHAnsi" w:hAnsiTheme="minorHAnsi"/>
              </w:rPr>
              <w:t>Lim LL, Suhler EB and Smith</w:t>
            </w:r>
            <w:r w:rsidR="00C23675" w:rsidRPr="00C23675">
              <w:rPr>
                <w:rFonts w:asciiTheme="minorHAnsi" w:hAnsiTheme="minorHAnsi"/>
              </w:rPr>
              <w:t xml:space="preserve"> JR </w:t>
            </w:r>
            <w:r>
              <w:rPr>
                <w:rFonts w:asciiTheme="minorHAnsi" w:hAnsiTheme="minorHAnsi"/>
              </w:rPr>
              <w:t>(</w:t>
            </w:r>
            <w:r w:rsidR="00C23675" w:rsidRPr="00C23675">
              <w:rPr>
                <w:rFonts w:asciiTheme="minorHAnsi" w:hAnsiTheme="minorHAnsi"/>
              </w:rPr>
              <w:t>2006</w:t>
            </w:r>
            <w:r>
              <w:rPr>
                <w:rFonts w:asciiTheme="minorHAnsi" w:hAnsiTheme="minorHAnsi"/>
              </w:rPr>
              <w:t xml:space="preserve">) </w:t>
            </w:r>
            <w:r w:rsidR="00C23675" w:rsidRPr="00C23675">
              <w:rPr>
                <w:rFonts w:asciiTheme="minorHAnsi" w:hAnsiTheme="minorHAnsi"/>
              </w:rPr>
              <w:t>Biologic therapie</w:t>
            </w:r>
            <w:r>
              <w:rPr>
                <w:rFonts w:asciiTheme="minorHAnsi" w:hAnsiTheme="minorHAnsi"/>
              </w:rPr>
              <w:t xml:space="preserve">s for inflammatory eye disease. </w:t>
            </w:r>
            <w:r w:rsidR="00C23675" w:rsidRPr="00C23675">
              <w:rPr>
                <w:rFonts w:asciiTheme="minorHAnsi" w:hAnsiTheme="minorHAnsi"/>
              </w:rPr>
              <w:t xml:space="preserve"> </w:t>
            </w:r>
            <w:r w:rsidR="00C23675" w:rsidRPr="00AC3451">
              <w:rPr>
                <w:rFonts w:asciiTheme="minorHAnsi" w:hAnsiTheme="minorHAnsi"/>
                <w:i/>
              </w:rPr>
              <w:t>Clinical and Experimental Ophthalmology</w:t>
            </w:r>
            <w:r w:rsidR="00C23675" w:rsidRPr="00C23675">
              <w:rPr>
                <w:rFonts w:asciiTheme="minorHAnsi" w:hAnsiTheme="minorHAnsi"/>
              </w:rPr>
              <w:t>, 34</w:t>
            </w:r>
            <w:r>
              <w:rPr>
                <w:rFonts w:asciiTheme="minorHAnsi" w:hAnsiTheme="minorHAnsi"/>
              </w:rPr>
              <w:t>:</w:t>
            </w:r>
            <w:r w:rsidR="00C23675" w:rsidRPr="00C23675">
              <w:rPr>
                <w:rFonts w:asciiTheme="minorHAnsi" w:hAnsiTheme="minorHAnsi"/>
              </w:rPr>
              <w:t xml:space="preserve"> 365–74.</w:t>
            </w:r>
          </w:p>
          <w:p w:rsidR="00AC3451" w:rsidRDefault="006855B5" w:rsidP="00C23675">
            <w:pPr>
              <w:spacing w:before="120" w:after="120"/>
              <w:rPr>
                <w:rFonts w:asciiTheme="minorHAnsi" w:hAnsiTheme="minorHAnsi"/>
                <w:color w:val="808080" w:themeColor="background1" w:themeShade="80"/>
              </w:rPr>
            </w:pPr>
            <w:hyperlink r:id="rId15" w:history="1">
              <w:r w:rsidR="00AC3451" w:rsidRPr="00AC3451">
                <w:rPr>
                  <w:rStyle w:val="Hyperlink"/>
                  <w:rFonts w:asciiTheme="minorHAnsi" w:hAnsiTheme="minorHAnsi"/>
                  <w:color w:val="808080" w:themeColor="background1" w:themeShade="80"/>
                </w:rPr>
                <w:t>https://www.ncbi.nlm.nih.gov/pubmed/16764659</w:t>
              </w:r>
            </w:hyperlink>
          </w:p>
          <w:p w:rsidR="00AC3451" w:rsidRDefault="00AC3451" w:rsidP="00AC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lang w:eastAsia="en-AU"/>
              </w:rPr>
            </w:pPr>
            <w:r>
              <w:rPr>
                <w:rFonts w:asciiTheme="minorHAnsi" w:eastAsia="Times New Roman" w:hAnsiTheme="minorHAnsi" w:cs="Courier New"/>
                <w:lang w:eastAsia="en-AU"/>
              </w:rPr>
              <w:t>Onal S, Foster CS, and Ahmed AR (2006)</w:t>
            </w:r>
            <w:r w:rsidRPr="00340ACD">
              <w:rPr>
                <w:rFonts w:asciiTheme="minorHAnsi" w:eastAsia="Times New Roman" w:hAnsiTheme="minorHAnsi" w:cs="Courier New"/>
                <w:lang w:eastAsia="en-AU"/>
              </w:rPr>
              <w:t xml:space="preserve"> Efficacy of intravenous immunoglobulin treatment in refractory uveitis. </w:t>
            </w:r>
            <w:r>
              <w:rPr>
                <w:rFonts w:asciiTheme="minorHAnsi" w:eastAsia="Times New Roman" w:hAnsiTheme="minorHAnsi" w:cs="Courier New"/>
                <w:i/>
                <w:lang w:eastAsia="en-AU"/>
              </w:rPr>
              <w:t xml:space="preserve">Ocul Immunol Inflamm, </w:t>
            </w:r>
            <w:r w:rsidRPr="00340ACD">
              <w:rPr>
                <w:rFonts w:asciiTheme="minorHAnsi" w:eastAsia="Times New Roman" w:hAnsiTheme="minorHAnsi" w:cs="Courier New"/>
                <w:lang w:eastAsia="en-AU"/>
              </w:rPr>
              <w:t>14:367-74.</w:t>
            </w:r>
          </w:p>
          <w:p w:rsidR="00AC3451" w:rsidRPr="00AC3451" w:rsidRDefault="006855B5" w:rsidP="00AC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808080" w:themeColor="background1" w:themeShade="80"/>
                <w:lang w:eastAsia="en-AU"/>
              </w:rPr>
            </w:pPr>
            <w:hyperlink r:id="rId16" w:history="1">
              <w:r w:rsidR="00AC3451" w:rsidRPr="00AC3451">
                <w:rPr>
                  <w:rStyle w:val="Hyperlink"/>
                  <w:rFonts w:asciiTheme="minorHAnsi" w:eastAsia="Times New Roman" w:hAnsiTheme="minorHAnsi" w:cs="Courier New"/>
                  <w:color w:val="808080" w:themeColor="background1" w:themeShade="80"/>
                  <w:lang w:eastAsia="en-AU"/>
                </w:rPr>
                <w:t>https://www.ncbi.nlm.nih.gov/pubmed/17162608</w:t>
              </w:r>
            </w:hyperlink>
          </w:p>
          <w:p w:rsidR="00AC3451" w:rsidRDefault="00AC3451" w:rsidP="00AC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lang w:eastAsia="en-AU"/>
              </w:rPr>
            </w:pPr>
          </w:p>
          <w:p w:rsidR="00AC3451" w:rsidRPr="00AC3451" w:rsidRDefault="00AC3451" w:rsidP="00AC3451">
            <w:pPr>
              <w:spacing w:after="225" w:line="360" w:lineRule="atLeast"/>
              <w:rPr>
                <w:rFonts w:asciiTheme="minorHAnsi" w:hAnsiTheme="minorHAnsi"/>
              </w:rPr>
            </w:pPr>
            <w:r w:rsidRPr="002A1261">
              <w:rPr>
                <w:rFonts w:asciiTheme="minorHAnsi" w:hAnsiTheme="minorHAnsi"/>
              </w:rPr>
              <w:t>Ontario Regional Blood Coordinating Network (2016). Ontario Intravenous Immune Globulin (</w:t>
            </w:r>
            <w:r w:rsidR="00736906">
              <w:rPr>
                <w:rFonts w:asciiTheme="minorHAnsi" w:hAnsiTheme="minorHAnsi"/>
              </w:rPr>
              <w:t>IVIG</w:t>
            </w:r>
            <w:r w:rsidRPr="002A1261">
              <w:rPr>
                <w:rFonts w:asciiTheme="minorHAnsi" w:hAnsiTheme="minorHAnsi"/>
              </w:rPr>
              <w:t xml:space="preserve">) Utilization Management Guidelines, Version 3.0. [online]. Available at: </w:t>
            </w:r>
            <w:r w:rsidRPr="00AC3451">
              <w:rPr>
                <w:rFonts w:asciiTheme="minorHAnsi" w:hAnsiTheme="minorHAnsi"/>
                <w:color w:val="808080" w:themeColor="background1" w:themeShade="80"/>
              </w:rPr>
              <w:t>http://transfusionontario.org/en/download/ontario-intravenous-immune-globulin-</w:t>
            </w:r>
            <w:r w:rsidR="00736906">
              <w:rPr>
                <w:rFonts w:asciiTheme="minorHAnsi" w:hAnsiTheme="minorHAnsi"/>
                <w:color w:val="808080" w:themeColor="background1" w:themeShade="80"/>
              </w:rPr>
              <w:t>IVIg</w:t>
            </w:r>
            <w:r w:rsidRPr="00AC3451">
              <w:rPr>
                <w:rFonts w:asciiTheme="minorHAnsi" w:hAnsiTheme="minorHAnsi"/>
                <w:color w:val="808080" w:themeColor="background1" w:themeShade="80"/>
              </w:rPr>
              <w:t>-utilization-management-guidelines-2/.</w:t>
            </w:r>
          </w:p>
          <w:p w:rsidR="00C23675" w:rsidRDefault="00AC3451" w:rsidP="00C23675">
            <w:pPr>
              <w:spacing w:before="120" w:after="120"/>
              <w:rPr>
                <w:rFonts w:asciiTheme="minorHAnsi" w:hAnsiTheme="minorHAnsi"/>
              </w:rPr>
            </w:pPr>
            <w:r>
              <w:rPr>
                <w:rFonts w:asciiTheme="minorHAnsi" w:hAnsiTheme="minorHAnsi"/>
              </w:rPr>
              <w:t>Orange JS, Hossny EM, Weiler</w:t>
            </w:r>
            <w:r w:rsidR="00C23675" w:rsidRPr="00C23675">
              <w:rPr>
                <w:rFonts w:asciiTheme="minorHAnsi" w:hAnsiTheme="minorHAnsi"/>
              </w:rPr>
              <w:t xml:space="preserve"> CR, et al </w:t>
            </w:r>
            <w:r>
              <w:rPr>
                <w:rFonts w:asciiTheme="minorHAnsi" w:hAnsiTheme="minorHAnsi"/>
              </w:rPr>
              <w:t>(</w:t>
            </w:r>
            <w:r w:rsidR="00C23675" w:rsidRPr="00C23675">
              <w:rPr>
                <w:rFonts w:asciiTheme="minorHAnsi" w:hAnsiTheme="minorHAnsi"/>
              </w:rPr>
              <w:t>2006</w:t>
            </w:r>
            <w:r>
              <w:rPr>
                <w:rFonts w:asciiTheme="minorHAnsi" w:hAnsiTheme="minorHAnsi"/>
              </w:rPr>
              <w:t xml:space="preserve">) </w:t>
            </w:r>
            <w:r w:rsidR="00C23675" w:rsidRPr="00C23675">
              <w:rPr>
                <w:rFonts w:asciiTheme="minorHAnsi" w:hAnsiTheme="minorHAnsi"/>
              </w:rPr>
              <w:t>Use of intravenous immunoglobulin in human disease: a review of evidence by members of the Primary Immunodeficiency Committee of the American Academy of A</w:t>
            </w:r>
            <w:r>
              <w:rPr>
                <w:rFonts w:asciiTheme="minorHAnsi" w:hAnsiTheme="minorHAnsi"/>
              </w:rPr>
              <w:t xml:space="preserve">llergy, Asthma and Immunology. </w:t>
            </w:r>
            <w:r w:rsidR="00C23675" w:rsidRPr="00AC3451">
              <w:rPr>
                <w:rFonts w:asciiTheme="minorHAnsi" w:hAnsiTheme="minorHAnsi"/>
                <w:i/>
              </w:rPr>
              <w:t>Journal of Allergy and Clinical Immunology</w:t>
            </w:r>
            <w:r w:rsidR="00C23675" w:rsidRPr="00C23675">
              <w:rPr>
                <w:rFonts w:asciiTheme="minorHAnsi" w:hAnsiTheme="minorHAnsi"/>
              </w:rPr>
              <w:t>, 117</w:t>
            </w:r>
            <w:r>
              <w:rPr>
                <w:rFonts w:asciiTheme="minorHAnsi" w:hAnsiTheme="minorHAnsi"/>
              </w:rPr>
              <w:t>(</w:t>
            </w:r>
            <w:r w:rsidR="00C23675" w:rsidRPr="00C23675">
              <w:rPr>
                <w:rFonts w:asciiTheme="minorHAnsi" w:hAnsiTheme="minorHAnsi"/>
              </w:rPr>
              <w:t>4</w:t>
            </w:r>
            <w:r>
              <w:rPr>
                <w:rFonts w:asciiTheme="minorHAnsi" w:hAnsiTheme="minorHAnsi"/>
              </w:rPr>
              <w:t>):</w:t>
            </w:r>
            <w:r w:rsidR="00C23675" w:rsidRPr="00C23675">
              <w:rPr>
                <w:rFonts w:asciiTheme="minorHAnsi" w:hAnsiTheme="minorHAnsi"/>
              </w:rPr>
              <w:t>S525–53.</w:t>
            </w:r>
          </w:p>
          <w:p w:rsidR="00AC3451" w:rsidRPr="00AC3451" w:rsidRDefault="006855B5" w:rsidP="00C23675">
            <w:pPr>
              <w:spacing w:before="120" w:after="120"/>
              <w:rPr>
                <w:rFonts w:asciiTheme="minorHAnsi" w:hAnsiTheme="minorHAnsi"/>
                <w:color w:val="808080" w:themeColor="background1" w:themeShade="80"/>
              </w:rPr>
            </w:pPr>
            <w:hyperlink r:id="rId17" w:history="1">
              <w:r w:rsidR="00AC3451" w:rsidRPr="00AC3451">
                <w:rPr>
                  <w:rStyle w:val="Hyperlink"/>
                  <w:rFonts w:asciiTheme="minorHAnsi" w:hAnsiTheme="minorHAnsi"/>
                  <w:color w:val="808080" w:themeColor="background1" w:themeShade="80"/>
                </w:rPr>
                <w:t>https://www.ncbi.nlm.nih.gov/pubmed/16580469</w:t>
              </w:r>
            </w:hyperlink>
          </w:p>
          <w:p w:rsidR="00AC3451" w:rsidRDefault="00AC3451" w:rsidP="00AC3451">
            <w:pPr>
              <w:spacing w:after="225" w:line="36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Pato, E, Munoz-Fernadez, S et al on behalf of Uveitis Working Group of the Spanish Society of Rheumatology (2011) Systematic Review of the effectiveness of Immunosuppressants and Biological therapies on the treatment of Autoimmune Posterior Uveitis. </w:t>
            </w:r>
            <w:r>
              <w:rPr>
                <w:rFonts w:asciiTheme="minorHAnsi" w:eastAsia="Times New Roman" w:hAnsiTheme="minorHAnsi" w:cs="Times New Roman"/>
                <w:i/>
                <w:color w:val="000000"/>
                <w:lang w:eastAsia="en-AU"/>
              </w:rPr>
              <w:t>Seminars in Rheumatology and Arthritis, 40:</w:t>
            </w:r>
            <w:r>
              <w:rPr>
                <w:rFonts w:asciiTheme="minorHAnsi" w:eastAsia="Times New Roman" w:hAnsiTheme="minorHAnsi" w:cs="Times New Roman"/>
                <w:color w:val="000000"/>
                <w:lang w:eastAsia="en-AU"/>
              </w:rPr>
              <w:t>314-23.</w:t>
            </w:r>
          </w:p>
          <w:p w:rsidR="00AC3451" w:rsidRPr="00AC3451" w:rsidRDefault="006855B5" w:rsidP="00AC3451">
            <w:pPr>
              <w:spacing w:after="225" w:line="360" w:lineRule="atLeast"/>
              <w:rPr>
                <w:rFonts w:asciiTheme="minorHAnsi" w:eastAsia="Times New Roman" w:hAnsiTheme="minorHAnsi" w:cs="Times New Roman"/>
                <w:color w:val="808080" w:themeColor="background1" w:themeShade="80"/>
                <w:lang w:eastAsia="en-AU"/>
              </w:rPr>
            </w:pPr>
            <w:hyperlink r:id="rId18" w:history="1">
              <w:r w:rsidR="00AC3451" w:rsidRPr="00AC3451">
                <w:rPr>
                  <w:rStyle w:val="Hyperlink"/>
                  <w:rFonts w:asciiTheme="minorHAnsi" w:eastAsia="Times New Roman" w:hAnsiTheme="minorHAnsi" w:cs="Times New Roman"/>
                  <w:color w:val="808080" w:themeColor="background1" w:themeShade="80"/>
                  <w:lang w:eastAsia="en-AU"/>
                </w:rPr>
                <w:t>https://www.ncbi.nlm.nih.gov/pubmed/20656330</w:t>
              </w:r>
            </w:hyperlink>
          </w:p>
          <w:p w:rsidR="00901F76" w:rsidRDefault="00AC3451" w:rsidP="00C23675">
            <w:pPr>
              <w:spacing w:before="120" w:after="120"/>
              <w:rPr>
                <w:rFonts w:asciiTheme="minorHAnsi" w:hAnsiTheme="minorHAnsi"/>
              </w:rPr>
            </w:pPr>
            <w:r>
              <w:rPr>
                <w:rFonts w:asciiTheme="minorHAnsi" w:hAnsiTheme="minorHAnsi"/>
              </w:rPr>
              <w:t>Rosenbaum JT, Georg RK and Gordon</w:t>
            </w:r>
            <w:r w:rsidR="00C23675" w:rsidRPr="00C23675">
              <w:rPr>
                <w:rFonts w:asciiTheme="minorHAnsi" w:hAnsiTheme="minorHAnsi"/>
              </w:rPr>
              <w:t xml:space="preserve"> C </w:t>
            </w:r>
            <w:r>
              <w:rPr>
                <w:rFonts w:asciiTheme="minorHAnsi" w:hAnsiTheme="minorHAnsi"/>
              </w:rPr>
              <w:t>(</w:t>
            </w:r>
            <w:r w:rsidR="00C23675" w:rsidRPr="00C23675">
              <w:rPr>
                <w:rFonts w:asciiTheme="minorHAnsi" w:hAnsiTheme="minorHAnsi"/>
              </w:rPr>
              <w:t>1999</w:t>
            </w:r>
            <w:r>
              <w:rPr>
                <w:rFonts w:asciiTheme="minorHAnsi" w:hAnsiTheme="minorHAnsi"/>
              </w:rPr>
              <w:t xml:space="preserve">) </w:t>
            </w:r>
            <w:r w:rsidR="00C23675" w:rsidRPr="00C23675">
              <w:rPr>
                <w:rFonts w:asciiTheme="minorHAnsi" w:hAnsiTheme="minorHAnsi"/>
              </w:rPr>
              <w:t>The treatment of refractory uveitis w</w:t>
            </w:r>
            <w:r>
              <w:rPr>
                <w:rFonts w:asciiTheme="minorHAnsi" w:hAnsiTheme="minorHAnsi"/>
              </w:rPr>
              <w:t xml:space="preserve">ith intravenous immunoglobulin. </w:t>
            </w:r>
            <w:r w:rsidR="00C23675" w:rsidRPr="00C23675">
              <w:rPr>
                <w:rFonts w:asciiTheme="minorHAnsi" w:hAnsiTheme="minorHAnsi"/>
              </w:rPr>
              <w:t xml:space="preserve"> </w:t>
            </w:r>
            <w:r w:rsidR="00C23675" w:rsidRPr="00AC3451">
              <w:rPr>
                <w:rFonts w:asciiTheme="minorHAnsi" w:hAnsiTheme="minorHAnsi"/>
                <w:i/>
              </w:rPr>
              <w:t>American Journal of Ophthalmology</w:t>
            </w:r>
            <w:r w:rsidR="00C23675" w:rsidRPr="00C23675">
              <w:rPr>
                <w:rFonts w:asciiTheme="minorHAnsi" w:hAnsiTheme="minorHAnsi"/>
              </w:rPr>
              <w:t xml:space="preserve">, </w:t>
            </w:r>
            <w:r>
              <w:rPr>
                <w:rFonts w:asciiTheme="minorHAnsi" w:hAnsiTheme="minorHAnsi"/>
              </w:rPr>
              <w:t>127(</w:t>
            </w:r>
            <w:r w:rsidR="00C23675" w:rsidRPr="00C23675">
              <w:rPr>
                <w:rFonts w:asciiTheme="minorHAnsi" w:hAnsiTheme="minorHAnsi"/>
              </w:rPr>
              <w:t>5</w:t>
            </w:r>
            <w:r>
              <w:rPr>
                <w:rFonts w:asciiTheme="minorHAnsi" w:hAnsiTheme="minorHAnsi"/>
              </w:rPr>
              <w:t>):</w:t>
            </w:r>
            <w:r w:rsidR="00C23675" w:rsidRPr="00C23675">
              <w:rPr>
                <w:rFonts w:asciiTheme="minorHAnsi" w:hAnsiTheme="minorHAnsi"/>
              </w:rPr>
              <w:t>545–9.</w:t>
            </w:r>
          </w:p>
          <w:p w:rsidR="00AC3451" w:rsidRPr="00AC3451" w:rsidRDefault="006855B5" w:rsidP="00C23675">
            <w:pPr>
              <w:spacing w:before="120" w:after="120"/>
              <w:rPr>
                <w:rFonts w:asciiTheme="minorHAnsi" w:hAnsiTheme="minorHAnsi"/>
                <w:color w:val="808080" w:themeColor="background1" w:themeShade="80"/>
              </w:rPr>
            </w:pPr>
            <w:hyperlink r:id="rId19" w:history="1">
              <w:r w:rsidR="00AC3451" w:rsidRPr="00AC3451">
                <w:rPr>
                  <w:rStyle w:val="Hyperlink"/>
                  <w:rFonts w:asciiTheme="minorHAnsi" w:hAnsiTheme="minorHAnsi"/>
                  <w:color w:val="808080" w:themeColor="background1" w:themeShade="80"/>
                </w:rPr>
                <w:t>https://www.ncbi.nlm.nih.gov/pubmed/10334347</w:t>
              </w:r>
            </w:hyperlink>
          </w:p>
          <w:p w:rsidR="00FE6E37" w:rsidRPr="005564A7" w:rsidRDefault="00FE6E37" w:rsidP="00FE6E37">
            <w:pPr>
              <w:spacing w:before="120" w:after="120"/>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Available at: </w:t>
            </w:r>
            <w:hyperlink r:id="rId20" w:history="1">
              <w:r w:rsidRPr="00AC3451">
                <w:rPr>
                  <w:rStyle w:val="Hyperlink"/>
                  <w:rFonts w:asciiTheme="minorHAnsi" w:hAnsiTheme="minorHAnsi"/>
                  <w:color w:val="808080" w:themeColor="background1" w:themeShade="80"/>
                </w:rPr>
                <w:t>https://www.gov.uk/government/uploads/system/uploads/attachment_data/file/216671/dh_131107.pdf</w:t>
              </w:r>
            </w:hyperlink>
          </w:p>
          <w:p w:rsidR="00FE6E37" w:rsidRDefault="00FE6E37" w:rsidP="00FE6E37">
            <w:pPr>
              <w:rPr>
                <w:rFonts w:asciiTheme="minorHAnsi" w:hAnsiTheme="minorHAnsi"/>
              </w:rPr>
            </w:pPr>
          </w:p>
          <w:p w:rsidR="00FE6E37" w:rsidRPr="00AC3451" w:rsidRDefault="00FE6E37" w:rsidP="00FE6E37">
            <w:pPr>
              <w:rPr>
                <w:rFonts w:asciiTheme="minorHAnsi" w:hAnsiTheme="minorHAnsi"/>
                <w:color w:val="808080" w:themeColor="background1" w:themeShade="80"/>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Summary Poster. Available at: </w:t>
            </w:r>
            <w:hyperlink r:id="rId21" w:history="1">
              <w:r w:rsidRPr="00AC3451">
                <w:rPr>
                  <w:rStyle w:val="Hyperlink"/>
                  <w:rFonts w:asciiTheme="minorHAnsi" w:hAnsiTheme="minorHAnsi"/>
                  <w:color w:val="808080" w:themeColor="background1" w:themeShade="80"/>
                </w:rPr>
                <w:t>https://www.igd.nhs.uk/wp-content/uploads/2016/04/DemandManagementPoster_v4_February2016.pdf</w:t>
              </w:r>
            </w:hyperlink>
          </w:p>
          <w:p w:rsidR="00FE6E37" w:rsidRPr="00A80A19" w:rsidRDefault="00FE6E37" w:rsidP="00C23675">
            <w:pPr>
              <w:spacing w:before="120" w:after="120"/>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701"/>
        <w:gridCol w:w="4394"/>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6D67CF" w:rsidP="004A10A2">
            <w:pPr>
              <w:spacing w:before="120" w:after="120"/>
              <w:rPr>
                <w:rFonts w:asciiTheme="minorHAnsi" w:hAnsiTheme="minorHAnsi"/>
              </w:rPr>
            </w:pPr>
            <w:r w:rsidRPr="006D67CF">
              <w:rPr>
                <w:rFonts w:asciiTheme="minorHAnsi" w:hAnsiTheme="minorHAnsi"/>
              </w:rPr>
              <w:t>These criteria are largely thought to reflect current clinical practice and minimal operational impact is anticipated. While there will be some data entry required at initial Ig request and review, the clinical assessments are largely presented as drop down menus and short descriptions so as not to be burdensome</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294D10" w:rsidRDefault="006D67CF" w:rsidP="005F148B">
            <w:pPr>
              <w:spacing w:before="120" w:after="120"/>
              <w:rPr>
                <w:rFonts w:asciiTheme="minorHAnsi" w:hAnsiTheme="minorHAnsi"/>
              </w:rPr>
            </w:pPr>
            <w:r w:rsidRPr="006D67CF">
              <w:rPr>
                <w:rFonts w:asciiTheme="minorHAnsi" w:hAnsiTheme="minorHAnsi"/>
              </w:rPr>
              <w:t>There is not anticipated to be any</w:t>
            </w:r>
            <w:r w:rsidR="00F279CF">
              <w:rPr>
                <w:rFonts w:asciiTheme="minorHAnsi" w:hAnsiTheme="minorHAnsi"/>
              </w:rPr>
              <w:t xml:space="preserve"> significant</w:t>
            </w:r>
            <w:r w:rsidRPr="006D67CF">
              <w:rPr>
                <w:rFonts w:asciiTheme="minorHAnsi" w:hAnsiTheme="minorHAnsi"/>
              </w:rPr>
              <w:t xml:space="preserve"> impact on patients</w:t>
            </w:r>
            <w:r w:rsidR="00345719">
              <w:rPr>
                <w:rFonts w:asciiTheme="minorHAnsi" w:hAnsiTheme="minorHAnsi"/>
              </w:rPr>
              <w:t xml:space="preserve"> given that these </w:t>
            </w:r>
            <w:r w:rsidR="00F279CF">
              <w:rPr>
                <w:rFonts w:asciiTheme="minorHAnsi" w:hAnsiTheme="minorHAnsi"/>
              </w:rPr>
              <w:t>criteria</w:t>
            </w:r>
            <w:r w:rsidR="00345719">
              <w:rPr>
                <w:rFonts w:asciiTheme="minorHAnsi" w:hAnsiTheme="minorHAnsi"/>
              </w:rPr>
              <w:t xml:space="preserve"> align with the current clinical management of patients with this very rare condition</w:t>
            </w:r>
            <w:r w:rsidR="00F279CF">
              <w:rPr>
                <w:rFonts w:asciiTheme="minorHAnsi" w:hAnsiTheme="minorHAnsi"/>
              </w:rPr>
              <w:t xml:space="preserve"> and existing patients with </w:t>
            </w:r>
            <w:r w:rsidR="00294D10">
              <w:rPr>
                <w:rFonts w:asciiTheme="minorHAnsi" w:hAnsiTheme="minorHAnsi"/>
              </w:rPr>
              <w:t xml:space="preserve">proven </w:t>
            </w:r>
            <w:r w:rsidR="00F279CF">
              <w:rPr>
                <w:rFonts w:asciiTheme="minorHAnsi" w:hAnsiTheme="minorHAnsi"/>
              </w:rPr>
              <w:t xml:space="preserve">AIR on Ig therapy will continue to receive Ig </w:t>
            </w:r>
            <w:r w:rsidR="00294D10">
              <w:rPr>
                <w:rFonts w:asciiTheme="minorHAnsi" w:hAnsiTheme="minorHAnsi"/>
              </w:rPr>
              <w:t>treatment</w:t>
            </w:r>
            <w:r w:rsidRPr="006D67CF">
              <w:rPr>
                <w:rFonts w:asciiTheme="minorHAnsi" w:hAnsiTheme="minorHAnsi"/>
              </w:rPr>
              <w:t>.</w:t>
            </w:r>
            <w:r w:rsidR="005F148B">
              <w:rPr>
                <w:rFonts w:asciiTheme="minorHAnsi" w:hAnsiTheme="minorHAnsi"/>
              </w:rPr>
              <w:t xml:space="preserve"> </w:t>
            </w:r>
            <w:r w:rsidR="00294D10">
              <w:rPr>
                <w:rFonts w:asciiTheme="minorHAnsi" w:hAnsiTheme="minorHAnsi"/>
              </w:rPr>
              <w:t xml:space="preserve">These criteria have been developed in consultation with Royal Australian and New Zealand College of Ophthalmologists and they have advised that Ig therapy is only required in severe cases where eye sight is threatened. The low level of Ig use over the last five years is consistent with this expected clinical practice. </w:t>
            </w:r>
          </w:p>
          <w:p w:rsidR="005F148B" w:rsidRDefault="005F148B" w:rsidP="005F148B">
            <w:pPr>
              <w:spacing w:before="120" w:after="120"/>
              <w:rPr>
                <w:rFonts w:asciiTheme="minorHAnsi" w:hAnsiTheme="minorHAnsi"/>
              </w:rPr>
            </w:pPr>
            <w:r>
              <w:rPr>
                <w:rFonts w:asciiTheme="minorHAnsi" w:hAnsiTheme="minorHAnsi"/>
              </w:rPr>
              <w:t xml:space="preserve">The formal access criteria now proposed for this condition require that an Ophthalmologist makes the diagnosis and manages the ongoing treatment in association with another </w:t>
            </w:r>
            <w:r w:rsidR="00F279CF">
              <w:rPr>
                <w:rFonts w:asciiTheme="minorHAnsi" w:hAnsiTheme="minorHAnsi"/>
              </w:rPr>
              <w:t xml:space="preserve">treating </w:t>
            </w:r>
            <w:r>
              <w:rPr>
                <w:rFonts w:asciiTheme="minorHAnsi" w:hAnsiTheme="minorHAnsi"/>
              </w:rPr>
              <w:t xml:space="preserve">specialist. This is because this is a very rare condition and it is important that the correct </w:t>
            </w:r>
            <w:r w:rsidR="00F279CF">
              <w:rPr>
                <w:rFonts w:asciiTheme="minorHAnsi" w:hAnsiTheme="minorHAnsi"/>
              </w:rPr>
              <w:t>diagnosis is made and treatment</w:t>
            </w:r>
            <w:r>
              <w:rPr>
                <w:rFonts w:asciiTheme="minorHAnsi" w:hAnsiTheme="minorHAnsi"/>
              </w:rPr>
              <w:t xml:space="preserve"> given. There are a number of treatments that are available for this condition. Ig therapy is only used after patients have not responded to other treatments (unless they are unavailable or inappropriate). </w:t>
            </w:r>
          </w:p>
          <w:p w:rsidR="00294D10" w:rsidRDefault="00294D10" w:rsidP="00294D10">
            <w:pPr>
              <w:spacing w:before="120" w:after="120"/>
              <w:rPr>
                <w:rFonts w:asciiTheme="minorHAnsi" w:hAnsiTheme="minorHAnsi"/>
              </w:rPr>
            </w:pPr>
            <w:r>
              <w:rPr>
                <w:rFonts w:asciiTheme="minorHAnsi" w:hAnsiTheme="minorHAnsi"/>
              </w:rPr>
              <w:t>Existing patients will require annual checks by their Ophthalmologist to confirm that the visual function is improving or not worsening in response to the Ig therapy. Patients will already be reviewed regularly by their ophthalmologist so this requirement will not place an added burden on patients.  If visual function is worsening, Ig therapy will be stopped and an alternative treatment approach will be used. It is acknowledged that some patients may require long term treatment to maintain their eyesight.</w:t>
            </w:r>
          </w:p>
          <w:p w:rsidR="00832D0D" w:rsidRPr="00832D0D" w:rsidRDefault="00294D10" w:rsidP="00294D10">
            <w:pPr>
              <w:spacing w:before="120" w:after="120"/>
              <w:rPr>
                <w:rFonts w:asciiTheme="minorHAnsi" w:hAnsiTheme="minorHAnsi"/>
              </w:rPr>
            </w:pPr>
            <w:r>
              <w:rPr>
                <w:rFonts w:asciiTheme="minorHAnsi" w:hAnsiTheme="minorHAnsi"/>
              </w:rPr>
              <w:t>New p</w:t>
            </w:r>
            <w:r w:rsidR="00F279CF">
              <w:rPr>
                <w:rFonts w:asciiTheme="minorHAnsi" w:hAnsiTheme="minorHAnsi"/>
              </w:rPr>
              <w:t>atients authorised to receive Ig therapy</w:t>
            </w:r>
            <w:r w:rsidR="005F148B">
              <w:rPr>
                <w:rFonts w:asciiTheme="minorHAnsi" w:hAnsiTheme="minorHAnsi"/>
              </w:rPr>
              <w:t xml:space="preserve"> </w:t>
            </w:r>
            <w:r w:rsidR="00F279CF">
              <w:rPr>
                <w:rFonts w:asciiTheme="minorHAnsi" w:hAnsiTheme="minorHAnsi"/>
              </w:rPr>
              <w:t xml:space="preserve">will require </w:t>
            </w:r>
            <w:r w:rsidR="005F148B">
              <w:rPr>
                <w:rFonts w:asciiTheme="minorHAnsi" w:hAnsiTheme="minorHAnsi"/>
              </w:rPr>
              <w:t xml:space="preserve">an initial check after three months </w:t>
            </w:r>
            <w:r>
              <w:rPr>
                <w:rFonts w:asciiTheme="minorHAnsi" w:hAnsiTheme="minorHAnsi"/>
              </w:rPr>
              <w:t xml:space="preserve">Ig </w:t>
            </w:r>
            <w:r w:rsidR="005F148B">
              <w:rPr>
                <w:rFonts w:asciiTheme="minorHAnsi" w:hAnsiTheme="minorHAnsi"/>
              </w:rPr>
              <w:t xml:space="preserve">treatment to confirm that Ig therapy is </w:t>
            </w:r>
            <w:r w:rsidR="00F279CF">
              <w:rPr>
                <w:rFonts w:asciiTheme="minorHAnsi" w:hAnsiTheme="minorHAnsi"/>
              </w:rPr>
              <w:t>improving eyesight and disease</w:t>
            </w:r>
            <w:r w:rsidR="005F148B">
              <w:rPr>
                <w:rFonts w:asciiTheme="minorHAnsi" w:hAnsiTheme="minorHAnsi"/>
              </w:rPr>
              <w:t xml:space="preserve">. If patients have </w:t>
            </w:r>
            <w:r w:rsidR="00F279CF">
              <w:rPr>
                <w:rFonts w:asciiTheme="minorHAnsi" w:hAnsiTheme="minorHAnsi"/>
              </w:rPr>
              <w:t xml:space="preserve">not </w:t>
            </w:r>
            <w:r w:rsidR="005F148B">
              <w:rPr>
                <w:rFonts w:asciiTheme="minorHAnsi" w:hAnsiTheme="minorHAnsi"/>
              </w:rPr>
              <w:t xml:space="preserve">demonstrated a response after this time, Ig therapy will be ceased and substituted with a different treatment approach. If improvement has been demonstrated, </w:t>
            </w:r>
            <w:r w:rsidR="00627888">
              <w:rPr>
                <w:rFonts w:asciiTheme="minorHAnsi" w:hAnsiTheme="minorHAnsi"/>
              </w:rPr>
              <w:t>annual</w:t>
            </w:r>
            <w:r w:rsidR="005F148B">
              <w:rPr>
                <w:rFonts w:asciiTheme="minorHAnsi" w:hAnsiTheme="minorHAnsi"/>
              </w:rPr>
              <w:t xml:space="preserve"> checks on progress to assess the effectiveness of Ig maintenance therapy can be performed as part of the</w:t>
            </w:r>
            <w:r>
              <w:rPr>
                <w:rFonts w:asciiTheme="minorHAnsi" w:hAnsiTheme="minorHAnsi"/>
              </w:rPr>
              <w:t xml:space="preserve"> specialist’s</w:t>
            </w:r>
            <w:r w:rsidR="005F148B">
              <w:rPr>
                <w:rFonts w:asciiTheme="minorHAnsi" w:hAnsiTheme="minorHAnsi"/>
              </w:rPr>
              <w:t xml:space="preserve"> usual monitoring process. </w:t>
            </w:r>
          </w:p>
        </w:tc>
      </w:tr>
      <w:tr w:rsidR="006D67CF" w:rsidRPr="00021243" w:rsidTr="00832D0D">
        <w:tc>
          <w:tcPr>
            <w:tcW w:w="3545" w:type="dxa"/>
            <w:gridSpan w:val="2"/>
            <w:shd w:val="clear" w:color="auto" w:fill="auto"/>
          </w:tcPr>
          <w:p w:rsidR="006D67CF" w:rsidRPr="006D67CF" w:rsidRDefault="006D67CF" w:rsidP="00E42574">
            <w:pPr>
              <w:rPr>
                <w:b/>
              </w:rPr>
            </w:pPr>
            <w:r w:rsidRPr="006D67CF">
              <w:rPr>
                <w:b/>
              </w:rPr>
              <w:t>Impact on Demand</w:t>
            </w:r>
          </w:p>
        </w:tc>
        <w:tc>
          <w:tcPr>
            <w:tcW w:w="11056" w:type="dxa"/>
            <w:gridSpan w:val="5"/>
            <w:shd w:val="clear" w:color="auto" w:fill="auto"/>
          </w:tcPr>
          <w:p w:rsidR="006D67CF" w:rsidRDefault="006D67CF" w:rsidP="00322D93">
            <w:r w:rsidRPr="00A8642D">
              <w:t xml:space="preserve">Based on the prescribing experience of </w:t>
            </w:r>
            <w:r w:rsidR="00030B2D">
              <w:t>O</w:t>
            </w:r>
            <w:r w:rsidRPr="00A8642D">
              <w:t xml:space="preserve">phthalmologists with particular expertise in uveitis, the usage data indicating that Ig is used </w:t>
            </w:r>
            <w:r w:rsidR="00322D93">
              <w:t>in less than 5</w:t>
            </w:r>
            <w:r w:rsidRPr="00A8642D">
              <w:t xml:space="preserve"> patients/year with Autoimmune Retinopathy (AIR) has been confirmed as being appropriate and in line with expected prevalence. Given that these criteria are in line with current clinical practice, there is not expected to be any impact on demand as a result of these changes. </w:t>
            </w:r>
          </w:p>
        </w:tc>
      </w:tr>
      <w:tr w:rsidR="00027C17" w:rsidRPr="00853117" w:rsidTr="00027C17">
        <w:tc>
          <w:tcPr>
            <w:tcW w:w="2161" w:type="dxa"/>
            <w:shd w:val="clear" w:color="auto" w:fill="auto"/>
          </w:tcPr>
          <w:p w:rsidR="00027C17" w:rsidRPr="00C92149" w:rsidRDefault="00027C17" w:rsidP="004A10A2">
            <w:pPr>
              <w:spacing w:before="120" w:after="120"/>
              <w:rPr>
                <w:rFonts w:asciiTheme="minorHAnsi" w:hAnsiTheme="minorHAnsi"/>
                <w:b/>
                <w:sz w:val="18"/>
                <w:szCs w:val="18"/>
              </w:rPr>
            </w:pPr>
          </w:p>
        </w:tc>
        <w:tc>
          <w:tcPr>
            <w:tcW w:w="1384" w:type="dxa"/>
            <w:shd w:val="clear" w:color="auto" w:fill="auto"/>
          </w:tcPr>
          <w:p w:rsidR="00027C17" w:rsidRPr="00C92149" w:rsidRDefault="00027C17" w:rsidP="00B20445">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027C17" w:rsidRPr="00C92149" w:rsidRDefault="00027C17" w:rsidP="00B20445">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027C17" w:rsidRPr="00C92149" w:rsidRDefault="00027C17" w:rsidP="00B20445">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027C17" w:rsidRPr="00C92149" w:rsidRDefault="00027C17" w:rsidP="00B20445">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701" w:type="dxa"/>
            <w:shd w:val="clear" w:color="auto" w:fill="auto"/>
          </w:tcPr>
          <w:p w:rsidR="00027C17" w:rsidRPr="00027C17" w:rsidRDefault="00027C17" w:rsidP="00027C1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394" w:type="dxa"/>
            <w:vMerge w:val="restart"/>
            <w:shd w:val="clear" w:color="auto" w:fill="auto"/>
          </w:tcPr>
          <w:p w:rsidR="00027C17" w:rsidRPr="006D67CF" w:rsidRDefault="00027C17" w:rsidP="00027C17">
            <w:pPr>
              <w:rPr>
                <w:rFonts w:asciiTheme="minorHAnsi" w:hAnsiTheme="minorHAnsi"/>
                <w:sz w:val="18"/>
                <w:szCs w:val="18"/>
              </w:rPr>
            </w:pPr>
            <w:r w:rsidRPr="006D67CF">
              <w:rPr>
                <w:rFonts w:asciiTheme="minorHAnsi" w:hAnsiTheme="minorHAnsi"/>
                <w:sz w:val="18"/>
                <w:szCs w:val="18"/>
              </w:rPr>
              <w:t xml:space="preserve">The </w:t>
            </w:r>
            <w:r w:rsidR="00030B2D">
              <w:rPr>
                <w:rFonts w:asciiTheme="minorHAnsi" w:hAnsiTheme="minorHAnsi"/>
                <w:sz w:val="18"/>
                <w:szCs w:val="18"/>
              </w:rPr>
              <w:t>Specialist Working Group</w:t>
            </w:r>
            <w:r w:rsidRPr="006D67CF">
              <w:rPr>
                <w:rFonts w:asciiTheme="minorHAnsi" w:hAnsiTheme="minorHAnsi"/>
                <w:sz w:val="18"/>
                <w:szCs w:val="18"/>
              </w:rPr>
              <w:t xml:space="preserve"> estimated magnitude of effect:</w:t>
            </w:r>
          </w:p>
          <w:p w:rsidR="00027C17" w:rsidRPr="006D67CF" w:rsidRDefault="00027C17" w:rsidP="00027C17">
            <w:pPr>
              <w:rPr>
                <w:rFonts w:asciiTheme="minorHAnsi" w:hAnsiTheme="minorHAnsi"/>
                <w:sz w:val="18"/>
                <w:szCs w:val="18"/>
              </w:rPr>
            </w:pPr>
            <w:r w:rsidRPr="006D67CF">
              <w:rPr>
                <w:rFonts w:asciiTheme="minorHAnsi" w:hAnsiTheme="minorHAnsi"/>
                <w:sz w:val="18"/>
                <w:szCs w:val="18"/>
              </w:rPr>
              <w:t>No impact</w:t>
            </w:r>
            <w:r w:rsidR="00236651">
              <w:rPr>
                <w:rFonts w:asciiTheme="minorHAnsi" w:hAnsiTheme="minorHAnsi"/>
                <w:sz w:val="18"/>
                <w:szCs w:val="18"/>
              </w:rPr>
              <w:t xml:space="preserve"> against projected demand</w:t>
            </w:r>
          </w:p>
          <w:p w:rsidR="00027C17" w:rsidRPr="00C92149" w:rsidRDefault="00027C17" w:rsidP="004A10A2">
            <w:pPr>
              <w:spacing w:before="120" w:after="120"/>
              <w:rPr>
                <w:rFonts w:asciiTheme="minorHAnsi" w:hAnsiTheme="minorHAnsi"/>
                <w:b/>
                <w:sz w:val="18"/>
                <w:szCs w:val="18"/>
              </w:rPr>
            </w:pPr>
          </w:p>
        </w:tc>
      </w:tr>
      <w:tr w:rsidR="00027C17" w:rsidRPr="00853117" w:rsidTr="00027C17">
        <w:tc>
          <w:tcPr>
            <w:tcW w:w="2161" w:type="dxa"/>
            <w:shd w:val="clear" w:color="auto" w:fill="auto"/>
          </w:tcPr>
          <w:p w:rsidR="00027C17" w:rsidRPr="00C92149" w:rsidRDefault="00027C1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rsidR="00027C17" w:rsidRPr="00C92149" w:rsidRDefault="00027C17" w:rsidP="00B20445">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027C17" w:rsidRPr="00C92149" w:rsidRDefault="00FD6289" w:rsidP="00B20445">
            <w:pPr>
              <w:spacing w:before="120" w:after="120"/>
              <w:jc w:val="right"/>
              <w:rPr>
                <w:rFonts w:asciiTheme="minorHAnsi" w:hAnsiTheme="minorHAnsi"/>
                <w:b/>
                <w:sz w:val="18"/>
                <w:szCs w:val="18"/>
              </w:rPr>
            </w:pPr>
            <w:r>
              <w:rPr>
                <w:rFonts w:asciiTheme="minorHAnsi" w:hAnsiTheme="minorHAnsi"/>
                <w:b/>
                <w:sz w:val="18"/>
                <w:szCs w:val="18"/>
              </w:rPr>
              <w:t>&lt;5</w:t>
            </w:r>
          </w:p>
        </w:tc>
        <w:tc>
          <w:tcPr>
            <w:tcW w:w="1667" w:type="dxa"/>
            <w:shd w:val="clear" w:color="auto" w:fill="auto"/>
          </w:tcPr>
          <w:p w:rsidR="00027C17" w:rsidRPr="00C92149" w:rsidRDefault="00FD6289" w:rsidP="00B20445">
            <w:pPr>
              <w:spacing w:before="120" w:after="120"/>
              <w:jc w:val="right"/>
              <w:rPr>
                <w:rFonts w:asciiTheme="minorHAnsi" w:hAnsiTheme="minorHAnsi"/>
                <w:b/>
                <w:sz w:val="18"/>
                <w:szCs w:val="18"/>
              </w:rPr>
            </w:pPr>
            <w:r>
              <w:rPr>
                <w:rFonts w:asciiTheme="minorHAnsi" w:hAnsiTheme="minorHAnsi"/>
                <w:b/>
                <w:sz w:val="18"/>
                <w:szCs w:val="18"/>
              </w:rPr>
              <w:t>&lt;5</w:t>
            </w:r>
          </w:p>
        </w:tc>
        <w:tc>
          <w:tcPr>
            <w:tcW w:w="1701" w:type="dxa"/>
            <w:shd w:val="clear" w:color="auto" w:fill="auto"/>
          </w:tcPr>
          <w:p w:rsidR="00027C17" w:rsidRPr="00C92149" w:rsidRDefault="00FD6289" w:rsidP="00B20445">
            <w:pPr>
              <w:spacing w:before="120" w:after="120"/>
              <w:jc w:val="right"/>
              <w:rPr>
                <w:rFonts w:asciiTheme="minorHAnsi" w:hAnsiTheme="minorHAnsi"/>
                <w:b/>
                <w:sz w:val="18"/>
                <w:szCs w:val="18"/>
              </w:rPr>
            </w:pPr>
            <w:r>
              <w:rPr>
                <w:rFonts w:asciiTheme="minorHAnsi" w:hAnsiTheme="minorHAnsi"/>
                <w:b/>
                <w:sz w:val="18"/>
                <w:szCs w:val="18"/>
              </w:rPr>
              <w:t>&lt;5</w:t>
            </w:r>
          </w:p>
        </w:tc>
        <w:tc>
          <w:tcPr>
            <w:tcW w:w="1701" w:type="dxa"/>
            <w:shd w:val="clear" w:color="auto" w:fill="auto"/>
          </w:tcPr>
          <w:p w:rsidR="00027C17" w:rsidRPr="00027C17" w:rsidRDefault="00FD6289" w:rsidP="00027C1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w:t>
            </w:r>
          </w:p>
        </w:tc>
        <w:tc>
          <w:tcPr>
            <w:tcW w:w="4394" w:type="dxa"/>
            <w:vMerge/>
            <w:shd w:val="clear" w:color="auto" w:fill="auto"/>
          </w:tcPr>
          <w:p w:rsidR="00027C17" w:rsidRPr="00C92149" w:rsidRDefault="00027C17" w:rsidP="004A10A2">
            <w:pPr>
              <w:spacing w:before="120" w:after="120"/>
              <w:rPr>
                <w:rFonts w:asciiTheme="minorHAnsi" w:hAnsiTheme="minorHAnsi"/>
                <w:b/>
                <w:sz w:val="18"/>
                <w:szCs w:val="18"/>
              </w:rPr>
            </w:pPr>
          </w:p>
        </w:tc>
      </w:tr>
      <w:tr w:rsidR="00027C17" w:rsidRPr="00853117" w:rsidTr="00027C17">
        <w:trPr>
          <w:trHeight w:val="535"/>
        </w:trPr>
        <w:tc>
          <w:tcPr>
            <w:tcW w:w="2161" w:type="dxa"/>
            <w:shd w:val="clear" w:color="auto" w:fill="auto"/>
          </w:tcPr>
          <w:p w:rsidR="00027C17" w:rsidRPr="00C92149" w:rsidRDefault="00027C17"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027C17" w:rsidRPr="00C92149" w:rsidRDefault="00027C17" w:rsidP="00B20445">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027C17" w:rsidRPr="00C92149" w:rsidRDefault="00FD6289" w:rsidP="00B20445">
            <w:pPr>
              <w:spacing w:before="120" w:after="120"/>
              <w:jc w:val="right"/>
              <w:rPr>
                <w:rFonts w:asciiTheme="minorHAnsi" w:hAnsiTheme="minorHAnsi"/>
                <w:b/>
                <w:sz w:val="18"/>
                <w:szCs w:val="18"/>
              </w:rPr>
            </w:pPr>
            <w:r>
              <w:rPr>
                <w:rFonts w:asciiTheme="minorHAnsi" w:hAnsiTheme="minorHAnsi"/>
                <w:b/>
                <w:sz w:val="18"/>
                <w:szCs w:val="18"/>
              </w:rPr>
              <w:t>&lt;500</w:t>
            </w:r>
          </w:p>
        </w:tc>
        <w:tc>
          <w:tcPr>
            <w:tcW w:w="1667" w:type="dxa"/>
            <w:shd w:val="clear" w:color="auto" w:fill="auto"/>
          </w:tcPr>
          <w:p w:rsidR="00027C17" w:rsidRPr="00C92149" w:rsidRDefault="00FD6289" w:rsidP="00B20445">
            <w:pPr>
              <w:spacing w:before="120" w:after="120"/>
              <w:jc w:val="right"/>
              <w:rPr>
                <w:rFonts w:asciiTheme="minorHAnsi" w:hAnsiTheme="minorHAnsi"/>
                <w:b/>
                <w:sz w:val="18"/>
                <w:szCs w:val="18"/>
              </w:rPr>
            </w:pPr>
            <w:r>
              <w:rPr>
                <w:rFonts w:asciiTheme="minorHAnsi" w:hAnsiTheme="minorHAnsi"/>
                <w:b/>
                <w:sz w:val="18"/>
                <w:szCs w:val="18"/>
              </w:rPr>
              <w:t>&lt;500</w:t>
            </w:r>
          </w:p>
        </w:tc>
        <w:tc>
          <w:tcPr>
            <w:tcW w:w="1701" w:type="dxa"/>
            <w:shd w:val="clear" w:color="auto" w:fill="auto"/>
          </w:tcPr>
          <w:p w:rsidR="00027C17" w:rsidRPr="00C92149" w:rsidRDefault="00FD6289" w:rsidP="00B20445">
            <w:pPr>
              <w:spacing w:before="120" w:after="120"/>
              <w:jc w:val="right"/>
              <w:rPr>
                <w:rFonts w:asciiTheme="minorHAnsi" w:hAnsiTheme="minorHAnsi"/>
                <w:b/>
                <w:sz w:val="18"/>
                <w:szCs w:val="18"/>
              </w:rPr>
            </w:pPr>
            <w:r>
              <w:rPr>
                <w:rFonts w:asciiTheme="minorHAnsi" w:hAnsiTheme="minorHAnsi"/>
                <w:b/>
                <w:sz w:val="18"/>
                <w:szCs w:val="18"/>
              </w:rPr>
              <w:t>&lt;1000</w:t>
            </w:r>
          </w:p>
        </w:tc>
        <w:tc>
          <w:tcPr>
            <w:tcW w:w="1701" w:type="dxa"/>
            <w:shd w:val="clear" w:color="auto" w:fill="auto"/>
          </w:tcPr>
          <w:p w:rsidR="00027C17" w:rsidRPr="00027C17" w:rsidRDefault="00FD6289" w:rsidP="00027C1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&lt;1000</w:t>
            </w:r>
          </w:p>
        </w:tc>
        <w:tc>
          <w:tcPr>
            <w:tcW w:w="4394" w:type="dxa"/>
            <w:vMerge/>
            <w:shd w:val="clear" w:color="auto" w:fill="auto"/>
          </w:tcPr>
          <w:p w:rsidR="00027C17" w:rsidRPr="00C92149" w:rsidRDefault="00027C17" w:rsidP="004A10A2">
            <w:pPr>
              <w:spacing w:before="120" w:after="120"/>
              <w:rPr>
                <w:rFonts w:asciiTheme="minorHAnsi" w:hAnsiTheme="minorHAnsi"/>
                <w:b/>
                <w:sz w:val="18"/>
                <w:szCs w:val="18"/>
              </w:rPr>
            </w:pPr>
          </w:p>
        </w:tc>
      </w:tr>
      <w:tr w:rsidR="00FD6289" w:rsidRPr="00853117" w:rsidTr="00027C17">
        <w:tc>
          <w:tcPr>
            <w:tcW w:w="2161" w:type="dxa"/>
            <w:shd w:val="clear" w:color="auto" w:fill="auto"/>
          </w:tcPr>
          <w:p w:rsidR="00FD6289" w:rsidRPr="00C92149" w:rsidRDefault="00FD6289"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rsidR="00FD6289" w:rsidRPr="00C92149" w:rsidRDefault="00FD6289" w:rsidP="00B20445">
            <w:pPr>
              <w:spacing w:before="120" w:after="120"/>
              <w:jc w:val="right"/>
              <w:rPr>
                <w:rFonts w:asciiTheme="minorHAnsi" w:hAnsiTheme="minorHAnsi"/>
                <w:b/>
                <w:sz w:val="18"/>
                <w:szCs w:val="18"/>
              </w:rPr>
            </w:pPr>
            <w:r>
              <w:rPr>
                <w:rFonts w:asciiTheme="minorHAnsi" w:hAnsiTheme="minorHAnsi"/>
                <w:b/>
                <w:sz w:val="18"/>
                <w:szCs w:val="18"/>
              </w:rPr>
              <w:t>0.0%</w:t>
            </w:r>
          </w:p>
        </w:tc>
        <w:tc>
          <w:tcPr>
            <w:tcW w:w="1593" w:type="dxa"/>
            <w:shd w:val="clear" w:color="auto" w:fill="auto"/>
          </w:tcPr>
          <w:p w:rsidR="00FD6289" w:rsidRPr="00FD6289" w:rsidRDefault="00FD6289" w:rsidP="00FD6289">
            <w:pPr>
              <w:spacing w:before="120" w:after="120"/>
              <w:jc w:val="right"/>
              <w:rPr>
                <w:rFonts w:asciiTheme="minorHAnsi" w:hAnsiTheme="minorHAnsi"/>
                <w:b/>
                <w:sz w:val="18"/>
                <w:szCs w:val="18"/>
              </w:rPr>
            </w:pPr>
            <w:r w:rsidRPr="00FD6289">
              <w:rPr>
                <w:rFonts w:asciiTheme="minorHAnsi" w:hAnsiTheme="minorHAnsi"/>
                <w:b/>
                <w:sz w:val="18"/>
                <w:szCs w:val="18"/>
              </w:rPr>
              <w:t>&lt;0.02%</w:t>
            </w:r>
          </w:p>
        </w:tc>
        <w:tc>
          <w:tcPr>
            <w:tcW w:w="1667" w:type="dxa"/>
            <w:shd w:val="clear" w:color="auto" w:fill="auto"/>
          </w:tcPr>
          <w:p w:rsidR="00FD6289" w:rsidRPr="00FD6289" w:rsidRDefault="00FD6289" w:rsidP="00FD6289">
            <w:pPr>
              <w:spacing w:before="120" w:after="120"/>
              <w:jc w:val="right"/>
              <w:rPr>
                <w:rFonts w:asciiTheme="minorHAnsi" w:hAnsiTheme="minorHAnsi"/>
                <w:b/>
                <w:sz w:val="18"/>
                <w:szCs w:val="18"/>
              </w:rPr>
            </w:pPr>
            <w:r w:rsidRPr="00FD6289">
              <w:rPr>
                <w:rFonts w:asciiTheme="minorHAnsi" w:hAnsiTheme="minorHAnsi"/>
                <w:b/>
                <w:sz w:val="18"/>
                <w:szCs w:val="18"/>
              </w:rPr>
              <w:t>&lt;0.01%</w:t>
            </w:r>
          </w:p>
        </w:tc>
        <w:tc>
          <w:tcPr>
            <w:tcW w:w="1701" w:type="dxa"/>
            <w:shd w:val="clear" w:color="auto" w:fill="auto"/>
          </w:tcPr>
          <w:p w:rsidR="00FD6289" w:rsidRPr="00FD6289" w:rsidRDefault="00FD6289" w:rsidP="00FD6289">
            <w:pPr>
              <w:spacing w:before="120" w:after="120"/>
              <w:jc w:val="right"/>
              <w:rPr>
                <w:rFonts w:asciiTheme="minorHAnsi" w:hAnsiTheme="minorHAnsi"/>
                <w:b/>
                <w:sz w:val="18"/>
                <w:szCs w:val="18"/>
              </w:rPr>
            </w:pPr>
            <w:r w:rsidRPr="00FD6289">
              <w:rPr>
                <w:rFonts w:asciiTheme="minorHAnsi" w:hAnsiTheme="minorHAnsi"/>
                <w:b/>
                <w:sz w:val="18"/>
                <w:szCs w:val="18"/>
              </w:rPr>
              <w:t>&lt;0.03%</w:t>
            </w:r>
          </w:p>
        </w:tc>
        <w:tc>
          <w:tcPr>
            <w:tcW w:w="1701" w:type="dxa"/>
            <w:shd w:val="clear" w:color="auto" w:fill="auto"/>
          </w:tcPr>
          <w:p w:rsidR="00FD6289" w:rsidRPr="00FD6289" w:rsidRDefault="00FD6289" w:rsidP="00FD6289">
            <w:pPr>
              <w:spacing w:before="120" w:after="120"/>
              <w:jc w:val="right"/>
              <w:rPr>
                <w:rFonts w:asciiTheme="minorHAnsi" w:hAnsiTheme="minorHAnsi"/>
                <w:b/>
                <w:sz w:val="18"/>
                <w:szCs w:val="18"/>
              </w:rPr>
            </w:pPr>
            <w:r w:rsidRPr="00FD6289">
              <w:rPr>
                <w:rFonts w:asciiTheme="minorHAnsi" w:hAnsiTheme="minorHAnsi"/>
                <w:b/>
                <w:sz w:val="18"/>
                <w:szCs w:val="18"/>
              </w:rPr>
              <w:t>&lt;0.02%</w:t>
            </w:r>
          </w:p>
        </w:tc>
        <w:tc>
          <w:tcPr>
            <w:tcW w:w="4394" w:type="dxa"/>
            <w:vMerge/>
            <w:shd w:val="clear" w:color="auto" w:fill="auto"/>
          </w:tcPr>
          <w:p w:rsidR="00FD6289" w:rsidRPr="00C92149" w:rsidRDefault="00FD6289" w:rsidP="004A10A2">
            <w:pPr>
              <w:spacing w:before="120" w:after="120"/>
              <w:rPr>
                <w:rFonts w:asciiTheme="minorHAnsi" w:hAnsiTheme="minorHAnsi"/>
                <w:b/>
                <w:sz w:val="18"/>
                <w:szCs w:val="18"/>
              </w:rPr>
            </w:pPr>
          </w:p>
        </w:tc>
      </w:tr>
      <w:tr w:rsidR="00416C4D" w:rsidRPr="00021243" w:rsidTr="005D45E6">
        <w:tc>
          <w:tcPr>
            <w:tcW w:w="14601" w:type="dxa"/>
            <w:gridSpan w:val="7"/>
            <w:shd w:val="clear" w:color="auto" w:fill="F79646" w:themeFill="accent6"/>
          </w:tcPr>
          <w:p w:rsidR="00416C4D" w:rsidRDefault="00030B2D" w:rsidP="005D45E6">
            <w:pPr>
              <w:spacing w:before="120" w:after="120"/>
              <w:rPr>
                <w:rFonts w:asciiTheme="minorHAnsi" w:hAnsiTheme="minorHAnsi"/>
                <w:b/>
              </w:rPr>
            </w:pPr>
            <w:r>
              <w:rPr>
                <w:rFonts w:asciiTheme="minorHAnsi" w:hAnsiTheme="minorHAnsi"/>
                <w:b/>
              </w:rPr>
              <w:t xml:space="preserve">Specialist Working Group </w:t>
            </w:r>
            <w:r w:rsidR="00416C4D">
              <w:rPr>
                <w:rFonts w:asciiTheme="minorHAnsi" w:hAnsiTheme="minorHAnsi"/>
                <w:b/>
              </w:rPr>
              <w:t>knowledge development opportunities and recommendations</w:t>
            </w:r>
          </w:p>
        </w:tc>
      </w:tr>
      <w:tr w:rsidR="00416C4D" w:rsidRPr="00021243" w:rsidTr="005D45E6">
        <w:tc>
          <w:tcPr>
            <w:tcW w:w="14601" w:type="dxa"/>
            <w:gridSpan w:val="7"/>
            <w:shd w:val="clear" w:color="auto" w:fill="auto"/>
          </w:tcPr>
          <w:p w:rsidR="00416C4D" w:rsidRPr="002506FF" w:rsidRDefault="006D67CF" w:rsidP="00DA61B7">
            <w:pPr>
              <w:spacing w:before="120" w:after="120"/>
              <w:rPr>
                <w:rFonts w:asciiTheme="minorHAnsi" w:hAnsiTheme="minorHAnsi"/>
              </w:rPr>
            </w:pPr>
            <w:r w:rsidRPr="006D67CF">
              <w:rPr>
                <w:rFonts w:asciiTheme="minorHAnsi" w:hAnsiTheme="minorHAnsi"/>
              </w:rPr>
              <w:t xml:space="preserve">None identified </w:t>
            </w:r>
            <w:r w:rsidR="00DA61B7">
              <w:rPr>
                <w:rFonts w:asciiTheme="minorHAnsi" w:hAnsiTheme="minorHAnsi"/>
              </w:rPr>
              <w:t>at this stage</w:t>
            </w:r>
            <w:r w:rsidRPr="006D67CF">
              <w:rPr>
                <w:rFonts w:asciiTheme="minorHAnsi" w:hAnsiTheme="minorHAnsi"/>
              </w:rPr>
              <w:t>.</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736906">
              <w:rPr>
                <w:rFonts w:asciiTheme="minorHAnsi" w:hAnsiTheme="minorHAnsi"/>
                <w:b/>
              </w:rPr>
              <w:t>PUBLIC CONSULTATION</w:t>
            </w:r>
            <w:r>
              <w:rPr>
                <w:rFonts w:asciiTheme="minorHAnsi" w:hAnsiTheme="minorHAnsi"/>
                <w:b/>
              </w:rPr>
              <w:t xml:space="preserve"> DOCUMENT</w:t>
            </w:r>
          </w:p>
          <w:p w:rsidR="000E09C4" w:rsidRPr="00021243" w:rsidRDefault="00736906" w:rsidP="002506FF">
            <w:pPr>
              <w:spacing w:before="120" w:after="120"/>
              <w:jc w:val="center"/>
              <w:rPr>
                <w:rFonts w:asciiTheme="minorHAnsi" w:hAnsiTheme="minorHAnsi"/>
                <w:b/>
              </w:rPr>
            </w:pPr>
            <w:r>
              <w:rPr>
                <w:rFonts w:asciiTheme="minorHAnsi" w:hAnsiTheme="minorHAnsi"/>
                <w:b/>
              </w:rPr>
              <w:t>Next review:</w:t>
            </w:r>
            <w:r w:rsidR="000E09C4">
              <w:rPr>
                <w:rFonts w:asciiTheme="minorHAnsi" w:hAnsiTheme="minorHAnsi"/>
                <w:b/>
              </w:rPr>
              <w:t xml:space="preserve"> </w:t>
            </w:r>
            <w:r w:rsidR="006D67CF">
              <w:rPr>
                <w:rFonts w:asciiTheme="minorHAnsi" w:hAnsiTheme="minorHAnsi"/>
                <w:b/>
              </w:rPr>
              <w:t xml:space="preserve">Eighteen months after </w:t>
            </w:r>
            <w:r w:rsidR="00AD6B81">
              <w:rPr>
                <w:rFonts w:asciiTheme="minorHAnsi" w:hAnsiTheme="minorHAnsi"/>
                <w:b/>
              </w:rPr>
              <w:t xml:space="preserve">Implementation of BloodSTAR </w:t>
            </w:r>
            <w:r w:rsidR="00030B2D">
              <w:rPr>
                <w:rFonts w:asciiTheme="minorHAnsi" w:hAnsiTheme="minorHAnsi"/>
                <w:b/>
              </w:rPr>
              <w:t>v</w:t>
            </w:r>
            <w:r w:rsidR="00AD6B81">
              <w:rPr>
                <w:rFonts w:asciiTheme="minorHAnsi" w:hAnsiTheme="minorHAnsi"/>
                <w:b/>
              </w:rPr>
              <w:t>3.0</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22"/>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29175"/>
      <w:docPartObj>
        <w:docPartGallery w:val="Page Numbers (Bottom of Page)"/>
        <w:docPartUnique/>
      </w:docPartObj>
    </w:sdtPr>
    <w:sdtEndPr>
      <w:rPr>
        <w:noProof/>
      </w:rPr>
    </w:sdtEndPr>
    <w:sdtContent>
      <w:p w:rsidR="00B00D61" w:rsidRDefault="00B00D61">
        <w:pPr>
          <w:pStyle w:val="Footer"/>
          <w:jc w:val="right"/>
        </w:pPr>
        <w:r>
          <w:fldChar w:fldCharType="begin"/>
        </w:r>
        <w:r>
          <w:instrText xml:space="preserve"> PAGE   \* MERGEFORMAT </w:instrText>
        </w:r>
        <w:r>
          <w:fldChar w:fldCharType="separate"/>
        </w:r>
        <w:r w:rsidR="006855B5">
          <w:rPr>
            <w:noProof/>
          </w:rPr>
          <w:t>10</w:t>
        </w:r>
        <w:r>
          <w:rPr>
            <w:noProof/>
          </w:rPr>
          <w:fldChar w:fldCharType="end"/>
        </w:r>
      </w:p>
    </w:sdtContent>
  </w:sdt>
  <w:p w:rsidR="00853117" w:rsidRPr="00624538" w:rsidRDefault="00853117" w:rsidP="0062453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740823"/>
      <w:docPartObj>
        <w:docPartGallery w:val="Page Numbers (Bottom of Page)"/>
        <w:docPartUnique/>
      </w:docPartObj>
    </w:sdtPr>
    <w:sdtEndPr>
      <w:rPr>
        <w:noProof/>
      </w:rPr>
    </w:sdtEndPr>
    <w:sdtContent>
      <w:p w:rsidR="00B00D61" w:rsidRDefault="00B00D61">
        <w:pPr>
          <w:pStyle w:val="Footer"/>
          <w:jc w:val="right"/>
        </w:pPr>
        <w:r>
          <w:fldChar w:fldCharType="begin"/>
        </w:r>
        <w:r>
          <w:instrText xml:space="preserve"> PAGE   \* MERGEFORMAT </w:instrText>
        </w:r>
        <w:r>
          <w:fldChar w:fldCharType="separate"/>
        </w:r>
        <w:r w:rsidR="006855B5">
          <w:rPr>
            <w:noProof/>
          </w:rPr>
          <w:t>1</w:t>
        </w:r>
        <w:r>
          <w:rPr>
            <w:noProof/>
          </w:rPr>
          <w:fldChar w:fldCharType="end"/>
        </w:r>
      </w:p>
    </w:sdtContent>
  </w:sdt>
  <w:p w:rsidR="00624538" w:rsidRDefault="00624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61" w:rsidRPr="00624538" w:rsidRDefault="00236651" w:rsidP="00B00D61">
    <w:pPr>
      <w:pStyle w:val="Footer"/>
      <w:rPr>
        <w:sz w:val="20"/>
        <w:szCs w:val="20"/>
      </w:rPr>
    </w:pPr>
    <w:r>
      <w:rPr>
        <w:sz w:val="20"/>
        <w:szCs w:val="20"/>
      </w:rPr>
      <w:t>PUBLIC CONSULTATION 2017</w:t>
    </w:r>
    <w:r w:rsidR="00B00D61" w:rsidRPr="009016FB">
      <w:rPr>
        <w:sz w:val="20"/>
        <w:szCs w:val="20"/>
      </w:rPr>
      <w:t xml:space="preserve"> </w:t>
    </w:r>
    <w:r w:rsidR="00B00D61">
      <w:rPr>
        <w:sz w:val="20"/>
        <w:szCs w:val="20"/>
      </w:rPr>
      <w:t>–</w:t>
    </w:r>
    <w:r w:rsidR="00B00D61" w:rsidRPr="009016FB">
      <w:rPr>
        <w:sz w:val="20"/>
        <w:szCs w:val="20"/>
      </w:rPr>
      <w:t xml:space="preserve"> </w:t>
    </w:r>
    <w:r w:rsidR="00B00D61" w:rsidRPr="00624538">
      <w:rPr>
        <w:sz w:val="20"/>
        <w:szCs w:val="20"/>
      </w:rPr>
      <w:t xml:space="preserve">Autoimmune retinopathy (previously Autoimmune uveitis) </w:t>
    </w:r>
  </w:p>
  <w:p w:rsidR="00B00D61" w:rsidRDefault="00B00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61" w:rsidRPr="00624538" w:rsidRDefault="00236651" w:rsidP="00B00D61">
    <w:pPr>
      <w:pStyle w:val="Footer"/>
      <w:rPr>
        <w:sz w:val="20"/>
        <w:szCs w:val="20"/>
      </w:rPr>
    </w:pPr>
    <w:r>
      <w:rPr>
        <w:sz w:val="20"/>
        <w:szCs w:val="20"/>
      </w:rPr>
      <w:t>PUBLIC CONSULTATION 2017</w:t>
    </w:r>
    <w:r w:rsidR="00B00D61" w:rsidRPr="009016FB">
      <w:rPr>
        <w:sz w:val="20"/>
        <w:szCs w:val="20"/>
      </w:rPr>
      <w:t xml:space="preserve"> </w:t>
    </w:r>
    <w:r w:rsidR="00B00D61">
      <w:rPr>
        <w:sz w:val="20"/>
        <w:szCs w:val="20"/>
      </w:rPr>
      <w:t>–</w:t>
    </w:r>
    <w:r w:rsidR="00B00D61" w:rsidRPr="009016FB">
      <w:rPr>
        <w:sz w:val="20"/>
        <w:szCs w:val="20"/>
      </w:rPr>
      <w:t xml:space="preserve"> </w:t>
    </w:r>
    <w:r w:rsidR="00B00D61" w:rsidRPr="00624538">
      <w:rPr>
        <w:sz w:val="20"/>
        <w:szCs w:val="20"/>
      </w:rPr>
      <w:t xml:space="preserve">Autoimmune retinopathy (previously Autoimmune uveitis) </w:t>
    </w:r>
  </w:p>
  <w:p w:rsidR="00B00D61" w:rsidRDefault="00B00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61" w:rsidRPr="00624538" w:rsidRDefault="006664A3" w:rsidP="00B00D61">
    <w:pPr>
      <w:pStyle w:val="Footer"/>
      <w:rPr>
        <w:sz w:val="20"/>
        <w:szCs w:val="20"/>
      </w:rPr>
    </w:pPr>
    <w:r>
      <w:rPr>
        <w:sz w:val="20"/>
        <w:szCs w:val="20"/>
      </w:rPr>
      <w:t xml:space="preserve">PUBLIC CONSULTATION 2017 </w:t>
    </w:r>
    <w:r w:rsidR="00B00D61">
      <w:rPr>
        <w:sz w:val="20"/>
        <w:szCs w:val="20"/>
      </w:rPr>
      <w:t>–</w:t>
    </w:r>
    <w:r w:rsidR="00B00D61" w:rsidRPr="009016FB">
      <w:rPr>
        <w:sz w:val="20"/>
        <w:szCs w:val="20"/>
      </w:rPr>
      <w:t xml:space="preserve"> </w:t>
    </w:r>
    <w:r w:rsidR="00B00D61" w:rsidRPr="00624538">
      <w:rPr>
        <w:sz w:val="20"/>
        <w:szCs w:val="20"/>
      </w:rPr>
      <w:t xml:space="preserve">Autoimmune retinopathy (previously Autoimmune uveitis) </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82924"/>
    <w:multiLevelType w:val="hybridMultilevel"/>
    <w:tmpl w:val="82823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F33E5"/>
    <w:multiLevelType w:val="hybridMultilevel"/>
    <w:tmpl w:val="C38C44F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500"/>
    <w:multiLevelType w:val="hybridMultilevel"/>
    <w:tmpl w:val="AF0CF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D4E0875"/>
    <w:multiLevelType w:val="hybridMultilevel"/>
    <w:tmpl w:val="64AC8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B34229"/>
    <w:multiLevelType w:val="hybridMultilevel"/>
    <w:tmpl w:val="DB52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40"/>
  </w:num>
  <w:num w:numId="5">
    <w:abstractNumId w:val="16"/>
  </w:num>
  <w:num w:numId="6">
    <w:abstractNumId w:val="2"/>
  </w:num>
  <w:num w:numId="7">
    <w:abstractNumId w:val="1"/>
  </w:num>
  <w:num w:numId="8">
    <w:abstractNumId w:val="4"/>
  </w:num>
  <w:num w:numId="9">
    <w:abstractNumId w:val="0"/>
  </w:num>
  <w:num w:numId="10">
    <w:abstractNumId w:val="45"/>
  </w:num>
  <w:num w:numId="11">
    <w:abstractNumId w:val="29"/>
  </w:num>
  <w:num w:numId="12">
    <w:abstractNumId w:val="35"/>
  </w:num>
  <w:num w:numId="13">
    <w:abstractNumId w:val="12"/>
  </w:num>
  <w:num w:numId="14">
    <w:abstractNumId w:val="21"/>
  </w:num>
  <w:num w:numId="15">
    <w:abstractNumId w:val="11"/>
  </w:num>
  <w:num w:numId="16">
    <w:abstractNumId w:val="39"/>
  </w:num>
  <w:num w:numId="17">
    <w:abstractNumId w:val="5"/>
  </w:num>
  <w:num w:numId="18">
    <w:abstractNumId w:val="17"/>
  </w:num>
  <w:num w:numId="19">
    <w:abstractNumId w:val="33"/>
  </w:num>
  <w:num w:numId="20">
    <w:abstractNumId w:val="47"/>
  </w:num>
  <w:num w:numId="21">
    <w:abstractNumId w:val="14"/>
  </w:num>
  <w:num w:numId="22">
    <w:abstractNumId w:val="34"/>
  </w:num>
  <w:num w:numId="23">
    <w:abstractNumId w:val="10"/>
  </w:num>
  <w:num w:numId="24">
    <w:abstractNumId w:val="3"/>
  </w:num>
  <w:num w:numId="25">
    <w:abstractNumId w:val="37"/>
  </w:num>
  <w:num w:numId="26">
    <w:abstractNumId w:val="24"/>
  </w:num>
  <w:num w:numId="27">
    <w:abstractNumId w:val="43"/>
  </w:num>
  <w:num w:numId="28">
    <w:abstractNumId w:val="30"/>
  </w:num>
  <w:num w:numId="29">
    <w:abstractNumId w:val="31"/>
  </w:num>
  <w:num w:numId="30">
    <w:abstractNumId w:val="8"/>
  </w:num>
  <w:num w:numId="31">
    <w:abstractNumId w:val="9"/>
  </w:num>
  <w:num w:numId="32">
    <w:abstractNumId w:val="27"/>
  </w:num>
  <w:num w:numId="33">
    <w:abstractNumId w:val="46"/>
  </w:num>
  <w:num w:numId="34">
    <w:abstractNumId w:val="20"/>
  </w:num>
  <w:num w:numId="35">
    <w:abstractNumId w:val="32"/>
  </w:num>
  <w:num w:numId="36">
    <w:abstractNumId w:val="19"/>
  </w:num>
  <w:num w:numId="37">
    <w:abstractNumId w:val="15"/>
  </w:num>
  <w:num w:numId="38">
    <w:abstractNumId w:val="23"/>
  </w:num>
  <w:num w:numId="39">
    <w:abstractNumId w:val="26"/>
  </w:num>
  <w:num w:numId="40">
    <w:abstractNumId w:val="7"/>
  </w:num>
  <w:num w:numId="41">
    <w:abstractNumId w:val="42"/>
  </w:num>
  <w:num w:numId="42">
    <w:abstractNumId w:val="44"/>
  </w:num>
  <w:num w:numId="43">
    <w:abstractNumId w:val="25"/>
  </w:num>
  <w:num w:numId="44">
    <w:abstractNumId w:val="6"/>
  </w:num>
  <w:num w:numId="45">
    <w:abstractNumId w:val="48"/>
  </w:num>
  <w:num w:numId="46">
    <w:abstractNumId w:val="41"/>
  </w:num>
  <w:num w:numId="47">
    <w:abstractNumId w:val="13"/>
  </w:num>
  <w:num w:numId="48">
    <w:abstractNumId w:val="38"/>
  </w:num>
  <w:num w:numId="49">
    <w:abstractNumId w:val="3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27C17"/>
    <w:rsid w:val="00030B2D"/>
    <w:rsid w:val="00036EDC"/>
    <w:rsid w:val="00071B48"/>
    <w:rsid w:val="0007639A"/>
    <w:rsid w:val="00084843"/>
    <w:rsid w:val="000A3A69"/>
    <w:rsid w:val="000A65C9"/>
    <w:rsid w:val="000B27A7"/>
    <w:rsid w:val="000E09C4"/>
    <w:rsid w:val="000E4A51"/>
    <w:rsid w:val="000E4D1E"/>
    <w:rsid w:val="00120A7A"/>
    <w:rsid w:val="00153753"/>
    <w:rsid w:val="00164362"/>
    <w:rsid w:val="00165F48"/>
    <w:rsid w:val="0017270F"/>
    <w:rsid w:val="001849B2"/>
    <w:rsid w:val="00184E12"/>
    <w:rsid w:val="00186CF7"/>
    <w:rsid w:val="001A2460"/>
    <w:rsid w:val="001B2F7B"/>
    <w:rsid w:val="001C45B4"/>
    <w:rsid w:val="001E102B"/>
    <w:rsid w:val="0021213D"/>
    <w:rsid w:val="00216823"/>
    <w:rsid w:val="002306B2"/>
    <w:rsid w:val="00236651"/>
    <w:rsid w:val="00236B19"/>
    <w:rsid w:val="00240825"/>
    <w:rsid w:val="002506FF"/>
    <w:rsid w:val="002537F2"/>
    <w:rsid w:val="00255740"/>
    <w:rsid w:val="00275679"/>
    <w:rsid w:val="00282F66"/>
    <w:rsid w:val="002936DD"/>
    <w:rsid w:val="00294D10"/>
    <w:rsid w:val="00295CD3"/>
    <w:rsid w:val="002B0E14"/>
    <w:rsid w:val="002B56C5"/>
    <w:rsid w:val="002D2007"/>
    <w:rsid w:val="002F3325"/>
    <w:rsid w:val="00320BEB"/>
    <w:rsid w:val="00322D93"/>
    <w:rsid w:val="00327526"/>
    <w:rsid w:val="0033060E"/>
    <w:rsid w:val="00345719"/>
    <w:rsid w:val="00387685"/>
    <w:rsid w:val="00395032"/>
    <w:rsid w:val="003A1F9D"/>
    <w:rsid w:val="003D1795"/>
    <w:rsid w:val="003D27F1"/>
    <w:rsid w:val="003D2B63"/>
    <w:rsid w:val="003E3235"/>
    <w:rsid w:val="003F11F8"/>
    <w:rsid w:val="00403201"/>
    <w:rsid w:val="00416C4D"/>
    <w:rsid w:val="00433C78"/>
    <w:rsid w:val="00445EDE"/>
    <w:rsid w:val="00447869"/>
    <w:rsid w:val="00454FA8"/>
    <w:rsid w:val="00460325"/>
    <w:rsid w:val="00463B0C"/>
    <w:rsid w:val="0047615E"/>
    <w:rsid w:val="004856E4"/>
    <w:rsid w:val="004A10A2"/>
    <w:rsid w:val="004B14F4"/>
    <w:rsid w:val="004B7F75"/>
    <w:rsid w:val="004C7676"/>
    <w:rsid w:val="004D4636"/>
    <w:rsid w:val="004E4A52"/>
    <w:rsid w:val="005023CE"/>
    <w:rsid w:val="00525C51"/>
    <w:rsid w:val="00531E6D"/>
    <w:rsid w:val="00540020"/>
    <w:rsid w:val="00543C69"/>
    <w:rsid w:val="005546AE"/>
    <w:rsid w:val="005629EE"/>
    <w:rsid w:val="005717FB"/>
    <w:rsid w:val="0057713E"/>
    <w:rsid w:val="00584BEC"/>
    <w:rsid w:val="005851ED"/>
    <w:rsid w:val="005960E7"/>
    <w:rsid w:val="00596B2C"/>
    <w:rsid w:val="005C4C4B"/>
    <w:rsid w:val="005D2C3D"/>
    <w:rsid w:val="005E04F6"/>
    <w:rsid w:val="005F148B"/>
    <w:rsid w:val="00602D7D"/>
    <w:rsid w:val="006201B1"/>
    <w:rsid w:val="00624538"/>
    <w:rsid w:val="00627888"/>
    <w:rsid w:val="00631EAB"/>
    <w:rsid w:val="006365C5"/>
    <w:rsid w:val="006427C2"/>
    <w:rsid w:val="00642A5C"/>
    <w:rsid w:val="00644285"/>
    <w:rsid w:val="00657F36"/>
    <w:rsid w:val="006627B5"/>
    <w:rsid w:val="006631E9"/>
    <w:rsid w:val="006664A3"/>
    <w:rsid w:val="00666AA5"/>
    <w:rsid w:val="00670D34"/>
    <w:rsid w:val="0068082A"/>
    <w:rsid w:val="006855AF"/>
    <w:rsid w:val="006855B5"/>
    <w:rsid w:val="006902B9"/>
    <w:rsid w:val="00695219"/>
    <w:rsid w:val="006B0323"/>
    <w:rsid w:val="006B4C33"/>
    <w:rsid w:val="006B774D"/>
    <w:rsid w:val="006D2521"/>
    <w:rsid w:val="006D2FA8"/>
    <w:rsid w:val="006D36A9"/>
    <w:rsid w:val="006D67CF"/>
    <w:rsid w:val="006F1FA7"/>
    <w:rsid w:val="006F485E"/>
    <w:rsid w:val="00702EB0"/>
    <w:rsid w:val="00736906"/>
    <w:rsid w:val="0075469F"/>
    <w:rsid w:val="00787242"/>
    <w:rsid w:val="007B0C7B"/>
    <w:rsid w:val="007B2100"/>
    <w:rsid w:val="007C7B0F"/>
    <w:rsid w:val="007F3022"/>
    <w:rsid w:val="008041F6"/>
    <w:rsid w:val="00832D0D"/>
    <w:rsid w:val="00847EC8"/>
    <w:rsid w:val="008508C6"/>
    <w:rsid w:val="008515FF"/>
    <w:rsid w:val="00853117"/>
    <w:rsid w:val="00856708"/>
    <w:rsid w:val="008612AB"/>
    <w:rsid w:val="00880ECB"/>
    <w:rsid w:val="00893E0A"/>
    <w:rsid w:val="00896241"/>
    <w:rsid w:val="008B1889"/>
    <w:rsid w:val="00901446"/>
    <w:rsid w:val="00901F76"/>
    <w:rsid w:val="009025B7"/>
    <w:rsid w:val="00905D94"/>
    <w:rsid w:val="00915A48"/>
    <w:rsid w:val="009208EC"/>
    <w:rsid w:val="00933536"/>
    <w:rsid w:val="009347BC"/>
    <w:rsid w:val="0093594E"/>
    <w:rsid w:val="00951B85"/>
    <w:rsid w:val="00982D63"/>
    <w:rsid w:val="009B04BD"/>
    <w:rsid w:val="009C1E09"/>
    <w:rsid w:val="009E38CC"/>
    <w:rsid w:val="009F4509"/>
    <w:rsid w:val="00A0276B"/>
    <w:rsid w:val="00A0352E"/>
    <w:rsid w:val="00A05745"/>
    <w:rsid w:val="00A23D1D"/>
    <w:rsid w:val="00A31C82"/>
    <w:rsid w:val="00A357C4"/>
    <w:rsid w:val="00A365FB"/>
    <w:rsid w:val="00A57D60"/>
    <w:rsid w:val="00A7510F"/>
    <w:rsid w:val="00A80A19"/>
    <w:rsid w:val="00A81C38"/>
    <w:rsid w:val="00A82ADF"/>
    <w:rsid w:val="00AA19C1"/>
    <w:rsid w:val="00AA48C6"/>
    <w:rsid w:val="00AB120F"/>
    <w:rsid w:val="00AC3451"/>
    <w:rsid w:val="00AD086B"/>
    <w:rsid w:val="00AD4362"/>
    <w:rsid w:val="00AD54CA"/>
    <w:rsid w:val="00AD6B81"/>
    <w:rsid w:val="00AE5015"/>
    <w:rsid w:val="00AE63FA"/>
    <w:rsid w:val="00AF2FAD"/>
    <w:rsid w:val="00B00D61"/>
    <w:rsid w:val="00B20445"/>
    <w:rsid w:val="00B27930"/>
    <w:rsid w:val="00B35BD7"/>
    <w:rsid w:val="00B3726E"/>
    <w:rsid w:val="00BA76E3"/>
    <w:rsid w:val="00BB0792"/>
    <w:rsid w:val="00BD6C2D"/>
    <w:rsid w:val="00BD7111"/>
    <w:rsid w:val="00BD735D"/>
    <w:rsid w:val="00BF063F"/>
    <w:rsid w:val="00C21002"/>
    <w:rsid w:val="00C23675"/>
    <w:rsid w:val="00C24E0B"/>
    <w:rsid w:val="00C30174"/>
    <w:rsid w:val="00C30FD5"/>
    <w:rsid w:val="00C34D27"/>
    <w:rsid w:val="00C364CA"/>
    <w:rsid w:val="00C51E04"/>
    <w:rsid w:val="00C92149"/>
    <w:rsid w:val="00CA4321"/>
    <w:rsid w:val="00CB0878"/>
    <w:rsid w:val="00CB47C1"/>
    <w:rsid w:val="00CB50C5"/>
    <w:rsid w:val="00CC12B9"/>
    <w:rsid w:val="00CC3849"/>
    <w:rsid w:val="00CD5575"/>
    <w:rsid w:val="00CD5856"/>
    <w:rsid w:val="00CD7B8A"/>
    <w:rsid w:val="00CF6C5C"/>
    <w:rsid w:val="00D16B82"/>
    <w:rsid w:val="00D17E7A"/>
    <w:rsid w:val="00D17FEC"/>
    <w:rsid w:val="00D24193"/>
    <w:rsid w:val="00D67CFD"/>
    <w:rsid w:val="00D874FD"/>
    <w:rsid w:val="00D96987"/>
    <w:rsid w:val="00DA61B7"/>
    <w:rsid w:val="00DB17C2"/>
    <w:rsid w:val="00DB1925"/>
    <w:rsid w:val="00DB37C6"/>
    <w:rsid w:val="00DC4758"/>
    <w:rsid w:val="00DD166F"/>
    <w:rsid w:val="00DD6215"/>
    <w:rsid w:val="00DE42F6"/>
    <w:rsid w:val="00E201F2"/>
    <w:rsid w:val="00E337E6"/>
    <w:rsid w:val="00E62E16"/>
    <w:rsid w:val="00E672AA"/>
    <w:rsid w:val="00E712B5"/>
    <w:rsid w:val="00E76771"/>
    <w:rsid w:val="00EA2E82"/>
    <w:rsid w:val="00EB78FB"/>
    <w:rsid w:val="00EC0889"/>
    <w:rsid w:val="00ED6AAE"/>
    <w:rsid w:val="00F279CF"/>
    <w:rsid w:val="00F42816"/>
    <w:rsid w:val="00F64693"/>
    <w:rsid w:val="00F66136"/>
    <w:rsid w:val="00F70578"/>
    <w:rsid w:val="00FA06EA"/>
    <w:rsid w:val="00FC0E9B"/>
    <w:rsid w:val="00FC5CB0"/>
    <w:rsid w:val="00FD2CCD"/>
    <w:rsid w:val="00FD6289"/>
    <w:rsid w:val="00FE1B13"/>
    <w:rsid w:val="00FE1EE0"/>
    <w:rsid w:val="00FE5B66"/>
    <w:rsid w:val="00FE6E37"/>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FE6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FE6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mc/articles/PMC4254861/" TargetMode="External"/><Relationship Id="rId18" Type="http://schemas.openxmlformats.org/officeDocument/2006/relationships/hyperlink" Target="https://www.ncbi.nlm.nih.gov/pubmed/20656330" TargetMode="External"/><Relationship Id="rId3" Type="http://schemas.openxmlformats.org/officeDocument/2006/relationships/styles" Target="styles.xml"/><Relationship Id="rId21" Type="http://schemas.openxmlformats.org/officeDocument/2006/relationships/hyperlink" Target="http://www.igd.nhs.uk/wp-content/uploads/2016/04/DemandManagementPoster_v4_February2016.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6580469" TargetMode="External"/><Relationship Id="rId2" Type="http://schemas.openxmlformats.org/officeDocument/2006/relationships/numbering" Target="numbering.xml"/><Relationship Id="rId16" Type="http://schemas.openxmlformats.org/officeDocument/2006/relationships/hyperlink" Target="https://www.ncbi.nlm.nih.gov/pubmed/17162608" TargetMode="External"/><Relationship Id="rId20" Type="http://schemas.openxmlformats.org/officeDocument/2006/relationships/hyperlink" Target="https://www.gov.uk/government/uploads/system/uploads/attachment_data/file/216671/dh_13110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bi.nlm.nih.gov/pubmed/16764659"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bi.nlm.nih.gov/pubmed/1033434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2570828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800F-076E-4AE3-8207-2B8D1DDB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17</cp:revision>
  <cp:lastPrinted>2017-04-10T03:57:00Z</cp:lastPrinted>
  <dcterms:created xsi:type="dcterms:W3CDTF">2017-03-15T23:01:00Z</dcterms:created>
  <dcterms:modified xsi:type="dcterms:W3CDTF">2017-04-10T03:57:00Z</dcterms:modified>
</cp:coreProperties>
</file>