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F8791" w14:textId="4052E00A" w:rsidR="007367DA" w:rsidRPr="00E95BC6" w:rsidRDefault="00EC5AA6" w:rsidP="00E95BC6">
      <w:pPr>
        <w:pStyle w:val="Heading3"/>
        <w:ind w:left="-284"/>
        <w:rPr>
          <w:color w:val="auto"/>
        </w:rPr>
      </w:pPr>
      <w:r w:rsidRPr="00E95BC6">
        <w:rPr>
          <w:color w:val="auto"/>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2836"/>
        <w:gridCol w:w="11765"/>
      </w:tblGrid>
      <w:tr w:rsidR="008612AB" w:rsidRPr="00447869" w14:paraId="332AF1EE" w14:textId="77777777" w:rsidTr="00832D0D">
        <w:trPr>
          <w:tblHeader/>
        </w:trPr>
        <w:tc>
          <w:tcPr>
            <w:tcW w:w="14601" w:type="dxa"/>
            <w:gridSpan w:val="2"/>
            <w:shd w:val="clear" w:color="auto" w:fill="DBE5F1" w:themeFill="accent1" w:themeFillTint="33"/>
          </w:tcPr>
          <w:p w14:paraId="5F75542B" w14:textId="37028425" w:rsidR="008612AB" w:rsidRPr="00447869" w:rsidRDefault="00EC5AA6" w:rsidP="00737E59">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832D0D">
              <w:rPr>
                <w:rFonts w:asciiTheme="minorHAnsi" w:eastAsia="Times New Roman" w:hAnsiTheme="minorHAnsi" w:cs="Times New Roman"/>
                <w:b/>
                <w:bCs/>
                <w:lang w:eastAsia="en-AU"/>
              </w:rPr>
              <w:t xml:space="preserve"> </w:t>
            </w:r>
            <w:r w:rsidR="00737E59">
              <w:rPr>
                <w:rFonts w:asciiTheme="minorHAnsi" w:eastAsia="Times New Roman" w:hAnsiTheme="minorHAnsi" w:cs="Times New Roman"/>
                <w:b/>
                <w:bCs/>
                <w:lang w:eastAsia="en-AU"/>
              </w:rPr>
              <w:tab/>
            </w:r>
            <w:r w:rsidR="003F6934" w:rsidRPr="003F6934">
              <w:rPr>
                <w:rFonts w:asciiTheme="minorHAnsi" w:eastAsia="Times New Roman" w:hAnsiTheme="minorHAnsi" w:cs="Times New Roman"/>
                <w:b/>
                <w:bCs/>
                <w:lang w:eastAsia="en-AU"/>
              </w:rPr>
              <w:t xml:space="preserve">Graves </w:t>
            </w:r>
            <w:proofErr w:type="spellStart"/>
            <w:r w:rsidR="003F6934" w:rsidRPr="003F6934">
              <w:rPr>
                <w:rFonts w:asciiTheme="minorHAnsi" w:eastAsia="Times New Roman" w:hAnsiTheme="minorHAnsi" w:cs="Times New Roman"/>
                <w:b/>
                <w:bCs/>
                <w:lang w:eastAsia="en-AU"/>
              </w:rPr>
              <w:t>op</w:t>
            </w:r>
            <w:r w:rsidR="003F6934">
              <w:rPr>
                <w:rFonts w:asciiTheme="minorHAnsi" w:eastAsia="Times New Roman" w:hAnsiTheme="minorHAnsi" w:cs="Times New Roman"/>
                <w:b/>
                <w:bCs/>
                <w:lang w:eastAsia="en-AU"/>
              </w:rPr>
              <w:t>h</w:t>
            </w:r>
            <w:r w:rsidR="003F6934" w:rsidRPr="003F6934">
              <w:rPr>
                <w:rFonts w:asciiTheme="minorHAnsi" w:eastAsia="Times New Roman" w:hAnsiTheme="minorHAnsi" w:cs="Times New Roman"/>
                <w:b/>
                <w:bCs/>
                <w:lang w:eastAsia="en-AU"/>
              </w:rPr>
              <w:t>thalmopathy</w:t>
            </w:r>
            <w:proofErr w:type="spellEnd"/>
          </w:p>
        </w:tc>
      </w:tr>
      <w:tr w:rsidR="00642A5C" w:rsidRPr="00447869" w14:paraId="527DC852" w14:textId="77777777" w:rsidTr="006650F7">
        <w:trPr>
          <w:tblHeader/>
        </w:trPr>
        <w:tc>
          <w:tcPr>
            <w:tcW w:w="2836" w:type="dxa"/>
            <w:shd w:val="clear" w:color="auto" w:fill="auto"/>
          </w:tcPr>
          <w:p w14:paraId="300A6F7B" w14:textId="77777777" w:rsidR="003E3235" w:rsidRPr="000724AF" w:rsidRDefault="003E3235"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 xml:space="preserve"> </w:t>
            </w:r>
            <w:r w:rsidR="00EC5AA6" w:rsidRPr="000724AF">
              <w:rPr>
                <w:rFonts w:asciiTheme="minorHAnsi" w:eastAsia="Times New Roman" w:hAnsiTheme="minorHAnsi" w:cs="Times New Roman"/>
                <w:b/>
                <w:bCs/>
                <w:lang w:eastAsia="en-AU"/>
              </w:rPr>
              <w:t>PROPOSED APPROACH:</w:t>
            </w:r>
          </w:p>
          <w:p w14:paraId="428325C6" w14:textId="191D906C" w:rsidR="00EC5AA6" w:rsidRPr="00C92149" w:rsidRDefault="00EC5AA6" w:rsidP="008612AB">
            <w:pPr>
              <w:spacing w:before="120" w:after="120"/>
              <w:rPr>
                <w:rFonts w:asciiTheme="minorHAnsi" w:eastAsia="Times New Roman" w:hAnsiTheme="minorHAnsi" w:cs="Times New Roman"/>
                <w:bCs/>
                <w:lang w:eastAsia="en-AU"/>
              </w:rPr>
            </w:pPr>
            <w:r w:rsidRPr="000724AF">
              <w:rPr>
                <w:rFonts w:asciiTheme="minorHAnsi" w:eastAsia="Times New Roman" w:hAnsiTheme="minorHAnsi" w:cs="Times New Roman"/>
                <w:b/>
                <w:bCs/>
                <w:lang w:eastAsia="en-AU"/>
              </w:rPr>
              <w:t xml:space="preserve">To retain Graves </w:t>
            </w:r>
            <w:proofErr w:type="spellStart"/>
            <w:r w:rsidRPr="000724AF">
              <w:rPr>
                <w:rFonts w:asciiTheme="minorHAnsi" w:eastAsia="Times New Roman" w:hAnsiTheme="minorHAnsi" w:cs="Times New Roman"/>
                <w:b/>
                <w:bCs/>
                <w:lang w:eastAsia="en-AU"/>
              </w:rPr>
              <w:t>ophthalmopathy</w:t>
            </w:r>
            <w:proofErr w:type="spellEnd"/>
            <w:r w:rsidRPr="000724AF">
              <w:rPr>
                <w:rFonts w:asciiTheme="minorHAnsi" w:eastAsia="Times New Roman" w:hAnsiTheme="minorHAnsi" w:cs="Times New Roman"/>
                <w:b/>
                <w:bCs/>
                <w:lang w:eastAsia="en-AU"/>
              </w:rPr>
              <w:t xml:space="preserve"> in </w:t>
            </w:r>
            <w:r w:rsidRPr="000724AF">
              <w:rPr>
                <w:rFonts w:asciiTheme="minorHAnsi" w:eastAsia="Times New Roman" w:hAnsiTheme="minorHAnsi" w:cs="Times New Roman"/>
                <w:b/>
                <w:bCs/>
                <w:i/>
                <w:lang w:eastAsia="en-AU"/>
              </w:rPr>
              <w:t>Exceptional circumstances only</w:t>
            </w:r>
            <w:r>
              <w:rPr>
                <w:rFonts w:asciiTheme="minorHAnsi" w:eastAsia="Times New Roman" w:hAnsiTheme="minorHAnsi" w:cs="Times New Roman"/>
                <w:bCs/>
                <w:lang w:eastAsia="en-AU"/>
              </w:rPr>
              <w:t xml:space="preserve"> </w:t>
            </w:r>
            <w:r w:rsidR="000724AF" w:rsidRPr="00E95BC6">
              <w:rPr>
                <w:rFonts w:asciiTheme="minorHAnsi" w:eastAsia="Times New Roman" w:hAnsiTheme="minorHAnsi" w:cs="Times New Roman"/>
                <w:b/>
                <w:bCs/>
                <w:lang w:eastAsia="en-AU"/>
              </w:rPr>
              <w:t>with changes as outlined</w:t>
            </w:r>
          </w:p>
        </w:tc>
        <w:tc>
          <w:tcPr>
            <w:tcW w:w="11765" w:type="dxa"/>
            <w:shd w:val="clear" w:color="auto" w:fill="auto"/>
          </w:tcPr>
          <w:p w14:paraId="3C4CE636" w14:textId="77777777"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14:paraId="69F96EA1" w14:textId="77777777" w:rsidR="00F85CB9" w:rsidRDefault="00F85CB9" w:rsidP="00F85CB9">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recommended changes are supported by factors including that</w:t>
            </w:r>
            <w:r w:rsidRPr="00C92149">
              <w:rPr>
                <w:rFonts w:asciiTheme="minorHAnsi" w:eastAsia="Times New Roman" w:hAnsiTheme="minorHAnsi" w:cs="Times New Roman"/>
                <w:bCs/>
                <w:i/>
                <w:lang w:eastAsia="en-AU"/>
              </w:rPr>
              <w:t xml:space="preserve">:  </w:t>
            </w:r>
          </w:p>
          <w:p w14:paraId="253700B1" w14:textId="769449EB" w:rsidR="00A13727" w:rsidRPr="00B66E6B" w:rsidRDefault="00C11A85" w:rsidP="00B66E6B">
            <w:pPr>
              <w:pStyle w:val="ListParagraph"/>
              <w:numPr>
                <w:ilvl w:val="0"/>
                <w:numId w:val="6"/>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Access to Ig therapy will be limited to patients with severe and persistent </w:t>
            </w:r>
            <w:r w:rsidR="00EC5AA6" w:rsidRPr="00E95BC6">
              <w:rPr>
                <w:rFonts w:asciiTheme="minorHAnsi" w:eastAsia="Times New Roman" w:hAnsiTheme="minorHAnsi" w:cs="Times New Roman"/>
                <w:bCs/>
                <w:lang w:eastAsia="en-AU"/>
              </w:rPr>
              <w:t xml:space="preserve">Graves </w:t>
            </w:r>
            <w:proofErr w:type="spellStart"/>
            <w:r w:rsidR="00EC5AA6" w:rsidRPr="00E95BC6">
              <w:rPr>
                <w:rFonts w:asciiTheme="minorHAnsi" w:eastAsia="Times New Roman" w:hAnsiTheme="minorHAnsi" w:cs="Times New Roman"/>
                <w:bCs/>
                <w:lang w:eastAsia="en-AU"/>
              </w:rPr>
              <w:t>ophthalmopathy</w:t>
            </w:r>
            <w:proofErr w:type="spellEnd"/>
            <w:r>
              <w:rPr>
                <w:rFonts w:asciiTheme="minorHAnsi" w:eastAsia="Times New Roman" w:hAnsiTheme="minorHAnsi" w:cs="Times New Roman"/>
                <w:bCs/>
                <w:lang w:eastAsia="en-AU"/>
              </w:rPr>
              <w:t xml:space="preserve"> which may result in blindness</w:t>
            </w:r>
          </w:p>
          <w:p w14:paraId="43A354B7" w14:textId="6F28C32B" w:rsidR="00CD7B8A" w:rsidRDefault="004F3DB1" w:rsidP="00B66E6B">
            <w:pPr>
              <w:pStyle w:val="ListParagraph"/>
              <w:numPr>
                <w:ilvl w:val="0"/>
                <w:numId w:val="6"/>
              </w:numPr>
            </w:pPr>
            <w:r>
              <w:rPr>
                <w:rFonts w:asciiTheme="minorHAnsi" w:eastAsia="Times New Roman" w:hAnsiTheme="minorHAnsi" w:cs="Times New Roman"/>
                <w:bCs/>
                <w:lang w:eastAsia="en-AU"/>
              </w:rPr>
              <w:t xml:space="preserve">Alternative therapies are available and </w:t>
            </w:r>
            <w:r>
              <w:rPr>
                <w:lang w:eastAsia="en-AU"/>
              </w:rPr>
              <w:t>t</w:t>
            </w:r>
            <w:r w:rsidR="00A13727">
              <w:rPr>
                <w:lang w:eastAsia="en-AU"/>
              </w:rPr>
              <w:t>he</w:t>
            </w:r>
            <w:r>
              <w:rPr>
                <w:lang w:eastAsia="en-AU"/>
              </w:rPr>
              <w:t>se</w:t>
            </w:r>
            <w:r w:rsidR="00A13727">
              <w:rPr>
                <w:lang w:eastAsia="en-AU"/>
              </w:rPr>
              <w:t xml:space="preserve"> </w:t>
            </w:r>
            <w:r w:rsidR="00C11A85">
              <w:rPr>
                <w:lang w:eastAsia="en-AU"/>
              </w:rPr>
              <w:t>changes limit</w:t>
            </w:r>
            <w:r w:rsidR="00A13727">
              <w:rPr>
                <w:lang w:eastAsia="en-AU"/>
              </w:rPr>
              <w:t xml:space="preserve"> access </w:t>
            </w:r>
            <w:r>
              <w:rPr>
                <w:lang w:eastAsia="en-AU"/>
              </w:rPr>
              <w:t xml:space="preserve">to Ig therapy </w:t>
            </w:r>
            <w:r w:rsidR="00A13727">
              <w:rPr>
                <w:lang w:eastAsia="en-AU"/>
              </w:rPr>
              <w:t xml:space="preserve">as third line treatment after failure to respond </w:t>
            </w:r>
            <w:r w:rsidR="00C11A85">
              <w:rPr>
                <w:lang w:eastAsia="en-AU"/>
              </w:rPr>
              <w:t xml:space="preserve">to both high dose corticosteroids and rituximab and two other </w:t>
            </w:r>
            <w:r w:rsidR="00C11A85" w:rsidRPr="00C11A85">
              <w:rPr>
                <w:lang w:eastAsia="en-AU"/>
              </w:rPr>
              <w:t>alternative treatments</w:t>
            </w:r>
            <w:r w:rsidR="00C11A85">
              <w:rPr>
                <w:lang w:eastAsia="en-AU"/>
              </w:rPr>
              <w:t xml:space="preserve"> (unless contraindicated or unavailable)</w:t>
            </w:r>
            <w:r>
              <w:rPr>
                <w:lang w:eastAsia="en-AU"/>
              </w:rPr>
              <w:t>.</w:t>
            </w:r>
          </w:p>
          <w:p w14:paraId="6B916D99" w14:textId="7D771D50" w:rsidR="004F3DB1" w:rsidRPr="00B66E6B" w:rsidRDefault="004F3DB1" w:rsidP="00B66E6B">
            <w:pPr>
              <w:pStyle w:val="ListParagraph"/>
              <w:numPr>
                <w:ilvl w:val="0"/>
                <w:numId w:val="6"/>
              </w:numPr>
            </w:pPr>
            <w:r>
              <w:rPr>
                <w:rFonts w:asciiTheme="minorHAnsi" w:eastAsia="Times New Roman" w:hAnsiTheme="minorHAnsi" w:cs="Times New Roman"/>
                <w:bCs/>
                <w:lang w:eastAsia="en-AU"/>
              </w:rPr>
              <w:t>For such patien</w:t>
            </w:r>
            <w:r w:rsidR="007367DA">
              <w:rPr>
                <w:rFonts w:asciiTheme="minorHAnsi" w:eastAsia="Times New Roman" w:hAnsiTheme="minorHAnsi" w:cs="Times New Roman"/>
                <w:bCs/>
                <w:lang w:eastAsia="en-AU"/>
              </w:rPr>
              <w:t>ts where previous treatments have</w:t>
            </w:r>
            <w:r>
              <w:rPr>
                <w:rFonts w:asciiTheme="minorHAnsi" w:eastAsia="Times New Roman" w:hAnsiTheme="minorHAnsi" w:cs="Times New Roman"/>
                <w:bCs/>
                <w:lang w:eastAsia="en-AU"/>
              </w:rPr>
              <w:t xml:space="preserve"> not been successful, Ig therapy may be a sight saving treatment. </w:t>
            </w:r>
          </w:p>
          <w:p w14:paraId="0BEBC27F" w14:textId="31E4AB57" w:rsidR="00642A5C" w:rsidRPr="00B66E6B" w:rsidRDefault="00C11A85" w:rsidP="009B15F8">
            <w:pPr>
              <w:pStyle w:val="ListParagraph"/>
              <w:numPr>
                <w:ilvl w:val="0"/>
                <w:numId w:val="2"/>
              </w:numPr>
              <w:spacing w:before="120" w:after="120"/>
              <w:rPr>
                <w:rFonts w:asciiTheme="minorHAnsi" w:eastAsia="Times New Roman" w:hAnsiTheme="minorHAnsi" w:cs="Times New Roman"/>
                <w:b/>
                <w:bCs/>
                <w:lang w:eastAsia="en-AU"/>
              </w:rPr>
            </w:pPr>
            <w:r w:rsidRPr="00B66E6B">
              <w:rPr>
                <w:rFonts w:asciiTheme="minorHAnsi" w:hAnsiTheme="minorHAnsi"/>
              </w:rPr>
              <w:t xml:space="preserve">This approach is consistent with published </w:t>
            </w:r>
            <w:r w:rsidR="004F3DB1">
              <w:rPr>
                <w:rFonts w:asciiTheme="minorHAnsi" w:hAnsiTheme="minorHAnsi"/>
              </w:rPr>
              <w:t>European</w:t>
            </w:r>
            <w:r w:rsidRPr="00B66E6B">
              <w:rPr>
                <w:rFonts w:asciiTheme="minorHAnsi" w:hAnsiTheme="minorHAnsi"/>
              </w:rPr>
              <w:t xml:space="preserve"> </w:t>
            </w:r>
            <w:r w:rsidRPr="00EC5AA6">
              <w:rPr>
                <w:rFonts w:asciiTheme="minorHAnsi" w:hAnsiTheme="minorHAnsi"/>
              </w:rPr>
              <w:t>guidelines</w:t>
            </w:r>
            <w:r w:rsidR="00EC5AA6" w:rsidRPr="00E95BC6">
              <w:rPr>
                <w:rFonts w:asciiTheme="minorHAnsi" w:hAnsiTheme="minorHAnsi"/>
              </w:rPr>
              <w:t xml:space="preserve"> (</w:t>
            </w:r>
            <w:proofErr w:type="spellStart"/>
            <w:r w:rsidR="00EC5AA6" w:rsidRPr="00E95BC6">
              <w:rPr>
                <w:rFonts w:asciiTheme="minorHAnsi" w:hAnsiTheme="minorHAnsi"/>
              </w:rPr>
              <w:t>Bartelena</w:t>
            </w:r>
            <w:proofErr w:type="spellEnd"/>
            <w:r w:rsidR="00EC5AA6" w:rsidRPr="00E95BC6">
              <w:rPr>
                <w:rFonts w:asciiTheme="minorHAnsi" w:hAnsiTheme="minorHAnsi"/>
              </w:rPr>
              <w:t>, 2016)</w:t>
            </w:r>
            <w:r w:rsidRPr="00B66E6B">
              <w:rPr>
                <w:rFonts w:asciiTheme="minorHAnsi" w:hAnsiTheme="minorHAnsi"/>
              </w:rPr>
              <w:t xml:space="preserve"> and has been </w:t>
            </w:r>
            <w:r w:rsidR="009F1BB0">
              <w:rPr>
                <w:rFonts w:asciiTheme="minorHAnsi" w:hAnsiTheme="minorHAnsi"/>
              </w:rPr>
              <w:t xml:space="preserve">developed in </w:t>
            </w:r>
            <w:r w:rsidR="00B52FD3">
              <w:rPr>
                <w:rFonts w:asciiTheme="minorHAnsi" w:hAnsiTheme="minorHAnsi"/>
              </w:rPr>
              <w:t>consultation</w:t>
            </w:r>
            <w:r w:rsidR="009F1BB0" w:rsidRPr="009F1BB0">
              <w:rPr>
                <w:rFonts w:asciiTheme="minorHAnsi" w:hAnsiTheme="minorHAnsi"/>
              </w:rPr>
              <w:t xml:space="preserve"> with</w:t>
            </w:r>
            <w:r w:rsidRPr="00B66E6B">
              <w:rPr>
                <w:rFonts w:asciiTheme="minorHAnsi" w:hAnsiTheme="minorHAnsi"/>
              </w:rPr>
              <w:t xml:space="preserve"> both the</w:t>
            </w:r>
            <w:r>
              <w:rPr>
                <w:rFonts w:asciiTheme="minorHAnsi" w:hAnsiTheme="minorHAnsi"/>
                <w:i/>
              </w:rPr>
              <w:t xml:space="preserve"> </w:t>
            </w:r>
            <w:r>
              <w:rPr>
                <w:rFonts w:asciiTheme="minorHAnsi" w:eastAsia="MS Mincho" w:hAnsiTheme="minorHAnsi" w:cs="MS Mincho"/>
                <w:lang w:val="en-US"/>
              </w:rPr>
              <w:t>Endocrine Society of Australia and the Royal Australian and New Zealand College of Ophthalmologists.</w:t>
            </w:r>
            <w:r w:rsidR="009F1BB0">
              <w:rPr>
                <w:rFonts w:asciiTheme="minorHAnsi" w:eastAsia="MS Mincho" w:hAnsiTheme="minorHAnsi" w:cs="MS Mincho"/>
                <w:lang w:val="en-US"/>
              </w:rPr>
              <w:t xml:space="preserve"> It is anticipated that they reflect current clinical practice. </w:t>
            </w:r>
          </w:p>
          <w:p w14:paraId="26C2A876" w14:textId="2C8E02E5" w:rsidR="00162BB5" w:rsidRPr="00B66E6B" w:rsidRDefault="00EC5AA6" w:rsidP="009B15F8">
            <w:pPr>
              <w:pStyle w:val="ListParagraph"/>
              <w:numPr>
                <w:ilvl w:val="0"/>
                <w:numId w:val="2"/>
              </w:numPr>
              <w:spacing w:before="120" w:after="120"/>
              <w:rPr>
                <w:rFonts w:asciiTheme="minorHAnsi" w:eastAsia="Times New Roman" w:hAnsiTheme="minorHAnsi" w:cs="Times New Roman"/>
                <w:b/>
                <w:bCs/>
                <w:lang w:eastAsia="en-AU"/>
              </w:rPr>
            </w:pPr>
            <w:proofErr w:type="gramStart"/>
            <w:r w:rsidRPr="00EE6E30">
              <w:rPr>
                <w:rFonts w:asciiTheme="minorHAnsi" w:eastAsia="Times New Roman" w:hAnsiTheme="minorHAnsi" w:cs="Times New Roman"/>
                <w:bCs/>
                <w:lang w:eastAsia="en-AU"/>
              </w:rPr>
              <w:t>Graves</w:t>
            </w:r>
            <w:proofErr w:type="gramEnd"/>
            <w:r w:rsidRPr="00EE6E30">
              <w:rPr>
                <w:rFonts w:asciiTheme="minorHAnsi" w:eastAsia="Times New Roman" w:hAnsiTheme="minorHAnsi" w:cs="Times New Roman"/>
                <w:bCs/>
                <w:lang w:eastAsia="en-AU"/>
              </w:rPr>
              <w:t xml:space="preserve"> </w:t>
            </w:r>
            <w:proofErr w:type="spellStart"/>
            <w:r w:rsidRPr="00EE6E30">
              <w:rPr>
                <w:rFonts w:asciiTheme="minorHAnsi" w:eastAsia="Times New Roman" w:hAnsiTheme="minorHAnsi" w:cs="Times New Roman"/>
                <w:bCs/>
                <w:lang w:eastAsia="en-AU"/>
              </w:rPr>
              <w:t>ophthalmopathy</w:t>
            </w:r>
            <w:proofErr w:type="spellEnd"/>
            <w:r w:rsidR="00162BB5">
              <w:rPr>
                <w:rFonts w:asciiTheme="minorHAnsi" w:hAnsiTheme="minorHAnsi"/>
              </w:rPr>
              <w:t xml:space="preserve"> is </w:t>
            </w:r>
            <w:r w:rsidR="00875976">
              <w:rPr>
                <w:rFonts w:asciiTheme="minorHAnsi" w:hAnsiTheme="minorHAnsi"/>
              </w:rPr>
              <w:t>not recommended for funded access in the UK</w:t>
            </w:r>
            <w:r w:rsidR="00087B99">
              <w:rPr>
                <w:rFonts w:asciiTheme="minorHAnsi" w:hAnsiTheme="minorHAnsi"/>
              </w:rPr>
              <w:t xml:space="preserve"> (</w:t>
            </w:r>
            <w:r w:rsidR="001E34E6">
              <w:rPr>
                <w:rFonts w:asciiTheme="minorHAnsi" w:eastAsia="Times New Roman" w:hAnsiTheme="minorHAnsi" w:cs="Times New Roman"/>
                <w:color w:val="000000"/>
                <w:lang w:eastAsia="en-AU"/>
              </w:rPr>
              <w:t>UK Department of Health, 2011</w:t>
            </w:r>
            <w:r w:rsidR="00087B99">
              <w:rPr>
                <w:rFonts w:asciiTheme="minorHAnsi" w:hAnsiTheme="minorHAnsi"/>
              </w:rPr>
              <w:t>)</w:t>
            </w:r>
            <w:r w:rsidR="00875976">
              <w:rPr>
                <w:rFonts w:asciiTheme="minorHAnsi" w:hAnsiTheme="minorHAnsi"/>
              </w:rPr>
              <w:t xml:space="preserve"> </w:t>
            </w:r>
            <w:r w:rsidR="00816AD3">
              <w:rPr>
                <w:rFonts w:asciiTheme="minorHAnsi" w:hAnsiTheme="minorHAnsi"/>
              </w:rPr>
              <w:t xml:space="preserve">and is not </w:t>
            </w:r>
            <w:r w:rsidR="00087B99">
              <w:rPr>
                <w:rFonts w:asciiTheme="minorHAnsi" w:hAnsiTheme="minorHAnsi"/>
              </w:rPr>
              <w:t xml:space="preserve">mentioned in the Canadian </w:t>
            </w:r>
            <w:proofErr w:type="spellStart"/>
            <w:r w:rsidR="00EF29F1">
              <w:rPr>
                <w:rFonts w:asciiTheme="minorHAnsi" w:hAnsiTheme="minorHAnsi"/>
              </w:rPr>
              <w:t>IVIg</w:t>
            </w:r>
            <w:proofErr w:type="spellEnd"/>
            <w:r w:rsidR="00087B99">
              <w:rPr>
                <w:rFonts w:asciiTheme="minorHAnsi" w:hAnsiTheme="minorHAnsi"/>
              </w:rPr>
              <w:t xml:space="preserve"> Management G</w:t>
            </w:r>
            <w:r w:rsidR="00816AD3">
              <w:rPr>
                <w:rFonts w:asciiTheme="minorHAnsi" w:hAnsiTheme="minorHAnsi"/>
              </w:rPr>
              <w:t>uidelines</w:t>
            </w:r>
            <w:r w:rsidR="00087B99">
              <w:rPr>
                <w:rFonts w:asciiTheme="minorHAnsi" w:hAnsiTheme="minorHAnsi"/>
              </w:rPr>
              <w:t xml:space="preserve"> (</w:t>
            </w:r>
            <w:r w:rsidR="00087B99" w:rsidRPr="002A1261">
              <w:rPr>
                <w:rFonts w:asciiTheme="minorHAnsi" w:hAnsiTheme="minorHAnsi"/>
              </w:rPr>
              <w:t>Ontario Regional Blood Coordinating Network</w:t>
            </w:r>
            <w:r w:rsidR="00087B99">
              <w:rPr>
                <w:rFonts w:asciiTheme="minorHAnsi" w:hAnsiTheme="minorHAnsi"/>
              </w:rPr>
              <w:t>,</w:t>
            </w:r>
            <w:r w:rsidR="00087B99" w:rsidRPr="002A1261">
              <w:rPr>
                <w:rFonts w:asciiTheme="minorHAnsi" w:hAnsiTheme="minorHAnsi"/>
              </w:rPr>
              <w:t xml:space="preserve"> </w:t>
            </w:r>
            <w:r w:rsidR="00087B99">
              <w:rPr>
                <w:rFonts w:asciiTheme="minorHAnsi" w:hAnsiTheme="minorHAnsi"/>
              </w:rPr>
              <w:t>2016).</w:t>
            </w:r>
          </w:p>
          <w:p w14:paraId="3E99192D" w14:textId="0A0F5BDF" w:rsidR="00C11A85" w:rsidRPr="00B66E6B" w:rsidRDefault="00C958C4" w:rsidP="009B15F8">
            <w:pPr>
              <w:pStyle w:val="ListParagraph"/>
              <w:numPr>
                <w:ilvl w:val="0"/>
                <w:numId w:val="2"/>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Five or fewer </w:t>
            </w:r>
            <w:r w:rsidR="00C11A85" w:rsidRPr="00B66E6B">
              <w:rPr>
                <w:rFonts w:asciiTheme="minorHAnsi" w:eastAsia="Times New Roman" w:hAnsiTheme="minorHAnsi" w:cs="Times New Roman"/>
                <w:bCs/>
                <w:lang w:eastAsia="en-AU"/>
              </w:rPr>
              <w:t xml:space="preserve">patients have been treated </w:t>
            </w:r>
            <w:r>
              <w:rPr>
                <w:rFonts w:asciiTheme="minorHAnsi" w:eastAsia="Times New Roman" w:hAnsiTheme="minorHAnsi" w:cs="Times New Roman"/>
                <w:bCs/>
                <w:lang w:eastAsia="en-AU"/>
              </w:rPr>
              <w:t xml:space="preserve">each year </w:t>
            </w:r>
            <w:r w:rsidR="00C11A85" w:rsidRPr="00B66E6B">
              <w:rPr>
                <w:rFonts w:asciiTheme="minorHAnsi" w:eastAsia="Times New Roman" w:hAnsiTheme="minorHAnsi" w:cs="Times New Roman"/>
                <w:bCs/>
                <w:lang w:eastAsia="en-AU"/>
              </w:rPr>
              <w:t>in the last 5 years</w:t>
            </w:r>
            <w:r w:rsidR="004F3DB1">
              <w:rPr>
                <w:rFonts w:asciiTheme="minorHAnsi" w:eastAsia="Times New Roman" w:hAnsiTheme="minorHAnsi" w:cs="Times New Roman"/>
                <w:bCs/>
                <w:lang w:eastAsia="en-AU"/>
              </w:rPr>
              <w:t xml:space="preserve"> and demand is not expected to increase as a result of these changes. </w:t>
            </w:r>
            <w:r w:rsidR="00C11A85" w:rsidRPr="00B66E6B">
              <w:rPr>
                <w:rFonts w:asciiTheme="minorHAnsi" w:eastAsia="Times New Roman" w:hAnsiTheme="minorHAnsi" w:cs="Times New Roman"/>
                <w:bCs/>
                <w:lang w:eastAsia="en-AU"/>
              </w:rPr>
              <w:t xml:space="preserve"> </w:t>
            </w:r>
          </w:p>
          <w:p w14:paraId="6E912D25" w14:textId="77777777" w:rsidR="00FF4718" w:rsidRPr="00C92149" w:rsidRDefault="00FF4718" w:rsidP="00FF4718">
            <w:pPr>
              <w:pStyle w:val="ListParagraph"/>
              <w:spacing w:before="120" w:after="120"/>
              <w:rPr>
                <w:rFonts w:asciiTheme="minorHAnsi" w:eastAsia="Times New Roman" w:hAnsiTheme="minorHAnsi" w:cs="Times New Roman"/>
                <w:b/>
                <w:bCs/>
                <w:lang w:eastAsia="en-AU"/>
              </w:rPr>
            </w:pPr>
          </w:p>
        </w:tc>
      </w:tr>
      <w:tr w:rsidR="00631EAB" w:rsidRPr="00447869" w14:paraId="08A068A1" w14:textId="77777777" w:rsidTr="008612AB">
        <w:trPr>
          <w:tblHeader/>
        </w:trPr>
        <w:tc>
          <w:tcPr>
            <w:tcW w:w="14601" w:type="dxa"/>
            <w:gridSpan w:val="2"/>
            <w:shd w:val="clear" w:color="auto" w:fill="auto"/>
          </w:tcPr>
          <w:p w14:paraId="52511A2E" w14:textId="348181FC" w:rsidR="00631EAB" w:rsidRDefault="00EC5AA6"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C63A75">
              <w:rPr>
                <w:rFonts w:asciiTheme="minorHAnsi" w:eastAsia="Times New Roman" w:hAnsiTheme="minorHAnsi" w:cs="Times New Roman"/>
                <w:b/>
                <w:bCs/>
                <w:lang w:eastAsia="en-AU"/>
              </w:rPr>
              <w:t>2.1 CONDITION CATEG</w:t>
            </w:r>
            <w:r w:rsidR="00631EAB">
              <w:rPr>
                <w:rFonts w:asciiTheme="minorHAnsi" w:eastAsia="Times New Roman" w:hAnsiTheme="minorHAnsi" w:cs="Times New Roman"/>
                <w:b/>
                <w:bCs/>
                <w:lang w:eastAsia="en-AU"/>
              </w:rPr>
              <w:t xml:space="preserve">ORY: </w:t>
            </w:r>
            <w:r w:rsidR="00763BF8">
              <w:rPr>
                <w:rFonts w:asciiTheme="minorHAnsi" w:eastAsia="Times New Roman" w:hAnsiTheme="minorHAnsi" w:cs="Times New Roman"/>
                <w:b/>
                <w:bCs/>
                <w:lang w:eastAsia="en-AU"/>
              </w:rPr>
              <w:t xml:space="preserve">Condition for which Ig use is in </w:t>
            </w:r>
            <w:r w:rsidR="00763BF8">
              <w:rPr>
                <w:rFonts w:asciiTheme="minorHAnsi" w:eastAsia="Times New Roman" w:hAnsiTheme="minorHAnsi" w:cs="Times New Roman"/>
                <w:bCs/>
                <w:lang w:eastAsia="en-AU"/>
              </w:rPr>
              <w:t>e</w:t>
            </w:r>
            <w:r w:rsidR="00832D0D">
              <w:rPr>
                <w:rFonts w:asciiTheme="minorHAnsi" w:eastAsia="Times New Roman" w:hAnsiTheme="minorHAnsi" w:cs="Times New Roman"/>
                <w:bCs/>
                <w:lang w:eastAsia="en-AU"/>
              </w:rPr>
              <w:t xml:space="preserve">xceptional </w:t>
            </w:r>
            <w:r w:rsidR="00763BF8">
              <w:rPr>
                <w:rFonts w:asciiTheme="minorHAnsi" w:eastAsia="Times New Roman" w:hAnsiTheme="minorHAnsi" w:cs="Times New Roman"/>
                <w:bCs/>
                <w:lang w:eastAsia="en-AU"/>
              </w:rPr>
              <w:t>c</w:t>
            </w:r>
            <w:r w:rsidR="00832D0D">
              <w:rPr>
                <w:rFonts w:asciiTheme="minorHAnsi" w:eastAsia="Times New Roman" w:hAnsiTheme="minorHAnsi" w:cs="Times New Roman"/>
                <w:bCs/>
                <w:lang w:eastAsia="en-AU"/>
              </w:rPr>
              <w:t xml:space="preserve">ircumstances </w:t>
            </w:r>
            <w:r w:rsidR="00763BF8">
              <w:rPr>
                <w:rFonts w:asciiTheme="minorHAnsi" w:eastAsia="Times New Roman" w:hAnsiTheme="minorHAnsi" w:cs="Times New Roman"/>
                <w:bCs/>
                <w:lang w:eastAsia="en-AU"/>
              </w:rPr>
              <w:t>o</w:t>
            </w:r>
            <w:r w:rsidR="00832D0D">
              <w:rPr>
                <w:rFonts w:asciiTheme="minorHAnsi" w:eastAsia="Times New Roman" w:hAnsiTheme="minorHAnsi" w:cs="Times New Roman"/>
                <w:bCs/>
                <w:lang w:eastAsia="en-AU"/>
              </w:rPr>
              <w:t>nly</w:t>
            </w:r>
            <w:r w:rsidR="00763BF8">
              <w:rPr>
                <w:rFonts w:asciiTheme="minorHAnsi" w:eastAsia="Times New Roman" w:hAnsiTheme="minorHAnsi" w:cs="Times New Roman"/>
                <w:bCs/>
                <w:lang w:eastAsia="en-AU"/>
              </w:rPr>
              <w:t xml:space="preserve"> (Chapter 7)</w:t>
            </w:r>
          </w:p>
          <w:p w14:paraId="3E7AD093" w14:textId="796C4A80" w:rsidR="00E95BC6" w:rsidRDefault="00E95BC6"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v3.0 CONDITION CATEGORY: Condition for which Ig use is in </w:t>
            </w:r>
            <w:r>
              <w:rPr>
                <w:rFonts w:asciiTheme="minorHAnsi" w:eastAsia="Times New Roman" w:hAnsiTheme="minorHAnsi" w:cs="Times New Roman"/>
                <w:bCs/>
                <w:lang w:eastAsia="en-AU"/>
              </w:rPr>
              <w:t>exceptional circumstances only (Chapter 7)</w:t>
            </w:r>
          </w:p>
        </w:tc>
      </w:tr>
      <w:tr w:rsidR="008612AB" w:rsidRPr="00447869" w14:paraId="3908AB21" w14:textId="77777777" w:rsidTr="008612AB">
        <w:trPr>
          <w:tblHeader/>
        </w:trPr>
        <w:tc>
          <w:tcPr>
            <w:tcW w:w="14601" w:type="dxa"/>
            <w:gridSpan w:val="2"/>
            <w:shd w:val="clear" w:color="auto" w:fill="auto"/>
          </w:tcPr>
          <w:p w14:paraId="39A3781E" w14:textId="11B5B34D" w:rsidR="004F3DB1" w:rsidRDefault="008612AB" w:rsidP="004F3DB1">
            <w:pPr>
              <w:spacing w:before="120" w:after="120"/>
              <w:rPr>
                <w:rFonts w:ascii="MS Mincho" w:eastAsia="MS Mincho" w:hAnsi="MS Mincho" w:cs="MS Mincho"/>
                <w:lang w:val="en-US"/>
              </w:rPr>
            </w:pPr>
            <w:r>
              <w:rPr>
                <w:rFonts w:asciiTheme="minorHAnsi" w:eastAsia="Times New Roman" w:hAnsiTheme="minorHAnsi" w:cs="Times New Roman"/>
                <w:b/>
                <w:bCs/>
                <w:lang w:eastAsia="en-AU"/>
              </w:rPr>
              <w:t>Role of Ig therapy:</w:t>
            </w:r>
            <w:r w:rsidR="00F85CB9" w:rsidRPr="00B66E6B">
              <w:rPr>
                <w:rFonts w:asciiTheme="minorHAnsi" w:eastAsia="Times New Roman" w:hAnsiTheme="minorHAnsi" w:cs="Times New Roman"/>
                <w:bCs/>
                <w:lang w:eastAsia="en-AU"/>
              </w:rPr>
              <w:t xml:space="preserve"> While </w:t>
            </w:r>
            <w:proofErr w:type="spellStart"/>
            <w:r w:rsidR="00EF29F1">
              <w:rPr>
                <w:rFonts w:asciiTheme="minorHAnsi" w:eastAsia="Times New Roman" w:hAnsiTheme="minorHAnsi" w:cs="Times New Roman"/>
                <w:bCs/>
                <w:lang w:eastAsia="en-AU"/>
              </w:rPr>
              <w:t>IVIg</w:t>
            </w:r>
            <w:proofErr w:type="spellEnd"/>
            <w:r w:rsidR="00F85CB9" w:rsidRPr="00B66E6B">
              <w:rPr>
                <w:rFonts w:asciiTheme="minorHAnsi" w:eastAsia="Times New Roman" w:hAnsiTheme="minorHAnsi" w:cs="Times New Roman"/>
                <w:bCs/>
                <w:lang w:eastAsia="en-AU"/>
              </w:rPr>
              <w:t xml:space="preserve"> has been shown to be as effective as corticosteroids, due to cost and risks,</w:t>
            </w:r>
            <w:r w:rsidR="00F85CB9">
              <w:rPr>
                <w:rFonts w:asciiTheme="minorHAnsi" w:eastAsia="Times New Roman" w:hAnsiTheme="minorHAnsi" w:cs="Times New Roman"/>
                <w:b/>
                <w:bCs/>
                <w:lang w:eastAsia="en-AU"/>
              </w:rPr>
              <w:t xml:space="preserve"> </w:t>
            </w:r>
            <w:proofErr w:type="spellStart"/>
            <w:r w:rsidR="00EF29F1">
              <w:rPr>
                <w:rFonts w:asciiTheme="minorHAnsi" w:eastAsiaTheme="minorHAnsi" w:hAnsiTheme="minorHAnsi" w:cs="Times"/>
                <w:lang w:val="en-US"/>
              </w:rPr>
              <w:t>IVIg</w:t>
            </w:r>
            <w:proofErr w:type="spellEnd"/>
            <w:r w:rsidR="00F85CB9" w:rsidRPr="00B66E6B">
              <w:rPr>
                <w:rFonts w:asciiTheme="minorHAnsi" w:eastAsiaTheme="minorHAnsi" w:hAnsiTheme="minorHAnsi" w:cs="Times"/>
                <w:lang w:val="en-US"/>
              </w:rPr>
              <w:t xml:space="preserve"> is considered </w:t>
            </w:r>
            <w:r w:rsidR="00F85CB9">
              <w:rPr>
                <w:rFonts w:asciiTheme="minorHAnsi" w:eastAsiaTheme="minorHAnsi" w:hAnsiTheme="minorHAnsi" w:cs="Times"/>
                <w:lang w:val="en-US"/>
              </w:rPr>
              <w:t xml:space="preserve">to be </w:t>
            </w:r>
            <w:r w:rsidR="00F85CB9" w:rsidRPr="00B66E6B">
              <w:rPr>
                <w:rFonts w:asciiTheme="minorHAnsi" w:eastAsiaTheme="minorHAnsi" w:hAnsiTheme="minorHAnsi" w:cs="Times"/>
                <w:lang w:val="en-US"/>
              </w:rPr>
              <w:t>third line therapy</w:t>
            </w:r>
            <w:r w:rsidR="00F85CB9">
              <w:rPr>
                <w:rFonts w:asciiTheme="minorHAnsi" w:eastAsiaTheme="minorHAnsi" w:hAnsiTheme="minorHAnsi" w:cs="Times"/>
                <w:lang w:val="en-US"/>
              </w:rPr>
              <w:t xml:space="preserve"> after high dose glucocorticoids followed by a second course of intravenous glucocorticoids combined with orbital radiotherapy or cyclosporine or rituximab</w:t>
            </w:r>
            <w:r w:rsidR="00C421EE">
              <w:rPr>
                <w:rFonts w:asciiTheme="minorHAnsi" w:eastAsiaTheme="minorHAnsi" w:hAnsiTheme="minorHAnsi" w:cs="Times"/>
                <w:lang w:val="en-US"/>
              </w:rPr>
              <w:t xml:space="preserve">. </w:t>
            </w:r>
            <w:r w:rsidR="00F85CB9" w:rsidRPr="00B66E6B">
              <w:rPr>
                <w:rFonts w:asciiTheme="minorHAnsi" w:eastAsiaTheme="minorHAnsi" w:hAnsiTheme="minorHAnsi" w:cs="Times"/>
                <w:lang w:val="en-US"/>
              </w:rPr>
              <w:t xml:space="preserve"> </w:t>
            </w:r>
            <w:r w:rsidR="00C421EE" w:rsidRPr="00C421EE">
              <w:rPr>
                <w:rFonts w:asciiTheme="minorHAnsi" w:eastAsiaTheme="minorHAnsi" w:hAnsiTheme="minorHAnsi" w:cs="Times"/>
                <w:lang w:val="en-US"/>
              </w:rPr>
              <w:t>I</w:t>
            </w:r>
            <w:r w:rsidR="00F85CB9" w:rsidRPr="00B66E6B">
              <w:rPr>
                <w:rFonts w:asciiTheme="minorHAnsi" w:eastAsiaTheme="minorHAnsi" w:hAnsiTheme="minorHAnsi" w:cs="Times"/>
                <w:lang w:val="en-US"/>
              </w:rPr>
              <w:t xml:space="preserve">f active </w:t>
            </w:r>
            <w:proofErr w:type="gramStart"/>
            <w:r w:rsidR="00763BF8" w:rsidRPr="00EE6E30">
              <w:rPr>
                <w:rFonts w:asciiTheme="minorHAnsi" w:eastAsia="Times New Roman" w:hAnsiTheme="minorHAnsi" w:cs="Times New Roman"/>
                <w:bCs/>
                <w:lang w:eastAsia="en-AU"/>
              </w:rPr>
              <w:t>Graves</w:t>
            </w:r>
            <w:proofErr w:type="gramEnd"/>
            <w:r w:rsidR="00763BF8" w:rsidRPr="00EE6E30">
              <w:rPr>
                <w:rFonts w:asciiTheme="minorHAnsi" w:eastAsia="Times New Roman" w:hAnsiTheme="minorHAnsi" w:cs="Times New Roman"/>
                <w:bCs/>
                <w:lang w:eastAsia="en-AU"/>
              </w:rPr>
              <w:t xml:space="preserve"> </w:t>
            </w:r>
            <w:proofErr w:type="spellStart"/>
            <w:r w:rsidR="00763BF8" w:rsidRPr="00EE6E30">
              <w:rPr>
                <w:rFonts w:asciiTheme="minorHAnsi" w:eastAsia="Times New Roman" w:hAnsiTheme="minorHAnsi" w:cs="Times New Roman"/>
                <w:bCs/>
                <w:lang w:eastAsia="en-AU"/>
              </w:rPr>
              <w:t>ophthalmopathy</w:t>
            </w:r>
            <w:proofErr w:type="spellEnd"/>
            <w:r w:rsidR="00F85CB9" w:rsidRPr="00B66E6B">
              <w:rPr>
                <w:rFonts w:asciiTheme="minorHAnsi" w:eastAsiaTheme="minorHAnsi" w:hAnsiTheme="minorHAnsi" w:cs="Times"/>
                <w:lang w:val="en-US"/>
              </w:rPr>
              <w:t xml:space="preserve"> persists after </w:t>
            </w:r>
            <w:r w:rsidR="00C421EE">
              <w:rPr>
                <w:rFonts w:asciiTheme="minorHAnsi" w:eastAsiaTheme="minorHAnsi" w:hAnsiTheme="minorHAnsi" w:cs="Times"/>
                <w:lang w:val="en-US"/>
              </w:rPr>
              <w:t xml:space="preserve">this </w:t>
            </w:r>
            <w:r w:rsidR="00F85CB9" w:rsidRPr="00B66E6B">
              <w:rPr>
                <w:rFonts w:asciiTheme="minorHAnsi" w:eastAsiaTheme="minorHAnsi" w:hAnsiTheme="minorHAnsi" w:cs="Times"/>
                <w:lang w:val="en-US"/>
              </w:rPr>
              <w:t>treatment</w:t>
            </w:r>
            <w:r w:rsidR="00C421EE">
              <w:rPr>
                <w:rFonts w:asciiTheme="minorHAnsi" w:eastAsiaTheme="minorHAnsi" w:hAnsiTheme="minorHAnsi" w:cs="Times"/>
                <w:lang w:val="en-US"/>
              </w:rPr>
              <w:t>, Ig therapy can effectively improve clinical outcome and is preferably given</w:t>
            </w:r>
            <w:r w:rsidR="00F85CB9" w:rsidRPr="00B66E6B">
              <w:rPr>
                <w:rFonts w:asciiTheme="minorHAnsi" w:eastAsiaTheme="minorHAnsi" w:hAnsiTheme="minorHAnsi" w:cs="Times"/>
                <w:lang w:val="en-US"/>
              </w:rPr>
              <w:t xml:space="preserve"> in the setting of multi-disciplinary care with co-ordination between Ophthalmology, Immunology and Endocrinology. Rituximab should be considered ahead of </w:t>
            </w:r>
            <w:proofErr w:type="spellStart"/>
            <w:r w:rsidR="00EF29F1">
              <w:rPr>
                <w:rFonts w:asciiTheme="minorHAnsi" w:eastAsiaTheme="minorHAnsi" w:hAnsiTheme="minorHAnsi" w:cs="Times"/>
                <w:lang w:val="en-US"/>
              </w:rPr>
              <w:t>IVIg</w:t>
            </w:r>
            <w:proofErr w:type="spellEnd"/>
            <w:r w:rsidR="00F85CB9" w:rsidRPr="00B66E6B">
              <w:rPr>
                <w:rFonts w:asciiTheme="minorHAnsi" w:eastAsiaTheme="minorHAnsi" w:hAnsiTheme="minorHAnsi" w:cs="Times"/>
                <w:lang w:val="en-US"/>
              </w:rPr>
              <w:t xml:space="preserve">, unless the risk of </w:t>
            </w:r>
            <w:proofErr w:type="spellStart"/>
            <w:r w:rsidR="00F85CB9" w:rsidRPr="00B66E6B">
              <w:rPr>
                <w:rFonts w:asciiTheme="minorHAnsi" w:eastAsiaTheme="minorHAnsi" w:hAnsiTheme="minorHAnsi" w:cs="Times"/>
                <w:lang w:val="en-US"/>
              </w:rPr>
              <w:t>dysthyroid</w:t>
            </w:r>
            <w:proofErr w:type="spellEnd"/>
            <w:r w:rsidR="00F85CB9" w:rsidRPr="00B66E6B">
              <w:rPr>
                <w:rFonts w:asciiTheme="minorHAnsi" w:eastAsiaTheme="minorHAnsi" w:hAnsiTheme="minorHAnsi" w:cs="Times"/>
                <w:lang w:val="en-US"/>
              </w:rPr>
              <w:t xml:space="preserve"> optic neuropathy is high, as rituximab can precipitate this complication</w:t>
            </w:r>
            <w:r w:rsidR="004F3DB1">
              <w:rPr>
                <w:rFonts w:asciiTheme="minorHAnsi" w:eastAsiaTheme="minorHAnsi" w:hAnsiTheme="minorHAnsi" w:cs="Times"/>
                <w:lang w:val="en-US"/>
              </w:rPr>
              <w:t xml:space="preserve"> and would be contra-indicated</w:t>
            </w:r>
            <w:r w:rsidR="00F85CB9" w:rsidRPr="00B66E6B">
              <w:rPr>
                <w:rFonts w:asciiTheme="minorHAnsi" w:eastAsiaTheme="minorHAnsi" w:hAnsiTheme="minorHAnsi" w:cs="Times"/>
                <w:lang w:val="en-US"/>
              </w:rPr>
              <w:t>.</w:t>
            </w:r>
            <w:r w:rsidR="00F85CB9" w:rsidRPr="00B66E6B">
              <w:rPr>
                <w:rFonts w:ascii="MS Mincho" w:eastAsia="MS Mincho" w:hAnsi="MS Mincho" w:cs="MS Mincho"/>
                <w:lang w:val="en-US"/>
              </w:rPr>
              <w:t> </w:t>
            </w:r>
          </w:p>
          <w:p w14:paraId="0CDA9812" w14:textId="07649C72" w:rsidR="008612AB" w:rsidRPr="00912178" w:rsidRDefault="004F3DB1" w:rsidP="00B52FD3">
            <w:pPr>
              <w:spacing w:before="120" w:after="120"/>
              <w:rPr>
                <w:rFonts w:asciiTheme="minorHAnsi" w:eastAsia="MS Mincho" w:hAnsiTheme="minorHAnsi" w:cs="MS Mincho"/>
                <w:lang w:val="en-US"/>
              </w:rPr>
            </w:pPr>
            <w:r w:rsidRPr="004F3DB1">
              <w:rPr>
                <w:rFonts w:asciiTheme="minorHAnsi" w:eastAsia="MS Mincho" w:hAnsiTheme="minorHAnsi" w:cs="MS Mincho"/>
                <w:lang w:val="en-US"/>
              </w:rPr>
              <w:t>The</w:t>
            </w:r>
            <w:r w:rsidR="00C421EE" w:rsidRPr="00B66E6B">
              <w:rPr>
                <w:rFonts w:asciiTheme="minorHAnsi" w:eastAsia="MS Mincho" w:hAnsiTheme="minorHAnsi" w:cs="MS Mincho"/>
                <w:lang w:val="en-US"/>
              </w:rPr>
              <w:t>s</w:t>
            </w:r>
            <w:r>
              <w:rPr>
                <w:rFonts w:asciiTheme="minorHAnsi" w:eastAsia="MS Mincho" w:hAnsiTheme="minorHAnsi" w:cs="MS Mincho"/>
                <w:lang w:val="en-US"/>
              </w:rPr>
              <w:t>e</w:t>
            </w:r>
            <w:r w:rsidR="00C421EE" w:rsidRPr="00B66E6B">
              <w:rPr>
                <w:rFonts w:asciiTheme="minorHAnsi" w:eastAsia="MS Mincho" w:hAnsiTheme="minorHAnsi" w:cs="MS Mincho"/>
                <w:lang w:val="en-US"/>
              </w:rPr>
              <w:t xml:space="preserve"> </w:t>
            </w:r>
            <w:r>
              <w:rPr>
                <w:rFonts w:asciiTheme="minorHAnsi" w:eastAsia="MS Mincho" w:hAnsiTheme="minorHAnsi" w:cs="MS Mincho"/>
                <w:lang w:val="en-US"/>
              </w:rPr>
              <w:t xml:space="preserve">criteria for access </w:t>
            </w:r>
            <w:r w:rsidRPr="004F3DB1">
              <w:rPr>
                <w:rFonts w:asciiTheme="minorHAnsi" w:eastAsia="MS Mincho" w:hAnsiTheme="minorHAnsi" w:cs="MS Mincho"/>
                <w:lang w:val="en-US"/>
              </w:rPr>
              <w:t>have</w:t>
            </w:r>
            <w:r w:rsidR="00C421EE" w:rsidRPr="00B66E6B">
              <w:rPr>
                <w:rFonts w:asciiTheme="minorHAnsi" w:eastAsia="MS Mincho" w:hAnsiTheme="minorHAnsi" w:cs="MS Mincho"/>
                <w:lang w:val="en-US"/>
              </w:rPr>
              <w:t xml:space="preserve"> b</w:t>
            </w:r>
            <w:r w:rsidR="00C421EE">
              <w:rPr>
                <w:rFonts w:asciiTheme="minorHAnsi" w:eastAsia="MS Mincho" w:hAnsiTheme="minorHAnsi" w:cs="MS Mincho"/>
                <w:lang w:val="en-US"/>
              </w:rPr>
              <w:t xml:space="preserve">een </w:t>
            </w:r>
            <w:r w:rsidR="00B52FD3">
              <w:rPr>
                <w:rFonts w:asciiTheme="minorHAnsi" w:eastAsia="MS Mincho" w:hAnsiTheme="minorHAnsi" w:cs="MS Mincho"/>
                <w:lang w:val="en-US"/>
              </w:rPr>
              <w:t xml:space="preserve">developed in consultation with </w:t>
            </w:r>
            <w:r w:rsidR="00C421EE">
              <w:rPr>
                <w:rFonts w:asciiTheme="minorHAnsi" w:eastAsia="MS Mincho" w:hAnsiTheme="minorHAnsi" w:cs="MS Mincho"/>
                <w:lang w:val="en-US"/>
              </w:rPr>
              <w:t>both the Endocrine Society of Australia</w:t>
            </w:r>
            <w:r w:rsidR="002473D0">
              <w:rPr>
                <w:rFonts w:asciiTheme="minorHAnsi" w:eastAsia="MS Mincho" w:hAnsiTheme="minorHAnsi" w:cs="MS Mincho"/>
                <w:lang w:val="en-US"/>
              </w:rPr>
              <w:t xml:space="preserve"> (ESA)</w:t>
            </w:r>
            <w:r w:rsidR="00C421EE">
              <w:rPr>
                <w:rFonts w:asciiTheme="minorHAnsi" w:eastAsia="MS Mincho" w:hAnsiTheme="minorHAnsi" w:cs="MS Mincho"/>
                <w:lang w:val="en-US"/>
              </w:rPr>
              <w:t xml:space="preserve"> and the </w:t>
            </w:r>
            <w:r w:rsidR="00A13727">
              <w:rPr>
                <w:rFonts w:asciiTheme="minorHAnsi" w:eastAsia="MS Mincho" w:hAnsiTheme="minorHAnsi" w:cs="MS Mincho"/>
                <w:lang w:val="en-US"/>
              </w:rPr>
              <w:t>Royal Australian and New Zealand College of Ophthalmologists</w:t>
            </w:r>
            <w:r w:rsidR="002473D0">
              <w:rPr>
                <w:rFonts w:asciiTheme="minorHAnsi" w:eastAsia="MS Mincho" w:hAnsiTheme="minorHAnsi" w:cs="MS Mincho"/>
                <w:lang w:val="en-US"/>
              </w:rPr>
              <w:t xml:space="preserve"> (RANZCO)</w:t>
            </w:r>
            <w:r w:rsidR="00A13727">
              <w:rPr>
                <w:rFonts w:asciiTheme="minorHAnsi" w:eastAsia="MS Mincho" w:hAnsiTheme="minorHAnsi" w:cs="MS Mincho"/>
                <w:lang w:val="en-US"/>
              </w:rPr>
              <w:t xml:space="preserve">. </w:t>
            </w:r>
          </w:p>
        </w:tc>
      </w:tr>
    </w:tbl>
    <w:p w14:paraId="1C99DA7F" w14:textId="77777777" w:rsidR="005851ED" w:rsidRDefault="005851ED"/>
    <w:tbl>
      <w:tblPr>
        <w:tblStyle w:val="TableGrid"/>
        <w:tblW w:w="14601" w:type="dxa"/>
        <w:tblInd w:w="-318" w:type="dxa"/>
        <w:tblLook w:val="0680" w:firstRow="0" w:lastRow="0" w:firstColumn="1" w:lastColumn="0" w:noHBand="1" w:noVBand="1"/>
      </w:tblPr>
      <w:tblGrid>
        <w:gridCol w:w="1549"/>
        <w:gridCol w:w="2244"/>
        <w:gridCol w:w="2163"/>
        <w:gridCol w:w="2163"/>
        <w:gridCol w:w="2164"/>
        <w:gridCol w:w="4318"/>
      </w:tblGrid>
      <w:tr w:rsidR="00447869" w:rsidRPr="00853117" w14:paraId="295111AB" w14:textId="77777777" w:rsidTr="00B66E6B">
        <w:trPr>
          <w:trHeight w:val="406"/>
          <w:tblHeader/>
        </w:trPr>
        <w:tc>
          <w:tcPr>
            <w:tcW w:w="1549" w:type="dxa"/>
            <w:shd w:val="clear" w:color="auto" w:fill="DBE5F1" w:themeFill="accent1" w:themeFillTint="33"/>
          </w:tcPr>
          <w:p w14:paraId="555FF4E1"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2244" w:type="dxa"/>
            <w:shd w:val="clear" w:color="auto" w:fill="DBE5F1" w:themeFill="accent1" w:themeFillTint="33"/>
          </w:tcPr>
          <w:p w14:paraId="5D424529" w14:textId="4A72FB1F" w:rsidR="004A10A2" w:rsidRPr="00C92149" w:rsidRDefault="00763BF8" w:rsidP="00631EAB">
            <w:pPr>
              <w:spacing w:before="120" w:after="120"/>
              <w:jc w:val="center"/>
              <w:rPr>
                <w:rFonts w:asciiTheme="minorHAnsi" w:hAnsiTheme="minorHAnsi"/>
                <w:b/>
                <w:sz w:val="20"/>
                <w:szCs w:val="18"/>
              </w:rPr>
            </w:pPr>
            <w:r>
              <w:rPr>
                <w:rFonts w:asciiTheme="minorHAnsi" w:hAnsiTheme="minorHAnsi"/>
                <w:b/>
                <w:sz w:val="20"/>
                <w:szCs w:val="18"/>
              </w:rPr>
              <w:t>CRITERIA</w:t>
            </w:r>
            <w:r w:rsidR="00E95BC6">
              <w:rPr>
                <w:rFonts w:asciiTheme="minorHAnsi" w:hAnsiTheme="minorHAnsi"/>
                <w:b/>
                <w:sz w:val="20"/>
                <w:szCs w:val="18"/>
              </w:rPr>
              <w:t xml:space="preserve"> </w:t>
            </w:r>
            <w:r w:rsidR="001E102B">
              <w:rPr>
                <w:rFonts w:asciiTheme="minorHAnsi" w:hAnsiTheme="minorHAnsi"/>
                <w:b/>
                <w:sz w:val="20"/>
                <w:szCs w:val="18"/>
              </w:rPr>
              <w:t xml:space="preserve">v2.1 </w:t>
            </w:r>
          </w:p>
        </w:tc>
        <w:tc>
          <w:tcPr>
            <w:tcW w:w="6490" w:type="dxa"/>
            <w:gridSpan w:val="3"/>
            <w:shd w:val="clear" w:color="auto" w:fill="DBE5F1" w:themeFill="accent1" w:themeFillTint="33"/>
          </w:tcPr>
          <w:p w14:paraId="52642589"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4318" w:type="dxa"/>
            <w:shd w:val="clear" w:color="auto" w:fill="DBE5F1" w:themeFill="accent1" w:themeFillTint="33"/>
          </w:tcPr>
          <w:p w14:paraId="6700EB55" w14:textId="34697AA7" w:rsidR="00447869" w:rsidRPr="00C92149" w:rsidRDefault="00763BF8" w:rsidP="00763BF8">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00897F07" w:rsidRPr="00897F07">
              <w:rPr>
                <w:rFonts w:asciiTheme="minorHAnsi" w:eastAsia="Times New Roman" w:hAnsiTheme="minorHAnsi" w:cs="Times New Roman"/>
                <w:b/>
                <w:bCs/>
                <w:sz w:val="20"/>
                <w:szCs w:val="20"/>
                <w:lang w:eastAsia="en-AU"/>
              </w:rPr>
              <w:t xml:space="preserve"> RATIONALE FOR ADDITIONS/CLARIFICATIONS</w:t>
            </w:r>
          </w:p>
        </w:tc>
      </w:tr>
      <w:tr w:rsidR="00021243" w:rsidRPr="00447869" w14:paraId="1A3480D4" w14:textId="77777777" w:rsidTr="00B66E6B">
        <w:tc>
          <w:tcPr>
            <w:tcW w:w="1549" w:type="dxa"/>
            <w:shd w:val="clear" w:color="auto" w:fill="D9D9D9" w:themeFill="background1" w:themeFillShade="D9"/>
          </w:tcPr>
          <w:p w14:paraId="261F9547" w14:textId="77777777"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2244" w:type="dxa"/>
          </w:tcPr>
          <w:p w14:paraId="24AE9B90" w14:textId="77777777" w:rsidR="003A1F9D" w:rsidRPr="00737E59" w:rsidRDefault="003F6934" w:rsidP="003A1F9D">
            <w:pPr>
              <w:pStyle w:val="heading"/>
              <w:spacing w:before="0" w:beforeAutospacing="0" w:after="225" w:afterAutospacing="0" w:line="293" w:lineRule="atLeast"/>
              <w:rPr>
                <w:rFonts w:asciiTheme="minorHAnsi" w:eastAsia="Dotum" w:hAnsiTheme="minorHAnsi" w:cs="Calibri"/>
                <w:sz w:val="22"/>
                <w:szCs w:val="22"/>
              </w:rPr>
            </w:pPr>
            <w:r w:rsidRPr="00737E59">
              <w:rPr>
                <w:rFonts w:asciiTheme="minorHAnsi" w:eastAsia="Dotum" w:hAnsiTheme="minorHAnsi" w:cs="Calibri"/>
                <w:sz w:val="22"/>
                <w:szCs w:val="22"/>
              </w:rPr>
              <w:t xml:space="preserve">Graves </w:t>
            </w:r>
            <w:proofErr w:type="spellStart"/>
            <w:r w:rsidRPr="00737E59">
              <w:rPr>
                <w:rFonts w:asciiTheme="minorHAnsi" w:eastAsia="Dotum" w:hAnsiTheme="minorHAnsi" w:cs="Calibri"/>
                <w:sz w:val="22"/>
                <w:szCs w:val="22"/>
              </w:rPr>
              <w:t>ophthalmopathy</w:t>
            </w:r>
            <w:proofErr w:type="spellEnd"/>
          </w:p>
          <w:p w14:paraId="5992A3D3" w14:textId="77777777" w:rsidR="00021243" w:rsidRPr="00896241" w:rsidRDefault="00021243" w:rsidP="00021243">
            <w:pPr>
              <w:spacing w:before="120" w:after="120"/>
              <w:rPr>
                <w:rFonts w:asciiTheme="minorHAnsi" w:hAnsiTheme="minorHAnsi"/>
                <w:b/>
              </w:rPr>
            </w:pPr>
          </w:p>
        </w:tc>
        <w:tc>
          <w:tcPr>
            <w:tcW w:w="6490" w:type="dxa"/>
            <w:gridSpan w:val="3"/>
          </w:tcPr>
          <w:p w14:paraId="69A3BE8D" w14:textId="77777777" w:rsidR="00021243" w:rsidRPr="00282F66" w:rsidRDefault="009B15F8" w:rsidP="009B15F8">
            <w:pPr>
              <w:spacing w:before="120" w:after="120"/>
              <w:ind w:firstLine="34"/>
              <w:rPr>
                <w:rFonts w:asciiTheme="minorHAnsi" w:hAnsiTheme="minorHAnsi"/>
                <w:b/>
              </w:rPr>
            </w:pPr>
            <w:r w:rsidRPr="009B15F8">
              <w:rPr>
                <w:rFonts w:asciiTheme="minorHAnsi" w:hAnsiTheme="minorHAnsi"/>
              </w:rPr>
              <w:t xml:space="preserve">Graves </w:t>
            </w:r>
            <w:proofErr w:type="spellStart"/>
            <w:r w:rsidRPr="009B15F8">
              <w:rPr>
                <w:rFonts w:asciiTheme="minorHAnsi" w:hAnsiTheme="minorHAnsi"/>
              </w:rPr>
              <w:t>ophthalmopathy</w:t>
            </w:r>
            <w:proofErr w:type="spellEnd"/>
          </w:p>
        </w:tc>
        <w:tc>
          <w:tcPr>
            <w:tcW w:w="4318" w:type="dxa"/>
          </w:tcPr>
          <w:p w14:paraId="49D20C73" w14:textId="77777777" w:rsidR="005960E7" w:rsidRPr="00C92149" w:rsidRDefault="00BD4DBD" w:rsidP="005960E7">
            <w:pPr>
              <w:pStyle w:val="heading"/>
              <w:spacing w:before="0" w:beforeAutospacing="0" w:after="225" w:afterAutospacing="0" w:line="293" w:lineRule="atLeast"/>
              <w:rPr>
                <w:rFonts w:asciiTheme="minorHAnsi" w:hAnsiTheme="minorHAnsi"/>
                <w:sz w:val="22"/>
              </w:rPr>
            </w:pPr>
            <w:r>
              <w:rPr>
                <w:rFonts w:asciiTheme="minorHAnsi" w:hAnsiTheme="minorHAnsi"/>
                <w:sz w:val="22"/>
              </w:rPr>
              <w:t>No change</w:t>
            </w:r>
          </w:p>
        </w:tc>
      </w:tr>
      <w:tr w:rsidR="00447869" w:rsidRPr="00447869" w14:paraId="63D71A3B" w14:textId="77777777" w:rsidTr="00B66E6B">
        <w:tc>
          <w:tcPr>
            <w:tcW w:w="1549" w:type="dxa"/>
            <w:shd w:val="clear" w:color="auto" w:fill="D9D9D9" w:themeFill="background1" w:themeFillShade="D9"/>
          </w:tcPr>
          <w:p w14:paraId="6B3F11D1" w14:textId="77777777" w:rsidR="00447869" w:rsidRPr="00447869" w:rsidRDefault="00447869" w:rsidP="00021243">
            <w:pPr>
              <w:spacing w:before="120" w:after="120"/>
              <w:rPr>
                <w:rFonts w:asciiTheme="minorHAnsi" w:hAnsiTheme="minorHAnsi"/>
              </w:rPr>
            </w:pPr>
            <w:r w:rsidRPr="00447869">
              <w:rPr>
                <w:rFonts w:asciiTheme="minorHAnsi" w:hAnsiTheme="minorHAnsi"/>
                <w:b/>
              </w:rPr>
              <w:t>Specialty</w:t>
            </w:r>
          </w:p>
        </w:tc>
        <w:tc>
          <w:tcPr>
            <w:tcW w:w="2244" w:type="dxa"/>
          </w:tcPr>
          <w:p w14:paraId="6D9B5FBB" w14:textId="77777777" w:rsidR="00447869" w:rsidRPr="00447869" w:rsidRDefault="003F6934" w:rsidP="00021243">
            <w:pPr>
              <w:spacing w:before="120" w:after="120"/>
              <w:rPr>
                <w:rFonts w:asciiTheme="minorHAnsi" w:hAnsiTheme="minorHAnsi"/>
              </w:rPr>
            </w:pPr>
            <w:r>
              <w:rPr>
                <w:rFonts w:asciiTheme="minorHAnsi" w:hAnsiTheme="minorHAnsi"/>
              </w:rPr>
              <w:t>Immunology</w:t>
            </w:r>
          </w:p>
        </w:tc>
        <w:tc>
          <w:tcPr>
            <w:tcW w:w="6490" w:type="dxa"/>
            <w:gridSpan w:val="3"/>
          </w:tcPr>
          <w:p w14:paraId="7CB47CD8" w14:textId="77777777" w:rsidR="00447869" w:rsidRPr="00447869" w:rsidRDefault="009B15F8" w:rsidP="00021243">
            <w:pPr>
              <w:spacing w:before="120" w:after="120"/>
              <w:rPr>
                <w:rFonts w:asciiTheme="minorHAnsi" w:hAnsiTheme="minorHAnsi"/>
              </w:rPr>
            </w:pPr>
            <w:r>
              <w:rPr>
                <w:rFonts w:asciiTheme="minorHAnsi" w:hAnsiTheme="minorHAnsi"/>
              </w:rPr>
              <w:t>Immunology</w:t>
            </w:r>
          </w:p>
        </w:tc>
        <w:tc>
          <w:tcPr>
            <w:tcW w:w="4318" w:type="dxa"/>
          </w:tcPr>
          <w:p w14:paraId="33266AAC" w14:textId="77777777" w:rsidR="00447869" w:rsidRPr="009208EC" w:rsidRDefault="00BD4DBD" w:rsidP="00021243">
            <w:pPr>
              <w:spacing w:before="120" w:after="120"/>
              <w:rPr>
                <w:rFonts w:asciiTheme="minorHAnsi" w:hAnsiTheme="minorHAnsi"/>
                <w:szCs w:val="20"/>
              </w:rPr>
            </w:pPr>
            <w:r>
              <w:rPr>
                <w:rFonts w:asciiTheme="minorHAnsi" w:hAnsiTheme="minorHAnsi"/>
                <w:szCs w:val="20"/>
              </w:rPr>
              <w:t>No change</w:t>
            </w:r>
          </w:p>
        </w:tc>
      </w:tr>
      <w:tr w:rsidR="00021243" w:rsidRPr="00447869" w14:paraId="250175F3" w14:textId="77777777" w:rsidTr="00B66E6B">
        <w:tc>
          <w:tcPr>
            <w:tcW w:w="1549" w:type="dxa"/>
            <w:shd w:val="clear" w:color="auto" w:fill="D9D9D9" w:themeFill="background1" w:themeFillShade="D9"/>
          </w:tcPr>
          <w:p w14:paraId="4E1629CA" w14:textId="4D9321B9" w:rsidR="00021243" w:rsidRPr="00447869" w:rsidRDefault="00763BF8" w:rsidP="00021243">
            <w:pPr>
              <w:spacing w:before="120" w:after="120"/>
              <w:rPr>
                <w:rFonts w:asciiTheme="minorHAnsi" w:hAnsiTheme="minorHAnsi"/>
              </w:rPr>
            </w:pPr>
            <w:r>
              <w:rPr>
                <w:rFonts w:asciiTheme="minorHAnsi" w:hAnsiTheme="minorHAnsi"/>
                <w:b/>
              </w:rPr>
              <w:t xml:space="preserve">Category </w:t>
            </w:r>
          </w:p>
        </w:tc>
        <w:tc>
          <w:tcPr>
            <w:tcW w:w="2244" w:type="dxa"/>
          </w:tcPr>
          <w:p w14:paraId="434E1ADA" w14:textId="208193DF" w:rsidR="00021243" w:rsidRPr="000724AF" w:rsidRDefault="00763BF8" w:rsidP="008515FF">
            <w:pPr>
              <w:spacing w:before="120" w:after="120"/>
              <w:rPr>
                <w:rFonts w:asciiTheme="minorHAnsi" w:hAnsiTheme="minorHAnsi"/>
                <w:i/>
              </w:rPr>
            </w:pPr>
            <w:r w:rsidRPr="000724AF">
              <w:rPr>
                <w:rFonts w:asciiTheme="minorHAnsi" w:hAnsiTheme="minorHAnsi"/>
                <w:i/>
              </w:rPr>
              <w:t xml:space="preserve">Exceptional circumstances only </w:t>
            </w:r>
          </w:p>
        </w:tc>
        <w:tc>
          <w:tcPr>
            <w:tcW w:w="6490" w:type="dxa"/>
            <w:gridSpan w:val="3"/>
          </w:tcPr>
          <w:p w14:paraId="2668E953" w14:textId="26128770" w:rsidR="00021243" w:rsidRPr="000724AF" w:rsidRDefault="00763BF8" w:rsidP="00021243">
            <w:pPr>
              <w:spacing w:before="120" w:after="120"/>
              <w:rPr>
                <w:rFonts w:asciiTheme="minorHAnsi" w:hAnsiTheme="minorHAnsi"/>
                <w:i/>
              </w:rPr>
            </w:pPr>
            <w:r w:rsidRPr="000724AF">
              <w:rPr>
                <w:rFonts w:asciiTheme="minorHAnsi" w:hAnsiTheme="minorHAnsi"/>
                <w:i/>
              </w:rPr>
              <w:t>Exceptional circumstances only</w:t>
            </w:r>
          </w:p>
        </w:tc>
        <w:tc>
          <w:tcPr>
            <w:tcW w:w="4318" w:type="dxa"/>
          </w:tcPr>
          <w:p w14:paraId="21CBDD9C" w14:textId="77777777" w:rsidR="00021243" w:rsidRPr="009208EC" w:rsidRDefault="00BD4DBD" w:rsidP="00631EAB">
            <w:pPr>
              <w:spacing w:before="120" w:after="120"/>
              <w:rPr>
                <w:rFonts w:asciiTheme="minorHAnsi" w:hAnsiTheme="minorHAnsi"/>
                <w:szCs w:val="20"/>
              </w:rPr>
            </w:pPr>
            <w:r>
              <w:rPr>
                <w:rFonts w:asciiTheme="minorHAnsi" w:hAnsiTheme="minorHAnsi"/>
                <w:szCs w:val="20"/>
              </w:rPr>
              <w:t>No change</w:t>
            </w:r>
          </w:p>
        </w:tc>
      </w:tr>
      <w:tr w:rsidR="00447869" w:rsidRPr="00447869" w14:paraId="32139B5E" w14:textId="77777777" w:rsidTr="00B66E6B">
        <w:tc>
          <w:tcPr>
            <w:tcW w:w="1549" w:type="dxa"/>
            <w:shd w:val="clear" w:color="auto" w:fill="D9D9D9" w:themeFill="background1" w:themeFillShade="D9"/>
          </w:tcPr>
          <w:p w14:paraId="4416C1AB" w14:textId="77777777"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2244" w:type="dxa"/>
          </w:tcPr>
          <w:p w14:paraId="3810A785" w14:textId="77777777" w:rsidR="004A10A2" w:rsidRPr="00447869" w:rsidRDefault="003F6934" w:rsidP="008515FF">
            <w:pPr>
              <w:spacing w:before="120" w:after="120"/>
              <w:rPr>
                <w:rFonts w:asciiTheme="minorHAnsi" w:hAnsiTheme="minorHAnsi"/>
              </w:rPr>
            </w:pPr>
            <w:r w:rsidRPr="007B451A">
              <w:rPr>
                <w:rFonts w:asciiTheme="minorHAnsi" w:eastAsia="Times New Roman" w:hAnsiTheme="minorHAnsi" w:cs="Times New Roman"/>
                <w:bCs/>
                <w:lang w:eastAsia="en-AU"/>
              </w:rPr>
              <w:t xml:space="preserve">Graves </w:t>
            </w:r>
            <w:proofErr w:type="spellStart"/>
            <w:r w:rsidRPr="007B451A">
              <w:rPr>
                <w:rFonts w:asciiTheme="minorHAnsi" w:eastAsia="Times New Roman" w:hAnsiTheme="minorHAnsi" w:cs="Times New Roman"/>
                <w:bCs/>
                <w:lang w:eastAsia="en-AU"/>
              </w:rPr>
              <w:t>ophthalmopathy</w:t>
            </w:r>
            <w:proofErr w:type="spellEnd"/>
          </w:p>
        </w:tc>
        <w:tc>
          <w:tcPr>
            <w:tcW w:w="6490" w:type="dxa"/>
            <w:gridSpan w:val="3"/>
          </w:tcPr>
          <w:p w14:paraId="71F77075" w14:textId="18C86DC4" w:rsidR="00447869" w:rsidRPr="00447869" w:rsidRDefault="00862AFB" w:rsidP="008515FF">
            <w:pPr>
              <w:rPr>
                <w:rFonts w:asciiTheme="minorHAnsi" w:hAnsiTheme="minorHAnsi"/>
              </w:rPr>
            </w:pPr>
            <w:r w:rsidRPr="007B451A">
              <w:rPr>
                <w:rFonts w:asciiTheme="minorHAnsi" w:eastAsia="Times New Roman" w:hAnsiTheme="minorHAnsi" w:cs="Times New Roman"/>
                <w:bCs/>
                <w:lang w:eastAsia="en-AU"/>
              </w:rPr>
              <w:t xml:space="preserve">Graves </w:t>
            </w:r>
            <w:proofErr w:type="spellStart"/>
            <w:r w:rsidRPr="007B451A">
              <w:rPr>
                <w:rFonts w:asciiTheme="minorHAnsi" w:eastAsia="Times New Roman" w:hAnsiTheme="minorHAnsi" w:cs="Times New Roman"/>
                <w:bCs/>
                <w:lang w:eastAsia="en-AU"/>
              </w:rPr>
              <w:t>ophthalmopathy</w:t>
            </w:r>
            <w:proofErr w:type="spellEnd"/>
          </w:p>
        </w:tc>
        <w:tc>
          <w:tcPr>
            <w:tcW w:w="4318" w:type="dxa"/>
          </w:tcPr>
          <w:p w14:paraId="3CA21BDC" w14:textId="38988D1D" w:rsidR="00447869" w:rsidRPr="00C92149" w:rsidRDefault="00862AFB" w:rsidP="00021243">
            <w:pPr>
              <w:spacing w:before="120" w:after="120"/>
              <w:rPr>
                <w:rFonts w:asciiTheme="minorHAnsi" w:hAnsiTheme="minorHAnsi"/>
                <w:szCs w:val="20"/>
              </w:rPr>
            </w:pPr>
            <w:r>
              <w:rPr>
                <w:rFonts w:asciiTheme="minorHAnsi" w:hAnsiTheme="minorHAnsi"/>
                <w:szCs w:val="20"/>
              </w:rPr>
              <w:t>No change</w:t>
            </w:r>
          </w:p>
        </w:tc>
      </w:tr>
      <w:tr w:rsidR="00021243" w:rsidRPr="00447869" w14:paraId="4DD5202B" w14:textId="77777777" w:rsidTr="00B66E6B">
        <w:tc>
          <w:tcPr>
            <w:tcW w:w="1549" w:type="dxa"/>
            <w:shd w:val="clear" w:color="auto" w:fill="D9D9D9" w:themeFill="background1" w:themeFillShade="D9"/>
          </w:tcPr>
          <w:p w14:paraId="353C33D3" w14:textId="77777777" w:rsidR="00021243" w:rsidRPr="00447869" w:rsidRDefault="00021243" w:rsidP="00021243">
            <w:pPr>
              <w:spacing w:before="120" w:after="120"/>
              <w:rPr>
                <w:rFonts w:asciiTheme="minorHAnsi" w:hAnsiTheme="minorHAnsi"/>
                <w:b/>
              </w:rPr>
            </w:pPr>
            <w:r w:rsidRPr="00447869">
              <w:rPr>
                <w:rFonts w:asciiTheme="minorHAnsi" w:hAnsiTheme="minorHAnsi"/>
                <w:b/>
              </w:rPr>
              <w:t>Level of Evidence</w:t>
            </w:r>
          </w:p>
          <w:p w14:paraId="619CF4DA" w14:textId="77777777" w:rsidR="00021243" w:rsidRPr="00447869" w:rsidRDefault="00021243" w:rsidP="00021243">
            <w:pPr>
              <w:spacing w:before="120" w:after="120"/>
              <w:rPr>
                <w:rFonts w:asciiTheme="minorHAnsi" w:hAnsiTheme="minorHAnsi"/>
              </w:rPr>
            </w:pPr>
          </w:p>
        </w:tc>
        <w:tc>
          <w:tcPr>
            <w:tcW w:w="2244" w:type="dxa"/>
          </w:tcPr>
          <w:p w14:paraId="5D6A28CF" w14:textId="77777777" w:rsidR="00021243" w:rsidRPr="00447869" w:rsidRDefault="003F6934" w:rsidP="00021243">
            <w:pPr>
              <w:spacing w:before="120" w:after="120"/>
              <w:rPr>
                <w:rFonts w:asciiTheme="minorHAnsi" w:hAnsiTheme="minorHAnsi"/>
              </w:rPr>
            </w:pPr>
            <w:r w:rsidRPr="007B451A">
              <w:rPr>
                <w:rFonts w:asciiTheme="minorHAnsi" w:hAnsiTheme="minorHAnsi"/>
                <w:color w:val="000000"/>
              </w:rPr>
              <w:t>Evidence of probable benefit – more research needed (Category 2a)</w:t>
            </w:r>
          </w:p>
        </w:tc>
        <w:tc>
          <w:tcPr>
            <w:tcW w:w="6490" w:type="dxa"/>
            <w:gridSpan w:val="3"/>
          </w:tcPr>
          <w:p w14:paraId="4CAC7054" w14:textId="42778F92" w:rsidR="00021243" w:rsidRPr="00447869" w:rsidRDefault="00282F66" w:rsidP="004737A5">
            <w:pPr>
              <w:spacing w:before="120" w:after="120"/>
              <w:rPr>
                <w:rFonts w:asciiTheme="minorHAnsi" w:hAnsiTheme="minorHAnsi"/>
              </w:rPr>
            </w:pPr>
            <w:r>
              <w:t xml:space="preserve"> </w:t>
            </w:r>
            <w:r w:rsidR="004737A5">
              <w:t>Evidence of probable benefit – more research needed (Category 2a)</w:t>
            </w:r>
          </w:p>
        </w:tc>
        <w:tc>
          <w:tcPr>
            <w:tcW w:w="4318" w:type="dxa"/>
          </w:tcPr>
          <w:p w14:paraId="0E5E2C46" w14:textId="5D34003F" w:rsidR="00021243" w:rsidRPr="009208EC" w:rsidRDefault="00BD4DBD" w:rsidP="00E95BC6">
            <w:pPr>
              <w:spacing w:before="120" w:after="120"/>
              <w:rPr>
                <w:rFonts w:asciiTheme="minorHAnsi" w:hAnsiTheme="minorHAnsi"/>
                <w:szCs w:val="20"/>
              </w:rPr>
            </w:pPr>
            <w:r>
              <w:rPr>
                <w:rFonts w:asciiTheme="minorHAnsi" w:hAnsiTheme="minorHAnsi"/>
                <w:szCs w:val="20"/>
              </w:rPr>
              <w:t xml:space="preserve">No change </w:t>
            </w:r>
          </w:p>
        </w:tc>
      </w:tr>
      <w:tr w:rsidR="00AB120F" w:rsidRPr="00447869" w14:paraId="72E150A4" w14:textId="77777777" w:rsidTr="00B66E6B">
        <w:tc>
          <w:tcPr>
            <w:tcW w:w="1549" w:type="dxa"/>
            <w:shd w:val="clear" w:color="auto" w:fill="D9D9D9" w:themeFill="background1" w:themeFillShade="D9"/>
          </w:tcPr>
          <w:p w14:paraId="043FE7F1" w14:textId="77777777" w:rsidR="00AB120F" w:rsidRPr="00447869" w:rsidRDefault="00AB120F" w:rsidP="00CE69D0">
            <w:pPr>
              <w:spacing w:before="120" w:after="120"/>
              <w:rPr>
                <w:rFonts w:asciiTheme="minorHAnsi" w:hAnsiTheme="minorHAnsi"/>
                <w:b/>
              </w:rPr>
            </w:pPr>
            <w:r w:rsidRPr="00447869">
              <w:rPr>
                <w:rFonts w:asciiTheme="minorHAnsi" w:hAnsiTheme="minorHAnsi"/>
                <w:b/>
              </w:rPr>
              <w:t>Justification for Evidence Category</w:t>
            </w:r>
          </w:p>
          <w:p w14:paraId="22B1C59F" w14:textId="77777777" w:rsidR="00AB120F" w:rsidRPr="00447869" w:rsidRDefault="00AB120F" w:rsidP="00CE69D0">
            <w:pPr>
              <w:spacing w:before="120" w:after="120"/>
              <w:rPr>
                <w:rFonts w:asciiTheme="minorHAnsi" w:hAnsiTheme="minorHAnsi"/>
              </w:rPr>
            </w:pPr>
          </w:p>
        </w:tc>
        <w:tc>
          <w:tcPr>
            <w:tcW w:w="2244" w:type="dxa"/>
          </w:tcPr>
          <w:p w14:paraId="18F719AA" w14:textId="0A4429E5" w:rsidR="00AB120F" w:rsidRPr="00447869" w:rsidRDefault="00AB120F" w:rsidP="00CE69D0">
            <w:pPr>
              <w:spacing w:before="120" w:after="120"/>
              <w:rPr>
                <w:rFonts w:asciiTheme="minorHAnsi" w:hAnsiTheme="minorHAnsi"/>
              </w:rPr>
            </w:pPr>
          </w:p>
        </w:tc>
        <w:tc>
          <w:tcPr>
            <w:tcW w:w="6490" w:type="dxa"/>
            <w:gridSpan w:val="3"/>
          </w:tcPr>
          <w:p w14:paraId="5AA04B60" w14:textId="0D8A2A74" w:rsidR="00AB120F" w:rsidRPr="00447869" w:rsidRDefault="009B15F8" w:rsidP="00CE69D0">
            <w:pPr>
              <w:spacing w:before="120" w:after="120"/>
              <w:rPr>
                <w:rFonts w:asciiTheme="minorHAnsi" w:hAnsiTheme="minorHAnsi"/>
              </w:rPr>
            </w:pPr>
            <w:r w:rsidRPr="009B15F8">
              <w:rPr>
                <w:rFonts w:asciiTheme="minorHAnsi" w:hAnsiTheme="minorHAnsi"/>
              </w:rPr>
              <w:t>A randomised trial (</w:t>
            </w:r>
            <w:proofErr w:type="spellStart"/>
            <w:r w:rsidRPr="009B15F8">
              <w:rPr>
                <w:rFonts w:asciiTheme="minorHAnsi" w:hAnsiTheme="minorHAnsi"/>
              </w:rPr>
              <w:t>Kahaly</w:t>
            </w:r>
            <w:proofErr w:type="spellEnd"/>
            <w:r w:rsidRPr="009B15F8">
              <w:rPr>
                <w:rFonts w:asciiTheme="minorHAnsi" w:hAnsiTheme="minorHAnsi"/>
              </w:rPr>
              <w:t xml:space="preserve"> G et al, 1996) studied nineteen patients with active GO, treated with a twenty week course of oral prednisolone starting at 100 mg daily for one week, and tapering by 5 mg/week, and twenty-one patients with 1g </w:t>
            </w:r>
            <w:proofErr w:type="spellStart"/>
            <w:r w:rsidR="00EF29F1">
              <w:rPr>
                <w:rFonts w:asciiTheme="minorHAnsi" w:hAnsiTheme="minorHAnsi"/>
              </w:rPr>
              <w:t>IVIg</w:t>
            </w:r>
            <w:proofErr w:type="spellEnd"/>
            <w:r w:rsidRPr="009B15F8">
              <w:rPr>
                <w:rFonts w:asciiTheme="minorHAnsi" w:hAnsiTheme="minorHAnsi"/>
              </w:rPr>
              <w:t xml:space="preserve">/kg body weight for two consecutive days every three weeks, repeated six times. The proportion of responders was similar in both groups: 12/19, 63% in the prednisolone arm and 13/21, 62% in the </w:t>
            </w:r>
            <w:proofErr w:type="spellStart"/>
            <w:r w:rsidR="00EF29F1">
              <w:rPr>
                <w:rFonts w:asciiTheme="minorHAnsi" w:hAnsiTheme="minorHAnsi"/>
              </w:rPr>
              <w:t>IVIg</w:t>
            </w:r>
            <w:proofErr w:type="spellEnd"/>
            <w:r w:rsidRPr="009B15F8">
              <w:rPr>
                <w:rFonts w:asciiTheme="minorHAnsi" w:hAnsiTheme="minorHAnsi"/>
              </w:rPr>
              <w:t xml:space="preserve"> arm. In that study, responders to treatment in both groups showed similar moderate improvements in proptosis, and reductions of exophthalmos and soft tissue involvement. The authors’ discussion of their results, mirrored in the EUGOGO guidelines, refers to the high cost and potential risks </w:t>
            </w:r>
            <w:r w:rsidRPr="009B15F8">
              <w:rPr>
                <w:rFonts w:asciiTheme="minorHAnsi" w:hAnsiTheme="minorHAnsi"/>
              </w:rPr>
              <w:lastRenderedPageBreak/>
              <w:t xml:space="preserve">as limiting factors for the use of </w:t>
            </w:r>
            <w:proofErr w:type="spellStart"/>
            <w:r w:rsidR="00EF29F1">
              <w:rPr>
                <w:rFonts w:asciiTheme="minorHAnsi" w:hAnsiTheme="minorHAnsi"/>
              </w:rPr>
              <w:t>IVIg</w:t>
            </w:r>
            <w:proofErr w:type="spellEnd"/>
            <w:r w:rsidRPr="009B15F8">
              <w:rPr>
                <w:rFonts w:asciiTheme="minorHAnsi" w:hAnsiTheme="minorHAnsi"/>
              </w:rPr>
              <w:t>.</w:t>
            </w:r>
          </w:p>
        </w:tc>
        <w:tc>
          <w:tcPr>
            <w:tcW w:w="4318" w:type="dxa"/>
          </w:tcPr>
          <w:p w14:paraId="527879B1" w14:textId="1AE6BF01" w:rsidR="00AB120F" w:rsidRPr="00C92149" w:rsidRDefault="00862AFB" w:rsidP="008D39CE">
            <w:pPr>
              <w:spacing w:before="120" w:after="120"/>
              <w:rPr>
                <w:rFonts w:asciiTheme="minorHAnsi" w:hAnsiTheme="minorHAnsi"/>
                <w:szCs w:val="20"/>
              </w:rPr>
            </w:pPr>
            <w:r>
              <w:rPr>
                <w:rFonts w:asciiTheme="minorHAnsi" w:hAnsiTheme="minorHAnsi"/>
                <w:szCs w:val="20"/>
              </w:rPr>
              <w:lastRenderedPageBreak/>
              <w:t>This section has been</w:t>
            </w:r>
            <w:r w:rsidR="00BD4DBD">
              <w:rPr>
                <w:rFonts w:asciiTheme="minorHAnsi" w:hAnsiTheme="minorHAnsi"/>
                <w:szCs w:val="20"/>
              </w:rPr>
              <w:t xml:space="preserve"> drafted to summarise </w:t>
            </w:r>
            <w:r w:rsidR="008D39CE">
              <w:rPr>
                <w:rFonts w:asciiTheme="minorHAnsi" w:hAnsiTheme="minorHAnsi"/>
                <w:szCs w:val="20"/>
              </w:rPr>
              <w:t>the literature</w:t>
            </w:r>
            <w:r w:rsidR="00BD4DBD">
              <w:rPr>
                <w:rFonts w:asciiTheme="minorHAnsi" w:hAnsiTheme="minorHAnsi"/>
                <w:szCs w:val="20"/>
              </w:rPr>
              <w:t xml:space="preserve">. </w:t>
            </w:r>
          </w:p>
        </w:tc>
      </w:tr>
      <w:tr w:rsidR="00AB120F" w:rsidRPr="00447869" w14:paraId="191A3E3C" w14:textId="77777777" w:rsidTr="00B66E6B">
        <w:tc>
          <w:tcPr>
            <w:tcW w:w="1549" w:type="dxa"/>
            <w:shd w:val="clear" w:color="auto" w:fill="D9D9D9" w:themeFill="background1" w:themeFillShade="D9"/>
          </w:tcPr>
          <w:p w14:paraId="48DF9F82" w14:textId="77777777" w:rsidR="00AB120F" w:rsidRPr="00B66E6B" w:rsidRDefault="00AB120F" w:rsidP="00B66E6B">
            <w:pPr>
              <w:rPr>
                <w:b/>
              </w:rPr>
            </w:pPr>
            <w:r w:rsidRPr="00B66E6B">
              <w:rPr>
                <w:b/>
              </w:rPr>
              <w:lastRenderedPageBreak/>
              <w:t>Indications</w:t>
            </w:r>
          </w:p>
        </w:tc>
        <w:tc>
          <w:tcPr>
            <w:tcW w:w="2244" w:type="dxa"/>
          </w:tcPr>
          <w:p w14:paraId="45F728D9" w14:textId="04028930" w:rsidR="00AB120F" w:rsidRPr="00447869" w:rsidRDefault="003F6934" w:rsidP="00924A50">
            <w:pPr>
              <w:spacing w:before="120" w:after="120"/>
              <w:rPr>
                <w:rFonts w:asciiTheme="minorHAnsi" w:hAnsiTheme="minorHAnsi"/>
              </w:rPr>
            </w:pPr>
            <w:r w:rsidRPr="007B451A">
              <w:rPr>
                <w:rFonts w:asciiTheme="minorHAnsi" w:hAnsiTheme="minorHAnsi"/>
              </w:rPr>
              <w:t>Intravenous immunoglobulin (</w:t>
            </w:r>
            <w:proofErr w:type="spellStart"/>
            <w:r w:rsidR="00EF29F1">
              <w:rPr>
                <w:rFonts w:asciiTheme="minorHAnsi" w:hAnsiTheme="minorHAnsi"/>
              </w:rPr>
              <w:t>IVIg</w:t>
            </w:r>
            <w:proofErr w:type="spellEnd"/>
            <w:r w:rsidRPr="007B451A">
              <w:rPr>
                <w:rFonts w:asciiTheme="minorHAnsi" w:hAnsiTheme="minorHAnsi"/>
              </w:rPr>
              <w:t xml:space="preserve">) may be indicated in select cases. </w:t>
            </w:r>
            <w:proofErr w:type="spellStart"/>
            <w:r w:rsidRPr="007B451A">
              <w:rPr>
                <w:rFonts w:asciiTheme="minorHAnsi" w:hAnsiTheme="minorHAnsi"/>
              </w:rPr>
              <w:t>Tagami</w:t>
            </w:r>
            <w:proofErr w:type="spellEnd"/>
            <w:r w:rsidRPr="007B451A">
              <w:rPr>
                <w:rFonts w:asciiTheme="minorHAnsi" w:hAnsiTheme="minorHAnsi"/>
              </w:rPr>
              <w:t xml:space="preserve"> et al (1996) have shown that </w:t>
            </w:r>
            <w:proofErr w:type="spellStart"/>
            <w:r w:rsidR="00EF29F1">
              <w:rPr>
                <w:rFonts w:asciiTheme="minorHAnsi" w:hAnsiTheme="minorHAnsi"/>
              </w:rPr>
              <w:t>IVIg</w:t>
            </w:r>
            <w:proofErr w:type="spellEnd"/>
            <w:r w:rsidRPr="007B451A">
              <w:rPr>
                <w:rFonts w:asciiTheme="minorHAnsi" w:hAnsiTheme="minorHAnsi"/>
              </w:rPr>
              <w:t xml:space="preserve"> is effective in this condition. Other studies have shown </w:t>
            </w:r>
            <w:proofErr w:type="spellStart"/>
            <w:r w:rsidR="00EF29F1">
              <w:rPr>
                <w:rFonts w:asciiTheme="minorHAnsi" w:hAnsiTheme="minorHAnsi"/>
              </w:rPr>
              <w:t>IVIg</w:t>
            </w:r>
            <w:proofErr w:type="spellEnd"/>
            <w:r w:rsidRPr="007B451A">
              <w:rPr>
                <w:rFonts w:asciiTheme="minorHAnsi" w:hAnsiTheme="minorHAnsi"/>
              </w:rPr>
              <w:t xml:space="preserve"> to be as effective as corticosteroids, with fewer side effects. May be indicated where steroids have failed or are contraindicated.</w:t>
            </w:r>
          </w:p>
        </w:tc>
        <w:tc>
          <w:tcPr>
            <w:tcW w:w="6490" w:type="dxa"/>
            <w:gridSpan w:val="3"/>
          </w:tcPr>
          <w:p w14:paraId="35E6F8E1" w14:textId="77777777" w:rsidR="00AB120F" w:rsidRPr="006B05C0" w:rsidRDefault="009B15F8" w:rsidP="00CE69D0">
            <w:pPr>
              <w:spacing w:before="120" w:after="120"/>
              <w:rPr>
                <w:rFonts w:asciiTheme="minorHAnsi" w:hAnsiTheme="minorHAnsi"/>
                <w:b/>
              </w:rPr>
            </w:pPr>
            <w:r w:rsidRPr="006B05C0">
              <w:rPr>
                <w:rFonts w:asciiTheme="minorHAnsi" w:hAnsiTheme="minorHAnsi"/>
                <w:b/>
              </w:rPr>
              <w:t>Severe disease where immunosuppressant treatments have failed or are contraindicated</w:t>
            </w:r>
          </w:p>
        </w:tc>
        <w:tc>
          <w:tcPr>
            <w:tcW w:w="4318" w:type="dxa"/>
          </w:tcPr>
          <w:p w14:paraId="78E6A6BA" w14:textId="77777777" w:rsidR="00AB120F" w:rsidRPr="00C92149" w:rsidRDefault="009649FB" w:rsidP="00CE69D0">
            <w:pPr>
              <w:spacing w:before="120" w:after="120"/>
              <w:rPr>
                <w:sz w:val="20"/>
                <w:szCs w:val="20"/>
              </w:rPr>
            </w:pPr>
            <w:r>
              <w:rPr>
                <w:rFonts w:asciiTheme="minorHAnsi" w:hAnsiTheme="minorHAnsi"/>
              </w:rPr>
              <w:t>The revised</w:t>
            </w:r>
            <w:r w:rsidRPr="009649FB">
              <w:rPr>
                <w:rFonts w:asciiTheme="minorHAnsi" w:hAnsiTheme="minorHAnsi"/>
              </w:rPr>
              <w:t xml:space="preserve"> indication is based on </w:t>
            </w:r>
            <w:r>
              <w:rPr>
                <w:rFonts w:asciiTheme="minorHAnsi" w:hAnsiTheme="minorHAnsi"/>
              </w:rPr>
              <w:t>the available evidence.</w:t>
            </w:r>
            <w:r>
              <w:rPr>
                <w:sz w:val="20"/>
                <w:szCs w:val="20"/>
              </w:rPr>
              <w:t xml:space="preserve"> </w:t>
            </w:r>
          </w:p>
          <w:p w14:paraId="4397295A" w14:textId="77777777" w:rsidR="00AB120F" w:rsidRPr="00C92149" w:rsidRDefault="00AB120F" w:rsidP="00CE69D0">
            <w:pPr>
              <w:spacing w:before="120" w:after="120"/>
              <w:rPr>
                <w:rFonts w:asciiTheme="minorHAnsi" w:hAnsiTheme="minorHAnsi"/>
                <w:sz w:val="20"/>
                <w:szCs w:val="20"/>
              </w:rPr>
            </w:pPr>
          </w:p>
        </w:tc>
      </w:tr>
      <w:tr w:rsidR="00BA76E3" w:rsidRPr="00447869" w14:paraId="44D27FAF" w14:textId="77777777" w:rsidTr="00B66E6B">
        <w:tc>
          <w:tcPr>
            <w:tcW w:w="1549" w:type="dxa"/>
            <w:shd w:val="clear" w:color="auto" w:fill="D9D9D9" w:themeFill="background1" w:themeFillShade="D9"/>
          </w:tcPr>
          <w:p w14:paraId="1ED243CA" w14:textId="77777777" w:rsidR="00BA76E3" w:rsidRPr="00447869" w:rsidRDefault="00BA76E3" w:rsidP="00282F66">
            <w:pPr>
              <w:spacing w:before="120" w:after="120"/>
              <w:rPr>
                <w:rFonts w:asciiTheme="minorHAnsi" w:hAnsiTheme="minorHAnsi"/>
                <w:b/>
              </w:rPr>
            </w:pPr>
            <w:r w:rsidRPr="00447869">
              <w:rPr>
                <w:rFonts w:asciiTheme="minorHAnsi" w:hAnsiTheme="minorHAnsi"/>
                <w:b/>
              </w:rPr>
              <w:t>Description and Diagnostic Criteria</w:t>
            </w:r>
          </w:p>
          <w:p w14:paraId="037F5482" w14:textId="77777777" w:rsidR="00BA76E3" w:rsidRPr="00447869" w:rsidRDefault="00BA76E3" w:rsidP="00282F66">
            <w:pPr>
              <w:spacing w:before="120" w:after="120"/>
              <w:rPr>
                <w:rFonts w:asciiTheme="minorHAnsi" w:hAnsiTheme="minorHAnsi"/>
              </w:rPr>
            </w:pPr>
          </w:p>
        </w:tc>
        <w:tc>
          <w:tcPr>
            <w:tcW w:w="2244" w:type="dxa"/>
          </w:tcPr>
          <w:p w14:paraId="46D9B493" w14:textId="77777777" w:rsidR="008515FF" w:rsidRPr="004A10A2" w:rsidRDefault="00282F66" w:rsidP="008515FF">
            <w:pPr>
              <w:spacing w:after="225" w:line="293" w:lineRule="atLeast"/>
              <w:rPr>
                <w:rFonts w:asciiTheme="minorHAnsi" w:eastAsiaTheme="minorHAnsi" w:hAnsiTheme="minorHAnsi" w:cs="Times New Roman"/>
                <w:color w:val="000000"/>
              </w:rPr>
            </w:pPr>
            <w:r w:rsidRPr="003A1F9D">
              <w:rPr>
                <w:rFonts w:asciiTheme="minorHAnsi" w:eastAsiaTheme="minorHAnsi" w:hAnsiTheme="minorHAnsi" w:cs="Times New Roman"/>
                <w:color w:val="000000"/>
              </w:rPr>
              <w:t xml:space="preserve"> </w:t>
            </w:r>
          </w:p>
          <w:p w14:paraId="28F151D5" w14:textId="77777777" w:rsidR="00BA76E3" w:rsidRPr="00447869" w:rsidRDefault="00BA76E3" w:rsidP="008515FF">
            <w:pPr>
              <w:pStyle w:val="heading"/>
              <w:spacing w:before="0" w:beforeAutospacing="0" w:after="225" w:afterAutospacing="0" w:line="293" w:lineRule="atLeast"/>
              <w:rPr>
                <w:rFonts w:asciiTheme="minorHAnsi" w:hAnsiTheme="minorHAnsi"/>
              </w:rPr>
            </w:pPr>
          </w:p>
        </w:tc>
        <w:tc>
          <w:tcPr>
            <w:tcW w:w="6490" w:type="dxa"/>
            <w:gridSpan w:val="3"/>
          </w:tcPr>
          <w:p w14:paraId="4CDD1778" w14:textId="2356662D" w:rsidR="009B15F8" w:rsidRDefault="007367DA" w:rsidP="009B15F8">
            <w:pPr>
              <w:widowControl w:val="0"/>
              <w:autoSpaceDE w:val="0"/>
              <w:autoSpaceDN w:val="0"/>
              <w:adjustRightInd w:val="0"/>
              <w:rPr>
                <w:rFonts w:asciiTheme="minorHAnsi" w:hAnsiTheme="minorHAnsi"/>
              </w:rPr>
            </w:pPr>
            <w:proofErr w:type="gramStart"/>
            <w:r>
              <w:rPr>
                <w:rFonts w:asciiTheme="minorHAnsi" w:hAnsiTheme="minorHAnsi"/>
              </w:rPr>
              <w:t>Grave</w:t>
            </w:r>
            <w:r w:rsidR="009B15F8" w:rsidRPr="009B15F8">
              <w:rPr>
                <w:rFonts w:asciiTheme="minorHAnsi" w:hAnsiTheme="minorHAnsi"/>
              </w:rPr>
              <w:t>s</w:t>
            </w:r>
            <w:proofErr w:type="gramEnd"/>
            <w:r w:rsidR="009B15F8" w:rsidRPr="009B15F8">
              <w:rPr>
                <w:rFonts w:asciiTheme="minorHAnsi" w:hAnsiTheme="minorHAnsi"/>
              </w:rPr>
              <w:t xml:space="preserve"> </w:t>
            </w:r>
            <w:proofErr w:type="spellStart"/>
            <w:r w:rsidR="009B15F8" w:rsidRPr="009B15F8">
              <w:rPr>
                <w:rFonts w:asciiTheme="minorHAnsi" w:hAnsiTheme="minorHAnsi"/>
              </w:rPr>
              <w:t>op</w:t>
            </w:r>
            <w:r w:rsidR="00862AFB">
              <w:rPr>
                <w:rFonts w:asciiTheme="minorHAnsi" w:hAnsiTheme="minorHAnsi"/>
              </w:rPr>
              <w:t>h</w:t>
            </w:r>
            <w:r w:rsidR="009B15F8" w:rsidRPr="009B15F8">
              <w:rPr>
                <w:rFonts w:asciiTheme="minorHAnsi" w:hAnsiTheme="minorHAnsi"/>
              </w:rPr>
              <w:t>thalmopathy</w:t>
            </w:r>
            <w:proofErr w:type="spellEnd"/>
            <w:r w:rsidR="009B15F8" w:rsidRPr="009B15F8">
              <w:rPr>
                <w:rFonts w:asciiTheme="minorHAnsi" w:hAnsiTheme="minorHAnsi"/>
              </w:rPr>
              <w:t xml:space="preserve"> is an inflammatory disorder of eye occurring in association with Auto-Immune thyroid disease which can result in adverse visual outcome in few severe cases. The most severe complications include corneal ulcerations, Globe subluxation and dystrophic optic neuropathy. Evidence-based guidelines </w:t>
            </w:r>
            <w:r>
              <w:rPr>
                <w:rFonts w:asciiTheme="minorHAnsi" w:hAnsiTheme="minorHAnsi"/>
              </w:rPr>
              <w:t>of the European Group on Graves</w:t>
            </w:r>
            <w:r w:rsidR="009B15F8" w:rsidRPr="009B15F8">
              <w:rPr>
                <w:rFonts w:asciiTheme="minorHAnsi" w:hAnsiTheme="minorHAnsi"/>
              </w:rPr>
              <w:t xml:space="preserve"> </w:t>
            </w:r>
            <w:proofErr w:type="spellStart"/>
            <w:r w:rsidR="009B15F8" w:rsidRPr="009B15F8">
              <w:rPr>
                <w:rFonts w:asciiTheme="minorHAnsi" w:hAnsiTheme="minorHAnsi"/>
              </w:rPr>
              <w:t>Ophthalmopathy</w:t>
            </w:r>
            <w:proofErr w:type="spellEnd"/>
            <w:r w:rsidR="009B15F8" w:rsidRPr="009B15F8">
              <w:rPr>
                <w:rFonts w:asciiTheme="minorHAnsi" w:hAnsiTheme="minorHAnsi"/>
              </w:rPr>
              <w:t xml:space="preserve"> (EUGOGO) by </w:t>
            </w:r>
            <w:proofErr w:type="spellStart"/>
            <w:r w:rsidR="009B15F8" w:rsidRPr="009B15F8">
              <w:rPr>
                <w:rFonts w:asciiTheme="minorHAnsi" w:hAnsiTheme="minorHAnsi"/>
              </w:rPr>
              <w:t>Bartalena</w:t>
            </w:r>
            <w:proofErr w:type="spellEnd"/>
            <w:r w:rsidR="009B15F8" w:rsidRPr="009B15F8">
              <w:rPr>
                <w:rFonts w:asciiTheme="minorHAnsi" w:hAnsiTheme="minorHAnsi"/>
              </w:rPr>
              <w:t xml:space="preserve"> et al</w:t>
            </w:r>
            <w:r>
              <w:rPr>
                <w:rFonts w:asciiTheme="minorHAnsi" w:hAnsiTheme="minorHAnsi"/>
              </w:rPr>
              <w:t xml:space="preserve"> (2016)</w:t>
            </w:r>
            <w:r w:rsidR="009B15F8" w:rsidRPr="009B15F8">
              <w:rPr>
                <w:rFonts w:asciiTheme="minorHAnsi" w:hAnsiTheme="minorHAnsi"/>
              </w:rPr>
              <w:t xml:space="preserve"> advocate high dose glucocorticoids, preferably intravenous as first line therapy for moderate- to-severe and active </w:t>
            </w:r>
            <w:proofErr w:type="gramStart"/>
            <w:r w:rsidR="00763BF8">
              <w:rPr>
                <w:rFonts w:asciiTheme="minorHAnsi" w:hAnsiTheme="minorHAnsi"/>
              </w:rPr>
              <w:t>Grave</w:t>
            </w:r>
            <w:r w:rsidR="00763BF8" w:rsidRPr="009B15F8">
              <w:rPr>
                <w:rFonts w:asciiTheme="minorHAnsi" w:hAnsiTheme="minorHAnsi"/>
              </w:rPr>
              <w:t>s</w:t>
            </w:r>
            <w:proofErr w:type="gramEnd"/>
            <w:r w:rsidR="00763BF8" w:rsidRPr="009B15F8">
              <w:rPr>
                <w:rFonts w:asciiTheme="minorHAnsi" w:hAnsiTheme="minorHAnsi"/>
              </w:rPr>
              <w:t xml:space="preserve"> </w:t>
            </w:r>
            <w:proofErr w:type="spellStart"/>
            <w:r w:rsidR="00763BF8" w:rsidRPr="009B15F8">
              <w:rPr>
                <w:rFonts w:asciiTheme="minorHAnsi" w:hAnsiTheme="minorHAnsi"/>
              </w:rPr>
              <w:t>op</w:t>
            </w:r>
            <w:r w:rsidR="00763BF8">
              <w:rPr>
                <w:rFonts w:asciiTheme="minorHAnsi" w:hAnsiTheme="minorHAnsi"/>
              </w:rPr>
              <w:t>h</w:t>
            </w:r>
            <w:r w:rsidR="00763BF8" w:rsidRPr="009B15F8">
              <w:rPr>
                <w:rFonts w:asciiTheme="minorHAnsi" w:hAnsiTheme="minorHAnsi"/>
              </w:rPr>
              <w:t>thalmopathy</w:t>
            </w:r>
            <w:proofErr w:type="spellEnd"/>
            <w:r w:rsidR="009B15F8" w:rsidRPr="009B15F8">
              <w:rPr>
                <w:rFonts w:asciiTheme="minorHAnsi" w:hAnsiTheme="minorHAnsi"/>
              </w:rPr>
              <w:t xml:space="preserve">. For second line therapy, the guidelines recommend shared decision making with a second course of intravenous glucocorticoids, oral glucocorticoids combined with orbital radiotherapy or cyclosporine, or rituximab. Orbital decompression surgery, or squint or eyelid surgery are recommended </w:t>
            </w:r>
            <w:r w:rsidR="009B15F8" w:rsidRPr="009B15F8">
              <w:rPr>
                <w:rFonts w:asciiTheme="minorHAnsi" w:hAnsiTheme="minorHAnsi"/>
              </w:rPr>
              <w:lastRenderedPageBreak/>
              <w:t xml:space="preserve">for patients when </w:t>
            </w:r>
            <w:r w:rsidR="00763BF8">
              <w:rPr>
                <w:rFonts w:asciiTheme="minorHAnsi" w:hAnsiTheme="minorHAnsi"/>
              </w:rPr>
              <w:t>Grave</w:t>
            </w:r>
            <w:r w:rsidR="00763BF8" w:rsidRPr="009B15F8">
              <w:rPr>
                <w:rFonts w:asciiTheme="minorHAnsi" w:hAnsiTheme="minorHAnsi"/>
              </w:rPr>
              <w:t xml:space="preserve">s </w:t>
            </w:r>
            <w:proofErr w:type="spellStart"/>
            <w:r w:rsidR="00763BF8" w:rsidRPr="009B15F8">
              <w:rPr>
                <w:rFonts w:asciiTheme="minorHAnsi" w:hAnsiTheme="minorHAnsi"/>
              </w:rPr>
              <w:t>op</w:t>
            </w:r>
            <w:r w:rsidR="00763BF8">
              <w:rPr>
                <w:rFonts w:asciiTheme="minorHAnsi" w:hAnsiTheme="minorHAnsi"/>
              </w:rPr>
              <w:t>h</w:t>
            </w:r>
            <w:r w:rsidR="00763BF8" w:rsidRPr="009B15F8">
              <w:rPr>
                <w:rFonts w:asciiTheme="minorHAnsi" w:hAnsiTheme="minorHAnsi"/>
              </w:rPr>
              <w:t>thalmopathy</w:t>
            </w:r>
            <w:proofErr w:type="spellEnd"/>
            <w:r w:rsidR="009B15F8" w:rsidRPr="009B15F8">
              <w:rPr>
                <w:rFonts w:asciiTheme="minorHAnsi" w:hAnsiTheme="minorHAnsi"/>
              </w:rPr>
              <w:t xml:space="preserve"> has been managed conservatively and inactivated by immunosuppressive treatment. </w:t>
            </w:r>
          </w:p>
          <w:p w14:paraId="5524F355" w14:textId="77777777" w:rsidR="007367DA" w:rsidRPr="009B15F8" w:rsidRDefault="007367DA" w:rsidP="009B15F8">
            <w:pPr>
              <w:widowControl w:val="0"/>
              <w:autoSpaceDE w:val="0"/>
              <w:autoSpaceDN w:val="0"/>
              <w:adjustRightInd w:val="0"/>
              <w:rPr>
                <w:rFonts w:asciiTheme="minorHAnsi" w:hAnsiTheme="minorHAnsi"/>
              </w:rPr>
            </w:pPr>
          </w:p>
          <w:p w14:paraId="58DA2E2F" w14:textId="449AA450" w:rsidR="008515FF" w:rsidRPr="009B15F8" w:rsidRDefault="00EF29F1" w:rsidP="009B15F8">
            <w:pPr>
              <w:rPr>
                <w:rFonts w:asciiTheme="minorHAnsi" w:hAnsiTheme="minorHAnsi"/>
              </w:rPr>
            </w:pPr>
            <w:proofErr w:type="spellStart"/>
            <w:r>
              <w:rPr>
                <w:rFonts w:asciiTheme="minorHAnsi" w:hAnsiTheme="minorHAnsi"/>
              </w:rPr>
              <w:t>IVIg</w:t>
            </w:r>
            <w:proofErr w:type="spellEnd"/>
            <w:r w:rsidR="009B15F8" w:rsidRPr="009B15F8">
              <w:rPr>
                <w:rFonts w:asciiTheme="minorHAnsi" w:hAnsiTheme="minorHAnsi"/>
              </w:rPr>
              <w:t xml:space="preserve"> is considered third line therapy if active </w:t>
            </w:r>
            <w:proofErr w:type="gramStart"/>
            <w:r w:rsidR="00763BF8">
              <w:rPr>
                <w:rFonts w:asciiTheme="minorHAnsi" w:hAnsiTheme="minorHAnsi"/>
              </w:rPr>
              <w:t>Grave</w:t>
            </w:r>
            <w:r w:rsidR="00763BF8" w:rsidRPr="009B15F8">
              <w:rPr>
                <w:rFonts w:asciiTheme="minorHAnsi" w:hAnsiTheme="minorHAnsi"/>
              </w:rPr>
              <w:t>s</w:t>
            </w:r>
            <w:proofErr w:type="gramEnd"/>
            <w:r w:rsidR="00763BF8" w:rsidRPr="009B15F8">
              <w:rPr>
                <w:rFonts w:asciiTheme="minorHAnsi" w:hAnsiTheme="minorHAnsi"/>
              </w:rPr>
              <w:t xml:space="preserve"> </w:t>
            </w:r>
            <w:proofErr w:type="spellStart"/>
            <w:r w:rsidR="00763BF8" w:rsidRPr="009B15F8">
              <w:rPr>
                <w:rFonts w:asciiTheme="minorHAnsi" w:hAnsiTheme="minorHAnsi"/>
              </w:rPr>
              <w:t>op</w:t>
            </w:r>
            <w:r w:rsidR="00763BF8">
              <w:rPr>
                <w:rFonts w:asciiTheme="minorHAnsi" w:hAnsiTheme="minorHAnsi"/>
              </w:rPr>
              <w:t>h</w:t>
            </w:r>
            <w:r w:rsidR="00763BF8" w:rsidRPr="009B15F8">
              <w:rPr>
                <w:rFonts w:asciiTheme="minorHAnsi" w:hAnsiTheme="minorHAnsi"/>
              </w:rPr>
              <w:t>thalmopathy</w:t>
            </w:r>
            <w:proofErr w:type="spellEnd"/>
            <w:r w:rsidR="009B15F8" w:rsidRPr="009B15F8">
              <w:rPr>
                <w:rFonts w:asciiTheme="minorHAnsi" w:hAnsiTheme="minorHAnsi"/>
              </w:rPr>
              <w:t xml:space="preserve"> persists after treatment with glucocorticoid and other therapies, preferably in the setting of multi-disciplinary care with co-ordination between Ophthalmology, Immunology and Endocrinology. Rituximab should be considered ahead of </w:t>
            </w:r>
            <w:proofErr w:type="spellStart"/>
            <w:r>
              <w:rPr>
                <w:rFonts w:asciiTheme="minorHAnsi" w:hAnsiTheme="minorHAnsi"/>
              </w:rPr>
              <w:t>IVIg</w:t>
            </w:r>
            <w:proofErr w:type="spellEnd"/>
            <w:r w:rsidR="009B15F8" w:rsidRPr="009B15F8">
              <w:rPr>
                <w:rFonts w:asciiTheme="minorHAnsi" w:hAnsiTheme="minorHAnsi"/>
              </w:rPr>
              <w:t xml:space="preserve">, unless the risk of </w:t>
            </w:r>
            <w:proofErr w:type="spellStart"/>
            <w:r w:rsidR="009B15F8" w:rsidRPr="009B15F8">
              <w:rPr>
                <w:rFonts w:asciiTheme="minorHAnsi" w:hAnsiTheme="minorHAnsi"/>
              </w:rPr>
              <w:t>dysthyroid</w:t>
            </w:r>
            <w:proofErr w:type="spellEnd"/>
            <w:r w:rsidR="009B15F8" w:rsidRPr="009B15F8">
              <w:rPr>
                <w:rFonts w:asciiTheme="minorHAnsi" w:hAnsiTheme="minorHAnsi"/>
              </w:rPr>
              <w:t xml:space="preserve"> optic neuropathy is high, as rituximab can</w:t>
            </w:r>
            <w:r w:rsidR="00470AD1">
              <w:rPr>
                <w:rFonts w:asciiTheme="minorHAnsi" w:hAnsiTheme="minorHAnsi"/>
              </w:rPr>
              <w:t xml:space="preserve"> precipitate this complication.</w:t>
            </w:r>
          </w:p>
          <w:p w14:paraId="452AA7E0" w14:textId="77777777" w:rsidR="00BA76E3" w:rsidRPr="00447869" w:rsidRDefault="00BA76E3" w:rsidP="005960E7">
            <w:pPr>
              <w:rPr>
                <w:rFonts w:asciiTheme="minorHAnsi" w:hAnsiTheme="minorHAnsi"/>
              </w:rPr>
            </w:pPr>
          </w:p>
        </w:tc>
        <w:tc>
          <w:tcPr>
            <w:tcW w:w="4318" w:type="dxa"/>
          </w:tcPr>
          <w:p w14:paraId="10771E4F" w14:textId="463FF16D" w:rsidR="00BA76E3" w:rsidRPr="00C92149" w:rsidRDefault="00B96191" w:rsidP="008D39CE">
            <w:pPr>
              <w:spacing w:after="120"/>
              <w:rPr>
                <w:rFonts w:asciiTheme="minorHAnsi" w:hAnsiTheme="minorHAnsi"/>
                <w:sz w:val="20"/>
                <w:szCs w:val="20"/>
              </w:rPr>
            </w:pPr>
            <w:r>
              <w:rPr>
                <w:rFonts w:asciiTheme="minorHAnsi" w:hAnsiTheme="minorHAnsi"/>
              </w:rPr>
              <w:lastRenderedPageBreak/>
              <w:t>Section</w:t>
            </w:r>
            <w:r w:rsidR="009649FB" w:rsidRPr="009649FB">
              <w:rPr>
                <w:rFonts w:asciiTheme="minorHAnsi" w:hAnsiTheme="minorHAnsi"/>
              </w:rPr>
              <w:t xml:space="preserve"> added to reflect the </w:t>
            </w:r>
            <w:r w:rsidR="008D39CE">
              <w:rPr>
                <w:rFonts w:asciiTheme="minorHAnsi" w:hAnsiTheme="minorHAnsi"/>
              </w:rPr>
              <w:t>literature</w:t>
            </w:r>
            <w:r w:rsidR="009649FB" w:rsidRPr="009649FB">
              <w:rPr>
                <w:rFonts w:asciiTheme="minorHAnsi" w:hAnsiTheme="minorHAnsi"/>
              </w:rPr>
              <w:t xml:space="preserve">. It </w:t>
            </w:r>
            <w:r>
              <w:rPr>
                <w:rFonts w:asciiTheme="minorHAnsi" w:hAnsiTheme="minorHAnsi"/>
              </w:rPr>
              <w:t>h</w:t>
            </w:r>
            <w:r w:rsidR="009649FB" w:rsidRPr="009649FB">
              <w:rPr>
                <w:rFonts w:asciiTheme="minorHAnsi" w:hAnsiTheme="minorHAnsi"/>
              </w:rPr>
              <w:t xml:space="preserve">as </w:t>
            </w:r>
            <w:r>
              <w:rPr>
                <w:rFonts w:asciiTheme="minorHAnsi" w:hAnsiTheme="minorHAnsi"/>
              </w:rPr>
              <w:t xml:space="preserve">been </w:t>
            </w:r>
            <w:r w:rsidR="009649FB" w:rsidRPr="009649FB">
              <w:rPr>
                <w:rFonts w:asciiTheme="minorHAnsi" w:hAnsiTheme="minorHAnsi"/>
              </w:rPr>
              <w:t>reviewed by the College of Ophthalmologists.</w:t>
            </w:r>
            <w:r w:rsidR="009649FB">
              <w:rPr>
                <w:rFonts w:asciiTheme="minorHAnsi" w:hAnsiTheme="minorHAnsi"/>
                <w:sz w:val="20"/>
                <w:szCs w:val="20"/>
              </w:rPr>
              <w:t xml:space="preserve"> </w:t>
            </w:r>
          </w:p>
        </w:tc>
      </w:tr>
      <w:tr w:rsidR="00D810C3" w:rsidRPr="00853117" w14:paraId="704A6761" w14:textId="77777777" w:rsidTr="007367DA">
        <w:tc>
          <w:tcPr>
            <w:tcW w:w="1549" w:type="dxa"/>
            <w:shd w:val="clear" w:color="auto" w:fill="D9D9D9" w:themeFill="background1" w:themeFillShade="D9"/>
          </w:tcPr>
          <w:p w14:paraId="5A79453F" w14:textId="77777777"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2244" w:type="dxa"/>
            <w:vMerge w:val="restart"/>
          </w:tcPr>
          <w:p w14:paraId="79627892" w14:textId="77777777" w:rsidR="00447869" w:rsidRPr="00447869" w:rsidRDefault="00282F66" w:rsidP="00021243">
            <w:pPr>
              <w:spacing w:before="120" w:after="120"/>
              <w:rPr>
                <w:rFonts w:asciiTheme="minorHAnsi" w:hAnsiTheme="minorHAnsi"/>
                <w:b/>
              </w:rPr>
            </w:pPr>
            <w:r>
              <w:t xml:space="preserve"> </w:t>
            </w:r>
          </w:p>
        </w:tc>
        <w:tc>
          <w:tcPr>
            <w:tcW w:w="2163" w:type="dxa"/>
          </w:tcPr>
          <w:p w14:paraId="51B86E73" w14:textId="77777777" w:rsidR="00447869" w:rsidRPr="00447869" w:rsidRDefault="009B15F8" w:rsidP="00021243">
            <w:pPr>
              <w:spacing w:before="120" w:after="120"/>
              <w:rPr>
                <w:rFonts w:asciiTheme="minorHAnsi" w:hAnsiTheme="minorHAnsi"/>
              </w:rPr>
            </w:pPr>
            <w:r>
              <w:rPr>
                <w:rFonts w:asciiTheme="minorHAnsi" w:hAnsiTheme="minorHAnsi"/>
              </w:rPr>
              <w:t>Yes</w:t>
            </w:r>
          </w:p>
        </w:tc>
        <w:tc>
          <w:tcPr>
            <w:tcW w:w="2163" w:type="dxa"/>
            <w:shd w:val="clear" w:color="auto" w:fill="BFBFBF" w:themeFill="background1" w:themeFillShade="BF"/>
          </w:tcPr>
          <w:p w14:paraId="2B7223E5"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164" w:type="dxa"/>
          </w:tcPr>
          <w:p w14:paraId="32154B51" w14:textId="77777777" w:rsidR="007367DA" w:rsidRDefault="009B15F8" w:rsidP="00021243">
            <w:pPr>
              <w:spacing w:before="120" w:after="120"/>
              <w:rPr>
                <w:rFonts w:asciiTheme="minorHAnsi" w:hAnsiTheme="minorHAnsi"/>
              </w:rPr>
            </w:pPr>
            <w:r w:rsidRPr="009B15F8">
              <w:rPr>
                <w:rFonts w:asciiTheme="minorHAnsi" w:hAnsiTheme="minorHAnsi"/>
              </w:rPr>
              <w:t>Op</w:t>
            </w:r>
            <w:r w:rsidR="00862AFB">
              <w:rPr>
                <w:rFonts w:asciiTheme="minorHAnsi" w:hAnsiTheme="minorHAnsi"/>
              </w:rPr>
              <w:t>h</w:t>
            </w:r>
            <w:r w:rsidR="007367DA">
              <w:rPr>
                <w:rFonts w:asciiTheme="minorHAnsi" w:hAnsiTheme="minorHAnsi"/>
              </w:rPr>
              <w:t xml:space="preserve">thalmologist </w:t>
            </w:r>
          </w:p>
          <w:p w14:paraId="54D7D42B" w14:textId="75F7312C" w:rsidR="00447869" w:rsidRPr="00447869" w:rsidRDefault="009B15F8" w:rsidP="00021243">
            <w:pPr>
              <w:spacing w:before="120" w:after="120"/>
              <w:rPr>
                <w:rFonts w:asciiTheme="minorHAnsi" w:hAnsiTheme="minorHAnsi"/>
              </w:rPr>
            </w:pPr>
            <w:r w:rsidRPr="009B15F8">
              <w:rPr>
                <w:rFonts w:asciiTheme="minorHAnsi" w:hAnsiTheme="minorHAnsi"/>
              </w:rPr>
              <w:t>Clinical immunologist</w:t>
            </w:r>
          </w:p>
        </w:tc>
        <w:tc>
          <w:tcPr>
            <w:tcW w:w="4318" w:type="dxa"/>
            <w:vMerge w:val="restart"/>
          </w:tcPr>
          <w:p w14:paraId="76F35680" w14:textId="7407EC49" w:rsidR="00447869" w:rsidRPr="00C92149" w:rsidRDefault="009649FB" w:rsidP="00924A50">
            <w:pPr>
              <w:spacing w:before="120" w:after="120"/>
              <w:ind w:right="90"/>
              <w:rPr>
                <w:rFonts w:asciiTheme="minorHAnsi" w:hAnsiTheme="minorHAnsi"/>
                <w:szCs w:val="20"/>
              </w:rPr>
            </w:pPr>
            <w:r>
              <w:rPr>
                <w:rFonts w:asciiTheme="minorHAnsi" w:hAnsiTheme="minorHAnsi"/>
                <w:szCs w:val="20"/>
              </w:rPr>
              <w:t>Di</w:t>
            </w:r>
            <w:r w:rsidR="007367DA">
              <w:rPr>
                <w:rFonts w:asciiTheme="minorHAnsi" w:hAnsiTheme="minorHAnsi"/>
                <w:szCs w:val="20"/>
              </w:rPr>
              <w:t>agnosis must now be made by an Ophthalmologist or C</w:t>
            </w:r>
            <w:r>
              <w:rPr>
                <w:rFonts w:asciiTheme="minorHAnsi" w:hAnsiTheme="minorHAnsi"/>
                <w:szCs w:val="20"/>
              </w:rPr>
              <w:t>linical immunologist</w:t>
            </w:r>
            <w:r w:rsidR="00E95BC6">
              <w:rPr>
                <w:rFonts w:asciiTheme="minorHAnsi" w:hAnsiTheme="minorHAnsi"/>
                <w:szCs w:val="20"/>
              </w:rPr>
              <w:t xml:space="preserve"> as these specialities are most likely to manage patients with this rare condition</w:t>
            </w:r>
            <w:r>
              <w:rPr>
                <w:rFonts w:asciiTheme="minorHAnsi" w:hAnsiTheme="minorHAnsi"/>
                <w:szCs w:val="20"/>
              </w:rPr>
              <w:t xml:space="preserve">. </w:t>
            </w:r>
          </w:p>
        </w:tc>
      </w:tr>
      <w:tr w:rsidR="00D810C3" w:rsidRPr="00853117" w14:paraId="3691192F" w14:textId="77777777" w:rsidTr="007367DA">
        <w:tc>
          <w:tcPr>
            <w:tcW w:w="1549" w:type="dxa"/>
            <w:shd w:val="clear" w:color="auto" w:fill="D9D9D9" w:themeFill="background1" w:themeFillShade="D9"/>
          </w:tcPr>
          <w:p w14:paraId="716CF03E"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2244" w:type="dxa"/>
            <w:vMerge/>
          </w:tcPr>
          <w:p w14:paraId="7B496C09" w14:textId="77777777" w:rsidR="00447869" w:rsidRPr="00447869" w:rsidRDefault="00447869" w:rsidP="00021243">
            <w:pPr>
              <w:spacing w:before="120" w:after="120"/>
              <w:rPr>
                <w:rFonts w:asciiTheme="minorHAnsi" w:hAnsiTheme="minorHAnsi"/>
              </w:rPr>
            </w:pPr>
          </w:p>
        </w:tc>
        <w:tc>
          <w:tcPr>
            <w:tcW w:w="2163" w:type="dxa"/>
          </w:tcPr>
          <w:p w14:paraId="4AC29CAA" w14:textId="68938AF2" w:rsidR="00447869" w:rsidRPr="00447869" w:rsidRDefault="009B15F8" w:rsidP="00021243">
            <w:pPr>
              <w:spacing w:before="120" w:after="120"/>
              <w:rPr>
                <w:rFonts w:asciiTheme="minorHAnsi" w:hAnsiTheme="minorHAnsi"/>
              </w:rPr>
            </w:pPr>
            <w:r w:rsidRPr="00B66E6B">
              <w:rPr>
                <w:rFonts w:asciiTheme="minorHAnsi" w:hAnsiTheme="minorHAnsi"/>
              </w:rPr>
              <w:t>No</w:t>
            </w:r>
          </w:p>
        </w:tc>
        <w:tc>
          <w:tcPr>
            <w:tcW w:w="2163" w:type="dxa"/>
            <w:shd w:val="clear" w:color="auto" w:fill="BFBFBF" w:themeFill="background1" w:themeFillShade="BF"/>
          </w:tcPr>
          <w:p w14:paraId="2701084A"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164" w:type="dxa"/>
          </w:tcPr>
          <w:p w14:paraId="6DA7D340" w14:textId="77777777" w:rsidR="00447869" w:rsidRPr="00447869" w:rsidRDefault="00447869" w:rsidP="00021243">
            <w:pPr>
              <w:spacing w:before="120" w:after="120"/>
              <w:rPr>
                <w:rFonts w:asciiTheme="minorHAnsi" w:hAnsiTheme="minorHAnsi"/>
              </w:rPr>
            </w:pPr>
          </w:p>
        </w:tc>
        <w:tc>
          <w:tcPr>
            <w:tcW w:w="4318" w:type="dxa"/>
            <w:vMerge/>
          </w:tcPr>
          <w:p w14:paraId="5A602C52" w14:textId="77777777" w:rsidR="00447869" w:rsidRPr="00C92149" w:rsidRDefault="00447869" w:rsidP="00021243">
            <w:pPr>
              <w:spacing w:before="120" w:after="120"/>
              <w:rPr>
                <w:rFonts w:asciiTheme="minorHAnsi" w:hAnsiTheme="minorHAnsi"/>
                <w:szCs w:val="20"/>
              </w:rPr>
            </w:pPr>
          </w:p>
        </w:tc>
      </w:tr>
      <w:tr w:rsidR="00447869" w:rsidRPr="00853117" w14:paraId="714A68FD" w14:textId="77777777" w:rsidTr="00B66E6B">
        <w:trPr>
          <w:trHeight w:val="738"/>
        </w:trPr>
        <w:tc>
          <w:tcPr>
            <w:tcW w:w="1549" w:type="dxa"/>
            <w:shd w:val="clear" w:color="auto" w:fill="D9D9D9" w:themeFill="background1" w:themeFillShade="D9"/>
          </w:tcPr>
          <w:p w14:paraId="77800047" w14:textId="77777777" w:rsidR="00447869" w:rsidRPr="009649FB" w:rsidRDefault="00447869" w:rsidP="00021243">
            <w:pPr>
              <w:spacing w:before="120" w:after="120"/>
              <w:rPr>
                <w:rFonts w:asciiTheme="minorHAnsi" w:hAnsiTheme="minorHAnsi"/>
                <w:b/>
              </w:rPr>
            </w:pPr>
            <w:r w:rsidRPr="00447869">
              <w:rPr>
                <w:rFonts w:asciiTheme="minorHAnsi" w:hAnsiTheme="minorHAnsi"/>
                <w:b/>
              </w:rPr>
              <w:t>Exclusion Criteria</w:t>
            </w:r>
          </w:p>
        </w:tc>
        <w:tc>
          <w:tcPr>
            <w:tcW w:w="2244" w:type="dxa"/>
          </w:tcPr>
          <w:p w14:paraId="0497ACB1" w14:textId="77777777"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6490" w:type="dxa"/>
            <w:gridSpan w:val="3"/>
          </w:tcPr>
          <w:p w14:paraId="49C8B062" w14:textId="77777777" w:rsidR="00447869" w:rsidRPr="00447869" w:rsidRDefault="00447869" w:rsidP="00021243">
            <w:pPr>
              <w:spacing w:before="120" w:after="120"/>
              <w:rPr>
                <w:rFonts w:asciiTheme="minorHAnsi" w:hAnsiTheme="minorHAnsi"/>
                <w:strike/>
              </w:rPr>
            </w:pPr>
          </w:p>
        </w:tc>
        <w:tc>
          <w:tcPr>
            <w:tcW w:w="4318" w:type="dxa"/>
          </w:tcPr>
          <w:p w14:paraId="33236E47" w14:textId="77777777" w:rsidR="00447869" w:rsidRPr="00C92149" w:rsidRDefault="00447869" w:rsidP="003A1F9D">
            <w:pPr>
              <w:spacing w:before="120" w:after="120"/>
              <w:rPr>
                <w:rFonts w:asciiTheme="minorHAnsi" w:hAnsiTheme="minorHAnsi"/>
                <w:szCs w:val="20"/>
              </w:rPr>
            </w:pPr>
          </w:p>
        </w:tc>
      </w:tr>
      <w:tr w:rsidR="00021243" w:rsidRPr="00853117" w14:paraId="6270C5A9" w14:textId="77777777" w:rsidTr="00B66E6B">
        <w:tc>
          <w:tcPr>
            <w:tcW w:w="1549" w:type="dxa"/>
            <w:shd w:val="clear" w:color="auto" w:fill="D9D9D9" w:themeFill="background1" w:themeFillShade="D9"/>
          </w:tcPr>
          <w:p w14:paraId="4EAAB1E3" w14:textId="77777777" w:rsidR="00021243" w:rsidRPr="00B66E6B" w:rsidRDefault="00021243" w:rsidP="00B66E6B">
            <w:pPr>
              <w:rPr>
                <w:b/>
              </w:rPr>
            </w:pPr>
            <w:r w:rsidRPr="00B66E6B">
              <w:rPr>
                <w:b/>
              </w:rPr>
              <w:t>Qualifying Criteria</w:t>
            </w:r>
          </w:p>
        </w:tc>
        <w:tc>
          <w:tcPr>
            <w:tcW w:w="2244" w:type="dxa"/>
          </w:tcPr>
          <w:p w14:paraId="05773499" w14:textId="77777777" w:rsidR="00021243" w:rsidRPr="00EB78FB" w:rsidRDefault="00021243" w:rsidP="00021243">
            <w:pPr>
              <w:pStyle w:val="Default"/>
              <w:spacing w:before="120" w:after="120"/>
              <w:rPr>
                <w:rFonts w:ascii="Calibri" w:hAnsi="Calibri"/>
                <w:b/>
                <w:sz w:val="22"/>
                <w:szCs w:val="22"/>
              </w:rPr>
            </w:pPr>
          </w:p>
          <w:p w14:paraId="492990F9" w14:textId="77777777" w:rsidR="00021243" w:rsidRPr="00447869" w:rsidRDefault="00021243" w:rsidP="00021243">
            <w:pPr>
              <w:spacing w:before="120" w:after="120"/>
              <w:rPr>
                <w:rFonts w:asciiTheme="minorHAnsi" w:hAnsiTheme="minorHAnsi"/>
              </w:rPr>
            </w:pPr>
          </w:p>
        </w:tc>
        <w:tc>
          <w:tcPr>
            <w:tcW w:w="6490" w:type="dxa"/>
            <w:gridSpan w:val="3"/>
          </w:tcPr>
          <w:p w14:paraId="6CCC7044" w14:textId="77777777" w:rsidR="00924A50" w:rsidRDefault="00924A50" w:rsidP="001C625A">
            <w:pPr>
              <w:spacing w:before="100" w:beforeAutospacing="1"/>
              <w:rPr>
                <w:szCs w:val="20"/>
              </w:rPr>
            </w:pPr>
            <w:r w:rsidRPr="006B05C0">
              <w:rPr>
                <w:rFonts w:asciiTheme="minorHAnsi" w:hAnsiTheme="minorHAnsi"/>
                <w:b/>
              </w:rPr>
              <w:t>Severe disease where immunosuppressant treatments have failed or are contraindicated</w:t>
            </w:r>
            <w:r w:rsidRPr="00AA7792">
              <w:rPr>
                <w:szCs w:val="20"/>
              </w:rPr>
              <w:t xml:space="preserve"> </w:t>
            </w:r>
          </w:p>
          <w:p w14:paraId="07ABACF3" w14:textId="08C3BD63" w:rsidR="001C625A" w:rsidRPr="00AA7792" w:rsidRDefault="001C625A" w:rsidP="001C625A">
            <w:pPr>
              <w:spacing w:before="100" w:beforeAutospacing="1"/>
              <w:rPr>
                <w:szCs w:val="20"/>
              </w:rPr>
            </w:pPr>
            <w:r w:rsidRPr="00AA7792">
              <w:rPr>
                <w:szCs w:val="20"/>
              </w:rPr>
              <w:t xml:space="preserve">Rituximab has been shown to be effective in the treatment of Graves </w:t>
            </w:r>
            <w:proofErr w:type="spellStart"/>
            <w:r w:rsidRPr="00AA7792">
              <w:rPr>
                <w:szCs w:val="20"/>
              </w:rPr>
              <w:t>Ophthalmopathy</w:t>
            </w:r>
            <w:proofErr w:type="spellEnd"/>
            <w:r w:rsidRPr="00AA7792">
              <w:rPr>
                <w:szCs w:val="20"/>
              </w:rPr>
              <w:t>. A course of Rituximab should be considered for this patient if not already trialled, unless contraindicated.</w:t>
            </w:r>
          </w:p>
          <w:p w14:paraId="601689F1" w14:textId="77777777" w:rsidR="001C625A" w:rsidRDefault="001C625A" w:rsidP="001C625A">
            <w:pPr>
              <w:spacing w:before="100" w:beforeAutospacing="1"/>
              <w:rPr>
                <w:rFonts w:asciiTheme="minorHAnsi" w:hAnsiTheme="minorHAnsi"/>
                <w:sz w:val="18"/>
                <w:szCs w:val="18"/>
              </w:rPr>
            </w:pPr>
          </w:p>
          <w:p w14:paraId="1FB35D23" w14:textId="74ECAFA2" w:rsidR="009B15F8" w:rsidRPr="00470AD1" w:rsidRDefault="009B15F8" w:rsidP="009B15F8">
            <w:pPr>
              <w:pStyle w:val="ListParagraph"/>
              <w:numPr>
                <w:ilvl w:val="0"/>
                <w:numId w:val="8"/>
              </w:numPr>
              <w:ind w:left="778" w:hanging="425"/>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Persistent and severe op</w:t>
            </w:r>
            <w:r w:rsidR="00862AFB">
              <w:rPr>
                <w:rFonts w:asciiTheme="minorHAnsi" w:eastAsia="Times New Roman" w:hAnsiTheme="minorHAnsi" w:cs="Times New Roman"/>
                <w:color w:val="000000"/>
                <w:lang w:eastAsia="en-AU"/>
              </w:rPr>
              <w:t>h</w:t>
            </w:r>
            <w:r w:rsidRPr="009B15F8">
              <w:rPr>
                <w:rFonts w:asciiTheme="minorHAnsi" w:eastAsia="Times New Roman" w:hAnsiTheme="minorHAnsi" w:cs="Times New Roman"/>
                <w:color w:val="000000"/>
                <w:lang w:eastAsia="en-AU"/>
              </w:rPr>
              <w:t>thalmic disease</w:t>
            </w:r>
          </w:p>
          <w:p w14:paraId="243CBC28" w14:textId="77777777" w:rsidR="00A926D0" w:rsidRDefault="00A926D0" w:rsidP="009B15F8">
            <w:pPr>
              <w:rPr>
                <w:rFonts w:asciiTheme="minorHAnsi" w:eastAsia="Times New Roman" w:hAnsiTheme="minorHAnsi" w:cs="Times New Roman"/>
                <w:color w:val="000000"/>
                <w:lang w:eastAsia="en-AU"/>
              </w:rPr>
            </w:pPr>
          </w:p>
          <w:p w14:paraId="01F1F92A" w14:textId="371ADD5A" w:rsidR="009B15F8" w:rsidRP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AND</w:t>
            </w:r>
          </w:p>
          <w:p w14:paraId="34F6AC16" w14:textId="6546B9D0" w:rsidR="009B15F8" w:rsidRPr="00470AD1" w:rsidRDefault="009B15F8" w:rsidP="009B15F8">
            <w:pPr>
              <w:pStyle w:val="ListParagraph"/>
              <w:numPr>
                <w:ilvl w:val="0"/>
                <w:numId w:val="4"/>
              </w:num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lastRenderedPageBreak/>
              <w:t xml:space="preserve">Unresponsive to intravenous steroid treatment </w:t>
            </w:r>
          </w:p>
          <w:p w14:paraId="594B9B6A" w14:textId="1CAA9725" w:rsidR="009649FB" w:rsidRPr="009B15F8" w:rsidRDefault="009B15F8" w:rsidP="009649FB">
            <w:pPr>
              <w:jc w:val="cente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OR</w:t>
            </w:r>
          </w:p>
          <w:p w14:paraId="4F48F872" w14:textId="07F729B7" w:rsidR="009B15F8" w:rsidRPr="00470AD1" w:rsidRDefault="009B15F8" w:rsidP="009B15F8">
            <w:pPr>
              <w:pStyle w:val="ListParagraph"/>
              <w:numPr>
                <w:ilvl w:val="0"/>
                <w:numId w:val="4"/>
              </w:num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Steroid treatment is contraindicated</w:t>
            </w:r>
          </w:p>
          <w:p w14:paraId="490B233F" w14:textId="77777777" w:rsidR="00A926D0" w:rsidRDefault="00A926D0" w:rsidP="009B15F8">
            <w:pPr>
              <w:rPr>
                <w:rFonts w:asciiTheme="minorHAnsi" w:eastAsia="Times New Roman" w:hAnsiTheme="minorHAnsi" w:cs="Times New Roman"/>
                <w:color w:val="000000"/>
                <w:lang w:eastAsia="en-AU"/>
              </w:rPr>
            </w:pPr>
          </w:p>
          <w:p w14:paraId="0FA4C556" w14:textId="57752AED" w:rsidR="009B15F8" w:rsidRP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AND</w:t>
            </w:r>
          </w:p>
          <w:p w14:paraId="2BE5E8B8" w14:textId="6A8A32CF" w:rsidR="009B15F8" w:rsidRPr="00470AD1" w:rsidRDefault="009B15F8" w:rsidP="009B15F8">
            <w:pPr>
              <w:pStyle w:val="ListParagraph"/>
              <w:numPr>
                <w:ilvl w:val="0"/>
                <w:numId w:val="4"/>
              </w:num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A trial of rituximab has failed to demonstrate a response</w:t>
            </w:r>
            <w:r w:rsidR="000D18BF">
              <w:rPr>
                <w:rFonts w:asciiTheme="minorHAnsi" w:eastAsia="Times New Roman" w:hAnsiTheme="minorHAnsi" w:cs="Times New Roman"/>
                <w:color w:val="000000"/>
                <w:lang w:eastAsia="en-AU"/>
              </w:rPr>
              <w:t>, three months following the last dose</w:t>
            </w:r>
            <w:r w:rsidRPr="009B15F8">
              <w:rPr>
                <w:rFonts w:asciiTheme="minorHAnsi" w:eastAsia="Times New Roman" w:hAnsiTheme="minorHAnsi" w:cs="Times New Roman"/>
                <w:color w:val="000000"/>
                <w:lang w:eastAsia="en-AU"/>
              </w:rPr>
              <w:t>.</w:t>
            </w:r>
          </w:p>
          <w:p w14:paraId="434ABF06" w14:textId="103DFC79" w:rsidR="009B15F8" w:rsidRPr="009B15F8" w:rsidRDefault="009B15F8" w:rsidP="00470AD1">
            <w:pPr>
              <w:jc w:val="cente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OR</w:t>
            </w:r>
          </w:p>
          <w:p w14:paraId="7FC94247" w14:textId="5EFAFFB6" w:rsidR="009B15F8" w:rsidRPr="00470AD1" w:rsidRDefault="009B15F8" w:rsidP="009B15F8">
            <w:pPr>
              <w:pStyle w:val="ListParagraph"/>
              <w:numPr>
                <w:ilvl w:val="0"/>
                <w:numId w:val="4"/>
              </w:num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Rituximab is contraindicated or unavailable</w:t>
            </w:r>
          </w:p>
          <w:p w14:paraId="4B540420" w14:textId="77777777" w:rsidR="00A926D0" w:rsidRDefault="00A926D0" w:rsidP="009B15F8">
            <w:pPr>
              <w:rPr>
                <w:rFonts w:asciiTheme="minorHAnsi" w:eastAsia="Times New Roman" w:hAnsiTheme="minorHAnsi" w:cs="Times New Roman"/>
                <w:color w:val="000000"/>
                <w:lang w:eastAsia="en-AU"/>
              </w:rPr>
            </w:pPr>
          </w:p>
          <w:p w14:paraId="1CC2DC82" w14:textId="5E30C68D" w:rsidR="009B15F8" w:rsidRP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AND</w:t>
            </w:r>
          </w:p>
          <w:p w14:paraId="7A922A5C" w14:textId="77777777" w:rsidR="00880ECB" w:rsidRPr="009B15F8" w:rsidRDefault="009B15F8" w:rsidP="009B15F8">
            <w:pPr>
              <w:pStyle w:val="ListParagraph"/>
              <w:numPr>
                <w:ilvl w:val="0"/>
                <w:numId w:val="4"/>
              </w:num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 xml:space="preserve">A trial of at least two alternative treatments has been undertaken </w:t>
            </w:r>
          </w:p>
        </w:tc>
        <w:tc>
          <w:tcPr>
            <w:tcW w:w="4318" w:type="dxa"/>
          </w:tcPr>
          <w:p w14:paraId="54700208" w14:textId="1C7DCFD0" w:rsidR="008515FF" w:rsidRDefault="008114D9" w:rsidP="00470AD1">
            <w:pPr>
              <w:spacing w:after="120"/>
              <w:rPr>
                <w:szCs w:val="20"/>
              </w:rPr>
            </w:pPr>
            <w:r>
              <w:rPr>
                <w:szCs w:val="20"/>
              </w:rPr>
              <w:lastRenderedPageBreak/>
              <w:t xml:space="preserve">The Specialist Working Group developed these </w:t>
            </w:r>
            <w:r w:rsidR="00A541C4">
              <w:rPr>
                <w:szCs w:val="20"/>
              </w:rPr>
              <w:t xml:space="preserve">new </w:t>
            </w:r>
            <w:r>
              <w:rPr>
                <w:szCs w:val="20"/>
              </w:rPr>
              <w:t xml:space="preserve">criteria in consultation with </w:t>
            </w:r>
            <w:r w:rsidR="00EF3D22">
              <w:rPr>
                <w:szCs w:val="20"/>
              </w:rPr>
              <w:t xml:space="preserve">the </w:t>
            </w:r>
            <w:r w:rsidR="00862AFB">
              <w:rPr>
                <w:szCs w:val="20"/>
              </w:rPr>
              <w:t>ESA</w:t>
            </w:r>
            <w:r>
              <w:rPr>
                <w:szCs w:val="20"/>
              </w:rPr>
              <w:t xml:space="preserve"> and </w:t>
            </w:r>
            <w:r w:rsidR="00862AFB">
              <w:rPr>
                <w:szCs w:val="20"/>
              </w:rPr>
              <w:t xml:space="preserve">RANZCO. </w:t>
            </w:r>
            <w:r w:rsidR="00A541C4">
              <w:rPr>
                <w:szCs w:val="20"/>
              </w:rPr>
              <w:t xml:space="preserve">The </w:t>
            </w:r>
            <w:proofErr w:type="spellStart"/>
            <w:r w:rsidR="00A541C4">
              <w:rPr>
                <w:szCs w:val="20"/>
              </w:rPr>
              <w:t>Bartelena</w:t>
            </w:r>
            <w:proofErr w:type="spellEnd"/>
            <w:r w:rsidR="00A541C4">
              <w:rPr>
                <w:szCs w:val="20"/>
              </w:rPr>
              <w:t xml:space="preserve"> clinical activity score </w:t>
            </w:r>
            <w:r w:rsidR="00D72ACE">
              <w:rPr>
                <w:szCs w:val="20"/>
              </w:rPr>
              <w:t>(</w:t>
            </w:r>
            <w:proofErr w:type="spellStart"/>
            <w:r w:rsidR="00D72ACE">
              <w:rPr>
                <w:szCs w:val="20"/>
              </w:rPr>
              <w:t>Bartelena</w:t>
            </w:r>
            <w:proofErr w:type="spellEnd"/>
            <w:r w:rsidR="00D72ACE">
              <w:rPr>
                <w:szCs w:val="20"/>
              </w:rPr>
              <w:t xml:space="preserve"> et al</w:t>
            </w:r>
            <w:r w:rsidR="007367DA">
              <w:rPr>
                <w:szCs w:val="20"/>
              </w:rPr>
              <w:t xml:space="preserve">, 2016) </w:t>
            </w:r>
            <w:r w:rsidR="00A541C4">
              <w:rPr>
                <w:szCs w:val="20"/>
              </w:rPr>
              <w:t xml:space="preserve">has been adapted </w:t>
            </w:r>
            <w:r w:rsidR="000D18BF">
              <w:rPr>
                <w:szCs w:val="20"/>
              </w:rPr>
              <w:t>in the development of evidence items to ensure that qualifying patients have an appropriate level of disease severity</w:t>
            </w:r>
            <w:r w:rsidR="00A541C4">
              <w:rPr>
                <w:szCs w:val="20"/>
              </w:rPr>
              <w:t>.</w:t>
            </w:r>
            <w:r w:rsidR="00EF3D22">
              <w:rPr>
                <w:szCs w:val="20"/>
              </w:rPr>
              <w:t xml:space="preserve"> These assessments will be used as a baseline against which to compare progress at initial and continuing review to assess clinical </w:t>
            </w:r>
            <w:r w:rsidR="00EF3D22">
              <w:rPr>
                <w:szCs w:val="20"/>
              </w:rPr>
              <w:lastRenderedPageBreak/>
              <w:t xml:space="preserve">improvement. </w:t>
            </w:r>
          </w:p>
          <w:p w14:paraId="3F51901A" w14:textId="4F34DB53" w:rsidR="007E6F4E" w:rsidRDefault="00A541C4" w:rsidP="003A1F9D">
            <w:pPr>
              <w:spacing w:before="120" w:after="120"/>
              <w:rPr>
                <w:rFonts w:asciiTheme="minorHAnsi" w:hAnsiTheme="minorHAnsi"/>
                <w:szCs w:val="20"/>
              </w:rPr>
            </w:pPr>
            <w:r>
              <w:rPr>
                <w:szCs w:val="20"/>
              </w:rPr>
              <w:t>The Specialist Working Group noted that while Rituximab is the treatment of choice for this devastating condition, it is not always available</w:t>
            </w:r>
            <w:r w:rsidR="000D18BF">
              <w:rPr>
                <w:szCs w:val="20"/>
              </w:rPr>
              <w:t xml:space="preserve"> or may be contra-indicated</w:t>
            </w:r>
            <w:r>
              <w:rPr>
                <w:szCs w:val="20"/>
              </w:rPr>
              <w:t>, and as such, there continue</w:t>
            </w:r>
            <w:r w:rsidR="000D18BF">
              <w:rPr>
                <w:szCs w:val="20"/>
              </w:rPr>
              <w:t>s</w:t>
            </w:r>
            <w:r>
              <w:rPr>
                <w:szCs w:val="20"/>
              </w:rPr>
              <w:t xml:space="preserve"> to be limited circumstances where Ig therapy </w:t>
            </w:r>
            <w:r w:rsidR="000D18BF">
              <w:rPr>
                <w:szCs w:val="20"/>
              </w:rPr>
              <w:t>i</w:t>
            </w:r>
            <w:r w:rsidR="00470AD1">
              <w:rPr>
                <w:szCs w:val="20"/>
              </w:rPr>
              <w:t xml:space="preserve">s warranted. </w:t>
            </w:r>
          </w:p>
          <w:p w14:paraId="0390BB5E" w14:textId="4AA733EF" w:rsidR="007E6F4E" w:rsidRPr="00D02ABD" w:rsidRDefault="007E6F4E" w:rsidP="00D02ABD">
            <w:pPr>
              <w:spacing w:before="100" w:beforeAutospacing="1"/>
            </w:pPr>
            <w:r w:rsidRPr="00B66E6B">
              <w:rPr>
                <w:rFonts w:asciiTheme="minorHAnsi" w:hAnsiTheme="minorHAnsi"/>
              </w:rPr>
              <w:t>Alternative treatments include</w:t>
            </w:r>
            <w:r w:rsidRPr="007E6F4E">
              <w:rPr>
                <w:rFonts w:asciiTheme="minorHAnsi" w:hAnsiTheme="minorHAnsi"/>
              </w:rPr>
              <w:t xml:space="preserve"> </w:t>
            </w:r>
            <w:r w:rsidRPr="00B66E6B">
              <w:t>Cyclosporine</w:t>
            </w:r>
            <w:r>
              <w:t xml:space="preserve">, </w:t>
            </w:r>
            <w:r w:rsidRPr="007E6F4E">
              <w:t>Methotrexate</w:t>
            </w:r>
            <w:r>
              <w:t xml:space="preserve">, </w:t>
            </w:r>
            <w:r w:rsidRPr="007E6F4E">
              <w:t>Orbital radiotherapy</w:t>
            </w:r>
            <w:r>
              <w:t xml:space="preserve"> and orbital decompression s</w:t>
            </w:r>
            <w:r w:rsidRPr="007E6F4E">
              <w:t>urgery</w:t>
            </w:r>
            <w:r>
              <w:t xml:space="preserve">. </w:t>
            </w:r>
          </w:p>
        </w:tc>
      </w:tr>
      <w:tr w:rsidR="00021243" w:rsidRPr="00853117" w14:paraId="60ACDD77" w14:textId="77777777" w:rsidTr="00B66E6B">
        <w:tc>
          <w:tcPr>
            <w:tcW w:w="1549" w:type="dxa"/>
            <w:shd w:val="clear" w:color="auto" w:fill="D9D9D9" w:themeFill="background1" w:themeFillShade="D9"/>
          </w:tcPr>
          <w:p w14:paraId="1B5BCD4C" w14:textId="77777777" w:rsidR="00021243" w:rsidRPr="00B66E6B" w:rsidRDefault="00021243" w:rsidP="00B66E6B">
            <w:pPr>
              <w:rPr>
                <w:b/>
              </w:rPr>
            </w:pPr>
            <w:r w:rsidRPr="00B66E6B">
              <w:rPr>
                <w:b/>
              </w:rPr>
              <w:lastRenderedPageBreak/>
              <w:t>Review Criteria</w:t>
            </w:r>
          </w:p>
        </w:tc>
        <w:tc>
          <w:tcPr>
            <w:tcW w:w="2244" w:type="dxa"/>
          </w:tcPr>
          <w:p w14:paraId="2BDF9B7A" w14:textId="77777777"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14:paraId="3C5C5A02" w14:textId="77777777" w:rsidR="00021243" w:rsidRPr="00447869" w:rsidRDefault="00021243" w:rsidP="00021243">
            <w:pPr>
              <w:spacing w:before="120" w:after="120"/>
              <w:rPr>
                <w:rFonts w:asciiTheme="minorHAnsi" w:hAnsiTheme="minorHAnsi"/>
              </w:rPr>
            </w:pPr>
          </w:p>
        </w:tc>
        <w:tc>
          <w:tcPr>
            <w:tcW w:w="6490" w:type="dxa"/>
            <w:gridSpan w:val="3"/>
          </w:tcPr>
          <w:p w14:paraId="117A1206" w14:textId="3ABEAF77" w:rsidR="009B15F8" w:rsidRP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Review by an Op</w:t>
            </w:r>
            <w:r w:rsidR="000D18BF">
              <w:rPr>
                <w:rFonts w:asciiTheme="minorHAnsi" w:eastAsia="Times New Roman" w:hAnsiTheme="minorHAnsi" w:cs="Times New Roman"/>
                <w:color w:val="000000"/>
                <w:lang w:eastAsia="en-AU"/>
              </w:rPr>
              <w:t>h</w:t>
            </w:r>
            <w:r w:rsidRPr="009B15F8">
              <w:rPr>
                <w:rFonts w:asciiTheme="minorHAnsi" w:eastAsia="Times New Roman" w:hAnsiTheme="minorHAnsi" w:cs="Times New Roman"/>
                <w:color w:val="000000"/>
                <w:lang w:eastAsia="en-AU"/>
              </w:rPr>
              <w:t xml:space="preserve">thalmologist is required within 3 months of treatment to determine whether the patient has responded, and six monthly thereafter. If no response has been demonstrated by three months, </w:t>
            </w:r>
            <w:proofErr w:type="spellStart"/>
            <w:r w:rsidR="00EF29F1">
              <w:rPr>
                <w:rFonts w:asciiTheme="minorHAnsi" w:eastAsia="Times New Roman" w:hAnsiTheme="minorHAnsi" w:cs="Times New Roman"/>
                <w:color w:val="000000"/>
                <w:lang w:eastAsia="en-AU"/>
              </w:rPr>
              <w:t>IVIg</w:t>
            </w:r>
            <w:proofErr w:type="spellEnd"/>
            <w:r w:rsidRPr="009B15F8">
              <w:rPr>
                <w:rFonts w:asciiTheme="minorHAnsi" w:eastAsia="Times New Roman" w:hAnsiTheme="minorHAnsi" w:cs="Times New Roman"/>
                <w:color w:val="000000"/>
                <w:lang w:eastAsia="en-AU"/>
              </w:rPr>
              <w:t xml:space="preserve"> therapy should be abandoned.  </w:t>
            </w:r>
          </w:p>
          <w:p w14:paraId="13123544" w14:textId="77777777" w:rsidR="009B15F8" w:rsidRPr="009B15F8" w:rsidRDefault="009B15F8" w:rsidP="009B15F8">
            <w:pPr>
              <w:rPr>
                <w:rFonts w:asciiTheme="minorHAnsi" w:eastAsia="Times New Roman" w:hAnsiTheme="minorHAnsi" w:cs="Times New Roman"/>
                <w:color w:val="000000"/>
                <w:lang w:eastAsia="en-AU"/>
              </w:rPr>
            </w:pPr>
          </w:p>
          <w:p w14:paraId="3C923750" w14:textId="7B671AB7" w:rsidR="009B15F8" w:rsidRP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 xml:space="preserve">Documentation of clinical effectiveness is necessary for continuation of </w:t>
            </w:r>
            <w:proofErr w:type="spellStart"/>
            <w:r w:rsidR="00EF29F1">
              <w:rPr>
                <w:rFonts w:asciiTheme="minorHAnsi" w:eastAsia="Times New Roman" w:hAnsiTheme="minorHAnsi" w:cs="Times New Roman"/>
                <w:color w:val="000000"/>
                <w:lang w:eastAsia="en-AU"/>
              </w:rPr>
              <w:t>IVIg</w:t>
            </w:r>
            <w:proofErr w:type="spellEnd"/>
            <w:r w:rsidRPr="009B15F8">
              <w:rPr>
                <w:rFonts w:asciiTheme="minorHAnsi" w:eastAsia="Times New Roman" w:hAnsiTheme="minorHAnsi" w:cs="Times New Roman"/>
                <w:color w:val="000000"/>
                <w:lang w:eastAsia="en-AU"/>
              </w:rPr>
              <w:t xml:space="preserve"> therapy.  </w:t>
            </w:r>
          </w:p>
          <w:p w14:paraId="5060C816" w14:textId="77777777" w:rsidR="009B15F8" w:rsidRPr="009B15F8" w:rsidRDefault="009B15F8" w:rsidP="009B15F8">
            <w:pPr>
              <w:rPr>
                <w:rFonts w:asciiTheme="minorHAnsi" w:eastAsia="Times New Roman" w:hAnsiTheme="minorHAnsi" w:cs="Times New Roman"/>
                <w:color w:val="000000"/>
                <w:lang w:eastAsia="en-AU"/>
              </w:rPr>
            </w:pPr>
          </w:p>
          <w:p w14:paraId="2BE8CD88" w14:textId="77777777" w:rsidR="009B15F8" w:rsidRPr="009B15F8" w:rsidRDefault="009B15F8" w:rsidP="009B15F8">
            <w:pPr>
              <w:rPr>
                <w:rFonts w:asciiTheme="minorHAnsi" w:eastAsia="Times New Roman" w:hAnsiTheme="minorHAnsi" w:cs="Times New Roman"/>
                <w:b/>
                <w:color w:val="000000"/>
                <w:lang w:eastAsia="en-AU"/>
              </w:rPr>
            </w:pPr>
            <w:r w:rsidRPr="009B15F8">
              <w:rPr>
                <w:rFonts w:asciiTheme="minorHAnsi" w:eastAsia="Times New Roman" w:hAnsiTheme="minorHAnsi" w:cs="Times New Roman"/>
                <w:b/>
                <w:color w:val="000000"/>
                <w:lang w:eastAsia="en-AU"/>
              </w:rPr>
              <w:t>On review of the initial authorisation period</w:t>
            </w:r>
          </w:p>
          <w:p w14:paraId="1D21B692" w14:textId="77777777" w:rsidR="009B15F8" w:rsidRPr="009B15F8" w:rsidRDefault="009B15F8" w:rsidP="009B15F8">
            <w:pPr>
              <w:rPr>
                <w:rFonts w:asciiTheme="minorHAnsi" w:eastAsia="Times New Roman" w:hAnsiTheme="minorHAnsi" w:cs="Times New Roman"/>
                <w:color w:val="000000"/>
                <w:lang w:eastAsia="en-AU"/>
              </w:rPr>
            </w:pPr>
          </w:p>
          <w:p w14:paraId="3165C28D" w14:textId="77777777" w:rsid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 xml:space="preserve">Clinical effectiveness of Ig therapy can be demonstrated by: </w:t>
            </w:r>
          </w:p>
          <w:p w14:paraId="27E567F3" w14:textId="77777777" w:rsidR="009B15F8" w:rsidRPr="009B15F8" w:rsidRDefault="009B15F8" w:rsidP="009B15F8">
            <w:pPr>
              <w:rPr>
                <w:rFonts w:asciiTheme="minorHAnsi" w:eastAsia="Times New Roman" w:hAnsiTheme="minorHAnsi" w:cs="Times New Roman"/>
                <w:color w:val="000000"/>
                <w:lang w:eastAsia="en-AU"/>
              </w:rPr>
            </w:pPr>
          </w:p>
          <w:p w14:paraId="5537E392" w14:textId="02932E57" w:rsidR="009B15F8" w:rsidRPr="00470AD1" w:rsidRDefault="009B15F8" w:rsidP="009B15F8">
            <w:pPr>
              <w:pStyle w:val="ListParagraph"/>
              <w:numPr>
                <w:ilvl w:val="0"/>
                <w:numId w:val="4"/>
              </w:num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 xml:space="preserve">Improvement in the severity and level of activity of eye disease compared to the qualifying assessment </w:t>
            </w:r>
          </w:p>
          <w:p w14:paraId="26CF1730" w14:textId="63656E36" w:rsidR="009B15F8" w:rsidRP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AND</w:t>
            </w:r>
          </w:p>
          <w:p w14:paraId="71B95830" w14:textId="1D46AE3A" w:rsidR="009B15F8" w:rsidRPr="009B15F8" w:rsidRDefault="009B15F8" w:rsidP="009B15F8">
            <w:pPr>
              <w:pStyle w:val="ListParagraph"/>
              <w:numPr>
                <w:ilvl w:val="0"/>
                <w:numId w:val="4"/>
              </w:num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A reduction in dose is planned or if not plann</w:t>
            </w:r>
            <w:r>
              <w:rPr>
                <w:rFonts w:asciiTheme="minorHAnsi" w:eastAsia="Times New Roman" w:hAnsiTheme="minorHAnsi" w:cs="Times New Roman"/>
                <w:color w:val="000000"/>
                <w:lang w:eastAsia="en-AU"/>
              </w:rPr>
              <w:t>ed, a valid reason is provided</w:t>
            </w:r>
            <w:r w:rsidR="007E6F4E">
              <w:rPr>
                <w:rFonts w:asciiTheme="minorHAnsi" w:eastAsia="Times New Roman" w:hAnsiTheme="minorHAnsi" w:cs="Times New Roman"/>
                <w:color w:val="000000"/>
                <w:lang w:eastAsia="en-AU"/>
              </w:rPr>
              <w:t>.</w:t>
            </w:r>
            <w:r>
              <w:rPr>
                <w:rFonts w:asciiTheme="minorHAnsi" w:eastAsia="Times New Roman" w:hAnsiTheme="minorHAnsi" w:cs="Times New Roman"/>
                <w:color w:val="000000"/>
                <w:lang w:eastAsia="en-AU"/>
              </w:rPr>
              <w:t xml:space="preserve"> </w:t>
            </w:r>
          </w:p>
          <w:p w14:paraId="372B8253" w14:textId="77777777" w:rsidR="009B15F8" w:rsidRPr="009B15F8" w:rsidRDefault="009B15F8" w:rsidP="009B15F8">
            <w:pPr>
              <w:rPr>
                <w:rFonts w:asciiTheme="minorHAnsi" w:eastAsia="Times New Roman" w:hAnsiTheme="minorHAnsi" w:cs="Times New Roman"/>
                <w:b/>
                <w:color w:val="000000"/>
                <w:lang w:eastAsia="en-AU"/>
              </w:rPr>
            </w:pPr>
          </w:p>
          <w:p w14:paraId="1B338CB0" w14:textId="77777777" w:rsidR="009B15F8" w:rsidRPr="009B15F8" w:rsidRDefault="009B15F8" w:rsidP="009B15F8">
            <w:pPr>
              <w:rPr>
                <w:rFonts w:asciiTheme="minorHAnsi" w:eastAsia="Times New Roman" w:hAnsiTheme="minorHAnsi" w:cs="Times New Roman"/>
                <w:b/>
                <w:color w:val="000000"/>
                <w:lang w:eastAsia="en-AU"/>
              </w:rPr>
            </w:pPr>
            <w:r w:rsidRPr="009B15F8">
              <w:rPr>
                <w:rFonts w:asciiTheme="minorHAnsi" w:eastAsia="Times New Roman" w:hAnsiTheme="minorHAnsi" w:cs="Times New Roman"/>
                <w:b/>
                <w:color w:val="000000"/>
                <w:lang w:eastAsia="en-AU"/>
              </w:rPr>
              <w:lastRenderedPageBreak/>
              <w:t xml:space="preserve">On review of a continuing authorisation period </w:t>
            </w:r>
          </w:p>
          <w:p w14:paraId="23A8E9F2" w14:textId="77777777" w:rsidR="009B15F8" w:rsidRPr="009B15F8" w:rsidRDefault="009B15F8" w:rsidP="009B15F8">
            <w:pPr>
              <w:rPr>
                <w:rFonts w:asciiTheme="minorHAnsi" w:eastAsia="Times New Roman" w:hAnsiTheme="minorHAnsi" w:cs="Times New Roman"/>
                <w:color w:val="000000"/>
                <w:lang w:eastAsia="en-AU"/>
              </w:rPr>
            </w:pPr>
          </w:p>
          <w:p w14:paraId="2223B09F" w14:textId="7A2D3ED1" w:rsid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For stable patients on maintenance treatment, review by an Op</w:t>
            </w:r>
            <w:r w:rsidR="007E6F4E">
              <w:rPr>
                <w:rFonts w:asciiTheme="minorHAnsi" w:eastAsia="Times New Roman" w:hAnsiTheme="minorHAnsi" w:cs="Times New Roman"/>
                <w:color w:val="000000"/>
                <w:lang w:eastAsia="en-AU"/>
              </w:rPr>
              <w:t>h</w:t>
            </w:r>
            <w:r w:rsidRPr="009B15F8">
              <w:rPr>
                <w:rFonts w:asciiTheme="minorHAnsi" w:eastAsia="Times New Roman" w:hAnsiTheme="minorHAnsi" w:cs="Times New Roman"/>
                <w:color w:val="000000"/>
                <w:lang w:eastAsia="en-AU"/>
              </w:rPr>
              <w:t xml:space="preserve">thalmologist is required every six months. </w:t>
            </w:r>
          </w:p>
          <w:p w14:paraId="4E3B9715" w14:textId="77777777" w:rsidR="009B15F8" w:rsidRPr="009B15F8" w:rsidRDefault="009B15F8" w:rsidP="009B15F8">
            <w:pPr>
              <w:rPr>
                <w:rFonts w:asciiTheme="minorHAnsi" w:eastAsia="Times New Roman" w:hAnsiTheme="minorHAnsi" w:cs="Times New Roman"/>
                <w:color w:val="000000"/>
                <w:lang w:eastAsia="en-AU"/>
              </w:rPr>
            </w:pPr>
          </w:p>
          <w:p w14:paraId="5F1FD9DE" w14:textId="77777777" w:rsid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 xml:space="preserve">Clinical effectiveness of Ig therapy can be demonstrated by: </w:t>
            </w:r>
          </w:p>
          <w:p w14:paraId="30B51577" w14:textId="77777777" w:rsidR="007367DA" w:rsidRPr="009B15F8" w:rsidRDefault="007367DA" w:rsidP="009B15F8">
            <w:pPr>
              <w:rPr>
                <w:rFonts w:asciiTheme="minorHAnsi" w:eastAsia="Times New Roman" w:hAnsiTheme="minorHAnsi" w:cs="Times New Roman"/>
                <w:color w:val="000000"/>
                <w:lang w:eastAsia="en-AU"/>
              </w:rPr>
            </w:pPr>
          </w:p>
          <w:p w14:paraId="6F765DF7" w14:textId="06C2D18B" w:rsidR="009B15F8" w:rsidRPr="00470AD1" w:rsidRDefault="009B15F8" w:rsidP="009B15F8">
            <w:pPr>
              <w:pStyle w:val="ListParagraph"/>
              <w:numPr>
                <w:ilvl w:val="0"/>
                <w:numId w:val="4"/>
              </w:num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 xml:space="preserve">Further improvement in severity or stabilisation of eye disease </w:t>
            </w:r>
          </w:p>
          <w:p w14:paraId="303537B7" w14:textId="7AED6D67" w:rsidR="009B15F8" w:rsidRP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AND</w:t>
            </w:r>
          </w:p>
          <w:p w14:paraId="77A5AB20" w14:textId="77777777" w:rsidR="00816AD3" w:rsidRDefault="009B15F8" w:rsidP="009B15F8">
            <w:pPr>
              <w:pStyle w:val="ListParagraph"/>
              <w:numPr>
                <w:ilvl w:val="0"/>
                <w:numId w:val="4"/>
              </w:num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A reduction in dose is planned or if not planned, a valid reason is provided</w:t>
            </w:r>
            <w:r w:rsidR="007E6F4E">
              <w:rPr>
                <w:rFonts w:asciiTheme="minorHAnsi" w:eastAsia="Times New Roman" w:hAnsiTheme="minorHAnsi" w:cs="Times New Roman"/>
                <w:color w:val="000000"/>
                <w:lang w:eastAsia="en-AU"/>
              </w:rPr>
              <w:t>.</w:t>
            </w:r>
          </w:p>
          <w:p w14:paraId="2BFF44DD" w14:textId="77777777" w:rsidR="00816AD3" w:rsidRDefault="00816AD3" w:rsidP="00B66E6B">
            <w:pPr>
              <w:rPr>
                <w:rFonts w:asciiTheme="minorHAnsi" w:eastAsia="Times New Roman" w:hAnsiTheme="minorHAnsi" w:cs="Times New Roman"/>
                <w:color w:val="000000"/>
                <w:lang w:eastAsia="en-AU"/>
              </w:rPr>
            </w:pPr>
          </w:p>
          <w:p w14:paraId="1F22DCBB" w14:textId="513B3373" w:rsidR="00021243" w:rsidRPr="000052BC" w:rsidRDefault="00816AD3" w:rsidP="00B92DFE">
            <w:pPr>
              <w:spacing w:before="120" w:after="120"/>
              <w:rPr>
                <w:rFonts w:asciiTheme="minorHAnsi" w:eastAsia="Times New Roman" w:hAnsiTheme="minorHAnsi" w:cs="Times New Roman"/>
                <w:b/>
                <w:lang w:eastAsia="en-AU"/>
              </w:rPr>
            </w:pPr>
            <w:r w:rsidRPr="000052BC">
              <w:rPr>
                <w:rFonts w:asciiTheme="minorHAnsi" w:eastAsia="Times New Roman" w:hAnsiTheme="minorHAnsi" w:cs="Times New Roman"/>
                <w:b/>
                <w:color w:val="808080" w:themeColor="background1" w:themeShade="80"/>
                <w:lang w:eastAsia="en-AU"/>
              </w:rPr>
              <w:t xml:space="preserve">Rituximab has been shown to be </w:t>
            </w:r>
            <w:r w:rsidR="00B92DFE">
              <w:rPr>
                <w:rFonts w:asciiTheme="minorHAnsi" w:eastAsia="Times New Roman" w:hAnsiTheme="minorHAnsi" w:cs="Times New Roman"/>
                <w:b/>
                <w:color w:val="808080" w:themeColor="background1" w:themeShade="80"/>
                <w:lang w:eastAsia="en-AU"/>
              </w:rPr>
              <w:t xml:space="preserve"> </w:t>
            </w:r>
            <w:r w:rsidRPr="000052BC">
              <w:rPr>
                <w:rFonts w:asciiTheme="minorHAnsi" w:eastAsia="Times New Roman" w:hAnsiTheme="minorHAnsi" w:cs="Times New Roman"/>
                <w:b/>
                <w:color w:val="808080" w:themeColor="background1" w:themeShade="80"/>
                <w:lang w:eastAsia="en-AU"/>
              </w:rPr>
              <w:t xml:space="preserve"> effective in the treatment of Graves </w:t>
            </w:r>
            <w:proofErr w:type="spellStart"/>
            <w:r w:rsidRPr="000052BC">
              <w:rPr>
                <w:rFonts w:asciiTheme="minorHAnsi" w:eastAsia="Times New Roman" w:hAnsiTheme="minorHAnsi" w:cs="Times New Roman"/>
                <w:b/>
                <w:color w:val="808080" w:themeColor="background1" w:themeShade="80"/>
                <w:lang w:eastAsia="en-AU"/>
              </w:rPr>
              <w:t>Ophthalmopathy</w:t>
            </w:r>
            <w:proofErr w:type="spellEnd"/>
            <w:r w:rsidRPr="000052BC">
              <w:rPr>
                <w:rFonts w:asciiTheme="minorHAnsi" w:eastAsia="Times New Roman" w:hAnsiTheme="minorHAnsi" w:cs="Times New Roman"/>
                <w:b/>
                <w:color w:val="808080" w:themeColor="background1" w:themeShade="80"/>
                <w:lang w:eastAsia="en-AU"/>
              </w:rPr>
              <w:t xml:space="preserve">. A course of Rituximab should be reconsidered for this patient if not already trialled, unless contraindicated. </w:t>
            </w:r>
          </w:p>
        </w:tc>
        <w:tc>
          <w:tcPr>
            <w:tcW w:w="4318" w:type="dxa"/>
          </w:tcPr>
          <w:p w14:paraId="1BCBFA4D" w14:textId="3BA6E205" w:rsidR="00BD6C2D" w:rsidRPr="007367DA" w:rsidRDefault="007E6F4E" w:rsidP="007367DA">
            <w:pPr>
              <w:spacing w:after="120"/>
              <w:rPr>
                <w:szCs w:val="20"/>
              </w:rPr>
            </w:pPr>
            <w:r>
              <w:rPr>
                <w:rFonts w:asciiTheme="minorHAnsi" w:hAnsiTheme="minorHAnsi"/>
                <w:szCs w:val="20"/>
              </w:rPr>
              <w:lastRenderedPageBreak/>
              <w:t xml:space="preserve">The initial treatment period has been defined and review criteria to demonstrate a clinical response, supported by evidence items, have been developed. </w:t>
            </w:r>
          </w:p>
          <w:p w14:paraId="7B4E2074" w14:textId="413198E0" w:rsidR="000D18BF" w:rsidRDefault="007E6F4E" w:rsidP="00021243">
            <w:pPr>
              <w:spacing w:before="120" w:after="120"/>
              <w:rPr>
                <w:rFonts w:asciiTheme="minorHAnsi" w:hAnsiTheme="minorHAnsi"/>
                <w:szCs w:val="20"/>
              </w:rPr>
            </w:pPr>
            <w:r>
              <w:rPr>
                <w:rFonts w:asciiTheme="minorHAnsi" w:hAnsiTheme="minorHAnsi"/>
                <w:szCs w:val="20"/>
              </w:rPr>
              <w:t xml:space="preserve">An assessment of each of the </w:t>
            </w:r>
            <w:proofErr w:type="spellStart"/>
            <w:r w:rsidR="00162BB5">
              <w:rPr>
                <w:rFonts w:asciiTheme="minorHAnsi" w:hAnsiTheme="minorHAnsi"/>
                <w:szCs w:val="20"/>
              </w:rPr>
              <w:t>Bartelena</w:t>
            </w:r>
            <w:proofErr w:type="spellEnd"/>
            <w:r w:rsidR="00162BB5">
              <w:rPr>
                <w:rFonts w:asciiTheme="minorHAnsi" w:hAnsiTheme="minorHAnsi"/>
                <w:szCs w:val="20"/>
              </w:rPr>
              <w:t xml:space="preserve"> Activity Score </w:t>
            </w:r>
            <w:r>
              <w:rPr>
                <w:rFonts w:asciiTheme="minorHAnsi" w:hAnsiTheme="minorHAnsi"/>
                <w:szCs w:val="20"/>
              </w:rPr>
              <w:t xml:space="preserve">measures of </w:t>
            </w:r>
            <w:r w:rsidR="00162BB5">
              <w:rPr>
                <w:rFonts w:asciiTheme="minorHAnsi" w:hAnsiTheme="minorHAnsi"/>
                <w:szCs w:val="20"/>
              </w:rPr>
              <w:t>severity</w:t>
            </w:r>
            <w:r>
              <w:rPr>
                <w:rFonts w:asciiTheme="minorHAnsi" w:hAnsiTheme="minorHAnsi"/>
                <w:szCs w:val="20"/>
              </w:rPr>
              <w:t xml:space="preserve"> will be captured </w:t>
            </w:r>
            <w:r w:rsidR="00162BB5">
              <w:rPr>
                <w:rFonts w:asciiTheme="minorHAnsi" w:hAnsiTheme="minorHAnsi"/>
                <w:szCs w:val="20"/>
              </w:rPr>
              <w:t xml:space="preserve">as ‘improved/ worsened/stable’ for monitoring and </w:t>
            </w:r>
            <w:r>
              <w:rPr>
                <w:rFonts w:asciiTheme="minorHAnsi" w:hAnsiTheme="minorHAnsi"/>
                <w:szCs w:val="20"/>
              </w:rPr>
              <w:t xml:space="preserve">to inform future </w:t>
            </w:r>
            <w:r w:rsidR="00162BB5">
              <w:rPr>
                <w:rFonts w:asciiTheme="minorHAnsi" w:hAnsiTheme="minorHAnsi"/>
                <w:szCs w:val="20"/>
              </w:rPr>
              <w:t>measurement</w:t>
            </w:r>
            <w:r>
              <w:rPr>
                <w:rFonts w:asciiTheme="minorHAnsi" w:hAnsiTheme="minorHAnsi"/>
                <w:szCs w:val="20"/>
              </w:rPr>
              <w:t xml:space="preserve"> of clinical response. Patients will be authorised for continuing therapy if some improvement has been demonstrated.  </w:t>
            </w:r>
          </w:p>
          <w:p w14:paraId="7F400317" w14:textId="77777777" w:rsidR="000D18BF" w:rsidRDefault="000D18BF" w:rsidP="00021243">
            <w:pPr>
              <w:spacing w:before="120" w:after="120"/>
              <w:rPr>
                <w:rFonts w:asciiTheme="minorHAnsi" w:hAnsiTheme="minorHAnsi"/>
                <w:szCs w:val="20"/>
              </w:rPr>
            </w:pPr>
          </w:p>
          <w:p w14:paraId="55C37A6C" w14:textId="77777777" w:rsidR="000D18BF" w:rsidRDefault="000D18BF" w:rsidP="00021243">
            <w:pPr>
              <w:spacing w:before="120" w:after="120"/>
              <w:rPr>
                <w:rFonts w:asciiTheme="minorHAnsi" w:hAnsiTheme="minorHAnsi"/>
                <w:szCs w:val="20"/>
              </w:rPr>
            </w:pPr>
          </w:p>
          <w:p w14:paraId="473C5ED2" w14:textId="6D6AAC11" w:rsidR="000D18BF" w:rsidRDefault="007E6F4E" w:rsidP="00021243">
            <w:pPr>
              <w:spacing w:before="120" w:after="120"/>
              <w:rPr>
                <w:rFonts w:asciiTheme="minorHAnsi" w:hAnsiTheme="minorHAnsi"/>
                <w:szCs w:val="20"/>
              </w:rPr>
            </w:pPr>
            <w:r>
              <w:rPr>
                <w:rFonts w:asciiTheme="minorHAnsi" w:hAnsiTheme="minorHAnsi"/>
                <w:szCs w:val="20"/>
              </w:rPr>
              <w:t xml:space="preserve">Prescribers are encouraged to determine the minimal effective dose for patients. </w:t>
            </w:r>
          </w:p>
          <w:p w14:paraId="720E731B" w14:textId="77777777" w:rsidR="000D18BF" w:rsidRDefault="000D18BF" w:rsidP="00021243">
            <w:pPr>
              <w:spacing w:before="120" w:after="120"/>
              <w:rPr>
                <w:rFonts w:asciiTheme="minorHAnsi" w:hAnsiTheme="minorHAnsi"/>
                <w:szCs w:val="20"/>
              </w:rPr>
            </w:pPr>
          </w:p>
          <w:p w14:paraId="2F62C454" w14:textId="77777777" w:rsidR="000D18BF" w:rsidRDefault="000D18BF" w:rsidP="00021243">
            <w:pPr>
              <w:spacing w:before="120" w:after="120"/>
              <w:rPr>
                <w:rFonts w:asciiTheme="minorHAnsi" w:hAnsiTheme="minorHAnsi"/>
                <w:szCs w:val="20"/>
              </w:rPr>
            </w:pPr>
          </w:p>
          <w:p w14:paraId="7B12852E" w14:textId="77777777" w:rsidR="000D18BF" w:rsidRDefault="000D18BF" w:rsidP="00021243">
            <w:pPr>
              <w:spacing w:before="120" w:after="120"/>
              <w:rPr>
                <w:rFonts w:asciiTheme="minorHAnsi" w:hAnsiTheme="minorHAnsi"/>
                <w:szCs w:val="20"/>
              </w:rPr>
            </w:pPr>
          </w:p>
          <w:p w14:paraId="108C3E89" w14:textId="77777777" w:rsidR="000D18BF" w:rsidRDefault="000D18BF" w:rsidP="00021243">
            <w:pPr>
              <w:spacing w:before="120" w:after="120"/>
              <w:rPr>
                <w:rFonts w:asciiTheme="minorHAnsi" w:hAnsiTheme="minorHAnsi"/>
                <w:szCs w:val="20"/>
              </w:rPr>
            </w:pPr>
          </w:p>
          <w:p w14:paraId="1DB91D70" w14:textId="77777777" w:rsidR="000D18BF" w:rsidRDefault="000D18BF" w:rsidP="00021243">
            <w:pPr>
              <w:spacing w:before="120" w:after="120"/>
              <w:rPr>
                <w:rFonts w:asciiTheme="minorHAnsi" w:hAnsiTheme="minorHAnsi"/>
                <w:szCs w:val="20"/>
              </w:rPr>
            </w:pPr>
          </w:p>
          <w:p w14:paraId="723B9BAD" w14:textId="77777777" w:rsidR="00816AD3" w:rsidRDefault="00816AD3" w:rsidP="00021243">
            <w:pPr>
              <w:spacing w:before="120" w:after="120"/>
              <w:rPr>
                <w:rFonts w:asciiTheme="minorHAnsi" w:hAnsiTheme="minorHAnsi"/>
                <w:szCs w:val="20"/>
              </w:rPr>
            </w:pPr>
          </w:p>
          <w:p w14:paraId="722A8F73" w14:textId="77777777" w:rsidR="00816AD3" w:rsidRDefault="00816AD3" w:rsidP="00021243">
            <w:pPr>
              <w:spacing w:before="120" w:after="120"/>
              <w:rPr>
                <w:rFonts w:asciiTheme="minorHAnsi" w:hAnsiTheme="minorHAnsi"/>
                <w:szCs w:val="20"/>
              </w:rPr>
            </w:pPr>
          </w:p>
          <w:p w14:paraId="331B99E1" w14:textId="77777777" w:rsidR="00816AD3" w:rsidRDefault="00816AD3" w:rsidP="00021243">
            <w:pPr>
              <w:spacing w:before="120" w:after="120"/>
              <w:rPr>
                <w:rFonts w:asciiTheme="minorHAnsi" w:hAnsiTheme="minorHAnsi"/>
                <w:szCs w:val="20"/>
              </w:rPr>
            </w:pPr>
          </w:p>
          <w:p w14:paraId="5A393B82" w14:textId="4EE144DC" w:rsidR="00816AD3" w:rsidRPr="00C92149" w:rsidRDefault="00816AD3" w:rsidP="00021243">
            <w:pPr>
              <w:spacing w:before="120" w:after="120"/>
              <w:rPr>
                <w:rFonts w:asciiTheme="minorHAnsi" w:hAnsiTheme="minorHAnsi"/>
                <w:szCs w:val="20"/>
              </w:rPr>
            </w:pPr>
            <w:r>
              <w:rPr>
                <w:rFonts w:asciiTheme="minorHAnsi" w:hAnsiTheme="minorHAnsi"/>
                <w:szCs w:val="20"/>
              </w:rPr>
              <w:t xml:space="preserve">A script has been added to raise awareness of the effectiveness of Rituximab in existing patients that will transition to maintenance therapy in </w:t>
            </w:r>
            <w:proofErr w:type="spellStart"/>
            <w:r>
              <w:rPr>
                <w:rFonts w:asciiTheme="minorHAnsi" w:hAnsiTheme="minorHAnsi"/>
                <w:szCs w:val="20"/>
              </w:rPr>
              <w:t>BloodSTAR</w:t>
            </w:r>
            <w:proofErr w:type="spellEnd"/>
            <w:r>
              <w:rPr>
                <w:rFonts w:asciiTheme="minorHAnsi" w:hAnsiTheme="minorHAnsi"/>
                <w:szCs w:val="20"/>
              </w:rPr>
              <w:t xml:space="preserve"> v3.1 and may not have already been trialled on Rituximab. </w:t>
            </w:r>
          </w:p>
        </w:tc>
      </w:tr>
      <w:tr w:rsidR="00021243" w:rsidRPr="00853117" w14:paraId="255FC7BB" w14:textId="77777777" w:rsidTr="00B66E6B">
        <w:tc>
          <w:tcPr>
            <w:tcW w:w="1549" w:type="dxa"/>
            <w:shd w:val="clear" w:color="auto" w:fill="D9D9D9" w:themeFill="background1" w:themeFillShade="D9"/>
          </w:tcPr>
          <w:p w14:paraId="62B90601" w14:textId="77777777" w:rsidR="00021243" w:rsidRPr="00B66E6B" w:rsidRDefault="00021243" w:rsidP="00B66E6B">
            <w:pPr>
              <w:rPr>
                <w:b/>
              </w:rPr>
            </w:pPr>
            <w:r w:rsidRPr="00B66E6B">
              <w:rPr>
                <w:b/>
              </w:rPr>
              <w:lastRenderedPageBreak/>
              <w:t>Dose</w:t>
            </w:r>
          </w:p>
        </w:tc>
        <w:tc>
          <w:tcPr>
            <w:tcW w:w="2244" w:type="dxa"/>
          </w:tcPr>
          <w:p w14:paraId="6F284427" w14:textId="77777777" w:rsidR="003F6934" w:rsidRPr="008F3EA9" w:rsidRDefault="003F6934" w:rsidP="003F6934">
            <w:pPr>
              <w:tabs>
                <w:tab w:val="left" w:pos="991"/>
              </w:tabs>
              <w:spacing w:after="240" w:line="20" w:lineRule="atLeast"/>
              <w:rPr>
                <w:rFonts w:asciiTheme="minorHAnsi" w:eastAsia="Times New Roman" w:hAnsiTheme="minorHAnsi" w:cs="Times New Roman"/>
                <w:color w:val="000000"/>
                <w:lang w:eastAsia="en-AU"/>
              </w:rPr>
            </w:pPr>
            <w:r w:rsidRPr="008F3EA9">
              <w:rPr>
                <w:rFonts w:asciiTheme="minorHAnsi" w:eastAsia="Times New Roman" w:hAnsiTheme="minorHAnsi" w:cs="Times New Roman"/>
                <w:color w:val="000000"/>
                <w:lang w:eastAsia="en-AU"/>
              </w:rPr>
              <w:t>Refer to the current product information sheet for further information.</w:t>
            </w:r>
          </w:p>
          <w:p w14:paraId="76CB8CAB" w14:textId="77777777" w:rsidR="00021243" w:rsidRPr="00447869" w:rsidRDefault="003F6934" w:rsidP="003F6934">
            <w:pPr>
              <w:spacing w:before="120" w:after="120"/>
              <w:rPr>
                <w:rFonts w:asciiTheme="minorHAnsi" w:hAnsiTheme="minorHAnsi"/>
                <w:b/>
              </w:rPr>
            </w:pPr>
            <w:r w:rsidRPr="008F3EA9">
              <w:rPr>
                <w:rFonts w:asciiTheme="minorHAnsi" w:eastAsia="Times New Roman" w:hAnsiTheme="minorHAnsi" w:cs="Times New Roman"/>
                <w:color w:val="000000"/>
                <w:lang w:eastAsia="en-AU"/>
              </w:rPr>
              <w:t>The aim should be to use the lowest dose possible that achieves the appropriate clinical outcome for each patient.</w:t>
            </w:r>
          </w:p>
        </w:tc>
        <w:tc>
          <w:tcPr>
            <w:tcW w:w="6490" w:type="dxa"/>
            <w:gridSpan w:val="3"/>
          </w:tcPr>
          <w:p w14:paraId="317518B3" w14:textId="31315D2B" w:rsidR="009B15F8" w:rsidRPr="007367DA" w:rsidRDefault="009B15F8" w:rsidP="009B15F8">
            <w:pPr>
              <w:rPr>
                <w:rFonts w:asciiTheme="minorHAnsi" w:eastAsia="Times New Roman" w:hAnsiTheme="minorHAnsi" w:cs="Times New Roman"/>
                <w:b/>
                <w:color w:val="000000"/>
                <w:lang w:eastAsia="en-AU"/>
              </w:rPr>
            </w:pPr>
            <w:r w:rsidRPr="007367DA">
              <w:rPr>
                <w:rFonts w:asciiTheme="minorHAnsi" w:eastAsia="Times New Roman" w:hAnsiTheme="minorHAnsi" w:cs="Times New Roman"/>
                <w:b/>
                <w:color w:val="000000"/>
                <w:lang w:eastAsia="en-AU"/>
              </w:rPr>
              <w:t xml:space="preserve">Induction </w:t>
            </w:r>
            <w:r w:rsidR="0032003B">
              <w:rPr>
                <w:rFonts w:asciiTheme="minorHAnsi" w:eastAsia="Times New Roman" w:hAnsiTheme="minorHAnsi" w:cs="Times New Roman"/>
                <w:b/>
                <w:color w:val="000000"/>
                <w:lang w:eastAsia="en-AU"/>
              </w:rPr>
              <w:t xml:space="preserve">Dose </w:t>
            </w:r>
            <w:r w:rsidRPr="007367DA">
              <w:rPr>
                <w:rFonts w:asciiTheme="minorHAnsi" w:eastAsia="Times New Roman" w:hAnsiTheme="minorHAnsi" w:cs="Times New Roman"/>
                <w:b/>
                <w:color w:val="000000"/>
                <w:lang w:eastAsia="en-AU"/>
              </w:rPr>
              <w:t xml:space="preserve">– </w:t>
            </w:r>
            <w:r w:rsidRPr="00E95BC6">
              <w:rPr>
                <w:rFonts w:asciiTheme="minorHAnsi" w:eastAsia="Times New Roman" w:hAnsiTheme="minorHAnsi" w:cs="Times New Roman"/>
                <w:color w:val="000000"/>
                <w:lang w:eastAsia="en-AU"/>
              </w:rPr>
              <w:t>Up to 2 g/kg over 2 days</w:t>
            </w:r>
          </w:p>
          <w:p w14:paraId="6235EBB1" w14:textId="34E9DF1C" w:rsidR="009B15F8" w:rsidRP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ab/>
            </w:r>
            <w:r w:rsidRPr="009B15F8">
              <w:rPr>
                <w:rFonts w:asciiTheme="minorHAnsi" w:eastAsia="Times New Roman" w:hAnsiTheme="minorHAnsi" w:cs="Times New Roman"/>
                <w:color w:val="000000"/>
                <w:lang w:eastAsia="en-AU"/>
              </w:rPr>
              <w:tab/>
              <w:t xml:space="preserve"> </w:t>
            </w:r>
          </w:p>
          <w:p w14:paraId="0BFF24EF" w14:textId="41B30B23" w:rsidR="009B15F8" w:rsidRPr="009B15F8" w:rsidRDefault="009B15F8" w:rsidP="009B15F8">
            <w:pPr>
              <w:rPr>
                <w:rFonts w:asciiTheme="minorHAnsi" w:eastAsia="Times New Roman" w:hAnsiTheme="minorHAnsi" w:cs="Times New Roman"/>
                <w:color w:val="000000"/>
                <w:lang w:eastAsia="en-AU"/>
              </w:rPr>
            </w:pPr>
            <w:r w:rsidRPr="007367DA">
              <w:rPr>
                <w:rFonts w:asciiTheme="minorHAnsi" w:eastAsia="Times New Roman" w:hAnsiTheme="minorHAnsi" w:cs="Times New Roman"/>
                <w:b/>
                <w:color w:val="000000"/>
                <w:lang w:eastAsia="en-AU"/>
              </w:rPr>
              <w:t>Maintenance</w:t>
            </w:r>
            <w:r w:rsidR="0032003B">
              <w:rPr>
                <w:rFonts w:asciiTheme="minorHAnsi" w:eastAsia="Times New Roman" w:hAnsiTheme="minorHAnsi" w:cs="Times New Roman"/>
                <w:b/>
                <w:color w:val="000000"/>
                <w:lang w:eastAsia="en-AU"/>
              </w:rPr>
              <w:t xml:space="preserve"> Dose </w:t>
            </w:r>
            <w:r w:rsidRPr="007367DA">
              <w:rPr>
                <w:rFonts w:asciiTheme="minorHAnsi" w:eastAsia="Times New Roman" w:hAnsiTheme="minorHAnsi" w:cs="Times New Roman"/>
                <w:b/>
                <w:color w:val="000000"/>
                <w:lang w:eastAsia="en-AU"/>
              </w:rPr>
              <w:t xml:space="preserve">– </w:t>
            </w:r>
            <w:r w:rsidRPr="00E95BC6">
              <w:rPr>
                <w:rFonts w:asciiTheme="minorHAnsi" w:eastAsia="Times New Roman" w:hAnsiTheme="minorHAnsi" w:cs="Times New Roman"/>
                <w:color w:val="000000"/>
                <w:lang w:eastAsia="en-AU"/>
              </w:rPr>
              <w:t>0.4 to 2 g/kg in single or divided doses monthly.</w:t>
            </w:r>
            <w:r w:rsidRPr="009B15F8">
              <w:rPr>
                <w:rFonts w:asciiTheme="minorHAnsi" w:eastAsia="Times New Roman" w:hAnsiTheme="minorHAnsi" w:cs="Times New Roman"/>
                <w:color w:val="000000"/>
                <w:lang w:eastAsia="en-AU"/>
              </w:rPr>
              <w:t xml:space="preserve"> A maximum dose of 2 g/Kg may be given in any 4 week period. This might be by divided doses more frequently than monthly. </w:t>
            </w:r>
          </w:p>
          <w:p w14:paraId="41054B86" w14:textId="77777777" w:rsidR="009B15F8" w:rsidRPr="009B15F8" w:rsidRDefault="009B15F8" w:rsidP="009B15F8">
            <w:pPr>
              <w:rPr>
                <w:rFonts w:asciiTheme="minorHAnsi" w:eastAsia="Times New Roman" w:hAnsiTheme="minorHAnsi" w:cs="Times New Roman"/>
                <w:color w:val="000000"/>
                <w:lang w:eastAsia="en-AU"/>
              </w:rPr>
            </w:pPr>
          </w:p>
          <w:p w14:paraId="032F23C8" w14:textId="77777777" w:rsidR="009B15F8" w:rsidRP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The aim should be to use the lowest dose possible that achieves the appropriate clinical outcome for each patient.</w:t>
            </w:r>
          </w:p>
          <w:p w14:paraId="427C69CD" w14:textId="77777777" w:rsidR="009B15F8" w:rsidRPr="009B15F8" w:rsidRDefault="009B15F8" w:rsidP="009B15F8">
            <w:pPr>
              <w:rPr>
                <w:rFonts w:asciiTheme="minorHAnsi" w:eastAsia="Times New Roman" w:hAnsiTheme="minorHAnsi" w:cs="Times New Roman"/>
                <w:color w:val="000000"/>
                <w:lang w:eastAsia="en-AU"/>
              </w:rPr>
            </w:pPr>
          </w:p>
          <w:p w14:paraId="558763D7" w14:textId="2BDBE733" w:rsidR="00021243" w:rsidRPr="009B15F8" w:rsidRDefault="009B15F8" w:rsidP="00584581">
            <w:pPr>
              <w:spacing w:after="120"/>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Refer to the current product information sheet for further information</w:t>
            </w:r>
            <w:r w:rsidR="007367DA">
              <w:rPr>
                <w:rFonts w:asciiTheme="minorHAnsi" w:eastAsia="Times New Roman" w:hAnsiTheme="minorHAnsi" w:cs="Times New Roman"/>
                <w:color w:val="000000"/>
                <w:lang w:eastAsia="en-AU"/>
              </w:rPr>
              <w:t xml:space="preserve"> on dose, administration and contraindications</w:t>
            </w:r>
            <w:r w:rsidRPr="009B15F8">
              <w:rPr>
                <w:rFonts w:asciiTheme="minorHAnsi" w:eastAsia="Times New Roman" w:hAnsiTheme="minorHAnsi" w:cs="Times New Roman"/>
                <w:color w:val="000000"/>
                <w:lang w:eastAsia="en-AU"/>
              </w:rPr>
              <w:t>.</w:t>
            </w:r>
          </w:p>
        </w:tc>
        <w:tc>
          <w:tcPr>
            <w:tcW w:w="4318" w:type="dxa"/>
          </w:tcPr>
          <w:p w14:paraId="460E159B" w14:textId="7661866D" w:rsidR="00021243" w:rsidRPr="00C92149" w:rsidRDefault="00A541C4" w:rsidP="00EF3D22">
            <w:pPr>
              <w:spacing w:before="120" w:after="120"/>
              <w:rPr>
                <w:rFonts w:asciiTheme="minorHAnsi" w:hAnsiTheme="minorHAnsi"/>
                <w:szCs w:val="20"/>
              </w:rPr>
            </w:pPr>
            <w:r>
              <w:rPr>
                <w:rFonts w:asciiTheme="minorHAnsi" w:hAnsiTheme="minorHAnsi"/>
                <w:szCs w:val="20"/>
              </w:rPr>
              <w:t xml:space="preserve">Dosing controls have been </w:t>
            </w:r>
            <w:r w:rsidR="00C11A85">
              <w:rPr>
                <w:rFonts w:asciiTheme="minorHAnsi" w:hAnsiTheme="minorHAnsi"/>
                <w:szCs w:val="20"/>
              </w:rPr>
              <w:t xml:space="preserve">defined and are consistent with international guidelines and </w:t>
            </w:r>
            <w:r w:rsidR="00EF3D22">
              <w:rPr>
                <w:rFonts w:asciiTheme="minorHAnsi" w:hAnsiTheme="minorHAnsi"/>
                <w:szCs w:val="20"/>
              </w:rPr>
              <w:t xml:space="preserve">have been </w:t>
            </w:r>
            <w:r w:rsidR="00C11A85">
              <w:rPr>
                <w:rFonts w:asciiTheme="minorHAnsi" w:hAnsiTheme="minorHAnsi"/>
                <w:szCs w:val="20"/>
              </w:rPr>
              <w:t>endorse</w:t>
            </w:r>
            <w:r w:rsidR="00EF3D22">
              <w:rPr>
                <w:rFonts w:asciiTheme="minorHAnsi" w:hAnsiTheme="minorHAnsi"/>
                <w:szCs w:val="20"/>
              </w:rPr>
              <w:t>d</w:t>
            </w:r>
            <w:r w:rsidR="00C11A85">
              <w:rPr>
                <w:rFonts w:asciiTheme="minorHAnsi" w:hAnsiTheme="minorHAnsi"/>
                <w:szCs w:val="20"/>
              </w:rPr>
              <w:t xml:space="preserve"> by the ESA and RANZCO</w:t>
            </w:r>
            <w:r w:rsidR="004737A5">
              <w:rPr>
                <w:rFonts w:asciiTheme="minorHAnsi" w:hAnsiTheme="minorHAnsi"/>
                <w:szCs w:val="20"/>
              </w:rPr>
              <w:t>.</w:t>
            </w:r>
          </w:p>
        </w:tc>
      </w:tr>
    </w:tbl>
    <w:p w14:paraId="667E2467" w14:textId="77777777" w:rsidR="00447869" w:rsidRDefault="00447869" w:rsidP="00447869">
      <w:pPr>
        <w:spacing w:before="120" w:after="120"/>
        <w:rPr>
          <w:rFonts w:asciiTheme="minorHAnsi" w:hAnsiTheme="minorHAnsi"/>
        </w:rPr>
        <w:sectPr w:rsidR="00447869" w:rsidSect="00447869">
          <w:headerReference w:type="default" r:id="rId9"/>
          <w:footerReference w:type="default" r:id="rId10"/>
          <w:headerReference w:type="first" r:id="rId11"/>
          <w:footerReference w:type="first" r:id="rId12"/>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14:paraId="58EA203B" w14:textId="77777777" w:rsidTr="008612AB">
        <w:tc>
          <w:tcPr>
            <w:tcW w:w="14601" w:type="dxa"/>
            <w:shd w:val="clear" w:color="auto" w:fill="B8CCE4" w:themeFill="accent1" w:themeFillTint="66"/>
          </w:tcPr>
          <w:p w14:paraId="10476A99" w14:textId="77777777"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14:paraId="1ED127A1" w14:textId="77777777" w:rsidR="00901F76" w:rsidRPr="00021243" w:rsidRDefault="00901F76" w:rsidP="00B61000">
            <w:pPr>
              <w:spacing w:before="120" w:after="120"/>
              <w:jc w:val="center"/>
              <w:rPr>
                <w:rFonts w:asciiTheme="minorHAnsi" w:hAnsiTheme="minorHAnsi"/>
                <w:b/>
              </w:rPr>
            </w:pPr>
            <w:r>
              <w:rPr>
                <w:rFonts w:asciiTheme="minorHAnsi" w:hAnsiTheme="minorHAnsi"/>
                <w:b/>
              </w:rPr>
              <w:lastRenderedPageBreak/>
              <w:t>(</w:t>
            </w:r>
            <w:r w:rsidR="00386D95">
              <w:rPr>
                <w:rFonts w:asciiTheme="minorHAnsi" w:hAnsiTheme="minorHAnsi"/>
                <w:b/>
              </w:rPr>
              <w:t xml:space="preserve">most </w:t>
            </w:r>
            <w:r>
              <w:rPr>
                <w:rFonts w:asciiTheme="minorHAnsi" w:hAnsiTheme="minorHAnsi"/>
                <w:b/>
              </w:rPr>
              <w:t>recent update</w:t>
            </w:r>
            <w:r w:rsidR="00386D95">
              <w:rPr>
                <w:rFonts w:asciiTheme="minorHAnsi" w:hAnsiTheme="minorHAnsi"/>
                <w:b/>
              </w:rPr>
              <w:t>:</w:t>
            </w:r>
            <w:r>
              <w:rPr>
                <w:rFonts w:asciiTheme="minorHAnsi" w:hAnsiTheme="minorHAnsi"/>
                <w:b/>
              </w:rPr>
              <w:t xml:space="preserve"> </w:t>
            </w:r>
            <w:r w:rsidR="00386D95">
              <w:rPr>
                <w:rFonts w:asciiTheme="minorHAnsi" w:hAnsiTheme="minorHAnsi"/>
                <w:b/>
              </w:rPr>
              <w:t>A</w:t>
            </w:r>
            <w:r w:rsidR="00B61000">
              <w:rPr>
                <w:rFonts w:asciiTheme="minorHAnsi" w:hAnsiTheme="minorHAnsi"/>
                <w:b/>
              </w:rPr>
              <w:t>pril</w:t>
            </w:r>
            <w:r w:rsidR="00386D95">
              <w:rPr>
                <w:rFonts w:asciiTheme="minorHAnsi" w:hAnsiTheme="minorHAnsi"/>
                <w:b/>
              </w:rPr>
              <w:t xml:space="preserve"> 2016</w:t>
            </w:r>
            <w:r>
              <w:rPr>
                <w:rFonts w:asciiTheme="minorHAnsi" w:hAnsiTheme="minorHAnsi"/>
                <w:b/>
              </w:rPr>
              <w:t>)</w:t>
            </w:r>
          </w:p>
        </w:tc>
      </w:tr>
      <w:tr w:rsidR="008612AB" w:rsidRPr="00255740" w14:paraId="5DF6FA38" w14:textId="77777777" w:rsidTr="008612AB">
        <w:tc>
          <w:tcPr>
            <w:tcW w:w="14601" w:type="dxa"/>
          </w:tcPr>
          <w:p w14:paraId="28E361FC" w14:textId="208704BF" w:rsidR="009B15F8" w:rsidRDefault="009B15F8" w:rsidP="00584581">
            <w:pPr>
              <w:spacing w:before="120" w:after="120"/>
              <w:ind w:left="360"/>
              <w:rPr>
                <w:rFonts w:asciiTheme="minorHAnsi" w:eastAsia="Times New Roman" w:hAnsiTheme="minorHAnsi" w:cstheme="minorHAnsi"/>
                <w:color w:val="000000"/>
              </w:rPr>
            </w:pPr>
            <w:proofErr w:type="spellStart"/>
            <w:r w:rsidRPr="00912178">
              <w:rPr>
                <w:rFonts w:asciiTheme="minorHAnsi" w:eastAsia="Times New Roman" w:hAnsiTheme="minorHAnsi" w:cstheme="minorHAnsi"/>
                <w:color w:val="000000"/>
                <w:lang w:val="fr-FR"/>
              </w:rPr>
              <w:lastRenderedPageBreak/>
              <w:t>Bartalena</w:t>
            </w:r>
            <w:proofErr w:type="spellEnd"/>
            <w:r w:rsidRPr="00912178">
              <w:rPr>
                <w:rFonts w:asciiTheme="minorHAnsi" w:eastAsia="Times New Roman" w:hAnsiTheme="minorHAnsi" w:cstheme="minorHAnsi"/>
                <w:color w:val="000000"/>
                <w:lang w:val="fr-FR"/>
              </w:rPr>
              <w:t xml:space="preserve"> L, </w:t>
            </w:r>
            <w:proofErr w:type="spellStart"/>
            <w:r w:rsidR="00912178" w:rsidRPr="00912178">
              <w:rPr>
                <w:rFonts w:asciiTheme="minorHAnsi" w:eastAsia="Times New Roman" w:hAnsiTheme="minorHAnsi" w:cstheme="minorHAnsi"/>
                <w:color w:val="000000"/>
                <w:lang w:val="fr-FR"/>
              </w:rPr>
              <w:t>Baldeschi</w:t>
            </w:r>
            <w:proofErr w:type="spellEnd"/>
            <w:r w:rsidR="00912178" w:rsidRPr="00912178">
              <w:rPr>
                <w:rFonts w:asciiTheme="minorHAnsi" w:eastAsia="Times New Roman" w:hAnsiTheme="minorHAnsi" w:cstheme="minorHAnsi"/>
                <w:color w:val="000000"/>
                <w:lang w:val="fr-FR"/>
              </w:rPr>
              <w:t xml:space="preserve"> L, </w:t>
            </w:r>
            <w:proofErr w:type="spellStart"/>
            <w:r w:rsidR="00912178" w:rsidRPr="00912178">
              <w:rPr>
                <w:rFonts w:asciiTheme="minorHAnsi" w:eastAsia="Times New Roman" w:hAnsiTheme="minorHAnsi" w:cstheme="minorHAnsi"/>
                <w:color w:val="000000"/>
                <w:lang w:val="fr-FR"/>
              </w:rPr>
              <w:t>Boboridis</w:t>
            </w:r>
            <w:proofErr w:type="spellEnd"/>
            <w:r w:rsidR="00912178" w:rsidRPr="00912178">
              <w:rPr>
                <w:rFonts w:asciiTheme="minorHAnsi" w:eastAsia="Times New Roman" w:hAnsiTheme="minorHAnsi" w:cstheme="minorHAnsi"/>
                <w:color w:val="000000"/>
                <w:lang w:val="fr-FR"/>
              </w:rPr>
              <w:t xml:space="preserve"> K, </w:t>
            </w:r>
            <w:proofErr w:type="spellStart"/>
            <w:r w:rsidR="00912178" w:rsidRPr="00912178">
              <w:rPr>
                <w:rFonts w:asciiTheme="minorHAnsi" w:eastAsia="Times New Roman" w:hAnsiTheme="minorHAnsi" w:cstheme="minorHAnsi"/>
                <w:color w:val="000000"/>
                <w:lang w:val="fr-FR"/>
              </w:rPr>
              <w:t>Eckstein</w:t>
            </w:r>
            <w:proofErr w:type="spellEnd"/>
            <w:r w:rsidR="00912178" w:rsidRPr="00912178">
              <w:rPr>
                <w:rFonts w:asciiTheme="minorHAnsi" w:eastAsia="Times New Roman" w:hAnsiTheme="minorHAnsi" w:cstheme="minorHAnsi"/>
                <w:color w:val="000000"/>
                <w:lang w:val="fr-FR"/>
              </w:rPr>
              <w:t xml:space="preserve"> A, </w:t>
            </w:r>
            <w:proofErr w:type="spellStart"/>
            <w:r w:rsidR="00912178" w:rsidRPr="00912178">
              <w:rPr>
                <w:rFonts w:asciiTheme="minorHAnsi" w:eastAsia="Times New Roman" w:hAnsiTheme="minorHAnsi" w:cstheme="minorHAnsi"/>
                <w:color w:val="000000"/>
                <w:lang w:val="fr-FR"/>
              </w:rPr>
              <w:t>Kahaly</w:t>
            </w:r>
            <w:proofErr w:type="spellEnd"/>
            <w:r w:rsidR="00912178" w:rsidRPr="00912178">
              <w:rPr>
                <w:rFonts w:asciiTheme="minorHAnsi" w:eastAsia="Times New Roman" w:hAnsiTheme="minorHAnsi" w:cstheme="minorHAnsi"/>
                <w:color w:val="000000"/>
                <w:lang w:val="fr-FR"/>
              </w:rPr>
              <w:t xml:space="preserve"> G, </w:t>
            </w:r>
            <w:proofErr w:type="spellStart"/>
            <w:r w:rsidR="00912178" w:rsidRPr="00912178">
              <w:rPr>
                <w:rFonts w:asciiTheme="minorHAnsi" w:eastAsia="Times New Roman" w:hAnsiTheme="minorHAnsi" w:cstheme="minorHAnsi"/>
                <w:color w:val="000000"/>
                <w:lang w:val="fr-FR"/>
              </w:rPr>
              <w:t>Marocci</w:t>
            </w:r>
            <w:proofErr w:type="spellEnd"/>
            <w:r w:rsidR="00912178" w:rsidRPr="00912178">
              <w:rPr>
                <w:rFonts w:asciiTheme="minorHAnsi" w:eastAsia="Times New Roman" w:hAnsiTheme="minorHAnsi" w:cstheme="minorHAnsi"/>
                <w:color w:val="000000"/>
                <w:lang w:val="fr-FR"/>
              </w:rPr>
              <w:t xml:space="preserve"> C</w:t>
            </w:r>
            <w:r w:rsidR="00584581" w:rsidRPr="00912178">
              <w:rPr>
                <w:rFonts w:asciiTheme="minorHAnsi" w:eastAsia="Times New Roman" w:hAnsiTheme="minorHAnsi" w:cstheme="minorHAnsi"/>
                <w:color w:val="000000"/>
                <w:lang w:val="fr-FR"/>
              </w:rPr>
              <w:t xml:space="preserve">, </w:t>
            </w:r>
            <w:r w:rsidR="00912178" w:rsidRPr="00912178">
              <w:rPr>
                <w:rFonts w:asciiTheme="minorHAnsi" w:eastAsia="Times New Roman" w:hAnsiTheme="minorHAnsi" w:cstheme="minorHAnsi"/>
                <w:color w:val="000000"/>
                <w:lang w:val="fr-FR"/>
              </w:rPr>
              <w:t xml:space="preserve">et al </w:t>
            </w:r>
            <w:r w:rsidR="00584581" w:rsidRPr="00912178">
              <w:rPr>
                <w:rFonts w:asciiTheme="minorHAnsi" w:eastAsia="Times New Roman" w:hAnsiTheme="minorHAnsi" w:cstheme="minorHAnsi"/>
                <w:color w:val="000000"/>
                <w:lang w:val="fr-FR"/>
              </w:rPr>
              <w:t>(</w:t>
            </w:r>
            <w:r w:rsidRPr="00912178">
              <w:rPr>
                <w:rFonts w:asciiTheme="minorHAnsi" w:eastAsia="Times New Roman" w:hAnsiTheme="minorHAnsi" w:cstheme="minorHAnsi"/>
                <w:color w:val="000000"/>
                <w:lang w:val="fr-FR"/>
              </w:rPr>
              <w:t>2016</w:t>
            </w:r>
            <w:r w:rsidR="00584581" w:rsidRPr="00912178">
              <w:rPr>
                <w:rFonts w:asciiTheme="minorHAnsi" w:eastAsia="Times New Roman" w:hAnsiTheme="minorHAnsi" w:cstheme="minorHAnsi"/>
                <w:color w:val="000000"/>
                <w:lang w:val="fr-FR"/>
              </w:rPr>
              <w:t xml:space="preserve">). </w:t>
            </w:r>
            <w:r w:rsidR="00584581" w:rsidRPr="00584581">
              <w:rPr>
                <w:rFonts w:asciiTheme="minorHAnsi" w:eastAsia="Times New Roman" w:hAnsiTheme="minorHAnsi" w:cstheme="minorHAnsi"/>
                <w:color w:val="000000"/>
              </w:rPr>
              <w:t>The 2016 Europe</w:t>
            </w:r>
            <w:r w:rsidR="00584581">
              <w:rPr>
                <w:rFonts w:asciiTheme="minorHAnsi" w:eastAsia="Times New Roman" w:hAnsiTheme="minorHAnsi" w:cstheme="minorHAnsi"/>
                <w:color w:val="000000"/>
              </w:rPr>
              <w:t xml:space="preserve">an Thyroid Association/European </w:t>
            </w:r>
            <w:r w:rsidR="00584581" w:rsidRPr="00584581">
              <w:rPr>
                <w:rFonts w:asciiTheme="minorHAnsi" w:eastAsia="Times New Roman" w:hAnsiTheme="minorHAnsi" w:cstheme="minorHAnsi"/>
                <w:color w:val="000000"/>
              </w:rPr>
              <w:t xml:space="preserve">Group on Graves’ </w:t>
            </w:r>
            <w:proofErr w:type="spellStart"/>
            <w:r w:rsidR="00584581" w:rsidRPr="00584581">
              <w:rPr>
                <w:rFonts w:asciiTheme="minorHAnsi" w:eastAsia="Times New Roman" w:hAnsiTheme="minorHAnsi" w:cstheme="minorHAnsi"/>
                <w:color w:val="000000"/>
              </w:rPr>
              <w:t>Orbitopathy</w:t>
            </w:r>
            <w:proofErr w:type="spellEnd"/>
            <w:r w:rsidR="00584581">
              <w:rPr>
                <w:rFonts w:asciiTheme="minorHAnsi" w:eastAsia="Times New Roman" w:hAnsiTheme="minorHAnsi" w:cstheme="minorHAnsi"/>
                <w:color w:val="000000"/>
              </w:rPr>
              <w:t xml:space="preserve">. </w:t>
            </w:r>
            <w:r w:rsidR="00584581" w:rsidRPr="00584581">
              <w:rPr>
                <w:rFonts w:asciiTheme="minorHAnsi" w:eastAsia="Times New Roman" w:hAnsiTheme="minorHAnsi" w:cstheme="minorHAnsi"/>
                <w:color w:val="000000"/>
              </w:rPr>
              <w:t xml:space="preserve"> </w:t>
            </w:r>
            <w:r w:rsidRPr="00912178">
              <w:rPr>
                <w:rFonts w:asciiTheme="minorHAnsi" w:eastAsia="Times New Roman" w:hAnsiTheme="minorHAnsi" w:cstheme="minorHAnsi"/>
                <w:i/>
                <w:color w:val="000000"/>
              </w:rPr>
              <w:t>Eur</w:t>
            </w:r>
            <w:r w:rsidR="00584581" w:rsidRPr="00912178">
              <w:rPr>
                <w:rFonts w:asciiTheme="minorHAnsi" w:eastAsia="Times New Roman" w:hAnsiTheme="minorHAnsi" w:cstheme="minorHAnsi"/>
                <w:i/>
                <w:color w:val="000000"/>
              </w:rPr>
              <w:t>opean Thyroid Journal</w:t>
            </w:r>
            <w:r w:rsidR="00584581">
              <w:rPr>
                <w:rFonts w:asciiTheme="minorHAnsi" w:eastAsia="Times New Roman" w:hAnsiTheme="minorHAnsi" w:cstheme="minorHAnsi"/>
                <w:color w:val="000000"/>
              </w:rPr>
              <w:t xml:space="preserve">, </w:t>
            </w:r>
            <w:r w:rsidR="00912178">
              <w:rPr>
                <w:rFonts w:asciiTheme="minorHAnsi" w:eastAsia="Times New Roman" w:hAnsiTheme="minorHAnsi" w:cstheme="minorHAnsi"/>
                <w:color w:val="000000"/>
              </w:rPr>
              <w:t>5:</w:t>
            </w:r>
            <w:r w:rsidRPr="00584581">
              <w:rPr>
                <w:rFonts w:asciiTheme="minorHAnsi" w:eastAsia="Times New Roman" w:hAnsiTheme="minorHAnsi" w:cstheme="minorHAnsi"/>
                <w:color w:val="000000"/>
              </w:rPr>
              <w:t xml:space="preserve">9-26. </w:t>
            </w:r>
          </w:p>
          <w:p w14:paraId="2079AD0B" w14:textId="62A9395B" w:rsidR="00912178" w:rsidRPr="00912178" w:rsidRDefault="002F00B3" w:rsidP="00584581">
            <w:pPr>
              <w:spacing w:before="120" w:after="120"/>
              <w:ind w:left="360"/>
              <w:rPr>
                <w:rFonts w:asciiTheme="minorHAnsi" w:eastAsia="Times New Roman" w:hAnsiTheme="minorHAnsi" w:cstheme="minorHAnsi"/>
                <w:color w:val="808080" w:themeColor="background1" w:themeShade="80"/>
              </w:rPr>
            </w:pPr>
            <w:hyperlink r:id="rId13" w:history="1">
              <w:r w:rsidR="00912178" w:rsidRPr="00912178">
                <w:rPr>
                  <w:rStyle w:val="Hyperlink"/>
                  <w:rFonts w:asciiTheme="minorHAnsi" w:eastAsia="Times New Roman" w:hAnsiTheme="minorHAnsi" w:cstheme="minorHAnsi"/>
                  <w:color w:val="808080" w:themeColor="background1" w:themeShade="80"/>
                </w:rPr>
                <w:t>http://www.karger.com/Article/PDF/443828</w:t>
              </w:r>
            </w:hyperlink>
          </w:p>
          <w:p w14:paraId="3632BF43" w14:textId="6E0A47CA" w:rsidR="009B15F8" w:rsidRDefault="00584581" w:rsidP="00584581">
            <w:pPr>
              <w:spacing w:before="120" w:after="120"/>
              <w:ind w:left="360"/>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Bartale</w:t>
            </w:r>
            <w:r w:rsidR="00912178">
              <w:rPr>
                <w:rFonts w:asciiTheme="minorHAnsi" w:eastAsia="Times New Roman" w:hAnsiTheme="minorHAnsi" w:cstheme="minorHAnsi"/>
                <w:color w:val="000000"/>
              </w:rPr>
              <w:t>na</w:t>
            </w:r>
            <w:proofErr w:type="spellEnd"/>
            <w:r w:rsidR="009B15F8" w:rsidRPr="00584581">
              <w:rPr>
                <w:rFonts w:asciiTheme="minorHAnsi" w:eastAsia="Times New Roman" w:hAnsiTheme="minorHAnsi" w:cstheme="minorHAnsi"/>
                <w:color w:val="000000"/>
              </w:rPr>
              <w:t xml:space="preserve"> L</w:t>
            </w:r>
            <w:r w:rsidR="00912178">
              <w:rPr>
                <w:rFonts w:asciiTheme="minorHAnsi" w:eastAsia="Times New Roman" w:hAnsiTheme="minorHAnsi" w:cstheme="minorHAnsi"/>
                <w:color w:val="000000"/>
              </w:rPr>
              <w:t xml:space="preserve">, </w:t>
            </w:r>
            <w:proofErr w:type="spellStart"/>
            <w:r w:rsidR="00912178">
              <w:rPr>
                <w:rFonts w:asciiTheme="minorHAnsi" w:eastAsia="Times New Roman" w:hAnsiTheme="minorHAnsi" w:cstheme="minorHAnsi"/>
                <w:color w:val="000000"/>
              </w:rPr>
              <w:t>Tanda</w:t>
            </w:r>
            <w:proofErr w:type="spellEnd"/>
            <w:r w:rsidR="009B15F8" w:rsidRPr="00584581">
              <w:rPr>
                <w:rFonts w:asciiTheme="minorHAnsi" w:eastAsia="Times New Roman" w:hAnsiTheme="minorHAnsi" w:cstheme="minorHAnsi"/>
                <w:color w:val="000000"/>
              </w:rPr>
              <w:t xml:space="preserve"> ML</w:t>
            </w:r>
            <w:r w:rsidR="00912178">
              <w:rPr>
                <w:rFonts w:asciiTheme="minorHAnsi" w:eastAsia="Times New Roman" w:hAnsiTheme="minorHAnsi" w:cstheme="minorHAnsi"/>
                <w:color w:val="000000"/>
              </w:rPr>
              <w:t xml:space="preserve">, Medea A, </w:t>
            </w:r>
            <w:proofErr w:type="spellStart"/>
            <w:r w:rsidR="00912178">
              <w:rPr>
                <w:rFonts w:asciiTheme="minorHAnsi" w:eastAsia="Times New Roman" w:hAnsiTheme="minorHAnsi" w:cstheme="minorHAnsi"/>
                <w:color w:val="000000"/>
              </w:rPr>
              <w:t>Marcocci</w:t>
            </w:r>
            <w:proofErr w:type="spellEnd"/>
            <w:r w:rsidR="00912178">
              <w:rPr>
                <w:rFonts w:asciiTheme="minorHAnsi" w:eastAsia="Times New Roman" w:hAnsiTheme="minorHAnsi" w:cstheme="minorHAnsi"/>
                <w:color w:val="000000"/>
              </w:rPr>
              <w:t xml:space="preserve"> C and </w:t>
            </w:r>
            <w:proofErr w:type="spellStart"/>
            <w:r w:rsidR="00912178">
              <w:rPr>
                <w:rFonts w:asciiTheme="minorHAnsi" w:eastAsia="Times New Roman" w:hAnsiTheme="minorHAnsi" w:cstheme="minorHAnsi"/>
                <w:color w:val="000000"/>
              </w:rPr>
              <w:t>Pinchera</w:t>
            </w:r>
            <w:proofErr w:type="spellEnd"/>
            <w:r w:rsidR="00912178">
              <w:rPr>
                <w:rFonts w:asciiTheme="minorHAnsi" w:eastAsia="Times New Roman" w:hAnsiTheme="minorHAnsi" w:cstheme="minorHAnsi"/>
                <w:color w:val="000000"/>
              </w:rPr>
              <w:t xml:space="preserve"> A</w:t>
            </w:r>
            <w:r>
              <w:rPr>
                <w:rFonts w:asciiTheme="minorHAnsi" w:eastAsia="Times New Roman" w:hAnsiTheme="minorHAnsi" w:cstheme="minorHAnsi"/>
                <w:color w:val="000000"/>
              </w:rPr>
              <w:t xml:space="preserve"> (</w:t>
            </w:r>
            <w:r w:rsidR="009B15F8" w:rsidRPr="00584581">
              <w:rPr>
                <w:rFonts w:asciiTheme="minorHAnsi" w:eastAsia="Times New Roman" w:hAnsiTheme="minorHAnsi" w:cstheme="minorHAnsi"/>
                <w:color w:val="000000"/>
              </w:rPr>
              <w:t>2002</w:t>
            </w:r>
            <w:r w:rsidR="00912178">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Novel a</w:t>
            </w:r>
            <w:r w:rsidR="009B15F8" w:rsidRPr="00584581">
              <w:rPr>
                <w:rFonts w:asciiTheme="minorHAnsi" w:eastAsia="Times New Roman" w:hAnsiTheme="minorHAnsi" w:cstheme="minorHAnsi"/>
                <w:color w:val="000000"/>
              </w:rPr>
              <w:t>pproaches to the management of Graves Op</w:t>
            </w:r>
            <w:r>
              <w:rPr>
                <w:rFonts w:asciiTheme="minorHAnsi" w:eastAsia="Times New Roman" w:hAnsiTheme="minorHAnsi" w:cstheme="minorHAnsi"/>
                <w:color w:val="000000"/>
              </w:rPr>
              <w:t xml:space="preserve">hthalmology. </w:t>
            </w:r>
            <w:r w:rsidR="009B15F8" w:rsidRPr="00584581">
              <w:rPr>
                <w:rFonts w:asciiTheme="minorHAnsi" w:eastAsia="Times New Roman" w:hAnsiTheme="minorHAnsi" w:cstheme="minorHAnsi"/>
                <w:i/>
                <w:color w:val="000000"/>
              </w:rPr>
              <w:t>Hormones</w:t>
            </w:r>
            <w:r w:rsidR="009B15F8" w:rsidRPr="00584581">
              <w:rPr>
                <w:rFonts w:asciiTheme="minorHAnsi" w:eastAsia="Times New Roman" w:hAnsiTheme="minorHAnsi" w:cstheme="minorHAnsi"/>
                <w:color w:val="000000"/>
              </w:rPr>
              <w:t>, 1</w:t>
            </w:r>
            <w:r w:rsidR="00912178">
              <w:rPr>
                <w:rFonts w:asciiTheme="minorHAnsi" w:eastAsia="Times New Roman" w:hAnsiTheme="minorHAnsi" w:cstheme="minorHAnsi"/>
                <w:color w:val="000000"/>
              </w:rPr>
              <w:t>(2):</w:t>
            </w:r>
            <w:r>
              <w:rPr>
                <w:rFonts w:asciiTheme="minorHAnsi" w:eastAsia="Times New Roman" w:hAnsiTheme="minorHAnsi" w:cstheme="minorHAnsi"/>
                <w:color w:val="000000"/>
              </w:rPr>
              <w:t xml:space="preserve"> </w:t>
            </w:r>
            <w:r w:rsidR="009B15F8" w:rsidRPr="00584581">
              <w:rPr>
                <w:rFonts w:asciiTheme="minorHAnsi" w:eastAsia="Times New Roman" w:hAnsiTheme="minorHAnsi" w:cstheme="minorHAnsi"/>
                <w:color w:val="000000"/>
              </w:rPr>
              <w:t>76-90</w:t>
            </w:r>
            <w:r>
              <w:rPr>
                <w:rFonts w:asciiTheme="minorHAnsi" w:eastAsia="Times New Roman" w:hAnsiTheme="minorHAnsi" w:cstheme="minorHAnsi"/>
                <w:color w:val="000000"/>
              </w:rPr>
              <w:t>.</w:t>
            </w:r>
          </w:p>
          <w:p w14:paraId="21D8DDDA" w14:textId="6627989D" w:rsidR="00912178" w:rsidRPr="00912178" w:rsidRDefault="002F00B3" w:rsidP="00584581">
            <w:pPr>
              <w:spacing w:before="120" w:after="120"/>
              <w:ind w:left="360"/>
              <w:rPr>
                <w:rFonts w:asciiTheme="minorHAnsi" w:eastAsia="Times New Roman" w:hAnsiTheme="minorHAnsi" w:cstheme="minorHAnsi"/>
                <w:color w:val="808080" w:themeColor="background1" w:themeShade="80"/>
              </w:rPr>
            </w:pPr>
            <w:hyperlink r:id="rId14" w:history="1">
              <w:r w:rsidR="00912178" w:rsidRPr="00912178">
                <w:rPr>
                  <w:rStyle w:val="Hyperlink"/>
                  <w:rFonts w:asciiTheme="minorHAnsi" w:eastAsia="Times New Roman" w:hAnsiTheme="minorHAnsi" w:cstheme="minorHAnsi"/>
                  <w:color w:val="808080" w:themeColor="background1" w:themeShade="80"/>
                </w:rPr>
                <w:t>http://www.hormones.gr/pdf/1116273756.pdf</w:t>
              </w:r>
            </w:hyperlink>
          </w:p>
          <w:p w14:paraId="53E04874" w14:textId="694DC1D5" w:rsidR="009B15F8" w:rsidRDefault="009B15F8" w:rsidP="00584581">
            <w:pPr>
              <w:spacing w:before="120" w:after="120"/>
              <w:ind w:left="360"/>
              <w:rPr>
                <w:rFonts w:asciiTheme="minorHAnsi" w:eastAsia="Times New Roman" w:hAnsiTheme="minorHAnsi" w:cstheme="minorHAnsi"/>
                <w:color w:val="000000"/>
              </w:rPr>
            </w:pPr>
            <w:proofErr w:type="spellStart"/>
            <w:r w:rsidRPr="005C1BBF">
              <w:rPr>
                <w:rFonts w:asciiTheme="minorHAnsi" w:eastAsia="Times New Roman" w:hAnsiTheme="minorHAnsi" w:cstheme="minorHAnsi"/>
                <w:color w:val="000000"/>
              </w:rPr>
              <w:t>Bartalena</w:t>
            </w:r>
            <w:proofErr w:type="spellEnd"/>
            <w:r w:rsidRPr="005C1BBF">
              <w:rPr>
                <w:rFonts w:asciiTheme="minorHAnsi" w:eastAsia="Times New Roman" w:hAnsiTheme="minorHAnsi" w:cstheme="minorHAnsi"/>
                <w:color w:val="000000"/>
              </w:rPr>
              <w:t xml:space="preserve"> L, </w:t>
            </w:r>
            <w:proofErr w:type="spellStart"/>
            <w:r w:rsidRPr="005C1BBF">
              <w:rPr>
                <w:rFonts w:asciiTheme="minorHAnsi" w:eastAsia="Times New Roman" w:hAnsiTheme="minorHAnsi" w:cstheme="minorHAnsi"/>
                <w:color w:val="000000"/>
              </w:rPr>
              <w:t>Baldeschi</w:t>
            </w:r>
            <w:proofErr w:type="spellEnd"/>
            <w:r w:rsidRPr="005C1BBF">
              <w:rPr>
                <w:rFonts w:asciiTheme="minorHAnsi" w:eastAsia="Times New Roman" w:hAnsiTheme="minorHAnsi" w:cstheme="minorHAnsi"/>
                <w:color w:val="000000"/>
              </w:rPr>
              <w:t xml:space="preserve"> L, Dickinson A</w:t>
            </w:r>
            <w:r w:rsidR="005C1BBF" w:rsidRPr="005C1BBF">
              <w:rPr>
                <w:rFonts w:asciiTheme="minorHAnsi" w:eastAsia="Times New Roman" w:hAnsiTheme="minorHAnsi" w:cstheme="minorHAnsi"/>
                <w:color w:val="000000"/>
              </w:rPr>
              <w:t>,</w:t>
            </w:r>
            <w:r w:rsidR="00912178">
              <w:rPr>
                <w:rFonts w:asciiTheme="minorHAnsi" w:eastAsia="Times New Roman" w:hAnsiTheme="minorHAnsi" w:cstheme="minorHAnsi"/>
                <w:color w:val="000000"/>
              </w:rPr>
              <w:t xml:space="preserve"> Eckstein A, Kendall-Taylor P, </w:t>
            </w:r>
            <w:proofErr w:type="spellStart"/>
            <w:r w:rsidR="00912178">
              <w:rPr>
                <w:rFonts w:asciiTheme="minorHAnsi" w:eastAsia="Times New Roman" w:hAnsiTheme="minorHAnsi" w:cstheme="minorHAnsi"/>
                <w:color w:val="000000"/>
              </w:rPr>
              <w:t>Marocci</w:t>
            </w:r>
            <w:proofErr w:type="spellEnd"/>
            <w:r w:rsidR="00912178">
              <w:rPr>
                <w:rFonts w:asciiTheme="minorHAnsi" w:eastAsia="Times New Roman" w:hAnsiTheme="minorHAnsi" w:cstheme="minorHAnsi"/>
                <w:color w:val="000000"/>
              </w:rPr>
              <w:t xml:space="preserve"> C</w:t>
            </w:r>
            <w:r w:rsidR="005C1BBF">
              <w:rPr>
                <w:rFonts w:asciiTheme="minorHAnsi" w:eastAsia="Times New Roman" w:hAnsiTheme="minorHAnsi" w:cstheme="minorHAnsi"/>
                <w:color w:val="000000"/>
              </w:rPr>
              <w:t xml:space="preserve">, </w:t>
            </w:r>
            <w:r w:rsidR="00912178">
              <w:rPr>
                <w:rFonts w:asciiTheme="minorHAnsi" w:eastAsia="Times New Roman" w:hAnsiTheme="minorHAnsi" w:cstheme="minorHAnsi"/>
                <w:color w:val="000000"/>
              </w:rPr>
              <w:t>et al (2008)</w:t>
            </w:r>
            <w:r w:rsidR="005C1BBF">
              <w:rPr>
                <w:rFonts w:asciiTheme="minorHAnsi" w:eastAsia="Times New Roman" w:hAnsiTheme="minorHAnsi" w:cstheme="minorHAnsi"/>
                <w:color w:val="000000"/>
              </w:rPr>
              <w:t xml:space="preserve"> </w:t>
            </w:r>
            <w:r w:rsidRPr="00584581">
              <w:rPr>
                <w:rFonts w:asciiTheme="minorHAnsi" w:eastAsia="Times New Roman" w:hAnsiTheme="minorHAnsi" w:cstheme="minorHAnsi"/>
                <w:color w:val="000000"/>
              </w:rPr>
              <w:t xml:space="preserve">Consensus statement of the European Group on Graves’ </w:t>
            </w:r>
            <w:proofErr w:type="spellStart"/>
            <w:r w:rsidRPr="00584581">
              <w:rPr>
                <w:rFonts w:asciiTheme="minorHAnsi" w:eastAsia="Times New Roman" w:hAnsiTheme="minorHAnsi" w:cstheme="minorHAnsi"/>
                <w:color w:val="000000"/>
              </w:rPr>
              <w:t>Orbitopathy</w:t>
            </w:r>
            <w:proofErr w:type="spellEnd"/>
            <w:r w:rsidRPr="00584581">
              <w:rPr>
                <w:rFonts w:asciiTheme="minorHAnsi" w:eastAsia="Times New Roman" w:hAnsiTheme="minorHAnsi" w:cstheme="minorHAnsi"/>
                <w:color w:val="000000"/>
              </w:rPr>
              <w:t xml:space="preserve"> (EUGOGO) on management of </w:t>
            </w:r>
            <w:r w:rsidR="005C1BBF">
              <w:rPr>
                <w:rFonts w:asciiTheme="minorHAnsi" w:eastAsia="Times New Roman" w:hAnsiTheme="minorHAnsi" w:cstheme="minorHAnsi"/>
                <w:color w:val="000000"/>
              </w:rPr>
              <w:t>GO</w:t>
            </w:r>
            <w:r w:rsidRPr="00584581">
              <w:rPr>
                <w:rFonts w:asciiTheme="minorHAnsi" w:eastAsia="Times New Roman" w:hAnsiTheme="minorHAnsi" w:cstheme="minorHAnsi"/>
                <w:color w:val="000000"/>
              </w:rPr>
              <w:t xml:space="preserve">. </w:t>
            </w:r>
            <w:r w:rsidRPr="005C1BBF">
              <w:rPr>
                <w:rFonts w:asciiTheme="minorHAnsi" w:eastAsia="Times New Roman" w:hAnsiTheme="minorHAnsi" w:cstheme="minorHAnsi"/>
                <w:i/>
                <w:color w:val="000000"/>
              </w:rPr>
              <w:t>Thyroid</w:t>
            </w:r>
            <w:r w:rsidR="00912178">
              <w:rPr>
                <w:rFonts w:asciiTheme="minorHAnsi" w:eastAsia="Times New Roman" w:hAnsiTheme="minorHAnsi" w:cstheme="minorHAnsi"/>
                <w:color w:val="000000"/>
              </w:rPr>
              <w:t>, 18(3):</w:t>
            </w:r>
            <w:r w:rsidRPr="00584581">
              <w:rPr>
                <w:rFonts w:asciiTheme="minorHAnsi" w:eastAsia="Times New Roman" w:hAnsiTheme="minorHAnsi" w:cstheme="minorHAnsi"/>
                <w:color w:val="000000"/>
              </w:rPr>
              <w:t xml:space="preserve">333–346. </w:t>
            </w:r>
          </w:p>
          <w:p w14:paraId="17E90BD9" w14:textId="0FE0266C" w:rsidR="00912178" w:rsidRPr="00912178" w:rsidRDefault="002F00B3" w:rsidP="00584581">
            <w:pPr>
              <w:spacing w:before="120" w:after="120"/>
              <w:ind w:left="360"/>
              <w:rPr>
                <w:rFonts w:asciiTheme="minorHAnsi" w:eastAsia="Times New Roman" w:hAnsiTheme="minorHAnsi" w:cstheme="minorHAnsi"/>
                <w:color w:val="808080" w:themeColor="background1" w:themeShade="80"/>
              </w:rPr>
            </w:pPr>
            <w:hyperlink r:id="rId15" w:history="1">
              <w:r w:rsidR="00912178" w:rsidRPr="00912178">
                <w:rPr>
                  <w:rStyle w:val="Hyperlink"/>
                  <w:rFonts w:asciiTheme="minorHAnsi" w:eastAsia="Times New Roman" w:hAnsiTheme="minorHAnsi" w:cstheme="minorHAnsi"/>
                  <w:color w:val="808080" w:themeColor="background1" w:themeShade="80"/>
                </w:rPr>
                <w:t>https://www.ncbi.nlm.nih.gov/pubmed/18299459</w:t>
              </w:r>
            </w:hyperlink>
          </w:p>
          <w:p w14:paraId="00158BB6" w14:textId="77777777" w:rsidR="00912178" w:rsidRDefault="009B15F8" w:rsidP="00584581">
            <w:pPr>
              <w:spacing w:before="120" w:after="120"/>
              <w:ind w:left="360"/>
              <w:rPr>
                <w:rFonts w:asciiTheme="minorHAnsi" w:eastAsia="Times New Roman" w:hAnsiTheme="minorHAnsi" w:cstheme="minorHAnsi"/>
                <w:color w:val="000000"/>
              </w:rPr>
            </w:pPr>
            <w:proofErr w:type="spellStart"/>
            <w:r w:rsidRPr="005C1BBF">
              <w:rPr>
                <w:rFonts w:asciiTheme="minorHAnsi" w:eastAsia="Times New Roman" w:hAnsiTheme="minorHAnsi" w:cstheme="minorHAnsi"/>
                <w:color w:val="000000"/>
              </w:rPr>
              <w:t>Baschieri</w:t>
            </w:r>
            <w:proofErr w:type="spellEnd"/>
            <w:r w:rsidRPr="005C1BBF">
              <w:rPr>
                <w:rFonts w:asciiTheme="minorHAnsi" w:eastAsia="Times New Roman" w:hAnsiTheme="minorHAnsi" w:cstheme="minorHAnsi"/>
                <w:color w:val="000000"/>
              </w:rPr>
              <w:t xml:space="preserve"> L, </w:t>
            </w:r>
            <w:proofErr w:type="spellStart"/>
            <w:r w:rsidRPr="005C1BBF">
              <w:rPr>
                <w:rFonts w:asciiTheme="minorHAnsi" w:eastAsia="Times New Roman" w:hAnsiTheme="minorHAnsi" w:cstheme="minorHAnsi"/>
                <w:color w:val="000000"/>
              </w:rPr>
              <w:t>Antonelli</w:t>
            </w:r>
            <w:proofErr w:type="spellEnd"/>
            <w:r w:rsidRPr="005C1BBF">
              <w:rPr>
                <w:rFonts w:asciiTheme="minorHAnsi" w:eastAsia="Times New Roman" w:hAnsiTheme="minorHAnsi" w:cstheme="minorHAnsi"/>
                <w:color w:val="000000"/>
              </w:rPr>
              <w:t xml:space="preserve"> A, </w:t>
            </w:r>
            <w:proofErr w:type="spellStart"/>
            <w:r w:rsidRPr="005C1BBF">
              <w:rPr>
                <w:rFonts w:asciiTheme="minorHAnsi" w:eastAsia="Times New Roman" w:hAnsiTheme="minorHAnsi" w:cstheme="minorHAnsi"/>
                <w:color w:val="000000"/>
              </w:rPr>
              <w:t>Nardi</w:t>
            </w:r>
            <w:proofErr w:type="spellEnd"/>
            <w:r w:rsidRPr="005C1BBF">
              <w:rPr>
                <w:rFonts w:asciiTheme="minorHAnsi" w:eastAsia="Times New Roman" w:hAnsiTheme="minorHAnsi" w:cstheme="minorHAnsi"/>
                <w:color w:val="000000"/>
              </w:rPr>
              <w:t xml:space="preserve"> S, </w:t>
            </w:r>
            <w:proofErr w:type="spellStart"/>
            <w:r w:rsidR="00912178">
              <w:rPr>
                <w:rFonts w:asciiTheme="minorHAnsi" w:eastAsia="Times New Roman" w:hAnsiTheme="minorHAnsi" w:cstheme="minorHAnsi"/>
                <w:color w:val="000000"/>
              </w:rPr>
              <w:t>Alberti</w:t>
            </w:r>
            <w:proofErr w:type="spellEnd"/>
            <w:r w:rsidR="00912178">
              <w:rPr>
                <w:rFonts w:asciiTheme="minorHAnsi" w:eastAsia="Times New Roman" w:hAnsiTheme="minorHAnsi" w:cstheme="minorHAnsi"/>
                <w:color w:val="000000"/>
              </w:rPr>
              <w:t xml:space="preserve"> B, </w:t>
            </w:r>
            <w:proofErr w:type="spellStart"/>
            <w:r w:rsidR="00912178">
              <w:rPr>
                <w:rFonts w:asciiTheme="minorHAnsi" w:eastAsia="Times New Roman" w:hAnsiTheme="minorHAnsi" w:cstheme="minorHAnsi"/>
                <w:color w:val="000000"/>
              </w:rPr>
              <w:t>Canapicchi</w:t>
            </w:r>
            <w:proofErr w:type="spellEnd"/>
            <w:r w:rsidR="00912178">
              <w:rPr>
                <w:rFonts w:asciiTheme="minorHAnsi" w:eastAsia="Times New Roman" w:hAnsiTheme="minorHAnsi" w:cstheme="minorHAnsi"/>
                <w:color w:val="000000"/>
              </w:rPr>
              <w:t xml:space="preserve"> R</w:t>
            </w:r>
            <w:r w:rsidR="005C1BBF">
              <w:rPr>
                <w:rFonts w:asciiTheme="minorHAnsi" w:eastAsia="Times New Roman" w:hAnsiTheme="minorHAnsi" w:cstheme="minorHAnsi"/>
                <w:color w:val="000000"/>
              </w:rPr>
              <w:t xml:space="preserve"> and </w:t>
            </w:r>
            <w:proofErr w:type="spellStart"/>
            <w:r w:rsidR="005C1BBF">
              <w:rPr>
                <w:rFonts w:asciiTheme="minorHAnsi" w:eastAsia="Times New Roman" w:hAnsiTheme="minorHAnsi" w:cstheme="minorHAnsi"/>
                <w:color w:val="000000"/>
              </w:rPr>
              <w:t>Fallahi</w:t>
            </w:r>
            <w:proofErr w:type="spellEnd"/>
            <w:r w:rsidR="00912178">
              <w:rPr>
                <w:rFonts w:asciiTheme="minorHAnsi" w:eastAsia="Times New Roman" w:hAnsiTheme="minorHAnsi" w:cstheme="minorHAnsi"/>
                <w:color w:val="000000"/>
              </w:rPr>
              <w:t xml:space="preserve"> P (1997)</w:t>
            </w:r>
            <w:r w:rsidRPr="005C1BBF">
              <w:rPr>
                <w:rFonts w:asciiTheme="minorHAnsi" w:eastAsia="Times New Roman" w:hAnsiTheme="minorHAnsi" w:cstheme="minorHAnsi"/>
                <w:color w:val="000000"/>
              </w:rPr>
              <w:t xml:space="preserve"> </w:t>
            </w:r>
            <w:r w:rsidRPr="00584581">
              <w:rPr>
                <w:rFonts w:asciiTheme="minorHAnsi" w:eastAsia="Times New Roman" w:hAnsiTheme="minorHAnsi" w:cstheme="minorHAnsi"/>
                <w:color w:val="000000"/>
              </w:rPr>
              <w:t xml:space="preserve">Intravenous immunoglobulin versus corticosteroid in treatment of Graves’ </w:t>
            </w:r>
            <w:proofErr w:type="spellStart"/>
            <w:r w:rsidRPr="00584581">
              <w:rPr>
                <w:rFonts w:asciiTheme="minorHAnsi" w:eastAsia="Times New Roman" w:hAnsiTheme="minorHAnsi" w:cstheme="minorHAnsi"/>
                <w:color w:val="000000"/>
              </w:rPr>
              <w:t>ophthalmopathy</w:t>
            </w:r>
            <w:proofErr w:type="spellEnd"/>
            <w:r w:rsidRPr="00584581">
              <w:rPr>
                <w:rFonts w:asciiTheme="minorHAnsi" w:eastAsia="Times New Roman" w:hAnsiTheme="minorHAnsi" w:cstheme="minorHAnsi"/>
                <w:color w:val="000000"/>
              </w:rPr>
              <w:t xml:space="preserve">. </w:t>
            </w:r>
            <w:r w:rsidRPr="005C1BBF">
              <w:rPr>
                <w:rFonts w:asciiTheme="minorHAnsi" w:eastAsia="Times New Roman" w:hAnsiTheme="minorHAnsi" w:cstheme="minorHAnsi"/>
                <w:i/>
                <w:color w:val="000000"/>
              </w:rPr>
              <w:t>Thyroid</w:t>
            </w:r>
            <w:r w:rsidR="005C1BBF">
              <w:rPr>
                <w:rFonts w:asciiTheme="minorHAnsi" w:eastAsia="Times New Roman" w:hAnsiTheme="minorHAnsi" w:cstheme="minorHAnsi"/>
                <w:color w:val="000000"/>
              </w:rPr>
              <w:t xml:space="preserve">, </w:t>
            </w:r>
            <w:r w:rsidRPr="00584581">
              <w:rPr>
                <w:rFonts w:asciiTheme="minorHAnsi" w:eastAsia="Times New Roman" w:hAnsiTheme="minorHAnsi" w:cstheme="minorHAnsi"/>
                <w:color w:val="000000"/>
              </w:rPr>
              <w:t>7</w:t>
            </w:r>
            <w:r w:rsidR="00912178">
              <w:rPr>
                <w:rFonts w:asciiTheme="minorHAnsi" w:eastAsia="Times New Roman" w:hAnsiTheme="minorHAnsi" w:cstheme="minorHAnsi"/>
                <w:color w:val="000000"/>
              </w:rPr>
              <w:t>(4):</w:t>
            </w:r>
            <w:r w:rsidR="005C1BBF">
              <w:rPr>
                <w:rFonts w:asciiTheme="minorHAnsi" w:eastAsia="Times New Roman" w:hAnsiTheme="minorHAnsi" w:cstheme="minorHAnsi"/>
                <w:color w:val="000000"/>
              </w:rPr>
              <w:t xml:space="preserve">579–585. </w:t>
            </w:r>
          </w:p>
          <w:p w14:paraId="564D831B" w14:textId="5EBBE83D" w:rsidR="00912178" w:rsidRPr="00912178" w:rsidRDefault="002F00B3" w:rsidP="00584581">
            <w:pPr>
              <w:spacing w:before="120" w:after="120"/>
              <w:ind w:left="360"/>
              <w:rPr>
                <w:rFonts w:asciiTheme="minorHAnsi" w:eastAsia="Times New Roman" w:hAnsiTheme="minorHAnsi" w:cstheme="minorHAnsi"/>
                <w:color w:val="808080" w:themeColor="background1" w:themeShade="80"/>
              </w:rPr>
            </w:pPr>
            <w:hyperlink r:id="rId16" w:history="1">
              <w:r w:rsidR="00912178" w:rsidRPr="00912178">
                <w:rPr>
                  <w:rStyle w:val="Hyperlink"/>
                  <w:rFonts w:asciiTheme="minorHAnsi" w:eastAsia="Times New Roman" w:hAnsiTheme="minorHAnsi" w:cstheme="minorHAnsi"/>
                  <w:color w:val="808080" w:themeColor="background1" w:themeShade="80"/>
                </w:rPr>
                <w:t>https://www.ncbi.nlm.nih.gov/pubmed/9292946</w:t>
              </w:r>
            </w:hyperlink>
          </w:p>
          <w:p w14:paraId="3C25E2F2" w14:textId="69C9494B" w:rsidR="009B15F8" w:rsidRDefault="009B15F8" w:rsidP="00584581">
            <w:pPr>
              <w:spacing w:before="120" w:after="120"/>
              <w:ind w:left="360"/>
              <w:rPr>
                <w:rFonts w:asciiTheme="minorHAnsi" w:eastAsia="Times New Roman" w:hAnsiTheme="minorHAnsi" w:cstheme="minorHAnsi"/>
                <w:color w:val="000000"/>
              </w:rPr>
            </w:pPr>
            <w:r w:rsidRPr="00584581">
              <w:rPr>
                <w:rFonts w:asciiTheme="minorHAnsi" w:eastAsia="Times New Roman" w:hAnsiTheme="minorHAnsi" w:cstheme="minorHAnsi"/>
                <w:color w:val="000000"/>
              </w:rPr>
              <w:t xml:space="preserve"> </w:t>
            </w:r>
            <w:proofErr w:type="spellStart"/>
            <w:r w:rsidR="00912178">
              <w:rPr>
                <w:rFonts w:asciiTheme="minorHAnsi" w:eastAsia="Times New Roman" w:hAnsiTheme="minorHAnsi" w:cstheme="minorHAnsi"/>
                <w:color w:val="000000"/>
              </w:rPr>
              <w:t>Kahaly</w:t>
            </w:r>
            <w:proofErr w:type="spellEnd"/>
            <w:r w:rsidRPr="00584581">
              <w:rPr>
                <w:rFonts w:asciiTheme="minorHAnsi" w:eastAsia="Times New Roman" w:hAnsiTheme="minorHAnsi" w:cstheme="minorHAnsi"/>
                <w:color w:val="000000"/>
              </w:rPr>
              <w:t xml:space="preserve"> G</w:t>
            </w:r>
            <w:r w:rsidR="00912178">
              <w:rPr>
                <w:rFonts w:asciiTheme="minorHAnsi" w:eastAsia="Times New Roman" w:hAnsiTheme="minorHAnsi" w:cstheme="minorHAnsi"/>
                <w:color w:val="000000"/>
              </w:rPr>
              <w:t xml:space="preserve">, </w:t>
            </w:r>
            <w:proofErr w:type="spellStart"/>
            <w:r w:rsidR="00912178">
              <w:rPr>
                <w:rFonts w:asciiTheme="minorHAnsi" w:eastAsia="Times New Roman" w:hAnsiTheme="minorHAnsi" w:cstheme="minorHAnsi"/>
                <w:color w:val="000000"/>
              </w:rPr>
              <w:t>Pitz</w:t>
            </w:r>
            <w:proofErr w:type="spellEnd"/>
            <w:r w:rsidRPr="00584581">
              <w:rPr>
                <w:rFonts w:asciiTheme="minorHAnsi" w:eastAsia="Times New Roman" w:hAnsiTheme="minorHAnsi" w:cstheme="minorHAnsi"/>
                <w:color w:val="000000"/>
              </w:rPr>
              <w:t xml:space="preserve"> S</w:t>
            </w:r>
            <w:r w:rsidR="00912178">
              <w:rPr>
                <w:rFonts w:asciiTheme="minorHAnsi" w:eastAsia="Times New Roman" w:hAnsiTheme="minorHAnsi" w:cstheme="minorHAnsi"/>
                <w:color w:val="000000"/>
              </w:rPr>
              <w:t>, Muller-</w:t>
            </w:r>
            <w:proofErr w:type="spellStart"/>
            <w:r w:rsidR="00912178">
              <w:rPr>
                <w:rFonts w:asciiTheme="minorHAnsi" w:eastAsia="Times New Roman" w:hAnsiTheme="minorHAnsi" w:cstheme="minorHAnsi"/>
                <w:color w:val="000000"/>
              </w:rPr>
              <w:t>Forell</w:t>
            </w:r>
            <w:proofErr w:type="spellEnd"/>
            <w:r w:rsidR="00912178">
              <w:rPr>
                <w:rFonts w:asciiTheme="minorHAnsi" w:eastAsia="Times New Roman" w:hAnsiTheme="minorHAnsi" w:cstheme="minorHAnsi"/>
                <w:color w:val="000000"/>
              </w:rPr>
              <w:t xml:space="preserve"> W and </w:t>
            </w:r>
            <w:proofErr w:type="spellStart"/>
            <w:r w:rsidR="00912178">
              <w:rPr>
                <w:rFonts w:asciiTheme="minorHAnsi" w:eastAsia="Times New Roman" w:hAnsiTheme="minorHAnsi" w:cstheme="minorHAnsi"/>
                <w:color w:val="000000"/>
              </w:rPr>
              <w:t>Hommel</w:t>
            </w:r>
            <w:proofErr w:type="spellEnd"/>
            <w:r w:rsidR="00912178">
              <w:rPr>
                <w:rFonts w:asciiTheme="minorHAnsi" w:eastAsia="Times New Roman" w:hAnsiTheme="minorHAnsi" w:cstheme="minorHAnsi"/>
                <w:color w:val="000000"/>
              </w:rPr>
              <w:t xml:space="preserve"> G</w:t>
            </w:r>
            <w:r w:rsidR="005C1BBF">
              <w:rPr>
                <w:rFonts w:asciiTheme="minorHAnsi" w:eastAsia="Times New Roman" w:hAnsiTheme="minorHAnsi" w:cstheme="minorHAnsi"/>
                <w:color w:val="000000"/>
              </w:rPr>
              <w:t xml:space="preserve"> (</w:t>
            </w:r>
            <w:r w:rsidRPr="00584581">
              <w:rPr>
                <w:rFonts w:asciiTheme="minorHAnsi" w:eastAsia="Times New Roman" w:hAnsiTheme="minorHAnsi" w:cstheme="minorHAnsi"/>
                <w:color w:val="000000"/>
              </w:rPr>
              <w:t>1996</w:t>
            </w:r>
            <w:r w:rsidR="00912178">
              <w:rPr>
                <w:rFonts w:asciiTheme="minorHAnsi" w:eastAsia="Times New Roman" w:hAnsiTheme="minorHAnsi" w:cstheme="minorHAnsi"/>
                <w:color w:val="000000"/>
              </w:rPr>
              <w:t>)</w:t>
            </w:r>
            <w:r w:rsidRPr="00584581">
              <w:rPr>
                <w:rFonts w:asciiTheme="minorHAnsi" w:eastAsia="Times New Roman" w:hAnsiTheme="minorHAnsi" w:cstheme="minorHAnsi"/>
                <w:color w:val="000000"/>
              </w:rPr>
              <w:t xml:space="preserve"> Randomised trial of intravenous immunoglobulins versus prednisolone in Graves ophthalmology</w:t>
            </w:r>
            <w:r w:rsidR="005C1BBF">
              <w:rPr>
                <w:rFonts w:asciiTheme="minorHAnsi" w:eastAsia="Times New Roman" w:hAnsiTheme="minorHAnsi" w:cstheme="minorHAnsi"/>
                <w:color w:val="000000"/>
              </w:rPr>
              <w:t>.</w:t>
            </w:r>
            <w:r w:rsidRPr="00584581">
              <w:rPr>
                <w:rFonts w:asciiTheme="minorHAnsi" w:eastAsia="Times New Roman" w:hAnsiTheme="minorHAnsi" w:cstheme="minorHAnsi"/>
                <w:color w:val="000000"/>
              </w:rPr>
              <w:t xml:space="preserve"> </w:t>
            </w:r>
            <w:r w:rsidR="005C1BBF">
              <w:rPr>
                <w:rFonts w:asciiTheme="minorHAnsi" w:eastAsia="Times New Roman" w:hAnsiTheme="minorHAnsi" w:cstheme="minorHAnsi"/>
                <w:color w:val="000000"/>
              </w:rPr>
              <w:t>Clinical and Experimental Immunology</w:t>
            </w:r>
            <w:r w:rsidRPr="00584581">
              <w:rPr>
                <w:rFonts w:asciiTheme="minorHAnsi" w:eastAsia="Times New Roman" w:hAnsiTheme="minorHAnsi" w:cstheme="minorHAnsi"/>
                <w:color w:val="000000"/>
              </w:rPr>
              <w:t>, 106</w:t>
            </w:r>
            <w:r w:rsidR="005C1BBF">
              <w:rPr>
                <w:rFonts w:asciiTheme="minorHAnsi" w:eastAsia="Times New Roman" w:hAnsiTheme="minorHAnsi" w:cstheme="minorHAnsi"/>
                <w:color w:val="000000"/>
              </w:rPr>
              <w:t>(2)</w:t>
            </w:r>
            <w:r w:rsidR="00912178">
              <w:rPr>
                <w:rFonts w:asciiTheme="minorHAnsi" w:eastAsia="Times New Roman" w:hAnsiTheme="minorHAnsi" w:cstheme="minorHAnsi"/>
                <w:color w:val="000000"/>
              </w:rPr>
              <w:t>:</w:t>
            </w:r>
            <w:r w:rsidRPr="00584581">
              <w:rPr>
                <w:rFonts w:asciiTheme="minorHAnsi" w:eastAsia="Times New Roman" w:hAnsiTheme="minorHAnsi" w:cstheme="minorHAnsi"/>
                <w:color w:val="000000"/>
              </w:rPr>
              <w:t>197-202</w:t>
            </w:r>
            <w:r w:rsidR="005C1BBF">
              <w:rPr>
                <w:rFonts w:asciiTheme="minorHAnsi" w:eastAsia="Times New Roman" w:hAnsiTheme="minorHAnsi" w:cstheme="minorHAnsi"/>
                <w:color w:val="000000"/>
              </w:rPr>
              <w:t>.</w:t>
            </w:r>
          </w:p>
          <w:p w14:paraId="5C7578EF" w14:textId="3F792C02" w:rsidR="00912178" w:rsidRPr="00912178" w:rsidRDefault="002F00B3" w:rsidP="00584581">
            <w:pPr>
              <w:spacing w:before="120" w:after="120"/>
              <w:ind w:left="360"/>
              <w:rPr>
                <w:rFonts w:asciiTheme="minorHAnsi" w:eastAsia="Times New Roman" w:hAnsiTheme="minorHAnsi" w:cstheme="minorHAnsi"/>
                <w:color w:val="808080" w:themeColor="background1" w:themeShade="80"/>
              </w:rPr>
            </w:pPr>
            <w:hyperlink r:id="rId17" w:history="1">
              <w:r w:rsidR="00912178" w:rsidRPr="00912178">
                <w:rPr>
                  <w:rStyle w:val="Hyperlink"/>
                  <w:rFonts w:asciiTheme="minorHAnsi" w:eastAsia="Times New Roman" w:hAnsiTheme="minorHAnsi" w:cstheme="minorHAnsi"/>
                  <w:color w:val="808080" w:themeColor="background1" w:themeShade="80"/>
                </w:rPr>
                <w:t>https://www.ncbi.nlm.nih.gov/pubmed/8918563</w:t>
              </w:r>
            </w:hyperlink>
          </w:p>
          <w:p w14:paraId="0EF613FA" w14:textId="22F077F0" w:rsidR="005C1BBF" w:rsidRDefault="00912178" w:rsidP="00584581">
            <w:pPr>
              <w:spacing w:before="120" w:after="120"/>
              <w:ind w:left="360"/>
              <w:rPr>
                <w:rFonts w:asciiTheme="minorHAnsi" w:eastAsia="Times New Roman" w:hAnsiTheme="minorHAnsi" w:cstheme="minorHAnsi"/>
                <w:color w:val="000000"/>
              </w:rPr>
            </w:pPr>
            <w:r>
              <w:rPr>
                <w:rFonts w:asciiTheme="minorHAnsi" w:eastAsia="Times New Roman" w:hAnsiTheme="minorHAnsi" w:cstheme="minorHAnsi"/>
                <w:color w:val="000000"/>
              </w:rPr>
              <w:t xml:space="preserve">Khanna D, Chong KK, </w:t>
            </w:r>
            <w:proofErr w:type="spellStart"/>
            <w:r>
              <w:rPr>
                <w:rFonts w:asciiTheme="minorHAnsi" w:eastAsia="Times New Roman" w:hAnsiTheme="minorHAnsi" w:cstheme="minorHAnsi"/>
                <w:color w:val="000000"/>
              </w:rPr>
              <w:t>Afifyan</w:t>
            </w:r>
            <w:proofErr w:type="spellEnd"/>
            <w:r>
              <w:rPr>
                <w:rFonts w:asciiTheme="minorHAnsi" w:eastAsia="Times New Roman" w:hAnsiTheme="minorHAnsi" w:cstheme="minorHAnsi"/>
                <w:color w:val="000000"/>
              </w:rPr>
              <w:t xml:space="preserve"> NE, Hwang CJ, Lee DK, Garneau HC, </w:t>
            </w:r>
            <w:proofErr w:type="spellStart"/>
            <w:r>
              <w:rPr>
                <w:rFonts w:asciiTheme="minorHAnsi" w:eastAsia="Times New Roman" w:hAnsiTheme="minorHAnsi" w:cstheme="minorHAnsi"/>
                <w:color w:val="000000"/>
              </w:rPr>
              <w:t>Goldbery</w:t>
            </w:r>
            <w:proofErr w:type="spellEnd"/>
            <w:r>
              <w:rPr>
                <w:rFonts w:asciiTheme="minorHAnsi" w:eastAsia="Times New Roman" w:hAnsiTheme="minorHAnsi" w:cstheme="minorHAnsi"/>
                <w:color w:val="000000"/>
              </w:rPr>
              <w:t xml:space="preserve"> RA, Darwin CH, Smith TJ and Douglas RS</w:t>
            </w:r>
            <w:r w:rsidR="005C1BBF" w:rsidRPr="0058458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(2010)</w:t>
            </w:r>
            <w:r w:rsidR="005C1BBF">
              <w:rPr>
                <w:rFonts w:asciiTheme="minorHAnsi" w:eastAsia="Times New Roman" w:hAnsiTheme="minorHAnsi" w:cstheme="minorHAnsi"/>
                <w:color w:val="000000"/>
              </w:rPr>
              <w:t xml:space="preserve"> </w:t>
            </w:r>
            <w:r w:rsidR="005C1BBF" w:rsidRPr="00584581">
              <w:rPr>
                <w:rFonts w:asciiTheme="minorHAnsi" w:eastAsia="Times New Roman" w:hAnsiTheme="minorHAnsi" w:cstheme="minorHAnsi"/>
                <w:color w:val="000000"/>
              </w:rPr>
              <w:t xml:space="preserve">Rituximab treatment of patients with severe, corticosteroid-resistant thyroid- associated </w:t>
            </w:r>
            <w:proofErr w:type="spellStart"/>
            <w:r w:rsidR="005C1BBF" w:rsidRPr="00584581">
              <w:rPr>
                <w:rFonts w:asciiTheme="minorHAnsi" w:eastAsia="Times New Roman" w:hAnsiTheme="minorHAnsi" w:cstheme="minorHAnsi"/>
                <w:color w:val="000000"/>
              </w:rPr>
              <w:t>oph</w:t>
            </w:r>
            <w:r w:rsidR="005C1BBF">
              <w:rPr>
                <w:rFonts w:asciiTheme="minorHAnsi" w:eastAsia="Times New Roman" w:hAnsiTheme="minorHAnsi" w:cstheme="minorHAnsi"/>
                <w:color w:val="000000"/>
              </w:rPr>
              <w:t>thalmopathy</w:t>
            </w:r>
            <w:proofErr w:type="spellEnd"/>
            <w:r w:rsidR="005C1BBF">
              <w:rPr>
                <w:rFonts w:asciiTheme="minorHAnsi" w:eastAsia="Times New Roman" w:hAnsiTheme="minorHAnsi" w:cstheme="minorHAnsi"/>
                <w:color w:val="000000"/>
              </w:rPr>
              <w:t>.</w:t>
            </w:r>
            <w:r w:rsidR="005C1BBF" w:rsidRPr="00584581">
              <w:rPr>
                <w:rFonts w:asciiTheme="minorHAnsi" w:eastAsia="Times New Roman" w:hAnsiTheme="minorHAnsi" w:cstheme="minorHAnsi"/>
                <w:color w:val="000000"/>
              </w:rPr>
              <w:t xml:space="preserve"> </w:t>
            </w:r>
            <w:r w:rsidR="005C1BBF" w:rsidRPr="005C1BBF">
              <w:rPr>
                <w:rFonts w:asciiTheme="minorHAnsi" w:eastAsia="Times New Roman" w:hAnsiTheme="minorHAnsi" w:cstheme="minorHAnsi"/>
                <w:i/>
                <w:color w:val="000000"/>
              </w:rPr>
              <w:t>Op</w:t>
            </w:r>
            <w:r w:rsidR="005C1BBF">
              <w:rPr>
                <w:rFonts w:asciiTheme="minorHAnsi" w:eastAsia="Times New Roman" w:hAnsiTheme="minorHAnsi" w:cstheme="minorHAnsi"/>
                <w:i/>
                <w:color w:val="000000"/>
              </w:rPr>
              <w:t>h</w:t>
            </w:r>
            <w:r w:rsidR="005C1BBF" w:rsidRPr="005C1BBF">
              <w:rPr>
                <w:rFonts w:asciiTheme="minorHAnsi" w:eastAsia="Times New Roman" w:hAnsiTheme="minorHAnsi" w:cstheme="minorHAnsi"/>
                <w:i/>
                <w:color w:val="000000"/>
              </w:rPr>
              <w:t>thalmology</w:t>
            </w:r>
            <w:r>
              <w:rPr>
                <w:rFonts w:asciiTheme="minorHAnsi" w:eastAsia="Times New Roman" w:hAnsiTheme="minorHAnsi" w:cstheme="minorHAnsi"/>
                <w:color w:val="000000"/>
              </w:rPr>
              <w:t>,</w:t>
            </w:r>
            <w:r w:rsidR="005C1BBF">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117:</w:t>
            </w:r>
            <w:r w:rsidR="005C1BBF" w:rsidRPr="00584581">
              <w:rPr>
                <w:rFonts w:asciiTheme="minorHAnsi" w:eastAsia="Times New Roman" w:hAnsiTheme="minorHAnsi" w:cstheme="minorHAnsi"/>
                <w:color w:val="000000"/>
              </w:rPr>
              <w:t>133 – 152</w:t>
            </w:r>
            <w:r w:rsidR="005C1BBF">
              <w:rPr>
                <w:rFonts w:asciiTheme="minorHAnsi" w:eastAsia="Times New Roman" w:hAnsiTheme="minorHAnsi" w:cstheme="minorHAnsi"/>
                <w:color w:val="000000"/>
              </w:rPr>
              <w:t>.</w:t>
            </w:r>
          </w:p>
          <w:p w14:paraId="1196FC9B" w14:textId="5A1D4DC6" w:rsidR="00912178" w:rsidRPr="00912178" w:rsidRDefault="002F00B3" w:rsidP="00584581">
            <w:pPr>
              <w:spacing w:before="120" w:after="120"/>
              <w:ind w:left="360"/>
              <w:rPr>
                <w:rFonts w:asciiTheme="minorHAnsi" w:eastAsia="Times New Roman" w:hAnsiTheme="minorHAnsi" w:cstheme="minorHAnsi"/>
                <w:color w:val="808080" w:themeColor="background1" w:themeShade="80"/>
              </w:rPr>
            </w:pPr>
            <w:hyperlink r:id="rId18" w:history="1">
              <w:r w:rsidR="00912178" w:rsidRPr="00912178">
                <w:rPr>
                  <w:rStyle w:val="Hyperlink"/>
                  <w:rFonts w:asciiTheme="minorHAnsi" w:eastAsia="Times New Roman" w:hAnsiTheme="minorHAnsi" w:cstheme="minorHAnsi"/>
                  <w:color w:val="808080" w:themeColor="background1" w:themeShade="80"/>
                </w:rPr>
                <w:t>https://www.ncbi.nlm.nih.gov/pubmed/19818507</w:t>
              </w:r>
            </w:hyperlink>
          </w:p>
          <w:p w14:paraId="1DEDBC9B" w14:textId="3140602D" w:rsidR="00087B99" w:rsidRPr="00087B99" w:rsidRDefault="00087B99" w:rsidP="00087B99">
            <w:pPr>
              <w:spacing w:after="225" w:line="360" w:lineRule="atLeast"/>
              <w:ind w:left="360"/>
              <w:rPr>
                <w:rFonts w:asciiTheme="minorHAnsi" w:hAnsiTheme="minorHAnsi"/>
              </w:rPr>
            </w:pPr>
            <w:r w:rsidRPr="002A1261">
              <w:rPr>
                <w:rFonts w:asciiTheme="minorHAnsi" w:hAnsiTheme="minorHAnsi"/>
              </w:rPr>
              <w:t>Ontario Regional Blood Coordinating Network (2016). Ontario Intravenous Immune Globulin (</w:t>
            </w:r>
            <w:r w:rsidR="00EF29F1">
              <w:rPr>
                <w:rFonts w:asciiTheme="minorHAnsi" w:hAnsiTheme="minorHAnsi"/>
              </w:rPr>
              <w:t>IVIG</w:t>
            </w:r>
            <w:r w:rsidRPr="002A1261">
              <w:rPr>
                <w:rFonts w:asciiTheme="minorHAnsi" w:hAnsiTheme="minorHAnsi"/>
              </w:rPr>
              <w:t>) Utilization Management Guidelines, Version 3.0. [</w:t>
            </w:r>
            <w:proofErr w:type="gramStart"/>
            <w:r w:rsidRPr="002A1261">
              <w:rPr>
                <w:rFonts w:asciiTheme="minorHAnsi" w:hAnsiTheme="minorHAnsi"/>
              </w:rPr>
              <w:t>online</w:t>
            </w:r>
            <w:proofErr w:type="gramEnd"/>
            <w:r w:rsidRPr="002A1261">
              <w:rPr>
                <w:rFonts w:asciiTheme="minorHAnsi" w:hAnsiTheme="minorHAnsi"/>
              </w:rPr>
              <w:t xml:space="preserve">]. Available at: </w:t>
            </w:r>
            <w:r w:rsidRPr="00087B99">
              <w:rPr>
                <w:rFonts w:asciiTheme="minorHAnsi" w:hAnsiTheme="minorHAnsi"/>
                <w:color w:val="808080" w:themeColor="background1" w:themeShade="80"/>
              </w:rPr>
              <w:t>http://transfusionontario.org/en/download/ontario-intravenous-immune-globulin-</w:t>
            </w:r>
            <w:r w:rsidR="00EF29F1">
              <w:rPr>
                <w:rFonts w:asciiTheme="minorHAnsi" w:hAnsiTheme="minorHAnsi"/>
                <w:color w:val="808080" w:themeColor="background1" w:themeShade="80"/>
              </w:rPr>
              <w:t>IVIg</w:t>
            </w:r>
            <w:r w:rsidRPr="00087B99">
              <w:rPr>
                <w:rFonts w:asciiTheme="minorHAnsi" w:hAnsiTheme="minorHAnsi"/>
                <w:color w:val="808080" w:themeColor="background1" w:themeShade="80"/>
              </w:rPr>
              <w:t>-utilization-management-guidelines-2/.</w:t>
            </w:r>
          </w:p>
          <w:p w14:paraId="14803A87" w14:textId="11D00BC9" w:rsidR="009B15F8" w:rsidRDefault="00912178" w:rsidP="00584581">
            <w:pPr>
              <w:spacing w:before="120" w:after="120"/>
              <w:ind w:left="360"/>
              <w:rPr>
                <w:rFonts w:asciiTheme="minorHAnsi" w:eastAsia="Times New Roman" w:hAnsiTheme="minorHAnsi" w:cstheme="minorHAnsi"/>
                <w:color w:val="000000"/>
              </w:rPr>
            </w:pPr>
            <w:r>
              <w:rPr>
                <w:rFonts w:asciiTheme="minorHAnsi" w:eastAsia="Times New Roman" w:hAnsiTheme="minorHAnsi" w:cstheme="minorHAnsi"/>
                <w:color w:val="000000"/>
              </w:rPr>
              <w:t>Salvi</w:t>
            </w:r>
            <w:r w:rsidR="009B15F8" w:rsidRPr="0058458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M</w:t>
            </w:r>
            <w:r w:rsidR="005C1BBF">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Vannucchi</w:t>
            </w:r>
            <w:proofErr w:type="spellEnd"/>
            <w:r w:rsidR="009B15F8" w:rsidRPr="00584581">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G</w:t>
            </w:r>
            <w:r w:rsidR="005C1BBF">
              <w:rPr>
                <w:rFonts w:asciiTheme="minorHAnsi" w:eastAsia="Times New Roman" w:hAnsiTheme="minorHAnsi" w:cstheme="minorHAnsi"/>
                <w:color w:val="000000"/>
              </w:rPr>
              <w:t>,</w:t>
            </w:r>
            <w:r>
              <w:rPr>
                <w:rFonts w:asciiTheme="minorHAnsi" w:eastAsia="Times New Roman" w:hAnsiTheme="minorHAnsi" w:cstheme="minorHAnsi"/>
                <w:color w:val="000000"/>
              </w:rPr>
              <w:t>Currò</w:t>
            </w:r>
            <w:proofErr w:type="spellEnd"/>
            <w:r w:rsidR="009B15F8" w:rsidRPr="0058458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N</w:t>
            </w:r>
            <w:r w:rsidR="005C1BBF">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Campi</w:t>
            </w:r>
            <w:proofErr w:type="spellEnd"/>
            <w:r w:rsidR="009B15F8" w:rsidRPr="0058458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I</w:t>
            </w:r>
            <w:r w:rsidR="005C1BBF">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Covelli</w:t>
            </w:r>
            <w:proofErr w:type="spellEnd"/>
            <w:r>
              <w:rPr>
                <w:rFonts w:asciiTheme="minorHAnsi" w:eastAsia="Times New Roman" w:hAnsiTheme="minorHAnsi" w:cstheme="minorHAnsi"/>
                <w:color w:val="000000"/>
              </w:rPr>
              <w:t xml:space="preserve"> D</w:t>
            </w:r>
            <w:r w:rsidR="005C1BBF">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Dazzi</w:t>
            </w:r>
            <w:proofErr w:type="spellEnd"/>
            <w:r w:rsidR="009B15F8" w:rsidRPr="0058458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D, et al </w:t>
            </w:r>
            <w:r w:rsidR="007E45B5">
              <w:rPr>
                <w:rFonts w:asciiTheme="minorHAnsi" w:eastAsia="Times New Roman" w:hAnsiTheme="minorHAnsi" w:cstheme="minorHAnsi"/>
                <w:color w:val="000000"/>
              </w:rPr>
              <w:t xml:space="preserve">(2015) </w:t>
            </w:r>
            <w:r w:rsidR="009B15F8" w:rsidRPr="00584581">
              <w:rPr>
                <w:rFonts w:asciiTheme="minorHAnsi" w:eastAsia="Times New Roman" w:hAnsiTheme="minorHAnsi" w:cstheme="minorHAnsi"/>
                <w:color w:val="000000"/>
              </w:rPr>
              <w:t xml:space="preserve">Efficacy of B-Cell Targeted Therapy With Rituximab in Patients With Active Moderate to Severe Graves' </w:t>
            </w:r>
            <w:proofErr w:type="spellStart"/>
            <w:r w:rsidR="009B15F8" w:rsidRPr="00584581">
              <w:rPr>
                <w:rFonts w:asciiTheme="minorHAnsi" w:eastAsia="Times New Roman" w:hAnsiTheme="minorHAnsi" w:cstheme="minorHAnsi"/>
                <w:color w:val="000000"/>
              </w:rPr>
              <w:t>Orbitopathy</w:t>
            </w:r>
            <w:proofErr w:type="spellEnd"/>
            <w:r w:rsidR="009B15F8" w:rsidRPr="00584581">
              <w:rPr>
                <w:rFonts w:asciiTheme="minorHAnsi" w:eastAsia="Times New Roman" w:hAnsiTheme="minorHAnsi" w:cstheme="minorHAnsi"/>
                <w:color w:val="000000"/>
              </w:rPr>
              <w:t xml:space="preserve">: A Randomized Controlled Study. </w:t>
            </w:r>
            <w:r w:rsidR="007E45B5" w:rsidRPr="007E45B5">
              <w:rPr>
                <w:rFonts w:asciiTheme="minorHAnsi" w:eastAsia="Times New Roman" w:hAnsiTheme="minorHAnsi" w:cstheme="minorHAnsi"/>
                <w:i/>
                <w:color w:val="000000"/>
              </w:rPr>
              <w:t>Journal of Clinical Endocrinology &amp; Metabolism</w:t>
            </w:r>
            <w:r w:rsidR="007E45B5">
              <w:rPr>
                <w:rFonts w:asciiTheme="minorHAnsi" w:eastAsia="Times New Roman" w:hAnsiTheme="minorHAnsi" w:cstheme="minorHAnsi"/>
                <w:color w:val="000000"/>
              </w:rPr>
              <w:t>,</w:t>
            </w:r>
            <w:r w:rsidR="009B15F8" w:rsidRPr="0058458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100(2):</w:t>
            </w:r>
            <w:r w:rsidR="009B15F8" w:rsidRPr="00584581">
              <w:rPr>
                <w:rFonts w:asciiTheme="minorHAnsi" w:eastAsia="Times New Roman" w:hAnsiTheme="minorHAnsi" w:cstheme="minorHAnsi"/>
                <w:color w:val="000000"/>
              </w:rPr>
              <w:t xml:space="preserve"> 422–431.</w:t>
            </w:r>
          </w:p>
          <w:p w14:paraId="389DCFB3" w14:textId="6E574159" w:rsidR="00912178" w:rsidRPr="00912178" w:rsidRDefault="002F00B3" w:rsidP="00584581">
            <w:pPr>
              <w:spacing w:before="120" w:after="120"/>
              <w:ind w:left="360"/>
              <w:rPr>
                <w:rFonts w:asciiTheme="minorHAnsi" w:eastAsia="Times New Roman" w:hAnsiTheme="minorHAnsi" w:cstheme="minorHAnsi"/>
                <w:color w:val="808080" w:themeColor="background1" w:themeShade="80"/>
              </w:rPr>
            </w:pPr>
            <w:hyperlink r:id="rId19" w:history="1">
              <w:r w:rsidR="00912178" w:rsidRPr="00912178">
                <w:rPr>
                  <w:rStyle w:val="Hyperlink"/>
                  <w:rFonts w:asciiTheme="minorHAnsi" w:eastAsia="Times New Roman" w:hAnsiTheme="minorHAnsi" w:cstheme="minorHAnsi"/>
                  <w:color w:val="808080" w:themeColor="background1" w:themeShade="80"/>
                </w:rPr>
                <w:t>https://www.ncbi.nlm.nih.gov/pubmed/25494967</w:t>
              </w:r>
            </w:hyperlink>
          </w:p>
          <w:p w14:paraId="16521401" w14:textId="4BEE0A65" w:rsidR="009B15F8" w:rsidRDefault="00912178" w:rsidP="00584581">
            <w:pPr>
              <w:spacing w:before="120" w:after="120"/>
              <w:ind w:left="360"/>
              <w:rPr>
                <w:rFonts w:asciiTheme="minorHAnsi" w:eastAsia="Times New Roman" w:hAnsiTheme="minorHAnsi" w:cstheme="minorHAnsi"/>
                <w:color w:val="000000"/>
              </w:rPr>
            </w:pPr>
            <w:r>
              <w:rPr>
                <w:rFonts w:asciiTheme="minorHAnsi" w:eastAsia="Times New Roman" w:hAnsiTheme="minorHAnsi" w:cstheme="minorHAnsi"/>
                <w:color w:val="000000"/>
              </w:rPr>
              <w:t>Stan MN</w:t>
            </w:r>
            <w:r w:rsidR="009B15F8" w:rsidRPr="00584581">
              <w:rPr>
                <w:rFonts w:asciiTheme="minorHAnsi" w:eastAsia="Times New Roman" w:hAnsiTheme="minorHAnsi" w:cstheme="minorHAnsi"/>
                <w:color w:val="000000"/>
              </w:rPr>
              <w:t xml:space="preserve">, </w:t>
            </w:r>
            <w:proofErr w:type="spellStart"/>
            <w:r w:rsidR="009B15F8" w:rsidRPr="00584581">
              <w:rPr>
                <w:rFonts w:asciiTheme="minorHAnsi" w:eastAsia="Times New Roman" w:hAnsiTheme="minorHAnsi" w:cstheme="minorHAnsi"/>
                <w:color w:val="000000"/>
              </w:rPr>
              <w:t>Garrity</w:t>
            </w:r>
            <w:proofErr w:type="spellEnd"/>
            <w:r w:rsidR="009B15F8" w:rsidRPr="00584581">
              <w:rPr>
                <w:rFonts w:asciiTheme="minorHAnsi" w:eastAsia="Times New Roman" w:hAnsiTheme="minorHAnsi" w:cstheme="minorHAnsi"/>
                <w:color w:val="000000"/>
              </w:rPr>
              <w:t xml:space="preserve"> JA</w:t>
            </w:r>
            <w:r w:rsidR="007E45B5">
              <w:rPr>
                <w:rFonts w:asciiTheme="minorHAnsi" w:eastAsia="Times New Roman" w:hAnsiTheme="minorHAnsi" w:cstheme="minorHAnsi"/>
                <w:color w:val="000000"/>
              </w:rPr>
              <w:t xml:space="preserve"> and</w:t>
            </w:r>
            <w:r w:rsidR="009B15F8" w:rsidRPr="00584581">
              <w:rPr>
                <w:rFonts w:asciiTheme="minorHAnsi" w:eastAsia="Times New Roman" w:hAnsiTheme="minorHAnsi" w:cstheme="minorHAnsi"/>
                <w:color w:val="000000"/>
              </w:rPr>
              <w:t xml:space="preserve"> </w:t>
            </w:r>
            <w:proofErr w:type="spellStart"/>
            <w:r w:rsidR="009B15F8" w:rsidRPr="00584581">
              <w:rPr>
                <w:rFonts w:asciiTheme="minorHAnsi" w:eastAsia="Times New Roman" w:hAnsiTheme="minorHAnsi" w:cstheme="minorHAnsi"/>
                <w:color w:val="000000"/>
              </w:rPr>
              <w:t>Bahn</w:t>
            </w:r>
            <w:proofErr w:type="spellEnd"/>
            <w:r>
              <w:rPr>
                <w:rFonts w:asciiTheme="minorHAnsi" w:eastAsia="Times New Roman" w:hAnsiTheme="minorHAnsi" w:cstheme="minorHAnsi"/>
                <w:color w:val="000000"/>
              </w:rPr>
              <w:t xml:space="preserve"> RS</w:t>
            </w:r>
            <w:r w:rsidR="009B15F8" w:rsidRPr="00584581">
              <w:rPr>
                <w:rFonts w:asciiTheme="minorHAnsi" w:eastAsia="Times New Roman" w:hAnsiTheme="minorHAnsi" w:cstheme="minorHAnsi"/>
                <w:color w:val="000000"/>
              </w:rPr>
              <w:t xml:space="preserve"> </w:t>
            </w:r>
            <w:r w:rsidR="007E45B5">
              <w:rPr>
                <w:rFonts w:asciiTheme="minorHAnsi" w:eastAsia="Times New Roman" w:hAnsiTheme="minorHAnsi" w:cstheme="minorHAnsi"/>
                <w:color w:val="000000"/>
              </w:rPr>
              <w:t xml:space="preserve">(2012) </w:t>
            </w:r>
            <w:r w:rsidR="009B15F8" w:rsidRPr="00584581">
              <w:rPr>
                <w:rFonts w:asciiTheme="minorHAnsi" w:eastAsia="Times New Roman" w:hAnsiTheme="minorHAnsi" w:cstheme="minorHAnsi"/>
                <w:color w:val="000000"/>
              </w:rPr>
              <w:t xml:space="preserve">The evaluation and treatment of graves </w:t>
            </w:r>
            <w:proofErr w:type="spellStart"/>
            <w:r w:rsidR="009B15F8" w:rsidRPr="00584581">
              <w:rPr>
                <w:rFonts w:asciiTheme="minorHAnsi" w:eastAsia="Times New Roman" w:hAnsiTheme="minorHAnsi" w:cstheme="minorHAnsi"/>
                <w:color w:val="000000"/>
              </w:rPr>
              <w:t>ophthalmopathy</w:t>
            </w:r>
            <w:proofErr w:type="spellEnd"/>
            <w:r w:rsidR="009B15F8" w:rsidRPr="00584581">
              <w:rPr>
                <w:rFonts w:asciiTheme="minorHAnsi" w:eastAsia="Times New Roman" w:hAnsiTheme="minorHAnsi" w:cstheme="minorHAnsi"/>
                <w:color w:val="000000"/>
              </w:rPr>
              <w:t xml:space="preserve">. </w:t>
            </w:r>
            <w:r w:rsidR="007E45B5" w:rsidRPr="007E45B5">
              <w:rPr>
                <w:rFonts w:asciiTheme="minorHAnsi" w:eastAsia="Times New Roman" w:hAnsiTheme="minorHAnsi" w:cstheme="minorHAnsi"/>
                <w:i/>
                <w:color w:val="000000"/>
              </w:rPr>
              <w:t>Medical Clinics of North America</w:t>
            </w:r>
            <w:r w:rsidR="007E45B5">
              <w:rPr>
                <w:rFonts w:asciiTheme="minorHAnsi" w:eastAsia="Times New Roman" w:hAnsiTheme="minorHAnsi" w:cstheme="minorHAnsi"/>
                <w:color w:val="000000"/>
              </w:rPr>
              <w:t>,</w:t>
            </w:r>
            <w:r w:rsidR="009B15F8" w:rsidRPr="0058458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96(2):</w:t>
            </w:r>
            <w:r w:rsidR="007E45B5">
              <w:rPr>
                <w:rFonts w:asciiTheme="minorHAnsi" w:eastAsia="Times New Roman" w:hAnsiTheme="minorHAnsi" w:cstheme="minorHAnsi"/>
                <w:color w:val="000000"/>
              </w:rPr>
              <w:t>3</w:t>
            </w:r>
            <w:r w:rsidR="009B15F8" w:rsidRPr="00584581">
              <w:rPr>
                <w:rFonts w:asciiTheme="minorHAnsi" w:eastAsia="Times New Roman" w:hAnsiTheme="minorHAnsi" w:cstheme="minorHAnsi"/>
                <w:color w:val="000000"/>
              </w:rPr>
              <w:t xml:space="preserve">11-28. </w:t>
            </w:r>
          </w:p>
          <w:p w14:paraId="7DA8911E" w14:textId="2859E439" w:rsidR="00912178" w:rsidRPr="00912178" w:rsidRDefault="002F00B3" w:rsidP="00584581">
            <w:pPr>
              <w:spacing w:before="120" w:after="120"/>
              <w:ind w:left="360"/>
              <w:rPr>
                <w:rFonts w:asciiTheme="minorHAnsi" w:eastAsia="Times New Roman" w:hAnsiTheme="minorHAnsi" w:cstheme="minorHAnsi"/>
                <w:color w:val="808080" w:themeColor="background1" w:themeShade="80"/>
              </w:rPr>
            </w:pPr>
            <w:hyperlink r:id="rId20" w:history="1">
              <w:r w:rsidR="00912178" w:rsidRPr="00912178">
                <w:rPr>
                  <w:rStyle w:val="Hyperlink"/>
                  <w:rFonts w:asciiTheme="minorHAnsi" w:eastAsia="Times New Roman" w:hAnsiTheme="minorHAnsi" w:cstheme="minorHAnsi"/>
                  <w:color w:val="808080" w:themeColor="background1" w:themeShade="80"/>
                </w:rPr>
                <w:t>https://www.ncbi.nlm.nih.gov/pubmed/22443978</w:t>
              </w:r>
            </w:hyperlink>
          </w:p>
          <w:p w14:paraId="65D61E5D" w14:textId="69A34346" w:rsidR="009B15F8" w:rsidRDefault="007E45B5" w:rsidP="00584581">
            <w:pPr>
              <w:spacing w:before="120" w:after="120"/>
              <w:ind w:left="360"/>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St</w:t>
            </w:r>
            <w:r w:rsidR="009B15F8" w:rsidRPr="00584581">
              <w:rPr>
                <w:rFonts w:asciiTheme="minorHAnsi" w:eastAsia="Times New Roman" w:hAnsiTheme="minorHAnsi" w:cstheme="minorHAnsi"/>
                <w:color w:val="000000"/>
              </w:rPr>
              <w:t>iebel-Kalish</w:t>
            </w:r>
            <w:proofErr w:type="spellEnd"/>
            <w:r w:rsidR="00912178">
              <w:rPr>
                <w:rFonts w:asciiTheme="minorHAnsi" w:eastAsia="Times New Roman" w:hAnsiTheme="minorHAnsi" w:cstheme="minorHAnsi"/>
                <w:color w:val="000000"/>
              </w:rPr>
              <w:t xml:space="preserve"> H, </w:t>
            </w:r>
            <w:proofErr w:type="spellStart"/>
            <w:r w:rsidR="00912178">
              <w:rPr>
                <w:rFonts w:asciiTheme="minorHAnsi" w:eastAsia="Times New Roman" w:hAnsiTheme="minorHAnsi" w:cstheme="minorHAnsi"/>
                <w:color w:val="000000"/>
              </w:rPr>
              <w:t>Robenshtok</w:t>
            </w:r>
            <w:proofErr w:type="spellEnd"/>
            <w:r w:rsidR="00912178">
              <w:rPr>
                <w:rFonts w:asciiTheme="minorHAnsi" w:eastAsia="Times New Roman" w:hAnsiTheme="minorHAnsi" w:cstheme="minorHAnsi"/>
                <w:color w:val="000000"/>
              </w:rPr>
              <w:t xml:space="preserve"> E, </w:t>
            </w:r>
            <w:proofErr w:type="spellStart"/>
            <w:r w:rsidR="00912178">
              <w:rPr>
                <w:rFonts w:asciiTheme="minorHAnsi" w:eastAsia="Times New Roman" w:hAnsiTheme="minorHAnsi" w:cstheme="minorHAnsi"/>
                <w:color w:val="000000"/>
              </w:rPr>
              <w:t>Hasanreisoglu</w:t>
            </w:r>
            <w:proofErr w:type="spellEnd"/>
            <w:r w:rsidR="00912178">
              <w:rPr>
                <w:rFonts w:asciiTheme="minorHAnsi" w:eastAsia="Times New Roman" w:hAnsiTheme="minorHAnsi" w:cstheme="minorHAnsi"/>
                <w:color w:val="000000"/>
              </w:rPr>
              <w:t xml:space="preserve"> M, </w:t>
            </w:r>
            <w:proofErr w:type="spellStart"/>
            <w:r w:rsidR="00912178">
              <w:rPr>
                <w:rFonts w:asciiTheme="minorHAnsi" w:eastAsia="Times New Roman" w:hAnsiTheme="minorHAnsi" w:cstheme="minorHAnsi"/>
                <w:color w:val="000000"/>
              </w:rPr>
              <w:t>Ezrachi</w:t>
            </w:r>
            <w:proofErr w:type="spellEnd"/>
            <w:r w:rsidR="00A7147A">
              <w:rPr>
                <w:rFonts w:asciiTheme="minorHAnsi" w:eastAsia="Times New Roman" w:hAnsiTheme="minorHAnsi" w:cstheme="minorHAnsi"/>
                <w:color w:val="000000"/>
              </w:rPr>
              <w:t xml:space="preserve"> </w:t>
            </w:r>
            <w:r w:rsidR="00912178">
              <w:rPr>
                <w:rFonts w:asciiTheme="minorHAnsi" w:eastAsia="Times New Roman" w:hAnsiTheme="minorHAnsi" w:cstheme="minorHAnsi"/>
                <w:color w:val="000000"/>
              </w:rPr>
              <w:t xml:space="preserve">D, Shimon I. and </w:t>
            </w:r>
            <w:proofErr w:type="spellStart"/>
            <w:r w:rsidR="00912178">
              <w:rPr>
                <w:rFonts w:asciiTheme="minorHAnsi" w:eastAsia="Times New Roman" w:hAnsiTheme="minorHAnsi" w:cstheme="minorHAnsi"/>
                <w:color w:val="000000"/>
              </w:rPr>
              <w:t>Leibovici</w:t>
            </w:r>
            <w:proofErr w:type="spellEnd"/>
            <w:r w:rsidR="00912178">
              <w:rPr>
                <w:rFonts w:asciiTheme="minorHAnsi" w:eastAsia="Times New Roman" w:hAnsiTheme="minorHAnsi" w:cstheme="minorHAnsi"/>
                <w:color w:val="000000"/>
              </w:rPr>
              <w:t xml:space="preserve"> L (2009)</w:t>
            </w:r>
            <w:r w:rsidR="00A7147A">
              <w:rPr>
                <w:rFonts w:asciiTheme="minorHAnsi" w:eastAsia="Times New Roman" w:hAnsiTheme="minorHAnsi" w:cstheme="minorHAnsi"/>
                <w:color w:val="000000"/>
              </w:rPr>
              <w:t xml:space="preserve"> </w:t>
            </w:r>
            <w:r w:rsidR="009B15F8" w:rsidRPr="00584581">
              <w:rPr>
                <w:rFonts w:asciiTheme="minorHAnsi" w:eastAsia="Times New Roman" w:hAnsiTheme="minorHAnsi" w:cstheme="minorHAnsi"/>
                <w:color w:val="000000"/>
              </w:rPr>
              <w:t xml:space="preserve">Treatment Modalities for Graves’ </w:t>
            </w:r>
            <w:proofErr w:type="spellStart"/>
            <w:r w:rsidR="009B15F8" w:rsidRPr="00584581">
              <w:rPr>
                <w:rFonts w:asciiTheme="minorHAnsi" w:eastAsia="Times New Roman" w:hAnsiTheme="minorHAnsi" w:cstheme="minorHAnsi"/>
                <w:color w:val="000000"/>
              </w:rPr>
              <w:t>Op</w:t>
            </w:r>
            <w:r w:rsidR="00FD5282" w:rsidRPr="00584581">
              <w:rPr>
                <w:rFonts w:asciiTheme="minorHAnsi" w:eastAsia="Times New Roman" w:hAnsiTheme="minorHAnsi" w:cstheme="minorHAnsi"/>
                <w:color w:val="000000"/>
              </w:rPr>
              <w:t>h</w:t>
            </w:r>
            <w:r w:rsidR="009B15F8" w:rsidRPr="00584581">
              <w:rPr>
                <w:rFonts w:asciiTheme="minorHAnsi" w:eastAsia="Times New Roman" w:hAnsiTheme="minorHAnsi" w:cstheme="minorHAnsi"/>
                <w:color w:val="000000"/>
              </w:rPr>
              <w:t>thalmopathy</w:t>
            </w:r>
            <w:proofErr w:type="spellEnd"/>
            <w:r w:rsidR="00912178">
              <w:rPr>
                <w:rFonts w:asciiTheme="minorHAnsi" w:eastAsia="Times New Roman" w:hAnsiTheme="minorHAnsi" w:cstheme="minorHAnsi"/>
                <w:color w:val="000000"/>
              </w:rPr>
              <w:t xml:space="preserve">. </w:t>
            </w:r>
            <w:r w:rsidR="00912178" w:rsidRPr="00912178">
              <w:rPr>
                <w:rFonts w:asciiTheme="minorHAnsi" w:eastAsia="Times New Roman" w:hAnsiTheme="minorHAnsi" w:cstheme="minorHAnsi"/>
                <w:i/>
                <w:color w:val="000000"/>
              </w:rPr>
              <w:t>Journal of Clinical Endocrino</w:t>
            </w:r>
            <w:r w:rsidR="00A7147A" w:rsidRPr="00912178">
              <w:rPr>
                <w:rFonts w:asciiTheme="minorHAnsi" w:eastAsia="Times New Roman" w:hAnsiTheme="minorHAnsi" w:cstheme="minorHAnsi"/>
                <w:i/>
                <w:color w:val="000000"/>
              </w:rPr>
              <w:t>logy &amp; Metabolism</w:t>
            </w:r>
            <w:r w:rsidR="00A7147A">
              <w:rPr>
                <w:rFonts w:asciiTheme="minorHAnsi" w:eastAsia="Times New Roman" w:hAnsiTheme="minorHAnsi" w:cstheme="minorHAnsi"/>
                <w:color w:val="000000"/>
              </w:rPr>
              <w:t xml:space="preserve">, </w:t>
            </w:r>
            <w:r w:rsidR="009B15F8" w:rsidRPr="00584581">
              <w:rPr>
                <w:rFonts w:asciiTheme="minorHAnsi" w:eastAsia="Times New Roman" w:hAnsiTheme="minorHAnsi" w:cstheme="minorHAnsi"/>
                <w:color w:val="000000"/>
              </w:rPr>
              <w:t>94</w:t>
            </w:r>
            <w:r w:rsidR="00A7147A">
              <w:rPr>
                <w:rFonts w:asciiTheme="minorHAnsi" w:eastAsia="Times New Roman" w:hAnsiTheme="minorHAnsi" w:cstheme="minorHAnsi"/>
                <w:color w:val="000000"/>
              </w:rPr>
              <w:t>(8)</w:t>
            </w:r>
            <w:r w:rsidR="00912178">
              <w:rPr>
                <w:rFonts w:asciiTheme="minorHAnsi" w:eastAsia="Times New Roman" w:hAnsiTheme="minorHAnsi" w:cstheme="minorHAnsi"/>
                <w:color w:val="000000"/>
              </w:rPr>
              <w:t>:</w:t>
            </w:r>
            <w:r w:rsidR="009B15F8" w:rsidRPr="00584581">
              <w:rPr>
                <w:rFonts w:asciiTheme="minorHAnsi" w:eastAsia="Times New Roman" w:hAnsiTheme="minorHAnsi" w:cstheme="minorHAnsi"/>
                <w:color w:val="000000"/>
              </w:rPr>
              <w:t>2708-2716</w:t>
            </w:r>
            <w:r w:rsidR="00A7147A">
              <w:rPr>
                <w:rFonts w:asciiTheme="minorHAnsi" w:eastAsia="Times New Roman" w:hAnsiTheme="minorHAnsi" w:cstheme="minorHAnsi"/>
                <w:color w:val="000000"/>
              </w:rPr>
              <w:t>.</w:t>
            </w:r>
          </w:p>
          <w:p w14:paraId="4BDF861E" w14:textId="1927F530" w:rsidR="00912178" w:rsidRPr="00912178" w:rsidRDefault="002F00B3" w:rsidP="00584581">
            <w:pPr>
              <w:spacing w:before="120" w:after="120"/>
              <w:ind w:left="360"/>
              <w:rPr>
                <w:rFonts w:asciiTheme="minorHAnsi" w:eastAsia="Times New Roman" w:hAnsiTheme="minorHAnsi" w:cstheme="minorHAnsi"/>
                <w:color w:val="808080" w:themeColor="background1" w:themeShade="80"/>
              </w:rPr>
            </w:pPr>
            <w:hyperlink r:id="rId21" w:history="1">
              <w:r w:rsidR="00912178" w:rsidRPr="00912178">
                <w:rPr>
                  <w:rStyle w:val="Hyperlink"/>
                  <w:rFonts w:asciiTheme="minorHAnsi" w:eastAsia="Times New Roman" w:hAnsiTheme="minorHAnsi" w:cstheme="minorHAnsi"/>
                  <w:color w:val="808080" w:themeColor="background1" w:themeShade="80"/>
                </w:rPr>
                <w:t>https://www.ncbi.nlm.nih.gov/pubmed/19491222</w:t>
              </w:r>
            </w:hyperlink>
          </w:p>
          <w:p w14:paraId="6257B1DF" w14:textId="6D2B4AD6" w:rsidR="009B15F8" w:rsidRDefault="00912178" w:rsidP="00584581">
            <w:pPr>
              <w:spacing w:before="120" w:after="120"/>
              <w:ind w:left="360"/>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Strianese</w:t>
            </w:r>
            <w:proofErr w:type="spellEnd"/>
            <w:r w:rsidR="009B15F8" w:rsidRPr="00584581">
              <w:rPr>
                <w:rFonts w:asciiTheme="minorHAnsi" w:eastAsia="Times New Roman" w:hAnsiTheme="minorHAnsi" w:cstheme="minorHAnsi"/>
                <w:color w:val="000000"/>
              </w:rPr>
              <w:t xml:space="preserve"> D</w:t>
            </w:r>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Iuliano</w:t>
            </w:r>
            <w:proofErr w:type="spellEnd"/>
            <w:r w:rsidR="009B15F8" w:rsidRPr="00584581">
              <w:rPr>
                <w:rFonts w:asciiTheme="minorHAnsi" w:eastAsia="Times New Roman" w:hAnsiTheme="minorHAnsi" w:cstheme="minorHAnsi"/>
                <w:color w:val="000000"/>
              </w:rPr>
              <w:t xml:space="preserve"> A</w:t>
            </w:r>
            <w:r>
              <w:rPr>
                <w:rFonts w:asciiTheme="minorHAnsi" w:eastAsia="Times New Roman" w:hAnsiTheme="minorHAnsi" w:cstheme="minorHAnsi"/>
                <w:color w:val="000000"/>
              </w:rPr>
              <w:t>, Ferrara</w:t>
            </w:r>
            <w:r w:rsidR="009B15F8" w:rsidRPr="00584581">
              <w:rPr>
                <w:rFonts w:asciiTheme="minorHAnsi" w:eastAsia="Times New Roman" w:hAnsiTheme="minorHAnsi" w:cstheme="minorHAnsi"/>
                <w:color w:val="000000"/>
              </w:rPr>
              <w:t xml:space="preserve"> M</w:t>
            </w:r>
            <w:r w:rsidR="00A7147A">
              <w:rPr>
                <w:rFonts w:asciiTheme="minorHAnsi" w:eastAsia="Times New Roman" w:hAnsiTheme="minorHAnsi" w:cstheme="minorHAnsi"/>
                <w:color w:val="000000"/>
              </w:rPr>
              <w:t xml:space="preserve">, </w:t>
            </w:r>
            <w:proofErr w:type="spellStart"/>
            <w:r w:rsidR="00A7147A">
              <w:rPr>
                <w:rFonts w:asciiTheme="minorHAnsi" w:eastAsia="Times New Roman" w:hAnsiTheme="minorHAnsi" w:cstheme="minorHAnsi"/>
                <w:color w:val="000000"/>
              </w:rPr>
              <w:t>Comune</w:t>
            </w:r>
            <w:proofErr w:type="spellEnd"/>
            <w:r>
              <w:rPr>
                <w:rFonts w:asciiTheme="minorHAnsi" w:eastAsia="Times New Roman" w:hAnsiTheme="minorHAnsi" w:cstheme="minorHAnsi"/>
                <w:color w:val="000000"/>
              </w:rPr>
              <w:t xml:space="preserve"> C, </w:t>
            </w:r>
            <w:proofErr w:type="spellStart"/>
            <w:r>
              <w:rPr>
                <w:rFonts w:asciiTheme="minorHAnsi" w:eastAsia="Times New Roman" w:hAnsiTheme="minorHAnsi" w:cstheme="minorHAnsi"/>
                <w:color w:val="000000"/>
              </w:rPr>
              <w:t>Baronissi</w:t>
            </w:r>
            <w:proofErr w:type="spellEnd"/>
            <w:r>
              <w:rPr>
                <w:rFonts w:asciiTheme="minorHAnsi" w:eastAsia="Times New Roman" w:hAnsiTheme="minorHAnsi" w:cstheme="minorHAnsi"/>
                <w:color w:val="000000"/>
              </w:rPr>
              <w:t xml:space="preserve"> I, Napolitano P</w:t>
            </w:r>
            <w:r w:rsidR="009B15F8" w:rsidRPr="0058458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(2014)</w:t>
            </w:r>
            <w:r w:rsidR="009B15F8" w:rsidRPr="00584581">
              <w:rPr>
                <w:rFonts w:asciiTheme="minorHAnsi" w:eastAsia="Times New Roman" w:hAnsiTheme="minorHAnsi" w:cstheme="minorHAnsi"/>
                <w:color w:val="000000"/>
              </w:rPr>
              <w:t xml:space="preserve"> </w:t>
            </w:r>
            <w:proofErr w:type="spellStart"/>
            <w:r w:rsidR="009B15F8" w:rsidRPr="00584581">
              <w:rPr>
                <w:rFonts w:asciiTheme="minorHAnsi" w:eastAsia="Times New Roman" w:hAnsiTheme="minorHAnsi" w:cstheme="minorHAnsi"/>
                <w:color w:val="000000"/>
              </w:rPr>
              <w:t>Methotraxate</w:t>
            </w:r>
            <w:proofErr w:type="spellEnd"/>
            <w:r w:rsidR="009B15F8" w:rsidRPr="00584581">
              <w:rPr>
                <w:rFonts w:asciiTheme="minorHAnsi" w:eastAsia="Times New Roman" w:hAnsiTheme="minorHAnsi" w:cstheme="minorHAnsi"/>
                <w:color w:val="000000"/>
              </w:rPr>
              <w:t xml:space="preserve"> for the tr</w:t>
            </w:r>
            <w:r w:rsidR="00A7147A">
              <w:rPr>
                <w:rFonts w:asciiTheme="minorHAnsi" w:eastAsia="Times New Roman" w:hAnsiTheme="minorHAnsi" w:cstheme="minorHAnsi"/>
                <w:color w:val="000000"/>
              </w:rPr>
              <w:t xml:space="preserve">eatment of Thyroid Eye Disease. </w:t>
            </w:r>
            <w:r w:rsidR="009B15F8" w:rsidRPr="00A7147A">
              <w:rPr>
                <w:rFonts w:asciiTheme="minorHAnsi" w:eastAsia="Times New Roman" w:hAnsiTheme="minorHAnsi" w:cstheme="minorHAnsi"/>
                <w:i/>
                <w:color w:val="000000"/>
              </w:rPr>
              <w:t>Journal of Op</w:t>
            </w:r>
            <w:r w:rsidR="009F1BB0" w:rsidRPr="00A7147A">
              <w:rPr>
                <w:rFonts w:asciiTheme="minorHAnsi" w:eastAsia="Times New Roman" w:hAnsiTheme="minorHAnsi" w:cstheme="minorHAnsi"/>
                <w:i/>
                <w:color w:val="000000"/>
              </w:rPr>
              <w:t>h</w:t>
            </w:r>
            <w:r w:rsidR="009B15F8" w:rsidRPr="00A7147A">
              <w:rPr>
                <w:rFonts w:asciiTheme="minorHAnsi" w:eastAsia="Times New Roman" w:hAnsiTheme="minorHAnsi" w:cstheme="minorHAnsi"/>
                <w:i/>
                <w:color w:val="000000"/>
              </w:rPr>
              <w:t>thalmology</w:t>
            </w:r>
            <w:r w:rsidR="009B15F8" w:rsidRPr="00584581">
              <w:rPr>
                <w:rFonts w:asciiTheme="minorHAnsi" w:eastAsia="Times New Roman" w:hAnsiTheme="minorHAnsi" w:cstheme="minorHAnsi"/>
                <w:color w:val="000000"/>
              </w:rPr>
              <w:t xml:space="preserve">, </w:t>
            </w:r>
            <w:r w:rsidR="00A7147A">
              <w:rPr>
                <w:rFonts w:asciiTheme="minorHAnsi" w:eastAsia="Times New Roman" w:hAnsiTheme="minorHAnsi" w:cstheme="minorHAnsi"/>
                <w:color w:val="000000"/>
              </w:rPr>
              <w:t>2</w:t>
            </w:r>
            <w:r w:rsidR="00801EFD">
              <w:rPr>
                <w:rFonts w:asciiTheme="minorHAnsi" w:eastAsia="Times New Roman" w:hAnsiTheme="minorHAnsi" w:cstheme="minorHAnsi"/>
                <w:color w:val="000000"/>
              </w:rPr>
              <w:t xml:space="preserve">014. </w:t>
            </w:r>
          </w:p>
          <w:p w14:paraId="67CFE9D1" w14:textId="08BBC2DE" w:rsidR="00912178" w:rsidRPr="00912178" w:rsidRDefault="002F00B3" w:rsidP="00584581">
            <w:pPr>
              <w:spacing w:before="120" w:after="120"/>
              <w:ind w:left="360"/>
              <w:rPr>
                <w:rFonts w:asciiTheme="minorHAnsi" w:eastAsia="Times New Roman" w:hAnsiTheme="minorHAnsi" w:cstheme="minorHAnsi"/>
                <w:color w:val="808080" w:themeColor="background1" w:themeShade="80"/>
              </w:rPr>
            </w:pPr>
            <w:hyperlink r:id="rId22" w:history="1">
              <w:r w:rsidR="00912178" w:rsidRPr="00912178">
                <w:rPr>
                  <w:rStyle w:val="Hyperlink"/>
                  <w:rFonts w:asciiTheme="minorHAnsi" w:eastAsia="Times New Roman" w:hAnsiTheme="minorHAnsi" w:cstheme="minorHAnsi"/>
                  <w:color w:val="808080" w:themeColor="background1" w:themeShade="80"/>
                </w:rPr>
                <w:t>https://www.ncbi.nlm.nih.gov/pubmed/24678411</w:t>
              </w:r>
            </w:hyperlink>
          </w:p>
          <w:p w14:paraId="6C33EA0A" w14:textId="77777777" w:rsidR="00901F76" w:rsidRDefault="00912178" w:rsidP="00912178">
            <w:pPr>
              <w:spacing w:before="120" w:after="120"/>
              <w:ind w:left="360"/>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Tagami</w:t>
            </w:r>
            <w:proofErr w:type="spellEnd"/>
            <w:r w:rsidR="009B15F8" w:rsidRPr="00584581">
              <w:rPr>
                <w:rFonts w:asciiTheme="minorHAnsi" w:eastAsia="Times New Roman" w:hAnsiTheme="minorHAnsi" w:cstheme="minorHAnsi"/>
                <w:color w:val="000000"/>
              </w:rPr>
              <w:t xml:space="preserve"> T</w:t>
            </w:r>
            <w:r>
              <w:rPr>
                <w:rFonts w:asciiTheme="minorHAnsi" w:eastAsia="Times New Roman" w:hAnsiTheme="minorHAnsi" w:cstheme="minorHAnsi"/>
                <w:color w:val="000000"/>
              </w:rPr>
              <w:t>, Tanaka</w:t>
            </w:r>
            <w:r w:rsidR="009B15F8" w:rsidRPr="00584581">
              <w:rPr>
                <w:rFonts w:asciiTheme="minorHAnsi" w:eastAsia="Times New Roman" w:hAnsiTheme="minorHAnsi" w:cstheme="minorHAnsi"/>
                <w:color w:val="000000"/>
              </w:rPr>
              <w:t xml:space="preserve"> K</w:t>
            </w:r>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Sugawa</w:t>
            </w:r>
            <w:proofErr w:type="spellEnd"/>
            <w:r w:rsidR="009B15F8" w:rsidRPr="00584581">
              <w:rPr>
                <w:rFonts w:asciiTheme="minorHAnsi" w:eastAsia="Times New Roman" w:hAnsiTheme="minorHAnsi" w:cstheme="minorHAnsi"/>
                <w:color w:val="000000"/>
              </w:rPr>
              <w:t xml:space="preserve"> H, </w:t>
            </w:r>
            <w:r>
              <w:rPr>
                <w:rFonts w:asciiTheme="minorHAnsi" w:eastAsia="Times New Roman" w:hAnsiTheme="minorHAnsi" w:cstheme="minorHAnsi"/>
                <w:color w:val="000000"/>
              </w:rPr>
              <w:t>Nakamura H</w:t>
            </w:r>
            <w:r w:rsidR="00EF487A">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Miyoshi Y, Mori T and Nakao K</w:t>
            </w:r>
            <w:r w:rsidR="00EF487A">
              <w:rPr>
                <w:rFonts w:asciiTheme="minorHAnsi" w:eastAsia="Times New Roman" w:hAnsiTheme="minorHAnsi" w:cstheme="minorHAnsi"/>
                <w:color w:val="000000"/>
              </w:rPr>
              <w:t xml:space="preserve"> (</w:t>
            </w:r>
            <w:r w:rsidR="009B15F8" w:rsidRPr="00584581">
              <w:rPr>
                <w:rFonts w:asciiTheme="minorHAnsi" w:eastAsia="Times New Roman" w:hAnsiTheme="minorHAnsi" w:cstheme="minorHAnsi"/>
                <w:color w:val="000000"/>
              </w:rPr>
              <w:t>1996</w:t>
            </w:r>
            <w:r>
              <w:rPr>
                <w:rFonts w:asciiTheme="minorHAnsi" w:eastAsia="Times New Roman" w:hAnsiTheme="minorHAnsi" w:cstheme="minorHAnsi"/>
                <w:color w:val="000000"/>
              </w:rPr>
              <w:t>)</w:t>
            </w:r>
            <w:r w:rsidR="00EF487A">
              <w:rPr>
                <w:rFonts w:asciiTheme="minorHAnsi" w:eastAsia="Times New Roman" w:hAnsiTheme="minorHAnsi" w:cstheme="minorHAnsi"/>
                <w:color w:val="000000"/>
              </w:rPr>
              <w:t xml:space="preserve"> </w:t>
            </w:r>
            <w:r w:rsidR="009B15F8" w:rsidRPr="00584581">
              <w:rPr>
                <w:rFonts w:asciiTheme="minorHAnsi" w:eastAsia="Times New Roman" w:hAnsiTheme="minorHAnsi" w:cstheme="minorHAnsi"/>
                <w:color w:val="000000"/>
              </w:rPr>
              <w:t>High-dose intravenous steroid pulse therapy in thyr</w:t>
            </w:r>
            <w:r w:rsidR="00EF487A">
              <w:rPr>
                <w:rFonts w:asciiTheme="minorHAnsi" w:eastAsia="Times New Roman" w:hAnsiTheme="minorHAnsi" w:cstheme="minorHAnsi"/>
                <w:color w:val="000000"/>
              </w:rPr>
              <w:t xml:space="preserve">oid associated </w:t>
            </w:r>
            <w:proofErr w:type="spellStart"/>
            <w:r w:rsidR="00EF487A">
              <w:rPr>
                <w:rFonts w:asciiTheme="minorHAnsi" w:eastAsia="Times New Roman" w:hAnsiTheme="minorHAnsi" w:cstheme="minorHAnsi"/>
                <w:color w:val="000000"/>
              </w:rPr>
              <w:t>ophthalmopathy</w:t>
            </w:r>
            <w:proofErr w:type="spellEnd"/>
            <w:r w:rsidR="00EF487A">
              <w:rPr>
                <w:rFonts w:asciiTheme="minorHAnsi" w:eastAsia="Times New Roman" w:hAnsiTheme="minorHAnsi" w:cstheme="minorHAnsi"/>
                <w:color w:val="000000"/>
              </w:rPr>
              <w:t xml:space="preserve">. </w:t>
            </w:r>
            <w:r w:rsidR="009B15F8" w:rsidRPr="00EF487A">
              <w:rPr>
                <w:rFonts w:asciiTheme="minorHAnsi" w:eastAsia="Times New Roman" w:hAnsiTheme="minorHAnsi" w:cstheme="minorHAnsi"/>
                <w:i/>
                <w:color w:val="000000"/>
              </w:rPr>
              <w:t>Endocrinology Journal</w:t>
            </w:r>
            <w:r w:rsidR="00EF487A">
              <w:rPr>
                <w:rFonts w:asciiTheme="minorHAnsi" w:eastAsia="Times New Roman" w:hAnsiTheme="minorHAnsi" w:cstheme="minorHAnsi"/>
                <w:color w:val="000000"/>
              </w:rPr>
              <w:t>, 43(</w:t>
            </w:r>
            <w:r w:rsidR="009B15F8" w:rsidRPr="00584581">
              <w:rPr>
                <w:rFonts w:asciiTheme="minorHAnsi" w:eastAsia="Times New Roman" w:hAnsiTheme="minorHAnsi" w:cstheme="minorHAnsi"/>
                <w:color w:val="000000"/>
              </w:rPr>
              <w:t>6</w:t>
            </w:r>
            <w:r>
              <w:rPr>
                <w:rFonts w:asciiTheme="minorHAnsi" w:eastAsia="Times New Roman" w:hAnsiTheme="minorHAnsi" w:cstheme="minorHAnsi"/>
                <w:color w:val="000000"/>
              </w:rPr>
              <w:t>):</w:t>
            </w:r>
            <w:r w:rsidR="009B15F8" w:rsidRPr="00584581">
              <w:rPr>
                <w:rFonts w:asciiTheme="minorHAnsi" w:eastAsia="Times New Roman" w:hAnsiTheme="minorHAnsi" w:cstheme="minorHAnsi"/>
                <w:color w:val="000000"/>
              </w:rPr>
              <w:t>689–99.</w:t>
            </w:r>
          </w:p>
          <w:p w14:paraId="698AD7E6" w14:textId="4C8E2654" w:rsidR="00912178" w:rsidRPr="00912178" w:rsidRDefault="002F00B3" w:rsidP="00912178">
            <w:pPr>
              <w:spacing w:before="120" w:after="120"/>
              <w:ind w:left="360"/>
              <w:rPr>
                <w:rFonts w:asciiTheme="minorHAnsi" w:hAnsiTheme="minorHAnsi"/>
                <w:color w:val="808080" w:themeColor="background1" w:themeShade="80"/>
              </w:rPr>
            </w:pPr>
            <w:hyperlink r:id="rId23" w:history="1">
              <w:r w:rsidR="00912178" w:rsidRPr="00912178">
                <w:rPr>
                  <w:rStyle w:val="Hyperlink"/>
                  <w:rFonts w:asciiTheme="minorHAnsi" w:hAnsiTheme="minorHAnsi"/>
                  <w:color w:val="808080" w:themeColor="background1" w:themeShade="80"/>
                </w:rPr>
                <w:t>https://www.ncbi.nlm.nih.gov/pubmed/9075609</w:t>
              </w:r>
            </w:hyperlink>
          </w:p>
          <w:p w14:paraId="620A0860" w14:textId="77777777" w:rsidR="001E34E6" w:rsidRPr="005564A7" w:rsidRDefault="001E34E6" w:rsidP="001E34E6">
            <w:pPr>
              <w:spacing w:before="120" w:after="120"/>
              <w:ind w:left="318"/>
              <w:rPr>
                <w:rFonts w:asciiTheme="minorHAnsi" w:hAnsiTheme="minorHAnsi"/>
              </w:rPr>
            </w:pPr>
            <w:r>
              <w:rPr>
                <w:rFonts w:asciiTheme="minorHAnsi" w:hAnsiTheme="minorHAnsi"/>
              </w:rPr>
              <w:t xml:space="preserve">UK Department of Health (2011) </w:t>
            </w:r>
            <w:r w:rsidRPr="005564A7">
              <w:rPr>
                <w:rFonts w:asciiTheme="minorHAnsi" w:hAnsiTheme="minorHAnsi"/>
              </w:rPr>
              <w:t xml:space="preserve">Clinical Guidelines for Immunoglobulin Use: </w:t>
            </w:r>
            <w:r>
              <w:rPr>
                <w:rFonts w:asciiTheme="minorHAnsi" w:hAnsiTheme="minorHAnsi"/>
              </w:rPr>
              <w:t xml:space="preserve">Second </w:t>
            </w:r>
            <w:r w:rsidRPr="005564A7">
              <w:rPr>
                <w:rFonts w:asciiTheme="minorHAnsi" w:hAnsiTheme="minorHAnsi"/>
              </w:rPr>
              <w:t>Edition</w:t>
            </w:r>
            <w:r>
              <w:rPr>
                <w:rFonts w:asciiTheme="minorHAnsi" w:hAnsiTheme="minorHAnsi"/>
              </w:rPr>
              <w:t xml:space="preserve"> Update. Available at: </w:t>
            </w:r>
            <w:hyperlink r:id="rId24" w:history="1">
              <w:r w:rsidRPr="001E34E6">
                <w:rPr>
                  <w:rStyle w:val="Hyperlink"/>
                  <w:rFonts w:asciiTheme="minorHAnsi" w:hAnsiTheme="minorHAnsi"/>
                  <w:color w:val="808080" w:themeColor="background1" w:themeShade="80"/>
                </w:rPr>
                <w:t>https://www.gov.uk/government/uploads/system/uploads/attachment_data/file/216671/dh_131107.pdf</w:t>
              </w:r>
            </w:hyperlink>
          </w:p>
          <w:p w14:paraId="35F04130" w14:textId="77777777" w:rsidR="001E34E6" w:rsidRDefault="001E34E6" w:rsidP="001E34E6">
            <w:pPr>
              <w:ind w:left="318"/>
              <w:rPr>
                <w:rFonts w:asciiTheme="minorHAnsi" w:hAnsiTheme="minorHAnsi"/>
              </w:rPr>
            </w:pPr>
          </w:p>
          <w:p w14:paraId="5D01A102" w14:textId="77777777" w:rsidR="001E34E6" w:rsidRDefault="001E34E6" w:rsidP="001E34E6">
            <w:pPr>
              <w:ind w:left="318"/>
              <w:rPr>
                <w:rFonts w:asciiTheme="minorHAnsi" w:hAnsiTheme="minorHAnsi"/>
              </w:rPr>
            </w:pPr>
            <w:r>
              <w:rPr>
                <w:rFonts w:asciiTheme="minorHAnsi" w:hAnsiTheme="minorHAnsi"/>
              </w:rPr>
              <w:t xml:space="preserve">UK Department of Health (2011) </w:t>
            </w:r>
            <w:r w:rsidRPr="005564A7">
              <w:rPr>
                <w:rFonts w:asciiTheme="minorHAnsi" w:hAnsiTheme="minorHAnsi"/>
              </w:rPr>
              <w:t xml:space="preserve">Clinical Guidelines for Immunoglobulin Use: </w:t>
            </w:r>
            <w:r>
              <w:rPr>
                <w:rFonts w:asciiTheme="minorHAnsi" w:hAnsiTheme="minorHAnsi"/>
              </w:rPr>
              <w:t xml:space="preserve">Second </w:t>
            </w:r>
            <w:r w:rsidRPr="005564A7">
              <w:rPr>
                <w:rFonts w:asciiTheme="minorHAnsi" w:hAnsiTheme="minorHAnsi"/>
              </w:rPr>
              <w:t>Edition</w:t>
            </w:r>
            <w:r>
              <w:rPr>
                <w:rFonts w:asciiTheme="minorHAnsi" w:hAnsiTheme="minorHAnsi"/>
              </w:rPr>
              <w:t xml:space="preserve"> Update: Summary Poster. Available at: </w:t>
            </w:r>
            <w:hyperlink r:id="rId25" w:history="1">
              <w:r w:rsidRPr="001E34E6">
                <w:rPr>
                  <w:rStyle w:val="Hyperlink"/>
                  <w:rFonts w:asciiTheme="minorHAnsi" w:hAnsiTheme="minorHAnsi"/>
                  <w:color w:val="808080" w:themeColor="background1" w:themeShade="80"/>
                </w:rPr>
                <w:t>https://www.igd.nhs.uk/wp-content/uploads/2016/04/DemandManagementPoster_v4_February2016.pdf</w:t>
              </w:r>
            </w:hyperlink>
          </w:p>
          <w:p w14:paraId="594F9AEA" w14:textId="7151C8A2" w:rsidR="00912178" w:rsidRPr="00584581" w:rsidRDefault="00912178" w:rsidP="00912178">
            <w:pPr>
              <w:spacing w:before="120" w:after="120"/>
              <w:ind w:left="360"/>
              <w:rPr>
                <w:rFonts w:asciiTheme="minorHAnsi" w:hAnsiTheme="minorHAnsi"/>
              </w:rPr>
            </w:pPr>
          </w:p>
        </w:tc>
      </w:tr>
    </w:tbl>
    <w:p w14:paraId="66EA0FCE" w14:textId="77777777"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559"/>
        <w:gridCol w:w="4536"/>
      </w:tblGrid>
      <w:tr w:rsidR="004A10A2" w:rsidRPr="00021243" w14:paraId="483EE353" w14:textId="77777777" w:rsidTr="008612AB">
        <w:tc>
          <w:tcPr>
            <w:tcW w:w="14601" w:type="dxa"/>
            <w:gridSpan w:val="7"/>
            <w:shd w:val="clear" w:color="auto" w:fill="F79646" w:themeFill="accent6"/>
          </w:tcPr>
          <w:p w14:paraId="3C6D4D65" w14:textId="77777777"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14:paraId="7C6D1CFE" w14:textId="77777777" w:rsidTr="008612AB">
        <w:tc>
          <w:tcPr>
            <w:tcW w:w="14601" w:type="dxa"/>
            <w:gridSpan w:val="7"/>
            <w:shd w:val="clear" w:color="auto" w:fill="auto"/>
          </w:tcPr>
          <w:p w14:paraId="3FADECE6" w14:textId="63FC81A9" w:rsidR="00B94E9C" w:rsidRDefault="00EF3D22" w:rsidP="00B94E9C">
            <w:pPr>
              <w:spacing w:before="120" w:after="120"/>
              <w:rPr>
                <w:lang w:eastAsia="en-AU"/>
              </w:rPr>
            </w:pPr>
            <w:r>
              <w:rPr>
                <w:rFonts w:asciiTheme="minorHAnsi" w:hAnsiTheme="minorHAnsi"/>
              </w:rPr>
              <w:t xml:space="preserve"> </w:t>
            </w:r>
            <w:r w:rsidR="009F1BB0">
              <w:rPr>
                <w:rFonts w:asciiTheme="minorHAnsi" w:hAnsiTheme="minorHAnsi"/>
              </w:rPr>
              <w:t xml:space="preserve">These criteria are thought to reflect current clinical practice and minimal operational impact is anticipated. </w:t>
            </w:r>
            <w:r w:rsidR="00B94E9C">
              <w:rPr>
                <w:lang w:eastAsia="en-AU"/>
              </w:rPr>
              <w:t xml:space="preserve">If existing patients receiving Ig therapy have not already been treated with Rituximab (and Rituximab treatment is not contraindicated), a trial with Rituximab should be considered, as it has been proven to achieve excellent clinical outcomes in patients and is more cost effective than Ig therapy.  </w:t>
            </w:r>
          </w:p>
          <w:p w14:paraId="2D53A1A6" w14:textId="0F11F5BB" w:rsidR="00EA2E82" w:rsidRPr="00EA2E82" w:rsidRDefault="009F1BB0" w:rsidP="00162BB5">
            <w:pPr>
              <w:spacing w:before="120" w:after="120"/>
              <w:rPr>
                <w:rFonts w:asciiTheme="minorHAnsi" w:hAnsiTheme="minorHAnsi"/>
              </w:rPr>
            </w:pPr>
            <w:r>
              <w:rPr>
                <w:rFonts w:asciiTheme="minorHAnsi" w:hAnsiTheme="minorHAnsi"/>
              </w:rPr>
              <w:t xml:space="preserve">While there will be </w:t>
            </w:r>
            <w:r w:rsidR="00162BB5">
              <w:rPr>
                <w:rFonts w:asciiTheme="minorHAnsi" w:hAnsiTheme="minorHAnsi"/>
              </w:rPr>
              <w:t>some</w:t>
            </w:r>
            <w:r>
              <w:rPr>
                <w:rFonts w:asciiTheme="minorHAnsi" w:hAnsiTheme="minorHAnsi"/>
              </w:rPr>
              <w:t xml:space="preserve"> data</w:t>
            </w:r>
            <w:r w:rsidR="00162BB5">
              <w:rPr>
                <w:rFonts w:asciiTheme="minorHAnsi" w:hAnsiTheme="minorHAnsi"/>
              </w:rPr>
              <w:t xml:space="preserve"> entry required at review, the assessments</w:t>
            </w:r>
            <w:r>
              <w:rPr>
                <w:rFonts w:asciiTheme="minorHAnsi" w:hAnsiTheme="minorHAnsi"/>
              </w:rPr>
              <w:t xml:space="preserve"> will be p</w:t>
            </w:r>
            <w:r w:rsidR="00162BB5">
              <w:rPr>
                <w:rFonts w:asciiTheme="minorHAnsi" w:hAnsiTheme="minorHAnsi"/>
              </w:rPr>
              <w:t xml:space="preserve">resented as drop down menus so as not to be burdensome. Prescribers will be expected to consider a reduction in dose at each review in order to establish the minimal effective dose for each patient. </w:t>
            </w:r>
          </w:p>
        </w:tc>
      </w:tr>
      <w:tr w:rsidR="004A10A2" w:rsidRPr="00021243" w14:paraId="30E7CE29" w14:textId="77777777" w:rsidTr="008612AB">
        <w:tc>
          <w:tcPr>
            <w:tcW w:w="14601" w:type="dxa"/>
            <w:gridSpan w:val="7"/>
            <w:shd w:val="clear" w:color="auto" w:fill="F79646" w:themeFill="accent6"/>
          </w:tcPr>
          <w:p w14:paraId="00FE2541" w14:textId="77777777"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14:paraId="74B9844C" w14:textId="77777777" w:rsidTr="00832D0D">
        <w:tc>
          <w:tcPr>
            <w:tcW w:w="3545" w:type="dxa"/>
            <w:gridSpan w:val="2"/>
            <w:shd w:val="clear" w:color="auto" w:fill="auto"/>
          </w:tcPr>
          <w:p w14:paraId="47DCC06E" w14:textId="77777777"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14:paraId="2340F0FA" w14:textId="1A60BBE4" w:rsidR="00FC16BE" w:rsidRDefault="00FC16BE" w:rsidP="00FC16BE">
            <w:pPr>
              <w:rPr>
                <w:lang w:eastAsia="en-AU"/>
              </w:rPr>
            </w:pPr>
            <w:r w:rsidRPr="00FC16BE">
              <w:rPr>
                <w:rFonts w:asciiTheme="minorHAnsi" w:hAnsiTheme="minorHAnsi"/>
              </w:rPr>
              <w:t xml:space="preserve">There is not </w:t>
            </w:r>
            <w:r w:rsidR="0048693C">
              <w:rPr>
                <w:rFonts w:asciiTheme="minorHAnsi" w:hAnsiTheme="minorHAnsi"/>
              </w:rPr>
              <w:t>expected</w:t>
            </w:r>
            <w:r w:rsidRPr="00FC16BE">
              <w:rPr>
                <w:rFonts w:asciiTheme="minorHAnsi" w:hAnsiTheme="minorHAnsi"/>
              </w:rPr>
              <w:t xml:space="preserve"> to be any significant impact on patients</w:t>
            </w:r>
            <w:r w:rsidR="007C63C7">
              <w:rPr>
                <w:rFonts w:asciiTheme="minorHAnsi" w:hAnsiTheme="minorHAnsi"/>
              </w:rPr>
              <w:t xml:space="preserve"> as a result of the proposed</w:t>
            </w:r>
            <w:r w:rsidRPr="00FC16BE">
              <w:rPr>
                <w:rFonts w:asciiTheme="minorHAnsi" w:hAnsiTheme="minorHAnsi"/>
              </w:rPr>
              <w:t xml:space="preserve"> changes </w:t>
            </w:r>
            <w:r w:rsidR="007C63C7">
              <w:rPr>
                <w:rFonts w:asciiTheme="minorHAnsi" w:hAnsiTheme="minorHAnsi"/>
              </w:rPr>
              <w:t xml:space="preserve">because they are anticipated to </w:t>
            </w:r>
            <w:r w:rsidRPr="00FC16BE">
              <w:rPr>
                <w:rFonts w:asciiTheme="minorHAnsi" w:hAnsiTheme="minorHAnsi"/>
              </w:rPr>
              <w:t>align with the current clinical management of patients with this very rare condition</w:t>
            </w:r>
            <w:r w:rsidR="007C63C7">
              <w:rPr>
                <w:rFonts w:asciiTheme="minorHAnsi" w:hAnsiTheme="minorHAnsi"/>
              </w:rPr>
              <w:t xml:space="preserve">. </w:t>
            </w:r>
            <w:r w:rsidR="007C63C7" w:rsidRPr="00FC16BE">
              <w:rPr>
                <w:rFonts w:asciiTheme="minorHAnsi" w:hAnsiTheme="minorHAnsi"/>
              </w:rPr>
              <w:t xml:space="preserve"> </w:t>
            </w:r>
            <w:r w:rsidR="007C63C7">
              <w:rPr>
                <w:rFonts w:asciiTheme="minorHAnsi" w:hAnsiTheme="minorHAnsi"/>
              </w:rPr>
              <w:t>In addition, they</w:t>
            </w:r>
            <w:r w:rsidR="007C63C7" w:rsidRPr="00FC16BE">
              <w:rPr>
                <w:rFonts w:asciiTheme="minorHAnsi" w:hAnsiTheme="minorHAnsi"/>
              </w:rPr>
              <w:t xml:space="preserve"> have been developed in consultation with both the</w:t>
            </w:r>
            <w:r w:rsidR="007C63C7" w:rsidRPr="00FC16BE">
              <w:rPr>
                <w:rFonts w:asciiTheme="minorHAnsi" w:hAnsiTheme="minorHAnsi"/>
                <w:i/>
              </w:rPr>
              <w:t xml:space="preserve"> </w:t>
            </w:r>
            <w:r w:rsidR="007C63C7" w:rsidRPr="00FC16BE">
              <w:rPr>
                <w:rFonts w:asciiTheme="minorHAnsi" w:eastAsia="MS Mincho" w:hAnsiTheme="minorHAnsi" w:cs="MS Mincho"/>
                <w:lang w:val="en-US"/>
              </w:rPr>
              <w:t>Endocrine Society of Australia and the Royal Australian and New Zealand College of Ophthalmologists.</w:t>
            </w:r>
            <w:r w:rsidRPr="00FC16BE">
              <w:rPr>
                <w:rFonts w:asciiTheme="minorHAnsi" w:hAnsiTheme="minorHAnsi"/>
              </w:rPr>
              <w:t xml:space="preserve"> The formal access criteria proposed require that an ophthalmologist or a clinical immunologist makes the diagnosis and manages the ongoing treatment given that these specialties are most likely to manage patients</w:t>
            </w:r>
            <w:r w:rsidR="007C63C7">
              <w:rPr>
                <w:rFonts w:asciiTheme="minorHAnsi" w:hAnsiTheme="minorHAnsi"/>
              </w:rPr>
              <w:t>, in association with endocrinologists</w:t>
            </w:r>
            <w:r w:rsidRPr="00FC16BE">
              <w:rPr>
                <w:rFonts w:asciiTheme="minorHAnsi" w:hAnsiTheme="minorHAnsi"/>
              </w:rPr>
              <w:t xml:space="preserve">. </w:t>
            </w:r>
            <w:r w:rsidRPr="00FC16BE">
              <w:rPr>
                <w:rFonts w:asciiTheme="minorHAnsi" w:eastAsia="Times New Roman" w:hAnsiTheme="minorHAnsi" w:cs="Times New Roman"/>
                <w:bCs/>
                <w:lang w:eastAsia="en-AU"/>
              </w:rPr>
              <w:t xml:space="preserve">Alternative therapies are available </w:t>
            </w:r>
            <w:r>
              <w:rPr>
                <w:rFonts w:asciiTheme="minorHAnsi" w:eastAsia="Times New Roman" w:hAnsiTheme="minorHAnsi" w:cs="Times New Roman"/>
                <w:bCs/>
                <w:lang w:eastAsia="en-AU"/>
              </w:rPr>
              <w:t xml:space="preserve">to treat this condition and </w:t>
            </w:r>
            <w:r w:rsidR="007C63C7">
              <w:rPr>
                <w:rFonts w:asciiTheme="minorHAnsi" w:eastAsia="Times New Roman" w:hAnsiTheme="minorHAnsi" w:cs="Times New Roman"/>
                <w:bCs/>
                <w:lang w:eastAsia="en-AU"/>
              </w:rPr>
              <w:t>international treatment guidelines</w:t>
            </w:r>
            <w:r>
              <w:rPr>
                <w:rFonts w:asciiTheme="minorHAnsi" w:eastAsia="Times New Roman" w:hAnsiTheme="minorHAnsi" w:cs="Times New Roman"/>
                <w:bCs/>
                <w:lang w:eastAsia="en-AU"/>
              </w:rPr>
              <w:t xml:space="preserve"> </w:t>
            </w:r>
            <w:r w:rsidR="007C63C7">
              <w:rPr>
                <w:lang w:eastAsia="en-AU"/>
              </w:rPr>
              <w:t>recommend that</w:t>
            </w:r>
            <w:r>
              <w:rPr>
                <w:lang w:eastAsia="en-AU"/>
              </w:rPr>
              <w:t xml:space="preserve"> Ig therapy </w:t>
            </w:r>
            <w:r w:rsidR="007C63C7">
              <w:rPr>
                <w:lang w:eastAsia="en-AU"/>
              </w:rPr>
              <w:t>would only be used</w:t>
            </w:r>
            <w:r>
              <w:rPr>
                <w:lang w:eastAsia="en-AU"/>
              </w:rPr>
              <w:t xml:space="preserve"> after </w:t>
            </w:r>
            <w:r w:rsidR="007C63C7">
              <w:rPr>
                <w:lang w:eastAsia="en-AU"/>
              </w:rPr>
              <w:t>patients fail</w:t>
            </w:r>
            <w:r>
              <w:rPr>
                <w:lang w:eastAsia="en-AU"/>
              </w:rPr>
              <w:t xml:space="preserve"> to respond to </w:t>
            </w:r>
            <w:r w:rsidR="00F20500">
              <w:rPr>
                <w:lang w:eastAsia="en-AU"/>
              </w:rPr>
              <w:t>a number of</w:t>
            </w:r>
            <w:r>
              <w:rPr>
                <w:lang w:eastAsia="en-AU"/>
              </w:rPr>
              <w:t xml:space="preserve"> </w:t>
            </w:r>
            <w:r w:rsidRPr="00C11A85">
              <w:rPr>
                <w:lang w:eastAsia="en-AU"/>
              </w:rPr>
              <w:t>alternative treatments</w:t>
            </w:r>
            <w:r>
              <w:rPr>
                <w:lang w:eastAsia="en-AU"/>
              </w:rPr>
              <w:t xml:space="preserve"> (unless contraindicated or unavailable).</w:t>
            </w:r>
            <w:r w:rsidR="007C63C7">
              <w:rPr>
                <w:lang w:eastAsia="en-AU"/>
              </w:rPr>
              <w:t xml:space="preserve"> </w:t>
            </w:r>
          </w:p>
          <w:p w14:paraId="682594CB" w14:textId="5E8DAC58" w:rsidR="0065416E" w:rsidRDefault="0065416E" w:rsidP="0065416E">
            <w:pPr>
              <w:spacing w:before="120" w:after="120"/>
              <w:rPr>
                <w:lang w:eastAsia="en-AU"/>
              </w:rPr>
            </w:pPr>
            <w:r>
              <w:rPr>
                <w:lang w:eastAsia="en-AU"/>
              </w:rPr>
              <w:t xml:space="preserve">If existing patients receiving Ig therapy have not already been treated with Rituximab (and Rituximab treatment is not contraindicated), a trial with Rituximab </w:t>
            </w:r>
            <w:r w:rsidR="00B94E9C">
              <w:rPr>
                <w:lang w:eastAsia="en-AU"/>
              </w:rPr>
              <w:t>may</w:t>
            </w:r>
            <w:r>
              <w:rPr>
                <w:lang w:eastAsia="en-AU"/>
              </w:rPr>
              <w:t xml:space="preserve"> be undertaken, as it has been proven to achieve excellent clinica</w:t>
            </w:r>
            <w:r w:rsidR="00B94E9C">
              <w:rPr>
                <w:lang w:eastAsia="en-AU"/>
              </w:rPr>
              <w:t xml:space="preserve">l outcomes in patients and is </w:t>
            </w:r>
            <w:r>
              <w:rPr>
                <w:lang w:eastAsia="en-AU"/>
              </w:rPr>
              <w:t xml:space="preserve">more cost effective </w:t>
            </w:r>
            <w:r w:rsidR="00B94E9C">
              <w:rPr>
                <w:lang w:eastAsia="en-AU"/>
              </w:rPr>
              <w:t xml:space="preserve">than Ig </w:t>
            </w:r>
            <w:r>
              <w:rPr>
                <w:lang w:eastAsia="en-AU"/>
              </w:rPr>
              <w:t xml:space="preserve">therapy.  </w:t>
            </w:r>
          </w:p>
          <w:p w14:paraId="5A9D57F9" w14:textId="2395275B" w:rsidR="00B94E9C" w:rsidRDefault="00B94E9C" w:rsidP="0065416E">
            <w:pPr>
              <w:spacing w:before="120" w:after="120"/>
              <w:rPr>
                <w:lang w:eastAsia="en-AU"/>
              </w:rPr>
            </w:pPr>
            <w:r>
              <w:rPr>
                <w:lang w:eastAsia="en-AU"/>
              </w:rPr>
              <w:t>Existing patients known to be unresponsive to Rituximab</w:t>
            </w:r>
            <w:r w:rsidR="00B2645E">
              <w:rPr>
                <w:lang w:eastAsia="en-AU"/>
              </w:rPr>
              <w:t xml:space="preserve"> (or where unavailable or inappropriate)</w:t>
            </w:r>
            <w:r>
              <w:rPr>
                <w:lang w:eastAsia="en-AU"/>
              </w:rPr>
              <w:t xml:space="preserve"> will require </w:t>
            </w:r>
            <w:r w:rsidR="00B2645E">
              <w:rPr>
                <w:lang w:eastAsia="en-AU"/>
              </w:rPr>
              <w:t xml:space="preserve">regular </w:t>
            </w:r>
            <w:r>
              <w:rPr>
                <w:lang w:eastAsia="en-AU"/>
              </w:rPr>
              <w:t>review</w:t>
            </w:r>
            <w:r w:rsidR="00B2645E">
              <w:rPr>
                <w:lang w:eastAsia="en-AU"/>
              </w:rPr>
              <w:t>s</w:t>
            </w:r>
            <w:r>
              <w:rPr>
                <w:lang w:eastAsia="en-AU"/>
              </w:rPr>
              <w:t xml:space="preserve"> at least every six months by their ophthalmologist to confirm that the Ig treatment continues to be effective in reducing the severity and level of activity of eye disease. This may be undertaken as part of their specialist’s usual monitoring process so will not place an added burden on patients. Doctors will start to reduce the dose of Ig therapy as the eye disease improves.</w:t>
            </w:r>
          </w:p>
          <w:p w14:paraId="7ACF1084" w14:textId="7A996D2A" w:rsidR="00832D0D" w:rsidRPr="00D310AA" w:rsidRDefault="0065416E" w:rsidP="00D310AA">
            <w:r>
              <w:rPr>
                <w:lang w:eastAsia="en-AU"/>
              </w:rPr>
              <w:t>New p</w:t>
            </w:r>
            <w:r w:rsidR="007C63C7">
              <w:rPr>
                <w:lang w:eastAsia="en-AU"/>
              </w:rPr>
              <w:t xml:space="preserve">atients </w:t>
            </w:r>
            <w:r>
              <w:rPr>
                <w:lang w:eastAsia="en-AU"/>
              </w:rPr>
              <w:t>authorised to receive</w:t>
            </w:r>
            <w:r w:rsidR="007C63C7">
              <w:rPr>
                <w:lang w:eastAsia="en-AU"/>
              </w:rPr>
              <w:t xml:space="preserve"> Ig therapy will require </w:t>
            </w:r>
            <w:r w:rsidR="00F20500">
              <w:rPr>
                <w:lang w:eastAsia="en-AU"/>
              </w:rPr>
              <w:t>an initial check</w:t>
            </w:r>
            <w:r w:rsidR="007C63C7">
              <w:rPr>
                <w:lang w:eastAsia="en-AU"/>
              </w:rPr>
              <w:t xml:space="preserve"> after three months treatment to confirm that the </w:t>
            </w:r>
            <w:r w:rsidR="00065F0D">
              <w:rPr>
                <w:lang w:eastAsia="en-AU"/>
              </w:rPr>
              <w:t>Ig</w:t>
            </w:r>
            <w:r w:rsidR="007C63C7">
              <w:rPr>
                <w:lang w:eastAsia="en-AU"/>
              </w:rPr>
              <w:t xml:space="preserve"> has been effective</w:t>
            </w:r>
            <w:r w:rsidR="00F20500">
              <w:rPr>
                <w:lang w:eastAsia="en-AU"/>
              </w:rPr>
              <w:t xml:space="preserve"> in improving the eye disease</w:t>
            </w:r>
            <w:r w:rsidR="007C63C7">
              <w:rPr>
                <w:lang w:eastAsia="en-AU"/>
              </w:rPr>
              <w:t xml:space="preserve">. If patients do not respond after this time, Ig therapy will be </w:t>
            </w:r>
            <w:r w:rsidR="00F20500">
              <w:rPr>
                <w:lang w:eastAsia="en-AU"/>
              </w:rPr>
              <w:t>stopped</w:t>
            </w:r>
            <w:r w:rsidR="007C63C7">
              <w:rPr>
                <w:lang w:eastAsia="en-AU"/>
              </w:rPr>
              <w:t xml:space="preserve"> and </w:t>
            </w:r>
            <w:r w:rsidR="00F20500">
              <w:rPr>
                <w:lang w:eastAsia="en-AU"/>
              </w:rPr>
              <w:t>a</w:t>
            </w:r>
            <w:r w:rsidR="007C63C7">
              <w:rPr>
                <w:lang w:eastAsia="en-AU"/>
              </w:rPr>
              <w:t xml:space="preserve"> </w:t>
            </w:r>
            <w:r w:rsidR="00F20500">
              <w:rPr>
                <w:lang w:eastAsia="en-AU"/>
              </w:rPr>
              <w:t>different</w:t>
            </w:r>
            <w:r w:rsidR="007C63C7">
              <w:rPr>
                <w:lang w:eastAsia="en-AU"/>
              </w:rPr>
              <w:t xml:space="preserve"> treatment approach used. </w:t>
            </w:r>
            <w:r w:rsidR="00B94E9C">
              <w:rPr>
                <w:lang w:eastAsia="en-AU"/>
              </w:rPr>
              <w:t xml:space="preserve">These checks again can be performed as part of the usual regular reviews undertaken by Ophthalmologists to monitor the eye disease. </w:t>
            </w:r>
            <w:r w:rsidR="00B2645E">
              <w:rPr>
                <w:rFonts w:asciiTheme="minorHAnsi" w:hAnsiTheme="minorHAnsi"/>
              </w:rPr>
              <w:t>Patients will qualify for maintenance Ig therapy provided improvement in eye disease had been confirmed after the initial three months Ig therapy, and the arrangements for maintenance therapy will be the same as outlined above for existing patients on Ig therapy.</w:t>
            </w:r>
            <w:bookmarkStart w:id="0" w:name="_GoBack"/>
            <w:bookmarkEnd w:id="0"/>
          </w:p>
        </w:tc>
      </w:tr>
      <w:tr w:rsidR="00EF3D22" w:rsidRPr="00021243" w14:paraId="03D4FF85" w14:textId="77777777" w:rsidTr="00832D0D">
        <w:tc>
          <w:tcPr>
            <w:tcW w:w="3545" w:type="dxa"/>
            <w:gridSpan w:val="2"/>
            <w:shd w:val="clear" w:color="auto" w:fill="auto"/>
          </w:tcPr>
          <w:p w14:paraId="5A0DAACA" w14:textId="1D5B31C3" w:rsidR="00EF3D22" w:rsidRDefault="00EF3D22" w:rsidP="004A10A2">
            <w:pPr>
              <w:spacing w:before="120" w:after="120"/>
              <w:rPr>
                <w:rFonts w:asciiTheme="minorHAnsi" w:hAnsiTheme="minorHAnsi"/>
                <w:b/>
              </w:rPr>
            </w:pPr>
            <w:r>
              <w:rPr>
                <w:rFonts w:asciiTheme="minorHAnsi" w:hAnsiTheme="minorHAnsi"/>
                <w:b/>
              </w:rPr>
              <w:lastRenderedPageBreak/>
              <w:t>Impact on demand</w:t>
            </w:r>
          </w:p>
        </w:tc>
        <w:tc>
          <w:tcPr>
            <w:tcW w:w="11056" w:type="dxa"/>
            <w:gridSpan w:val="5"/>
            <w:shd w:val="clear" w:color="auto" w:fill="auto"/>
          </w:tcPr>
          <w:p w14:paraId="595DF035" w14:textId="0D3EEBA8" w:rsidR="00EF3D22" w:rsidRDefault="00162BB5" w:rsidP="004A10A2">
            <w:pPr>
              <w:spacing w:before="120" w:after="120"/>
              <w:rPr>
                <w:rFonts w:asciiTheme="minorHAnsi" w:hAnsiTheme="minorHAnsi"/>
              </w:rPr>
            </w:pPr>
            <w:r>
              <w:rPr>
                <w:rFonts w:asciiTheme="minorHAnsi" w:hAnsiTheme="minorHAnsi"/>
              </w:rPr>
              <w:t>Given the low level of usage over the last 5 years and development of the criteria in collaboration with the ESA and RANZCO, there is not anticipated to be any impact on use as they appear to be consistent with current clinical practice.</w:t>
            </w:r>
          </w:p>
        </w:tc>
      </w:tr>
      <w:tr w:rsidR="005844B1" w:rsidRPr="00853117" w14:paraId="2C1BCEEC" w14:textId="77777777" w:rsidTr="005844B1">
        <w:tc>
          <w:tcPr>
            <w:tcW w:w="2161" w:type="dxa"/>
            <w:shd w:val="clear" w:color="auto" w:fill="auto"/>
          </w:tcPr>
          <w:p w14:paraId="0C154AA1" w14:textId="77777777" w:rsidR="005844B1" w:rsidRPr="00C92149" w:rsidRDefault="005844B1" w:rsidP="004A10A2">
            <w:pPr>
              <w:spacing w:before="120" w:after="120"/>
              <w:rPr>
                <w:rFonts w:asciiTheme="minorHAnsi" w:hAnsiTheme="minorHAnsi"/>
                <w:b/>
                <w:sz w:val="18"/>
                <w:szCs w:val="18"/>
              </w:rPr>
            </w:pPr>
          </w:p>
        </w:tc>
        <w:tc>
          <w:tcPr>
            <w:tcW w:w="1384" w:type="dxa"/>
            <w:shd w:val="clear" w:color="auto" w:fill="auto"/>
          </w:tcPr>
          <w:p w14:paraId="27DCAF13" w14:textId="77777777" w:rsidR="005844B1" w:rsidRPr="004737A5" w:rsidRDefault="005844B1" w:rsidP="007D6419">
            <w:pPr>
              <w:spacing w:before="120" w:after="120"/>
              <w:jc w:val="right"/>
              <w:rPr>
                <w:rFonts w:asciiTheme="minorHAnsi" w:hAnsiTheme="minorHAnsi"/>
                <w:b/>
                <w:sz w:val="18"/>
                <w:szCs w:val="18"/>
              </w:rPr>
            </w:pPr>
            <w:r w:rsidRPr="004737A5">
              <w:rPr>
                <w:rFonts w:asciiTheme="minorHAnsi" w:hAnsiTheme="minorHAnsi" w:cs="Helvetica"/>
                <w:b/>
                <w:color w:val="333333"/>
                <w:sz w:val="18"/>
                <w:szCs w:val="18"/>
              </w:rPr>
              <w:t>2011-12</w:t>
            </w:r>
          </w:p>
        </w:tc>
        <w:tc>
          <w:tcPr>
            <w:tcW w:w="1593" w:type="dxa"/>
            <w:shd w:val="clear" w:color="auto" w:fill="auto"/>
          </w:tcPr>
          <w:p w14:paraId="5835224D" w14:textId="77777777" w:rsidR="005844B1" w:rsidRPr="004737A5" w:rsidRDefault="005844B1" w:rsidP="007D6419">
            <w:pPr>
              <w:spacing w:before="120" w:after="120"/>
              <w:jc w:val="right"/>
              <w:rPr>
                <w:rFonts w:asciiTheme="minorHAnsi" w:hAnsiTheme="minorHAnsi"/>
                <w:b/>
                <w:sz w:val="18"/>
                <w:szCs w:val="18"/>
              </w:rPr>
            </w:pPr>
            <w:r w:rsidRPr="004737A5">
              <w:rPr>
                <w:rFonts w:asciiTheme="minorHAnsi" w:hAnsiTheme="minorHAnsi" w:cs="Helvetica"/>
                <w:b/>
                <w:color w:val="333333"/>
                <w:sz w:val="18"/>
                <w:szCs w:val="18"/>
              </w:rPr>
              <w:t>2012-13</w:t>
            </w:r>
          </w:p>
        </w:tc>
        <w:tc>
          <w:tcPr>
            <w:tcW w:w="1667" w:type="dxa"/>
            <w:shd w:val="clear" w:color="auto" w:fill="auto"/>
          </w:tcPr>
          <w:p w14:paraId="0971B8DF" w14:textId="77777777" w:rsidR="005844B1" w:rsidRPr="004737A5" w:rsidRDefault="005844B1" w:rsidP="007D6419">
            <w:pPr>
              <w:spacing w:before="120" w:after="120"/>
              <w:jc w:val="right"/>
              <w:rPr>
                <w:rFonts w:asciiTheme="minorHAnsi" w:hAnsiTheme="minorHAnsi"/>
                <w:b/>
                <w:sz w:val="18"/>
                <w:szCs w:val="18"/>
              </w:rPr>
            </w:pPr>
            <w:r w:rsidRPr="004737A5">
              <w:rPr>
                <w:rFonts w:asciiTheme="minorHAnsi" w:hAnsiTheme="minorHAnsi" w:cs="Helvetica"/>
                <w:b/>
                <w:color w:val="333333"/>
                <w:sz w:val="18"/>
                <w:szCs w:val="18"/>
              </w:rPr>
              <w:t>2013-14</w:t>
            </w:r>
          </w:p>
        </w:tc>
        <w:tc>
          <w:tcPr>
            <w:tcW w:w="1701" w:type="dxa"/>
            <w:shd w:val="clear" w:color="auto" w:fill="auto"/>
          </w:tcPr>
          <w:p w14:paraId="6ACDEEC4" w14:textId="77777777" w:rsidR="005844B1" w:rsidRPr="004737A5" w:rsidRDefault="005844B1" w:rsidP="007D6419">
            <w:pPr>
              <w:spacing w:before="120" w:after="120"/>
              <w:jc w:val="right"/>
              <w:rPr>
                <w:rFonts w:asciiTheme="minorHAnsi" w:hAnsiTheme="minorHAnsi"/>
                <w:b/>
                <w:sz w:val="18"/>
                <w:szCs w:val="18"/>
              </w:rPr>
            </w:pPr>
            <w:r w:rsidRPr="004737A5">
              <w:rPr>
                <w:rFonts w:asciiTheme="minorHAnsi" w:hAnsiTheme="minorHAnsi" w:cs="Helvetica"/>
                <w:b/>
                <w:color w:val="333333"/>
                <w:sz w:val="18"/>
                <w:szCs w:val="18"/>
              </w:rPr>
              <w:t>2014-15</w:t>
            </w:r>
          </w:p>
        </w:tc>
        <w:tc>
          <w:tcPr>
            <w:tcW w:w="1559" w:type="dxa"/>
            <w:shd w:val="clear" w:color="auto" w:fill="auto"/>
          </w:tcPr>
          <w:p w14:paraId="794DD866" w14:textId="77777777" w:rsidR="005844B1" w:rsidRPr="004737A5" w:rsidRDefault="005844B1" w:rsidP="005844B1">
            <w:pPr>
              <w:spacing w:before="120" w:after="120"/>
              <w:jc w:val="right"/>
              <w:rPr>
                <w:rFonts w:asciiTheme="minorHAnsi" w:hAnsiTheme="minorHAnsi" w:cs="Helvetica"/>
                <w:b/>
                <w:color w:val="333333"/>
                <w:sz w:val="18"/>
                <w:szCs w:val="18"/>
              </w:rPr>
            </w:pPr>
            <w:r w:rsidRPr="004737A5">
              <w:rPr>
                <w:rFonts w:asciiTheme="minorHAnsi" w:hAnsiTheme="minorHAnsi" w:cs="Helvetica"/>
                <w:b/>
                <w:color w:val="333333"/>
                <w:sz w:val="18"/>
                <w:szCs w:val="18"/>
              </w:rPr>
              <w:t>2015-16</w:t>
            </w:r>
          </w:p>
        </w:tc>
        <w:tc>
          <w:tcPr>
            <w:tcW w:w="4536" w:type="dxa"/>
            <w:vMerge w:val="restart"/>
            <w:shd w:val="clear" w:color="auto" w:fill="auto"/>
          </w:tcPr>
          <w:p w14:paraId="0F6C1DF6" w14:textId="77777777" w:rsidR="00162BB5" w:rsidRPr="004737A5" w:rsidRDefault="00162BB5" w:rsidP="005844B1">
            <w:pPr>
              <w:rPr>
                <w:rFonts w:asciiTheme="minorHAnsi" w:hAnsiTheme="minorHAnsi"/>
                <w:sz w:val="18"/>
                <w:szCs w:val="18"/>
              </w:rPr>
            </w:pPr>
          </w:p>
          <w:p w14:paraId="41C626A8" w14:textId="77777777" w:rsidR="00162BB5" w:rsidRPr="004737A5" w:rsidRDefault="00162BB5" w:rsidP="005844B1">
            <w:pPr>
              <w:rPr>
                <w:rFonts w:asciiTheme="minorHAnsi" w:hAnsiTheme="minorHAnsi"/>
                <w:sz w:val="18"/>
                <w:szCs w:val="18"/>
              </w:rPr>
            </w:pPr>
          </w:p>
          <w:p w14:paraId="3A73C35B" w14:textId="4582329E" w:rsidR="005844B1" w:rsidRPr="004737A5" w:rsidRDefault="005844B1" w:rsidP="005844B1">
            <w:pPr>
              <w:rPr>
                <w:rFonts w:asciiTheme="minorHAnsi" w:hAnsiTheme="minorHAnsi"/>
                <w:sz w:val="18"/>
                <w:szCs w:val="18"/>
              </w:rPr>
            </w:pPr>
            <w:r w:rsidRPr="004737A5">
              <w:rPr>
                <w:rFonts w:asciiTheme="minorHAnsi" w:hAnsiTheme="minorHAnsi"/>
                <w:sz w:val="18"/>
                <w:szCs w:val="18"/>
              </w:rPr>
              <w:t xml:space="preserve">The </w:t>
            </w:r>
            <w:r w:rsidR="00763BF8">
              <w:rPr>
                <w:rFonts w:asciiTheme="minorHAnsi" w:hAnsiTheme="minorHAnsi"/>
                <w:sz w:val="18"/>
                <w:szCs w:val="18"/>
              </w:rPr>
              <w:t>Specialist Working Group</w:t>
            </w:r>
            <w:r w:rsidR="00763BF8" w:rsidRPr="004737A5">
              <w:rPr>
                <w:rFonts w:asciiTheme="minorHAnsi" w:hAnsiTheme="minorHAnsi"/>
                <w:sz w:val="18"/>
                <w:szCs w:val="18"/>
              </w:rPr>
              <w:t xml:space="preserve"> </w:t>
            </w:r>
            <w:r w:rsidRPr="004737A5">
              <w:rPr>
                <w:rFonts w:asciiTheme="minorHAnsi" w:hAnsiTheme="minorHAnsi"/>
                <w:sz w:val="18"/>
                <w:szCs w:val="18"/>
              </w:rPr>
              <w:t>estimated magnitude of effect:</w:t>
            </w:r>
          </w:p>
          <w:p w14:paraId="21BA821E" w14:textId="64E5698E" w:rsidR="005844B1" w:rsidRPr="004737A5" w:rsidRDefault="005844B1" w:rsidP="005844B1">
            <w:pPr>
              <w:rPr>
                <w:rFonts w:asciiTheme="minorHAnsi" w:hAnsiTheme="minorHAnsi"/>
                <w:sz w:val="18"/>
                <w:szCs w:val="18"/>
              </w:rPr>
            </w:pPr>
            <w:r w:rsidRPr="004737A5">
              <w:rPr>
                <w:rFonts w:asciiTheme="minorHAnsi" w:hAnsiTheme="minorHAnsi"/>
                <w:sz w:val="18"/>
                <w:szCs w:val="18"/>
              </w:rPr>
              <w:t>No impact</w:t>
            </w:r>
            <w:r w:rsidR="006136A0">
              <w:rPr>
                <w:rFonts w:asciiTheme="minorHAnsi" w:hAnsiTheme="minorHAnsi"/>
                <w:sz w:val="18"/>
                <w:szCs w:val="18"/>
              </w:rPr>
              <w:t xml:space="preserve"> against projected demand</w:t>
            </w:r>
          </w:p>
          <w:p w14:paraId="0B1E7FDC" w14:textId="77777777" w:rsidR="005844B1" w:rsidRPr="004737A5" w:rsidRDefault="005844B1" w:rsidP="004A10A2">
            <w:pPr>
              <w:spacing w:before="120" w:after="120"/>
              <w:rPr>
                <w:rFonts w:asciiTheme="minorHAnsi" w:hAnsiTheme="minorHAnsi"/>
                <w:b/>
                <w:sz w:val="18"/>
                <w:szCs w:val="18"/>
              </w:rPr>
            </w:pPr>
          </w:p>
        </w:tc>
      </w:tr>
      <w:tr w:rsidR="003C32C3" w:rsidRPr="00853117" w14:paraId="6E4EC286" w14:textId="77777777" w:rsidTr="007A3266">
        <w:tc>
          <w:tcPr>
            <w:tcW w:w="2161" w:type="dxa"/>
            <w:shd w:val="clear" w:color="auto" w:fill="auto"/>
          </w:tcPr>
          <w:p w14:paraId="41DE0FD2" w14:textId="77777777" w:rsidR="003C32C3" w:rsidRPr="00C92149" w:rsidRDefault="003C32C3"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tcPr>
          <w:p w14:paraId="7F11CE31" w14:textId="3EAFF523" w:rsidR="003C32C3" w:rsidRPr="004737A5" w:rsidRDefault="003C32C3" w:rsidP="007D6419">
            <w:pPr>
              <w:spacing w:before="120" w:after="120"/>
              <w:jc w:val="right"/>
              <w:rPr>
                <w:rFonts w:asciiTheme="minorHAnsi" w:hAnsiTheme="minorHAnsi" w:cs="Helvetica"/>
                <w:b/>
                <w:color w:val="333333"/>
                <w:sz w:val="18"/>
                <w:szCs w:val="18"/>
              </w:rPr>
            </w:pPr>
            <w:r w:rsidRPr="003C32C3">
              <w:rPr>
                <w:rFonts w:asciiTheme="minorHAnsi" w:hAnsiTheme="minorHAnsi" w:cs="Helvetica"/>
                <w:b/>
                <w:color w:val="333333"/>
                <w:sz w:val="18"/>
                <w:szCs w:val="18"/>
              </w:rPr>
              <w:t>&lt;5</w:t>
            </w:r>
          </w:p>
        </w:tc>
        <w:tc>
          <w:tcPr>
            <w:tcW w:w="1593" w:type="dxa"/>
            <w:shd w:val="clear" w:color="auto" w:fill="auto"/>
          </w:tcPr>
          <w:p w14:paraId="69202502" w14:textId="0C69C175" w:rsidR="003C32C3" w:rsidRPr="004737A5" w:rsidRDefault="003C32C3" w:rsidP="007D6419">
            <w:pPr>
              <w:spacing w:before="120" w:after="120"/>
              <w:jc w:val="right"/>
              <w:rPr>
                <w:rFonts w:asciiTheme="minorHAnsi" w:hAnsiTheme="minorHAnsi" w:cs="Helvetica"/>
                <w:b/>
                <w:color w:val="333333"/>
                <w:sz w:val="18"/>
                <w:szCs w:val="18"/>
              </w:rPr>
            </w:pPr>
            <w:r w:rsidRPr="003C32C3">
              <w:rPr>
                <w:rFonts w:asciiTheme="minorHAnsi" w:hAnsiTheme="minorHAnsi" w:cs="Helvetica"/>
                <w:b/>
                <w:color w:val="333333"/>
                <w:sz w:val="18"/>
                <w:szCs w:val="18"/>
              </w:rPr>
              <w:t>&lt;5</w:t>
            </w:r>
          </w:p>
        </w:tc>
        <w:tc>
          <w:tcPr>
            <w:tcW w:w="1667" w:type="dxa"/>
            <w:shd w:val="clear" w:color="auto" w:fill="auto"/>
          </w:tcPr>
          <w:p w14:paraId="1138BDA2" w14:textId="45808F51" w:rsidR="003C32C3" w:rsidRPr="004737A5" w:rsidRDefault="003C32C3" w:rsidP="007D6419">
            <w:pPr>
              <w:spacing w:before="120" w:after="120"/>
              <w:jc w:val="right"/>
              <w:rPr>
                <w:rFonts w:asciiTheme="minorHAnsi" w:hAnsiTheme="minorHAnsi" w:cs="Helvetica"/>
                <w:b/>
                <w:color w:val="333333"/>
                <w:sz w:val="18"/>
                <w:szCs w:val="18"/>
              </w:rPr>
            </w:pPr>
            <w:r w:rsidRPr="003C32C3">
              <w:rPr>
                <w:rFonts w:asciiTheme="minorHAnsi" w:hAnsiTheme="minorHAnsi" w:cs="Helvetica"/>
                <w:b/>
                <w:color w:val="333333"/>
                <w:sz w:val="18"/>
                <w:szCs w:val="18"/>
              </w:rPr>
              <w:t>&lt;5</w:t>
            </w:r>
          </w:p>
        </w:tc>
        <w:tc>
          <w:tcPr>
            <w:tcW w:w="1701" w:type="dxa"/>
            <w:shd w:val="clear" w:color="auto" w:fill="auto"/>
          </w:tcPr>
          <w:p w14:paraId="48CFA5A6" w14:textId="57C01568" w:rsidR="003C32C3" w:rsidRPr="004737A5" w:rsidRDefault="003C32C3" w:rsidP="007D6419">
            <w:pPr>
              <w:spacing w:before="120" w:after="120"/>
              <w:jc w:val="right"/>
              <w:rPr>
                <w:rFonts w:asciiTheme="minorHAnsi" w:hAnsiTheme="minorHAnsi" w:cs="Helvetica"/>
                <w:b/>
                <w:color w:val="333333"/>
                <w:sz w:val="18"/>
                <w:szCs w:val="18"/>
              </w:rPr>
            </w:pPr>
            <w:r w:rsidRPr="003C32C3">
              <w:rPr>
                <w:rFonts w:asciiTheme="minorHAnsi" w:hAnsiTheme="minorHAnsi" w:cs="Helvetica"/>
                <w:b/>
                <w:color w:val="333333"/>
                <w:sz w:val="18"/>
                <w:szCs w:val="18"/>
              </w:rPr>
              <w:t>&lt;5</w:t>
            </w:r>
          </w:p>
        </w:tc>
        <w:tc>
          <w:tcPr>
            <w:tcW w:w="1559" w:type="dxa"/>
            <w:shd w:val="clear" w:color="auto" w:fill="auto"/>
          </w:tcPr>
          <w:p w14:paraId="6112BB2D" w14:textId="77777777" w:rsidR="003C32C3" w:rsidRPr="004737A5" w:rsidRDefault="003C32C3" w:rsidP="005844B1">
            <w:pPr>
              <w:spacing w:before="120" w:after="120"/>
              <w:jc w:val="right"/>
              <w:rPr>
                <w:rFonts w:asciiTheme="minorHAnsi" w:hAnsiTheme="minorHAnsi" w:cs="Helvetica"/>
                <w:b/>
                <w:color w:val="333333"/>
                <w:sz w:val="18"/>
                <w:szCs w:val="18"/>
              </w:rPr>
            </w:pPr>
            <w:r w:rsidRPr="004737A5">
              <w:rPr>
                <w:rFonts w:asciiTheme="minorHAnsi" w:hAnsiTheme="minorHAnsi" w:cs="Helvetica"/>
                <w:b/>
                <w:color w:val="333333"/>
                <w:sz w:val="18"/>
                <w:szCs w:val="18"/>
              </w:rPr>
              <w:t>5</w:t>
            </w:r>
          </w:p>
        </w:tc>
        <w:tc>
          <w:tcPr>
            <w:tcW w:w="4536" w:type="dxa"/>
            <w:vMerge/>
            <w:shd w:val="clear" w:color="auto" w:fill="auto"/>
          </w:tcPr>
          <w:p w14:paraId="26A3A070" w14:textId="77777777" w:rsidR="003C32C3" w:rsidRPr="004737A5" w:rsidRDefault="003C32C3" w:rsidP="004A10A2">
            <w:pPr>
              <w:spacing w:before="120" w:after="120"/>
              <w:rPr>
                <w:rFonts w:asciiTheme="minorHAnsi" w:hAnsiTheme="minorHAnsi"/>
                <w:b/>
                <w:sz w:val="18"/>
                <w:szCs w:val="18"/>
              </w:rPr>
            </w:pPr>
          </w:p>
        </w:tc>
      </w:tr>
      <w:tr w:rsidR="005844B1" w:rsidRPr="00853117" w14:paraId="31CD83A3" w14:textId="77777777" w:rsidTr="006650F7">
        <w:trPr>
          <w:trHeight w:val="535"/>
        </w:trPr>
        <w:tc>
          <w:tcPr>
            <w:tcW w:w="2161" w:type="dxa"/>
            <w:shd w:val="clear" w:color="auto" w:fill="auto"/>
          </w:tcPr>
          <w:p w14:paraId="5E8986B7" w14:textId="77777777" w:rsidR="005844B1" w:rsidRPr="00C92149" w:rsidRDefault="005844B1"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center"/>
          </w:tcPr>
          <w:p w14:paraId="5D01F405" w14:textId="1E53E5BF" w:rsidR="005844B1" w:rsidRPr="004737A5" w:rsidRDefault="006650F7" w:rsidP="006650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&lt;500</w:t>
            </w:r>
          </w:p>
        </w:tc>
        <w:tc>
          <w:tcPr>
            <w:tcW w:w="1593" w:type="dxa"/>
            <w:shd w:val="clear" w:color="auto" w:fill="auto"/>
            <w:vAlign w:val="center"/>
          </w:tcPr>
          <w:p w14:paraId="2EFB3FFB" w14:textId="3EAEEF45" w:rsidR="005844B1" w:rsidRPr="004737A5" w:rsidRDefault="006650F7" w:rsidP="006650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&lt;1000</w:t>
            </w:r>
          </w:p>
        </w:tc>
        <w:tc>
          <w:tcPr>
            <w:tcW w:w="1667" w:type="dxa"/>
            <w:shd w:val="clear" w:color="auto" w:fill="auto"/>
            <w:vAlign w:val="center"/>
          </w:tcPr>
          <w:p w14:paraId="77D243B1" w14:textId="20BD3D5A" w:rsidR="005844B1" w:rsidRPr="004737A5" w:rsidRDefault="006650F7" w:rsidP="006650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&lt;2000</w:t>
            </w:r>
          </w:p>
        </w:tc>
        <w:tc>
          <w:tcPr>
            <w:tcW w:w="1701" w:type="dxa"/>
            <w:shd w:val="clear" w:color="auto" w:fill="auto"/>
            <w:vAlign w:val="center"/>
          </w:tcPr>
          <w:p w14:paraId="587BD064" w14:textId="65CEFC07" w:rsidR="005844B1" w:rsidRPr="004737A5" w:rsidRDefault="006650F7" w:rsidP="006650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&lt;2,500</w:t>
            </w:r>
          </w:p>
        </w:tc>
        <w:tc>
          <w:tcPr>
            <w:tcW w:w="1559" w:type="dxa"/>
            <w:shd w:val="clear" w:color="auto" w:fill="auto"/>
            <w:vAlign w:val="center"/>
          </w:tcPr>
          <w:p w14:paraId="20F6662B" w14:textId="29D47C71" w:rsidR="005844B1" w:rsidRPr="004737A5" w:rsidRDefault="00E95BC6" w:rsidP="006650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2,810</w:t>
            </w:r>
          </w:p>
        </w:tc>
        <w:tc>
          <w:tcPr>
            <w:tcW w:w="4536" w:type="dxa"/>
            <w:vMerge/>
            <w:shd w:val="clear" w:color="auto" w:fill="auto"/>
          </w:tcPr>
          <w:p w14:paraId="27BA514B" w14:textId="77777777" w:rsidR="005844B1" w:rsidRPr="004737A5" w:rsidRDefault="005844B1" w:rsidP="004A10A2">
            <w:pPr>
              <w:spacing w:before="120" w:after="120"/>
              <w:rPr>
                <w:rFonts w:asciiTheme="minorHAnsi" w:hAnsiTheme="minorHAnsi"/>
                <w:b/>
                <w:sz w:val="18"/>
                <w:szCs w:val="18"/>
              </w:rPr>
            </w:pPr>
          </w:p>
        </w:tc>
      </w:tr>
      <w:tr w:rsidR="003C32C3" w:rsidRPr="00853117" w14:paraId="2B36037A" w14:textId="77777777" w:rsidTr="006650F7">
        <w:tc>
          <w:tcPr>
            <w:tcW w:w="2161" w:type="dxa"/>
            <w:shd w:val="clear" w:color="auto" w:fill="auto"/>
          </w:tcPr>
          <w:p w14:paraId="343FD271" w14:textId="77777777" w:rsidR="003C32C3" w:rsidRPr="00C92149" w:rsidRDefault="003C32C3"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center"/>
          </w:tcPr>
          <w:p w14:paraId="0F7904CE" w14:textId="1B2F7DB1" w:rsidR="003C32C3" w:rsidRPr="007D6419" w:rsidRDefault="003C32C3" w:rsidP="006650F7">
            <w:pPr>
              <w:spacing w:before="120" w:after="120"/>
              <w:jc w:val="right"/>
              <w:rPr>
                <w:rFonts w:asciiTheme="minorHAnsi" w:hAnsiTheme="minorHAnsi" w:cs="Helvetica"/>
                <w:b/>
                <w:color w:val="333333"/>
                <w:sz w:val="18"/>
                <w:szCs w:val="18"/>
              </w:rPr>
            </w:pPr>
            <w:r w:rsidRPr="003C32C3">
              <w:rPr>
                <w:rFonts w:asciiTheme="minorHAnsi" w:hAnsiTheme="minorHAnsi" w:cs="Helvetica"/>
                <w:b/>
                <w:color w:val="333333"/>
                <w:sz w:val="18"/>
                <w:szCs w:val="18"/>
              </w:rPr>
              <w:t>&lt;0.02%</w:t>
            </w:r>
          </w:p>
        </w:tc>
        <w:tc>
          <w:tcPr>
            <w:tcW w:w="1593" w:type="dxa"/>
            <w:shd w:val="clear" w:color="auto" w:fill="auto"/>
            <w:vAlign w:val="center"/>
          </w:tcPr>
          <w:p w14:paraId="30BA1ED1" w14:textId="7957F116" w:rsidR="003C32C3" w:rsidRPr="007D6419" w:rsidRDefault="003C32C3" w:rsidP="006650F7">
            <w:pPr>
              <w:spacing w:before="120" w:after="120"/>
              <w:jc w:val="right"/>
              <w:rPr>
                <w:rFonts w:asciiTheme="minorHAnsi" w:hAnsiTheme="minorHAnsi" w:cs="Helvetica"/>
                <w:b/>
                <w:color w:val="333333"/>
                <w:sz w:val="18"/>
                <w:szCs w:val="18"/>
              </w:rPr>
            </w:pPr>
            <w:r w:rsidRPr="003C32C3">
              <w:rPr>
                <w:rFonts w:asciiTheme="minorHAnsi" w:hAnsiTheme="minorHAnsi" w:cs="Helvetica"/>
                <w:b/>
                <w:color w:val="333333"/>
                <w:sz w:val="18"/>
                <w:szCs w:val="18"/>
              </w:rPr>
              <w:t>&lt;0.02%</w:t>
            </w:r>
          </w:p>
        </w:tc>
        <w:tc>
          <w:tcPr>
            <w:tcW w:w="1667" w:type="dxa"/>
            <w:shd w:val="clear" w:color="auto" w:fill="auto"/>
            <w:vAlign w:val="center"/>
          </w:tcPr>
          <w:p w14:paraId="6F3CF271" w14:textId="5B9A97D8" w:rsidR="003C32C3" w:rsidRPr="007D6419" w:rsidRDefault="003C32C3" w:rsidP="006650F7">
            <w:pPr>
              <w:spacing w:before="120" w:after="120"/>
              <w:jc w:val="right"/>
              <w:rPr>
                <w:rFonts w:asciiTheme="minorHAnsi" w:hAnsiTheme="minorHAnsi" w:cs="Helvetica"/>
                <w:b/>
                <w:color w:val="333333"/>
                <w:sz w:val="18"/>
                <w:szCs w:val="18"/>
              </w:rPr>
            </w:pPr>
            <w:r w:rsidRPr="003C32C3">
              <w:rPr>
                <w:rFonts w:asciiTheme="minorHAnsi" w:hAnsiTheme="minorHAnsi" w:cs="Helvetica"/>
                <w:b/>
                <w:color w:val="333333"/>
                <w:sz w:val="18"/>
                <w:szCs w:val="18"/>
              </w:rPr>
              <w:t>&lt;0.05%</w:t>
            </w:r>
          </w:p>
        </w:tc>
        <w:tc>
          <w:tcPr>
            <w:tcW w:w="1701" w:type="dxa"/>
            <w:shd w:val="clear" w:color="auto" w:fill="auto"/>
            <w:vAlign w:val="center"/>
          </w:tcPr>
          <w:p w14:paraId="102DD3F0" w14:textId="6C2C7BC5" w:rsidR="003C32C3" w:rsidRPr="007D6419" w:rsidRDefault="003C32C3" w:rsidP="006650F7">
            <w:pPr>
              <w:spacing w:before="120" w:after="120"/>
              <w:jc w:val="right"/>
              <w:rPr>
                <w:rFonts w:asciiTheme="minorHAnsi" w:hAnsiTheme="minorHAnsi" w:cs="Helvetica"/>
                <w:b/>
                <w:color w:val="333333"/>
                <w:sz w:val="18"/>
                <w:szCs w:val="18"/>
              </w:rPr>
            </w:pPr>
            <w:r w:rsidRPr="003C32C3">
              <w:rPr>
                <w:rFonts w:asciiTheme="minorHAnsi" w:hAnsiTheme="minorHAnsi" w:cs="Helvetica"/>
                <w:b/>
                <w:color w:val="333333"/>
                <w:sz w:val="18"/>
                <w:szCs w:val="18"/>
              </w:rPr>
              <w:t>&lt;0.07%</w:t>
            </w:r>
          </w:p>
        </w:tc>
        <w:tc>
          <w:tcPr>
            <w:tcW w:w="1559" w:type="dxa"/>
            <w:shd w:val="clear" w:color="auto" w:fill="auto"/>
            <w:vAlign w:val="center"/>
          </w:tcPr>
          <w:p w14:paraId="49284D78" w14:textId="26DD52BC" w:rsidR="003C32C3" w:rsidRPr="005844B1" w:rsidRDefault="003C32C3" w:rsidP="006650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w:t>
            </w:r>
            <w:r w:rsidR="00E95BC6">
              <w:rPr>
                <w:rFonts w:asciiTheme="minorHAnsi" w:hAnsiTheme="minorHAnsi" w:cs="Helvetica"/>
                <w:b/>
                <w:color w:val="333333"/>
                <w:sz w:val="18"/>
                <w:szCs w:val="18"/>
              </w:rPr>
              <w:t>6</w:t>
            </w:r>
            <w:r>
              <w:rPr>
                <w:rFonts w:asciiTheme="minorHAnsi" w:hAnsiTheme="minorHAnsi" w:cs="Helvetica"/>
                <w:b/>
                <w:color w:val="333333"/>
                <w:sz w:val="18"/>
                <w:szCs w:val="18"/>
              </w:rPr>
              <w:t>%</w:t>
            </w:r>
          </w:p>
        </w:tc>
        <w:tc>
          <w:tcPr>
            <w:tcW w:w="4536" w:type="dxa"/>
            <w:vMerge/>
            <w:shd w:val="clear" w:color="auto" w:fill="auto"/>
          </w:tcPr>
          <w:p w14:paraId="2A30BFAC" w14:textId="77777777" w:rsidR="003C32C3" w:rsidRPr="00C92149" w:rsidRDefault="003C32C3" w:rsidP="004A10A2">
            <w:pPr>
              <w:spacing w:before="120" w:after="120"/>
              <w:rPr>
                <w:rFonts w:asciiTheme="minorHAnsi" w:hAnsiTheme="minorHAnsi"/>
                <w:b/>
                <w:sz w:val="18"/>
                <w:szCs w:val="18"/>
              </w:rPr>
            </w:pPr>
          </w:p>
        </w:tc>
      </w:tr>
      <w:tr w:rsidR="007D6419" w:rsidRPr="00021243" w14:paraId="1A2B43D3" w14:textId="77777777" w:rsidTr="005D45E6">
        <w:tc>
          <w:tcPr>
            <w:tcW w:w="14601" w:type="dxa"/>
            <w:gridSpan w:val="7"/>
            <w:shd w:val="clear" w:color="auto" w:fill="F79646" w:themeFill="accent6"/>
          </w:tcPr>
          <w:p w14:paraId="52301891" w14:textId="2EDCBAD4" w:rsidR="007D6419" w:rsidRDefault="00763BF8" w:rsidP="005D45E6">
            <w:pPr>
              <w:spacing w:before="120" w:after="120"/>
              <w:rPr>
                <w:rFonts w:asciiTheme="minorHAnsi" w:hAnsiTheme="minorHAnsi"/>
                <w:b/>
              </w:rPr>
            </w:pPr>
            <w:r>
              <w:rPr>
                <w:rFonts w:asciiTheme="minorHAnsi" w:hAnsiTheme="minorHAnsi"/>
                <w:b/>
              </w:rPr>
              <w:t xml:space="preserve">Specialist Working Group </w:t>
            </w:r>
            <w:r w:rsidR="007D6419">
              <w:rPr>
                <w:rFonts w:asciiTheme="minorHAnsi" w:hAnsiTheme="minorHAnsi"/>
                <w:b/>
              </w:rPr>
              <w:t>knowledge development opportunities and recommendations</w:t>
            </w:r>
          </w:p>
        </w:tc>
      </w:tr>
      <w:tr w:rsidR="007D6419" w:rsidRPr="00021243" w14:paraId="0BE51933" w14:textId="77777777" w:rsidTr="005D45E6">
        <w:tc>
          <w:tcPr>
            <w:tcW w:w="14601" w:type="dxa"/>
            <w:gridSpan w:val="7"/>
            <w:shd w:val="clear" w:color="auto" w:fill="auto"/>
          </w:tcPr>
          <w:p w14:paraId="08D5C4A1" w14:textId="15791114" w:rsidR="007D6419" w:rsidRPr="002506FF" w:rsidRDefault="00162BB5" w:rsidP="005D45E6">
            <w:pPr>
              <w:spacing w:before="120" w:after="120"/>
              <w:rPr>
                <w:rFonts w:asciiTheme="minorHAnsi" w:hAnsiTheme="minorHAnsi"/>
              </w:rPr>
            </w:pPr>
            <w:r>
              <w:rPr>
                <w:rFonts w:asciiTheme="minorHAnsi" w:hAnsiTheme="minorHAnsi"/>
              </w:rPr>
              <w:t xml:space="preserve">The assessment of </w:t>
            </w:r>
            <w:proofErr w:type="gramStart"/>
            <w:r w:rsidR="00763BF8">
              <w:rPr>
                <w:rFonts w:asciiTheme="minorHAnsi" w:hAnsiTheme="minorHAnsi"/>
              </w:rPr>
              <w:t>Grave</w:t>
            </w:r>
            <w:r w:rsidR="00763BF8" w:rsidRPr="009B15F8">
              <w:rPr>
                <w:rFonts w:asciiTheme="minorHAnsi" w:hAnsiTheme="minorHAnsi"/>
              </w:rPr>
              <w:t>s</w:t>
            </w:r>
            <w:proofErr w:type="gramEnd"/>
            <w:r w:rsidR="00763BF8" w:rsidRPr="009B15F8">
              <w:rPr>
                <w:rFonts w:asciiTheme="minorHAnsi" w:hAnsiTheme="minorHAnsi"/>
              </w:rPr>
              <w:t xml:space="preserve"> </w:t>
            </w:r>
            <w:proofErr w:type="spellStart"/>
            <w:r w:rsidR="00763BF8" w:rsidRPr="009B15F8">
              <w:rPr>
                <w:rFonts w:asciiTheme="minorHAnsi" w:hAnsiTheme="minorHAnsi"/>
              </w:rPr>
              <w:t>op</w:t>
            </w:r>
            <w:r w:rsidR="00763BF8">
              <w:rPr>
                <w:rFonts w:asciiTheme="minorHAnsi" w:hAnsiTheme="minorHAnsi"/>
              </w:rPr>
              <w:t>h</w:t>
            </w:r>
            <w:r w:rsidR="00763BF8" w:rsidRPr="009B15F8">
              <w:rPr>
                <w:rFonts w:asciiTheme="minorHAnsi" w:hAnsiTheme="minorHAnsi"/>
              </w:rPr>
              <w:t>thalmopathy</w:t>
            </w:r>
            <w:proofErr w:type="spellEnd"/>
            <w:r>
              <w:rPr>
                <w:rFonts w:asciiTheme="minorHAnsi" w:hAnsiTheme="minorHAnsi"/>
              </w:rPr>
              <w:t xml:space="preserve"> severity using the measures of the </w:t>
            </w:r>
            <w:proofErr w:type="spellStart"/>
            <w:r>
              <w:rPr>
                <w:rFonts w:asciiTheme="minorHAnsi" w:hAnsiTheme="minorHAnsi"/>
              </w:rPr>
              <w:t>Bartelena</w:t>
            </w:r>
            <w:proofErr w:type="spellEnd"/>
            <w:r>
              <w:rPr>
                <w:rFonts w:asciiTheme="minorHAnsi" w:hAnsiTheme="minorHAnsi"/>
              </w:rPr>
              <w:t xml:space="preserve"> Score </w:t>
            </w:r>
            <w:r w:rsidR="00F17EC0">
              <w:rPr>
                <w:rFonts w:asciiTheme="minorHAnsi" w:hAnsiTheme="minorHAnsi"/>
              </w:rPr>
              <w:t xml:space="preserve">at review </w:t>
            </w:r>
            <w:r>
              <w:rPr>
                <w:rFonts w:asciiTheme="minorHAnsi" w:hAnsiTheme="minorHAnsi"/>
              </w:rPr>
              <w:t xml:space="preserve">will enable a review of clinical outcome and the best future method to assess and understand the benefit of Ig therapy. </w:t>
            </w:r>
            <w:r w:rsidR="00B92E00">
              <w:rPr>
                <w:rFonts w:asciiTheme="minorHAnsi" w:hAnsiTheme="minorHAnsi"/>
              </w:rPr>
              <w:t>This message will require promulgation via a communication strategy.</w:t>
            </w:r>
          </w:p>
        </w:tc>
      </w:tr>
    </w:tbl>
    <w:p w14:paraId="7C1C35A6" w14:textId="77777777"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14:paraId="7F8C6786" w14:textId="77777777" w:rsidTr="009F1DFC">
        <w:tc>
          <w:tcPr>
            <w:tcW w:w="14601" w:type="dxa"/>
          </w:tcPr>
          <w:p w14:paraId="6143295E" w14:textId="41D3D84D"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EF29F1">
              <w:rPr>
                <w:rFonts w:asciiTheme="minorHAnsi" w:hAnsiTheme="minorHAnsi"/>
                <w:b/>
              </w:rPr>
              <w:t>PUBLIC CONSULTATION</w:t>
            </w:r>
            <w:r>
              <w:rPr>
                <w:rFonts w:asciiTheme="minorHAnsi" w:hAnsiTheme="minorHAnsi"/>
                <w:b/>
              </w:rPr>
              <w:t xml:space="preserve"> DOCUMENT</w:t>
            </w:r>
          </w:p>
          <w:p w14:paraId="6896E2EC" w14:textId="426373BF" w:rsidR="000E09C4" w:rsidRPr="00021243" w:rsidRDefault="00EF29F1" w:rsidP="00162BB5">
            <w:pPr>
              <w:spacing w:before="120" w:after="120"/>
              <w:jc w:val="center"/>
              <w:rPr>
                <w:rFonts w:asciiTheme="minorHAnsi" w:hAnsiTheme="minorHAnsi"/>
                <w:b/>
              </w:rPr>
            </w:pPr>
            <w:r>
              <w:rPr>
                <w:rFonts w:asciiTheme="minorHAnsi" w:hAnsiTheme="minorHAnsi"/>
                <w:b/>
              </w:rPr>
              <w:t>Next review:</w:t>
            </w:r>
            <w:r w:rsidR="000E09C4">
              <w:rPr>
                <w:rFonts w:asciiTheme="minorHAnsi" w:hAnsiTheme="minorHAnsi"/>
                <w:b/>
              </w:rPr>
              <w:t xml:space="preserve"> </w:t>
            </w:r>
            <w:r w:rsidR="00162BB5">
              <w:rPr>
                <w:rFonts w:asciiTheme="minorHAnsi" w:hAnsiTheme="minorHAnsi"/>
                <w:b/>
              </w:rPr>
              <w:t xml:space="preserve">Eighteen months after </w:t>
            </w:r>
            <w:r w:rsidR="00763BF8">
              <w:rPr>
                <w:rFonts w:asciiTheme="minorHAnsi" w:hAnsiTheme="minorHAnsi"/>
                <w:b/>
              </w:rPr>
              <w:t>i</w:t>
            </w:r>
            <w:r w:rsidR="009E047D">
              <w:rPr>
                <w:rFonts w:asciiTheme="minorHAnsi" w:hAnsiTheme="minorHAnsi"/>
                <w:b/>
              </w:rPr>
              <w:t xml:space="preserve">mplementation of </w:t>
            </w:r>
            <w:proofErr w:type="spellStart"/>
            <w:r w:rsidR="009E047D">
              <w:rPr>
                <w:rFonts w:asciiTheme="minorHAnsi" w:hAnsiTheme="minorHAnsi"/>
                <w:b/>
              </w:rPr>
              <w:t>BloodSTAR</w:t>
            </w:r>
            <w:proofErr w:type="spellEnd"/>
            <w:r w:rsidR="009E047D">
              <w:rPr>
                <w:rFonts w:asciiTheme="minorHAnsi" w:hAnsiTheme="minorHAnsi"/>
                <w:b/>
              </w:rPr>
              <w:t xml:space="preserve"> </w:t>
            </w:r>
            <w:r w:rsidR="00763BF8">
              <w:rPr>
                <w:rFonts w:asciiTheme="minorHAnsi" w:hAnsiTheme="minorHAnsi"/>
                <w:b/>
              </w:rPr>
              <w:t>v</w:t>
            </w:r>
            <w:r w:rsidR="009E047D">
              <w:rPr>
                <w:rFonts w:asciiTheme="minorHAnsi" w:hAnsiTheme="minorHAnsi"/>
                <w:b/>
              </w:rPr>
              <w:t>3.0</w:t>
            </w:r>
          </w:p>
        </w:tc>
      </w:tr>
    </w:tbl>
    <w:p w14:paraId="486C802E" w14:textId="77777777" w:rsidR="009C1E09" w:rsidRDefault="009C1E09" w:rsidP="002506FF">
      <w:pPr>
        <w:jc w:val="center"/>
      </w:pPr>
    </w:p>
    <w:p w14:paraId="5A2956C0" w14:textId="162802C3" w:rsidR="006627B5" w:rsidRPr="00FD2CCD" w:rsidRDefault="006627B5">
      <w:pPr>
        <w:spacing w:line="276" w:lineRule="auto"/>
      </w:pPr>
    </w:p>
    <w:sectPr w:rsidR="006627B5" w:rsidRPr="00FD2CCD" w:rsidSect="000E09C4">
      <w:headerReference w:type="first" r:id="rId26"/>
      <w:pgSz w:w="16839" w:h="11907" w:orient="landscape" w:code="9"/>
      <w:pgMar w:top="1440" w:right="1440" w:bottom="1133" w:left="144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F004C9" w15:done="0"/>
  <w15:commentEx w15:paraId="0C8729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84C9F" w14:textId="77777777" w:rsidR="009530ED" w:rsidRDefault="009530ED" w:rsidP="00856708">
      <w:pPr>
        <w:spacing w:after="0"/>
      </w:pPr>
      <w:r>
        <w:separator/>
      </w:r>
    </w:p>
  </w:endnote>
  <w:endnote w:type="continuationSeparator" w:id="0">
    <w:p w14:paraId="3ABF37CF" w14:textId="77777777" w:rsidR="009530ED" w:rsidRDefault="009530ED"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047497"/>
      <w:docPartObj>
        <w:docPartGallery w:val="Page Numbers (Bottom of Page)"/>
        <w:docPartUnique/>
      </w:docPartObj>
    </w:sdtPr>
    <w:sdtEndPr>
      <w:rPr>
        <w:noProof/>
      </w:rPr>
    </w:sdtEndPr>
    <w:sdtContent>
      <w:p w14:paraId="2E68BD24" w14:textId="6894048A" w:rsidR="00F40366" w:rsidRDefault="00F40366">
        <w:pPr>
          <w:pStyle w:val="Footer"/>
          <w:jc w:val="right"/>
        </w:pPr>
        <w:r>
          <w:fldChar w:fldCharType="begin"/>
        </w:r>
        <w:r>
          <w:instrText xml:space="preserve"> PAGE   \* MERGEFORMAT </w:instrText>
        </w:r>
        <w:r>
          <w:fldChar w:fldCharType="separate"/>
        </w:r>
        <w:r w:rsidR="002F00B3">
          <w:rPr>
            <w:noProof/>
          </w:rPr>
          <w:t>10</w:t>
        </w:r>
        <w:r>
          <w:rPr>
            <w:noProof/>
          </w:rPr>
          <w:fldChar w:fldCharType="end"/>
        </w:r>
      </w:p>
    </w:sdtContent>
  </w:sdt>
  <w:p w14:paraId="4C0421F0" w14:textId="1B839C13" w:rsidR="00853117" w:rsidRPr="00F320DE" w:rsidRDefault="00853117" w:rsidP="00F32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776443"/>
      <w:docPartObj>
        <w:docPartGallery w:val="Page Numbers (Bottom of Page)"/>
        <w:docPartUnique/>
      </w:docPartObj>
    </w:sdtPr>
    <w:sdtEndPr>
      <w:rPr>
        <w:noProof/>
      </w:rPr>
    </w:sdtEndPr>
    <w:sdtContent>
      <w:p w14:paraId="0FC775E1" w14:textId="4D881A65" w:rsidR="00F40366" w:rsidRDefault="00F40366">
        <w:pPr>
          <w:pStyle w:val="Footer"/>
          <w:jc w:val="right"/>
        </w:pPr>
        <w:r>
          <w:fldChar w:fldCharType="begin"/>
        </w:r>
        <w:r>
          <w:instrText xml:space="preserve"> PAGE   \* MERGEFORMAT </w:instrText>
        </w:r>
        <w:r>
          <w:fldChar w:fldCharType="separate"/>
        </w:r>
        <w:r w:rsidR="002F00B3">
          <w:rPr>
            <w:noProof/>
          </w:rPr>
          <w:t>1</w:t>
        </w:r>
        <w:r>
          <w:rPr>
            <w:noProof/>
          </w:rPr>
          <w:fldChar w:fldCharType="end"/>
        </w:r>
      </w:p>
    </w:sdtContent>
  </w:sdt>
  <w:p w14:paraId="50504003" w14:textId="77777777" w:rsidR="00F320DE" w:rsidRDefault="00F32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8CE2D" w14:textId="77777777" w:rsidR="009530ED" w:rsidRDefault="009530ED" w:rsidP="00856708">
      <w:pPr>
        <w:spacing w:after="0"/>
      </w:pPr>
      <w:r>
        <w:separator/>
      </w:r>
    </w:p>
  </w:footnote>
  <w:footnote w:type="continuationSeparator" w:id="0">
    <w:p w14:paraId="2BF8714B" w14:textId="77777777" w:rsidR="009530ED" w:rsidRDefault="009530ED"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A588A" w14:textId="13D6DC10" w:rsidR="00F40366" w:rsidRDefault="006136A0" w:rsidP="00F40366">
    <w:pPr>
      <w:pStyle w:val="Footer"/>
    </w:pPr>
    <w:r>
      <w:rPr>
        <w:sz w:val="20"/>
        <w:szCs w:val="20"/>
      </w:rPr>
      <w:t>PUBLIC CONSULTATION 2017</w:t>
    </w:r>
    <w:r w:rsidR="00F40366" w:rsidRPr="009016FB">
      <w:rPr>
        <w:sz w:val="20"/>
        <w:szCs w:val="20"/>
      </w:rPr>
      <w:t xml:space="preserve"> </w:t>
    </w:r>
    <w:r w:rsidR="00F40366">
      <w:rPr>
        <w:sz w:val="20"/>
        <w:szCs w:val="20"/>
      </w:rPr>
      <w:t>–</w:t>
    </w:r>
    <w:r w:rsidR="00F40366" w:rsidRPr="009016FB">
      <w:rPr>
        <w:sz w:val="20"/>
        <w:szCs w:val="20"/>
      </w:rPr>
      <w:t xml:space="preserve"> </w:t>
    </w:r>
    <w:r w:rsidR="00F40366" w:rsidRPr="00F320DE">
      <w:rPr>
        <w:sz w:val="20"/>
        <w:szCs w:val="20"/>
      </w:rPr>
      <w:t xml:space="preserve">Graves </w:t>
    </w:r>
    <w:proofErr w:type="spellStart"/>
    <w:r w:rsidR="00F40366" w:rsidRPr="00F320DE">
      <w:rPr>
        <w:sz w:val="20"/>
        <w:szCs w:val="20"/>
      </w:rPr>
      <w:t>ophthalmopathy</w:t>
    </w:r>
    <w:proofErr w:type="spellEnd"/>
    <w:r w:rsidR="00F40366" w:rsidRPr="00F320DE">
      <w:rPr>
        <w:sz w:val="20"/>
        <w:szCs w:val="20"/>
      </w:rPr>
      <w:t xml:space="preserve"> </w:t>
    </w:r>
  </w:p>
  <w:p w14:paraId="7D4F2730" w14:textId="77777777" w:rsidR="00F40366" w:rsidRDefault="00F40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94C21" w14:textId="29E7C4F0" w:rsidR="00F40366" w:rsidRDefault="006136A0" w:rsidP="00F40366">
    <w:pPr>
      <w:pStyle w:val="Footer"/>
    </w:pPr>
    <w:r>
      <w:rPr>
        <w:sz w:val="20"/>
        <w:szCs w:val="20"/>
      </w:rPr>
      <w:t>PUBLIC CONSULTATION 2017</w:t>
    </w:r>
    <w:r w:rsidR="00F40366" w:rsidRPr="009016FB">
      <w:rPr>
        <w:sz w:val="20"/>
        <w:szCs w:val="20"/>
      </w:rPr>
      <w:t xml:space="preserve"> </w:t>
    </w:r>
    <w:r w:rsidR="00F40366">
      <w:rPr>
        <w:sz w:val="20"/>
        <w:szCs w:val="20"/>
      </w:rPr>
      <w:t>–</w:t>
    </w:r>
    <w:r w:rsidR="00F40366" w:rsidRPr="009016FB">
      <w:rPr>
        <w:sz w:val="20"/>
        <w:szCs w:val="20"/>
      </w:rPr>
      <w:t xml:space="preserve"> </w:t>
    </w:r>
    <w:r w:rsidR="00F40366" w:rsidRPr="00F320DE">
      <w:rPr>
        <w:sz w:val="20"/>
        <w:szCs w:val="20"/>
      </w:rPr>
      <w:t xml:space="preserve">Graves </w:t>
    </w:r>
    <w:proofErr w:type="spellStart"/>
    <w:r w:rsidR="00F40366" w:rsidRPr="00F320DE">
      <w:rPr>
        <w:sz w:val="20"/>
        <w:szCs w:val="20"/>
      </w:rPr>
      <w:t>ophthalmopathy</w:t>
    </w:r>
    <w:proofErr w:type="spellEnd"/>
    <w:r w:rsidR="00F40366" w:rsidRPr="00F320DE">
      <w:rPr>
        <w:sz w:val="20"/>
        <w:szCs w:val="20"/>
      </w:rPr>
      <w:t xml:space="preserve"> </w:t>
    </w:r>
  </w:p>
  <w:p w14:paraId="5AB05720" w14:textId="77777777" w:rsidR="00F40366" w:rsidRDefault="00F40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FBB63" w14:textId="68F9C659" w:rsidR="000E09C4" w:rsidRDefault="0098707A">
    <w:pPr>
      <w:pStyle w:val="Header"/>
    </w:pPr>
    <w:r>
      <w:rPr>
        <w:sz w:val="20"/>
        <w:szCs w:val="20"/>
      </w:rPr>
      <w:t>PUBLIC CONSULTATION 2017</w:t>
    </w:r>
    <w:r w:rsidRPr="009016FB">
      <w:rPr>
        <w:sz w:val="20"/>
        <w:szCs w:val="20"/>
      </w:rPr>
      <w:t xml:space="preserve"> </w:t>
    </w:r>
    <w:r>
      <w:rPr>
        <w:sz w:val="20"/>
        <w:szCs w:val="20"/>
      </w:rPr>
      <w:t>–</w:t>
    </w:r>
    <w:r w:rsidRPr="009016FB">
      <w:rPr>
        <w:sz w:val="20"/>
        <w:szCs w:val="20"/>
      </w:rPr>
      <w:t xml:space="preserve"> </w:t>
    </w:r>
    <w:r w:rsidRPr="00F320DE">
      <w:rPr>
        <w:sz w:val="20"/>
        <w:szCs w:val="20"/>
      </w:rPr>
      <w:t xml:space="preserve">Graves </w:t>
    </w:r>
    <w:proofErr w:type="spellStart"/>
    <w:r w:rsidRPr="00F320DE">
      <w:rPr>
        <w:sz w:val="20"/>
        <w:szCs w:val="20"/>
      </w:rPr>
      <w:t>ophthalmopathy</w:t>
    </w:r>
    <w:proofErr w:type="spellEnd"/>
    <w:r w:rsidRPr="00F320DE">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BDC"/>
    <w:multiLevelType w:val="hybridMultilevel"/>
    <w:tmpl w:val="77F8CADE"/>
    <w:lvl w:ilvl="0" w:tplc="4E126DC2">
      <w:numFmt w:val="bullet"/>
      <w:lvlText w:val="-"/>
      <w:lvlJc w:val="left"/>
      <w:pPr>
        <w:ind w:left="720" w:hanging="360"/>
      </w:pPr>
      <w:rPr>
        <w:rFonts w:ascii="Calibri" w:eastAsia="Dotum"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F2C40"/>
    <w:multiLevelType w:val="hybridMultilevel"/>
    <w:tmpl w:val="87F097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E3A09A6"/>
    <w:multiLevelType w:val="hybridMultilevel"/>
    <w:tmpl w:val="FFB448A4"/>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942F93"/>
    <w:multiLevelType w:val="hybridMultilevel"/>
    <w:tmpl w:val="3CA85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494D43C2"/>
    <w:multiLevelType w:val="hybridMultilevel"/>
    <w:tmpl w:val="02DE387E"/>
    <w:lvl w:ilvl="0" w:tplc="158043F2">
      <w:start w:val="1"/>
      <w:numFmt w:val="decimal"/>
      <w:lvlText w:val="%1)"/>
      <w:lvlJc w:val="left"/>
      <w:pPr>
        <w:ind w:left="720" w:hanging="360"/>
      </w:pPr>
      <w:rPr>
        <w:rFonts w:asciiTheme="minorHAnsi" w:hAnsiTheme="minorHAnsi" w:cs="Lucida Grande"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2A512B2"/>
    <w:multiLevelType w:val="hybridMultilevel"/>
    <w:tmpl w:val="D0CC9A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6"/>
  </w:num>
  <w:num w:numId="6">
    <w:abstractNumId w:val="0"/>
  </w:num>
  <w:num w:numId="7">
    <w:abstractNumId w:val="5"/>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052BC"/>
    <w:rsid w:val="00013C2F"/>
    <w:rsid w:val="00021243"/>
    <w:rsid w:val="00022A4A"/>
    <w:rsid w:val="00036EDC"/>
    <w:rsid w:val="00065F0D"/>
    <w:rsid w:val="000724AF"/>
    <w:rsid w:val="0007639A"/>
    <w:rsid w:val="00087B99"/>
    <w:rsid w:val="000A3A69"/>
    <w:rsid w:val="000A65C9"/>
    <w:rsid w:val="000B27A7"/>
    <w:rsid w:val="000B60E9"/>
    <w:rsid w:val="000D18BF"/>
    <w:rsid w:val="000E09C4"/>
    <w:rsid w:val="000E4D1E"/>
    <w:rsid w:val="00153753"/>
    <w:rsid w:val="00162BB5"/>
    <w:rsid w:val="00165F48"/>
    <w:rsid w:val="0017270F"/>
    <w:rsid w:val="00175EE6"/>
    <w:rsid w:val="001849B2"/>
    <w:rsid w:val="00184E12"/>
    <w:rsid w:val="00186CF7"/>
    <w:rsid w:val="001A2460"/>
    <w:rsid w:val="001C45B4"/>
    <w:rsid w:val="001C625A"/>
    <w:rsid w:val="001E0C84"/>
    <w:rsid w:val="001E102B"/>
    <w:rsid w:val="001E34E6"/>
    <w:rsid w:val="001E41C1"/>
    <w:rsid w:val="0021213D"/>
    <w:rsid w:val="00216823"/>
    <w:rsid w:val="002306B2"/>
    <w:rsid w:val="00233917"/>
    <w:rsid w:val="00236B19"/>
    <w:rsid w:val="00240825"/>
    <w:rsid w:val="002473D0"/>
    <w:rsid w:val="002506FF"/>
    <w:rsid w:val="002537F2"/>
    <w:rsid w:val="00255740"/>
    <w:rsid w:val="00275679"/>
    <w:rsid w:val="00282F66"/>
    <w:rsid w:val="002936DD"/>
    <w:rsid w:val="00295CD3"/>
    <w:rsid w:val="002A109D"/>
    <w:rsid w:val="002D2007"/>
    <w:rsid w:val="002F00B3"/>
    <w:rsid w:val="002F3325"/>
    <w:rsid w:val="0032003B"/>
    <w:rsid w:val="00320BEB"/>
    <w:rsid w:val="00327526"/>
    <w:rsid w:val="0033060E"/>
    <w:rsid w:val="00386D95"/>
    <w:rsid w:val="00395032"/>
    <w:rsid w:val="003A1F9D"/>
    <w:rsid w:val="003C32C3"/>
    <w:rsid w:val="003D1795"/>
    <w:rsid w:val="003D27F1"/>
    <w:rsid w:val="003E3235"/>
    <w:rsid w:val="003F11F8"/>
    <w:rsid w:val="003F6934"/>
    <w:rsid w:val="00401453"/>
    <w:rsid w:val="00403201"/>
    <w:rsid w:val="00433C78"/>
    <w:rsid w:val="00445EDE"/>
    <w:rsid w:val="00447869"/>
    <w:rsid w:val="00454FA8"/>
    <w:rsid w:val="00460325"/>
    <w:rsid w:val="00463B0C"/>
    <w:rsid w:val="00470AD1"/>
    <w:rsid w:val="004737A5"/>
    <w:rsid w:val="0047615E"/>
    <w:rsid w:val="004856E4"/>
    <w:rsid w:val="0048693C"/>
    <w:rsid w:val="004A10A2"/>
    <w:rsid w:val="004B14F4"/>
    <w:rsid w:val="004C454B"/>
    <w:rsid w:val="004D4636"/>
    <w:rsid w:val="004E4A52"/>
    <w:rsid w:val="004E5C7C"/>
    <w:rsid w:val="004F3DB1"/>
    <w:rsid w:val="005023CE"/>
    <w:rsid w:val="00525C51"/>
    <w:rsid w:val="00531E6D"/>
    <w:rsid w:val="00540020"/>
    <w:rsid w:val="00543C69"/>
    <w:rsid w:val="005546AE"/>
    <w:rsid w:val="005629EE"/>
    <w:rsid w:val="005844B1"/>
    <w:rsid w:val="00584581"/>
    <w:rsid w:val="00584BEC"/>
    <w:rsid w:val="005851ED"/>
    <w:rsid w:val="005960E7"/>
    <w:rsid w:val="005C1BBF"/>
    <w:rsid w:val="005D2C3D"/>
    <w:rsid w:val="005E04F6"/>
    <w:rsid w:val="00602D7D"/>
    <w:rsid w:val="006136A0"/>
    <w:rsid w:val="006201B1"/>
    <w:rsid w:val="00631EAB"/>
    <w:rsid w:val="006427C2"/>
    <w:rsid w:val="00642A5C"/>
    <w:rsid w:val="00644285"/>
    <w:rsid w:val="0065416E"/>
    <w:rsid w:val="00657F36"/>
    <w:rsid w:val="006627B5"/>
    <w:rsid w:val="006631E9"/>
    <w:rsid w:val="006650F7"/>
    <w:rsid w:val="00666AA5"/>
    <w:rsid w:val="00670D34"/>
    <w:rsid w:val="006855AF"/>
    <w:rsid w:val="00695219"/>
    <w:rsid w:val="006B0323"/>
    <w:rsid w:val="006B05C0"/>
    <w:rsid w:val="006B4C33"/>
    <w:rsid w:val="006D2521"/>
    <w:rsid w:val="006D2FA8"/>
    <w:rsid w:val="006D36A9"/>
    <w:rsid w:val="006F1FA7"/>
    <w:rsid w:val="006F485E"/>
    <w:rsid w:val="00702EB0"/>
    <w:rsid w:val="007367DA"/>
    <w:rsid w:val="00737E59"/>
    <w:rsid w:val="0075469F"/>
    <w:rsid w:val="00763BF8"/>
    <w:rsid w:val="00787242"/>
    <w:rsid w:val="007B0C7B"/>
    <w:rsid w:val="007B2100"/>
    <w:rsid w:val="007C63C7"/>
    <w:rsid w:val="007C7B0F"/>
    <w:rsid w:val="007D6419"/>
    <w:rsid w:val="007D69D5"/>
    <w:rsid w:val="007E45B5"/>
    <w:rsid w:val="007E6F4E"/>
    <w:rsid w:val="007F3022"/>
    <w:rsid w:val="00801EFD"/>
    <w:rsid w:val="008041F6"/>
    <w:rsid w:val="008114D9"/>
    <w:rsid w:val="00816AD3"/>
    <w:rsid w:val="00832D0D"/>
    <w:rsid w:val="00847EC8"/>
    <w:rsid w:val="008515FF"/>
    <w:rsid w:val="00853117"/>
    <w:rsid w:val="00856708"/>
    <w:rsid w:val="008612AB"/>
    <w:rsid w:val="00862AFB"/>
    <w:rsid w:val="00875976"/>
    <w:rsid w:val="00880ECB"/>
    <w:rsid w:val="00893E0A"/>
    <w:rsid w:val="00896241"/>
    <w:rsid w:val="00897F07"/>
    <w:rsid w:val="008B1889"/>
    <w:rsid w:val="008D39CE"/>
    <w:rsid w:val="00901446"/>
    <w:rsid w:val="00901F76"/>
    <w:rsid w:val="009025B7"/>
    <w:rsid w:val="00912178"/>
    <w:rsid w:val="009208EC"/>
    <w:rsid w:val="00924A50"/>
    <w:rsid w:val="00933536"/>
    <w:rsid w:val="009347BC"/>
    <w:rsid w:val="0093594E"/>
    <w:rsid w:val="00951B85"/>
    <w:rsid w:val="009530ED"/>
    <w:rsid w:val="009649FB"/>
    <w:rsid w:val="00982D63"/>
    <w:rsid w:val="0098707A"/>
    <w:rsid w:val="009B04BD"/>
    <w:rsid w:val="009B15F8"/>
    <w:rsid w:val="009B2E59"/>
    <w:rsid w:val="009C1E09"/>
    <w:rsid w:val="009D726D"/>
    <w:rsid w:val="009E047D"/>
    <w:rsid w:val="009E38CC"/>
    <w:rsid w:val="009F1BB0"/>
    <w:rsid w:val="009F4509"/>
    <w:rsid w:val="00A0276B"/>
    <w:rsid w:val="00A0352E"/>
    <w:rsid w:val="00A05745"/>
    <w:rsid w:val="00A13727"/>
    <w:rsid w:val="00A177FD"/>
    <w:rsid w:val="00A23D1D"/>
    <w:rsid w:val="00A31C82"/>
    <w:rsid w:val="00A357C4"/>
    <w:rsid w:val="00A541C4"/>
    <w:rsid w:val="00A57D60"/>
    <w:rsid w:val="00A7147A"/>
    <w:rsid w:val="00A7510F"/>
    <w:rsid w:val="00A80A19"/>
    <w:rsid w:val="00A81C38"/>
    <w:rsid w:val="00A926D0"/>
    <w:rsid w:val="00AA19C1"/>
    <w:rsid w:val="00AA48C6"/>
    <w:rsid w:val="00AA7792"/>
    <w:rsid w:val="00AB120F"/>
    <w:rsid w:val="00AC53B3"/>
    <w:rsid w:val="00AD086B"/>
    <w:rsid w:val="00AD4362"/>
    <w:rsid w:val="00AE5015"/>
    <w:rsid w:val="00AE63FA"/>
    <w:rsid w:val="00B2645E"/>
    <w:rsid w:val="00B27930"/>
    <w:rsid w:val="00B35BD7"/>
    <w:rsid w:val="00B3726E"/>
    <w:rsid w:val="00B52FD3"/>
    <w:rsid w:val="00B61000"/>
    <w:rsid w:val="00B66E6B"/>
    <w:rsid w:val="00B75852"/>
    <w:rsid w:val="00B92DFE"/>
    <w:rsid w:val="00B92E00"/>
    <w:rsid w:val="00B94E9C"/>
    <w:rsid w:val="00B96191"/>
    <w:rsid w:val="00BA76E3"/>
    <w:rsid w:val="00BB3F30"/>
    <w:rsid w:val="00BD4DBD"/>
    <w:rsid w:val="00BD6C2D"/>
    <w:rsid w:val="00BD7111"/>
    <w:rsid w:val="00BD735D"/>
    <w:rsid w:val="00BE26F5"/>
    <w:rsid w:val="00BE7F0D"/>
    <w:rsid w:val="00C11A85"/>
    <w:rsid w:val="00C21002"/>
    <w:rsid w:val="00C24E0B"/>
    <w:rsid w:val="00C30FD5"/>
    <w:rsid w:val="00C34D27"/>
    <w:rsid w:val="00C364CA"/>
    <w:rsid w:val="00C421EE"/>
    <w:rsid w:val="00C51E04"/>
    <w:rsid w:val="00C63A75"/>
    <w:rsid w:val="00C92149"/>
    <w:rsid w:val="00C958C4"/>
    <w:rsid w:val="00CA1E10"/>
    <w:rsid w:val="00CA4321"/>
    <w:rsid w:val="00CB47C1"/>
    <w:rsid w:val="00CB50C5"/>
    <w:rsid w:val="00CC12B9"/>
    <w:rsid w:val="00CD5856"/>
    <w:rsid w:val="00CD7B8A"/>
    <w:rsid w:val="00D02ABD"/>
    <w:rsid w:val="00D05496"/>
    <w:rsid w:val="00D16B82"/>
    <w:rsid w:val="00D17E7A"/>
    <w:rsid w:val="00D17FEC"/>
    <w:rsid w:val="00D24193"/>
    <w:rsid w:val="00D310AA"/>
    <w:rsid w:val="00D67CFD"/>
    <w:rsid w:val="00D72ACE"/>
    <w:rsid w:val="00D810C3"/>
    <w:rsid w:val="00D874FD"/>
    <w:rsid w:val="00D934AD"/>
    <w:rsid w:val="00D96987"/>
    <w:rsid w:val="00DB17C2"/>
    <w:rsid w:val="00DB1925"/>
    <w:rsid w:val="00DB65B8"/>
    <w:rsid w:val="00DD166F"/>
    <w:rsid w:val="00DF5433"/>
    <w:rsid w:val="00E337E6"/>
    <w:rsid w:val="00E52749"/>
    <w:rsid w:val="00E62E16"/>
    <w:rsid w:val="00E672AA"/>
    <w:rsid w:val="00E712B5"/>
    <w:rsid w:val="00E95BC6"/>
    <w:rsid w:val="00EA2E82"/>
    <w:rsid w:val="00EB78FB"/>
    <w:rsid w:val="00EC0889"/>
    <w:rsid w:val="00EC5AA6"/>
    <w:rsid w:val="00EF29F1"/>
    <w:rsid w:val="00EF3D22"/>
    <w:rsid w:val="00EF487A"/>
    <w:rsid w:val="00F150B5"/>
    <w:rsid w:val="00F17EC0"/>
    <w:rsid w:val="00F20500"/>
    <w:rsid w:val="00F320DE"/>
    <w:rsid w:val="00F40366"/>
    <w:rsid w:val="00F42816"/>
    <w:rsid w:val="00F66136"/>
    <w:rsid w:val="00F70578"/>
    <w:rsid w:val="00F7572A"/>
    <w:rsid w:val="00F80F6D"/>
    <w:rsid w:val="00F85CB9"/>
    <w:rsid w:val="00FC0E9B"/>
    <w:rsid w:val="00FC16BE"/>
    <w:rsid w:val="00FC5CB0"/>
    <w:rsid w:val="00FD2CCD"/>
    <w:rsid w:val="00FD5282"/>
    <w:rsid w:val="00FE1B13"/>
    <w:rsid w:val="00FE1EE0"/>
    <w:rsid w:val="00FE33B8"/>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3B20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912178"/>
    <w:rPr>
      <w:color w:val="0000FF" w:themeColor="hyperlink"/>
      <w:u w:val="single"/>
    </w:rPr>
  </w:style>
  <w:style w:type="character" w:styleId="FollowedHyperlink">
    <w:name w:val="FollowedHyperlink"/>
    <w:basedOn w:val="DefaultParagraphFont"/>
    <w:uiPriority w:val="99"/>
    <w:semiHidden/>
    <w:unhideWhenUsed/>
    <w:rsid w:val="007C63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912178"/>
    <w:rPr>
      <w:color w:val="0000FF" w:themeColor="hyperlink"/>
      <w:u w:val="single"/>
    </w:rPr>
  </w:style>
  <w:style w:type="character" w:styleId="FollowedHyperlink">
    <w:name w:val="FollowedHyperlink"/>
    <w:basedOn w:val="DefaultParagraphFont"/>
    <w:uiPriority w:val="99"/>
    <w:semiHidden/>
    <w:unhideWhenUsed/>
    <w:rsid w:val="007C63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ger.com/Article/PDF/443828" TargetMode="External"/><Relationship Id="rId18" Type="http://schemas.openxmlformats.org/officeDocument/2006/relationships/hyperlink" Target="https://www.ncbi.nlm.nih.gov/pubmed/1981850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ncbi.nlm.nih.gov/pubmed/1949122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8918563" TargetMode="External"/><Relationship Id="rId25" Type="http://schemas.openxmlformats.org/officeDocument/2006/relationships/hyperlink" Target="http://www.igd.nhs.uk/wp-content/uploads/2016/04/DemandManagementPoster_v4_February2016.pdf" TargetMode="External"/><Relationship Id="rId2" Type="http://schemas.openxmlformats.org/officeDocument/2006/relationships/numbering" Target="numbering.xml"/><Relationship Id="rId16" Type="http://schemas.openxmlformats.org/officeDocument/2006/relationships/hyperlink" Target="https://www.ncbi.nlm.nih.gov/pubmed/9292946" TargetMode="External"/><Relationship Id="rId20" Type="http://schemas.openxmlformats.org/officeDocument/2006/relationships/hyperlink" Target="https://www.ncbi.nlm.nih.gov/pubmed/224439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gov.uk/government/uploads/system/uploads/attachment_data/file/216671/dh_131107.pdf" TargetMode="External"/><Relationship Id="rId5" Type="http://schemas.openxmlformats.org/officeDocument/2006/relationships/settings" Target="settings.xml"/><Relationship Id="rId15" Type="http://schemas.openxmlformats.org/officeDocument/2006/relationships/hyperlink" Target="https://www.ncbi.nlm.nih.gov/pubmed/18299459" TargetMode="External"/><Relationship Id="rId23" Type="http://schemas.openxmlformats.org/officeDocument/2006/relationships/hyperlink" Target="https://www.ncbi.nlm.nih.gov/pubmed/9075609"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ncbi.nlm.nih.gov/pubmed/2549496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ormones.gr/pdf/1116273756.pdf" TargetMode="External"/><Relationship Id="rId22" Type="http://schemas.openxmlformats.org/officeDocument/2006/relationships/hyperlink" Target="https://www.ncbi.nlm.nih.gov/pubmed/24678411"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9CEAF-11D2-4DFC-9A29-35573E42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22</cp:revision>
  <cp:lastPrinted>2017-04-10T04:10:00Z</cp:lastPrinted>
  <dcterms:created xsi:type="dcterms:W3CDTF">2017-03-15T23:02:00Z</dcterms:created>
  <dcterms:modified xsi:type="dcterms:W3CDTF">2017-04-10T04:11:00Z</dcterms:modified>
</cp:coreProperties>
</file>