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BA2B21" w:rsidRDefault="002B2FE2" w:rsidP="00BA2B21">
      <w:pPr>
        <w:pStyle w:val="Heading3"/>
        <w:ind w:left="-284"/>
        <w:rPr>
          <w:color w:val="auto"/>
        </w:rPr>
      </w:pPr>
      <w:r w:rsidRPr="00BA2B21">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2B2FE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2B2FE2">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1D0F55" w:rsidP="007830E1">
            <w:pPr>
              <w:spacing w:before="120" w:after="120"/>
              <w:rPr>
                <w:rFonts w:asciiTheme="minorHAnsi" w:eastAsia="Times New Roman" w:hAnsiTheme="minorHAnsi" w:cs="Times New Roman"/>
                <w:b/>
                <w:bCs/>
                <w:lang w:eastAsia="en-AU"/>
              </w:rPr>
            </w:pPr>
            <w:r w:rsidRPr="001D0F55">
              <w:rPr>
                <w:rFonts w:asciiTheme="minorHAnsi" w:eastAsia="Times New Roman" w:hAnsiTheme="minorHAnsi" w:cs="Times New Roman"/>
                <w:b/>
                <w:bCs/>
                <w:lang w:eastAsia="en-AU"/>
              </w:rPr>
              <w:t>Myocarditis in children</w:t>
            </w:r>
          </w:p>
        </w:tc>
      </w:tr>
      <w:tr w:rsidR="00642A5C" w:rsidRPr="00447869" w:rsidTr="00437609">
        <w:tc>
          <w:tcPr>
            <w:tcW w:w="2836" w:type="dxa"/>
            <w:shd w:val="clear" w:color="auto" w:fill="auto"/>
          </w:tcPr>
          <w:p w:rsidR="003E3235" w:rsidRPr="00BA2B21" w:rsidRDefault="002B2FE2" w:rsidP="002B2FE2">
            <w:pPr>
              <w:spacing w:before="120" w:after="120"/>
              <w:rPr>
                <w:rFonts w:asciiTheme="minorHAnsi" w:eastAsia="Times New Roman" w:hAnsiTheme="minorHAnsi" w:cs="Times New Roman"/>
                <w:b/>
                <w:bCs/>
                <w:lang w:eastAsia="en-AU"/>
              </w:rPr>
            </w:pPr>
            <w:r w:rsidRPr="00BA2B21">
              <w:rPr>
                <w:rFonts w:asciiTheme="minorHAnsi" w:eastAsia="Times New Roman" w:hAnsiTheme="minorHAnsi" w:cs="Times New Roman"/>
                <w:b/>
                <w:bCs/>
                <w:lang w:eastAsia="en-AU"/>
              </w:rPr>
              <w:t>PROPOSED APPROACH:</w:t>
            </w:r>
          </w:p>
          <w:p w:rsidR="002B2FE2" w:rsidRPr="00C92149" w:rsidRDefault="002B2FE2" w:rsidP="002B2FE2">
            <w:pPr>
              <w:spacing w:before="120" w:after="120"/>
              <w:rPr>
                <w:rFonts w:asciiTheme="minorHAnsi" w:eastAsia="Times New Roman" w:hAnsiTheme="minorHAnsi" w:cs="Times New Roman"/>
                <w:bCs/>
                <w:lang w:eastAsia="en-AU"/>
              </w:rPr>
            </w:pPr>
            <w:r w:rsidRPr="00BA2B21">
              <w:rPr>
                <w:rFonts w:asciiTheme="minorHAnsi" w:eastAsia="Times New Roman" w:hAnsiTheme="minorHAnsi" w:cs="Times New Roman"/>
                <w:b/>
                <w:bCs/>
                <w:lang w:eastAsia="en-AU"/>
              </w:rPr>
              <w:t xml:space="preserve">To move </w:t>
            </w:r>
            <w:r w:rsidRPr="002B2FE2">
              <w:rPr>
                <w:rFonts w:asciiTheme="minorHAnsi" w:eastAsia="Times New Roman" w:hAnsiTheme="minorHAnsi" w:cs="Times New Roman"/>
                <w:b/>
                <w:bCs/>
                <w:lang w:eastAsia="en-AU"/>
              </w:rPr>
              <w:t xml:space="preserve">Myocarditis in children from </w:t>
            </w:r>
            <w:r w:rsidRPr="00BA2B21">
              <w:rPr>
                <w:rFonts w:asciiTheme="minorHAnsi" w:eastAsia="Times New Roman" w:hAnsiTheme="minorHAnsi" w:cs="Times New Roman"/>
                <w:b/>
                <w:bCs/>
                <w:i/>
                <w:lang w:eastAsia="en-AU"/>
              </w:rPr>
              <w:t>Exceptional circumstances only</w:t>
            </w:r>
            <w:r w:rsidRPr="002B2FE2">
              <w:rPr>
                <w:rFonts w:asciiTheme="minorHAnsi" w:eastAsia="Times New Roman" w:hAnsiTheme="minorHAnsi" w:cs="Times New Roman"/>
                <w:b/>
                <w:bCs/>
                <w:lang w:eastAsia="en-AU"/>
              </w:rPr>
              <w:t xml:space="preserve"> to </w:t>
            </w:r>
            <w:r w:rsidRPr="00BA2B21">
              <w:rPr>
                <w:rFonts w:asciiTheme="minorHAnsi" w:eastAsia="Times New Roman" w:hAnsiTheme="minorHAnsi" w:cs="Times New Roman"/>
                <w:b/>
                <w:bCs/>
                <w:i/>
                <w:lang w:eastAsia="en-AU"/>
              </w:rPr>
              <w:t>Not supported</w:t>
            </w:r>
            <w:r w:rsidRPr="002B2FE2">
              <w:rPr>
                <w:rFonts w:asciiTheme="minorHAnsi" w:eastAsia="Times New Roman" w:hAnsiTheme="minorHAnsi" w:cs="Times New Roman"/>
                <w:b/>
                <w:bCs/>
                <w:i/>
                <w:lang w:eastAsia="en-AU"/>
              </w:rPr>
              <w:t>.</w:t>
            </w:r>
            <w:r>
              <w:rPr>
                <w:rFonts w:asciiTheme="minorHAnsi" w:eastAsia="Times New Roman" w:hAnsiTheme="minorHAnsi" w:cs="Times New Roman"/>
                <w:b/>
                <w:bCs/>
                <w:lang w:eastAsia="en-AU"/>
              </w:rPr>
              <w:t xml:space="preserve"> </w:t>
            </w:r>
          </w:p>
        </w:tc>
        <w:tc>
          <w:tcPr>
            <w:tcW w:w="11765"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F95C39" w:rsidRPr="00F95C39" w:rsidRDefault="00F95C39" w:rsidP="00F95C39">
            <w:pPr>
              <w:spacing w:before="120" w:after="120"/>
              <w:rPr>
                <w:rFonts w:eastAsia="Times New Roman" w:cs="Times New Roman"/>
                <w:bCs/>
                <w:lang w:eastAsia="en-AU"/>
              </w:rPr>
            </w:pPr>
            <w:r w:rsidRPr="00F95C39">
              <w:rPr>
                <w:rFonts w:eastAsia="Times New Roman" w:cs="Times New Roman"/>
                <w:bCs/>
                <w:lang w:eastAsia="en-AU"/>
              </w:rPr>
              <w:t xml:space="preserve">The recommended changes are supported by factors including that: </w:t>
            </w:r>
          </w:p>
          <w:p w:rsidR="00F95C39" w:rsidRPr="00F95C39" w:rsidRDefault="00F95C39" w:rsidP="00F95C39">
            <w:pPr>
              <w:pStyle w:val="ListParagraph"/>
              <w:numPr>
                <w:ilvl w:val="0"/>
                <w:numId w:val="47"/>
              </w:numPr>
              <w:spacing w:before="120" w:after="120"/>
              <w:rPr>
                <w:rFonts w:eastAsia="Times New Roman" w:cs="Times New Roman"/>
                <w:bCs/>
                <w:lang w:eastAsia="en-AU"/>
              </w:rPr>
            </w:pPr>
            <w:r w:rsidRPr="00F95C39">
              <w:rPr>
                <w:rFonts w:eastAsia="Times New Roman" w:cs="Times New Roman"/>
                <w:bCs/>
                <w:lang w:eastAsia="en-AU"/>
              </w:rPr>
              <w:t xml:space="preserve">While Ig therapy was once routinely prescribed for children with acute myocarditis, a recent update of a Cochrane review (Robinson </w:t>
            </w:r>
            <w:proofErr w:type="gramStart"/>
            <w:r w:rsidRPr="00F95C39">
              <w:rPr>
                <w:rFonts w:eastAsia="Times New Roman" w:cs="Times New Roman"/>
                <w:bCs/>
                <w:lang w:eastAsia="en-AU"/>
              </w:rPr>
              <w:t>2005,</w:t>
            </w:r>
            <w:proofErr w:type="gramEnd"/>
            <w:r w:rsidRPr="00F95C39">
              <w:rPr>
                <w:rFonts w:eastAsia="Times New Roman" w:cs="Times New Roman"/>
                <w:bCs/>
                <w:lang w:eastAsia="en-AU"/>
              </w:rPr>
              <w:t xml:space="preserve"> updated May 2015) found only one randomised trial of 62 adults demonstrating no benefit. A second trial evaluating 83 children was biased because the children </w:t>
            </w:r>
            <w:r w:rsidR="006A0A27">
              <w:rPr>
                <w:rFonts w:eastAsia="Times New Roman" w:cs="Times New Roman"/>
                <w:bCs/>
                <w:lang w:eastAsia="en-AU"/>
              </w:rPr>
              <w:t>included in the study</w:t>
            </w:r>
            <w:r w:rsidRPr="00F95C39">
              <w:rPr>
                <w:rFonts w:eastAsia="Times New Roman" w:cs="Times New Roman"/>
                <w:bCs/>
                <w:lang w:eastAsia="en-AU"/>
              </w:rPr>
              <w:t xml:space="preserve"> </w:t>
            </w:r>
            <w:r w:rsidR="006A0A27">
              <w:rPr>
                <w:rFonts w:eastAsia="Times New Roman" w:cs="Times New Roman"/>
                <w:bCs/>
                <w:lang w:eastAsia="en-AU"/>
              </w:rPr>
              <w:t xml:space="preserve">had the relative rare combination of </w:t>
            </w:r>
            <w:r w:rsidRPr="00F95C39">
              <w:rPr>
                <w:rFonts w:eastAsia="Times New Roman" w:cs="Times New Roman"/>
                <w:bCs/>
                <w:lang w:eastAsia="en-AU"/>
              </w:rPr>
              <w:t xml:space="preserve">both myocarditis and encephalitis. </w:t>
            </w:r>
            <w:r w:rsidR="006A0A27">
              <w:rPr>
                <w:rFonts w:eastAsia="Times New Roman" w:cs="Times New Roman"/>
                <w:bCs/>
                <w:lang w:eastAsia="en-AU"/>
              </w:rPr>
              <w:t xml:space="preserve">This review concluded that ‘more study is required before </w:t>
            </w:r>
            <w:proofErr w:type="spellStart"/>
            <w:r w:rsidR="006A0A27">
              <w:rPr>
                <w:rFonts w:eastAsia="Times New Roman" w:cs="Times New Roman"/>
                <w:bCs/>
                <w:lang w:eastAsia="en-AU"/>
              </w:rPr>
              <w:t>IVIg</w:t>
            </w:r>
            <w:proofErr w:type="spellEnd"/>
            <w:r w:rsidR="006A0A27">
              <w:rPr>
                <w:rFonts w:eastAsia="Times New Roman" w:cs="Times New Roman"/>
                <w:bCs/>
                <w:lang w:eastAsia="en-AU"/>
              </w:rPr>
              <w:t xml:space="preserve"> can be routinely recommended for adults or children with </w:t>
            </w:r>
            <w:proofErr w:type="gramStart"/>
            <w:r w:rsidR="006A0A27">
              <w:rPr>
                <w:rFonts w:eastAsia="Times New Roman" w:cs="Times New Roman"/>
                <w:bCs/>
                <w:lang w:eastAsia="en-AU"/>
              </w:rPr>
              <w:t>myocarditis’</w:t>
            </w:r>
            <w:proofErr w:type="gramEnd"/>
            <w:r w:rsidR="006A0A27">
              <w:rPr>
                <w:rFonts w:eastAsia="Times New Roman" w:cs="Times New Roman"/>
                <w:bCs/>
                <w:lang w:eastAsia="en-AU"/>
              </w:rPr>
              <w:t>.</w:t>
            </w:r>
            <w:bookmarkStart w:id="0" w:name="_GoBack"/>
            <w:bookmarkEnd w:id="0"/>
          </w:p>
          <w:p w:rsidR="00F95C39" w:rsidRPr="00F95C39" w:rsidRDefault="00866D10" w:rsidP="00F95C39">
            <w:pPr>
              <w:pStyle w:val="ListParagraph"/>
              <w:numPr>
                <w:ilvl w:val="0"/>
                <w:numId w:val="47"/>
              </w:numPr>
              <w:spacing w:before="120" w:after="120"/>
              <w:rPr>
                <w:rFonts w:eastAsia="Times New Roman" w:cs="Times New Roman"/>
                <w:bCs/>
                <w:lang w:eastAsia="en-AU"/>
              </w:rPr>
            </w:pPr>
            <w:proofErr w:type="spellStart"/>
            <w:r>
              <w:rPr>
                <w:rFonts w:eastAsia="Times New Roman" w:cs="Times New Roman"/>
                <w:bCs/>
                <w:lang w:eastAsia="en-AU"/>
              </w:rPr>
              <w:t>IVIg</w:t>
            </w:r>
            <w:proofErr w:type="spellEnd"/>
            <w:r w:rsidR="00F95C39" w:rsidRPr="00F95C39">
              <w:rPr>
                <w:rFonts w:eastAsia="Times New Roman" w:cs="Times New Roman"/>
                <w:bCs/>
                <w:lang w:eastAsia="en-AU"/>
              </w:rPr>
              <w:t xml:space="preserve"> usage data indicates that 15 to 30 patients have been treated annually with Ig therapy for this condition over the last five years. There may also be some cross over for patients with congenital heart block</w:t>
            </w:r>
            <w:r w:rsidR="009A69CF">
              <w:rPr>
                <w:rFonts w:eastAsia="Times New Roman" w:cs="Times New Roman"/>
                <w:bCs/>
                <w:lang w:eastAsia="en-AU"/>
              </w:rPr>
              <w:t xml:space="preserve">. Ig therapy will continue to be funded for congenital heart block. </w:t>
            </w:r>
            <w:r w:rsidR="00F95C39" w:rsidRPr="00F95C39">
              <w:rPr>
                <w:rFonts w:eastAsia="Times New Roman" w:cs="Times New Roman"/>
                <w:bCs/>
                <w:lang w:eastAsia="en-AU"/>
              </w:rPr>
              <w:t xml:space="preserve"> </w:t>
            </w:r>
          </w:p>
          <w:p w:rsidR="00FF4718" w:rsidRPr="00C92149" w:rsidRDefault="009A69CF" w:rsidP="00F95C39">
            <w:pPr>
              <w:pStyle w:val="ListParagraph"/>
              <w:numPr>
                <w:ilvl w:val="0"/>
                <w:numId w:val="44"/>
              </w:numPr>
              <w:spacing w:before="120" w:after="120"/>
              <w:rPr>
                <w:rFonts w:asciiTheme="minorHAnsi" w:eastAsia="Times New Roman" w:hAnsiTheme="minorHAnsi" w:cs="Times New Roman"/>
                <w:b/>
                <w:bCs/>
                <w:lang w:eastAsia="en-AU"/>
              </w:rPr>
            </w:pPr>
            <w:r>
              <w:rPr>
                <w:rFonts w:eastAsia="Times New Roman" w:cs="Times New Roman"/>
                <w:bCs/>
                <w:lang w:eastAsia="en-AU"/>
              </w:rPr>
              <w:t>Myocarditis in Children</w:t>
            </w:r>
            <w:r w:rsidR="00F95C39" w:rsidRPr="00F95C39">
              <w:rPr>
                <w:rFonts w:eastAsia="Times New Roman" w:cs="Times New Roman"/>
                <w:bCs/>
                <w:lang w:eastAsia="en-AU"/>
              </w:rPr>
              <w:t xml:space="preserve"> is not listed in the UK NHS immunoglobulin Guidelines (UK Department of Health, 2011), or the national Canadian </w:t>
            </w:r>
            <w:proofErr w:type="spellStart"/>
            <w:r w:rsidR="00866D10">
              <w:rPr>
                <w:rFonts w:eastAsia="Times New Roman" w:cs="Times New Roman"/>
                <w:bCs/>
                <w:lang w:eastAsia="en-AU"/>
              </w:rPr>
              <w:t>IVIg</w:t>
            </w:r>
            <w:proofErr w:type="spellEnd"/>
            <w:r w:rsidR="00F95C39" w:rsidRPr="00F95C39">
              <w:rPr>
                <w:rFonts w:eastAsia="Times New Roman" w:cs="Times New Roman"/>
                <w:bCs/>
                <w:lang w:eastAsia="en-AU"/>
              </w:rPr>
              <w:t xml:space="preserve"> Uti</w:t>
            </w:r>
            <w:r w:rsidR="00F95C39">
              <w:rPr>
                <w:rFonts w:eastAsia="Times New Roman" w:cs="Times New Roman"/>
                <w:bCs/>
                <w:lang w:eastAsia="en-AU"/>
              </w:rPr>
              <w:t xml:space="preserve">lisation Management Guidelines </w:t>
            </w:r>
            <w:r w:rsidR="00F95C39" w:rsidRPr="00F95C39">
              <w:rPr>
                <w:rFonts w:eastAsia="Times New Roman" w:cs="Times New Roman"/>
                <w:bCs/>
                <w:lang w:eastAsia="en-AU"/>
              </w:rPr>
              <w:t xml:space="preserve">(Ontario Regional Blood Coordinating Network, 2016).  </w:t>
            </w:r>
          </w:p>
        </w:tc>
      </w:tr>
      <w:tr w:rsidR="008612AB" w:rsidRPr="00447869" w:rsidTr="00437609">
        <w:tc>
          <w:tcPr>
            <w:tcW w:w="14601" w:type="dxa"/>
            <w:gridSpan w:val="2"/>
            <w:shd w:val="clear" w:color="auto" w:fill="auto"/>
          </w:tcPr>
          <w:p w:rsidR="008612AB" w:rsidRPr="009E0D07" w:rsidRDefault="008612AB" w:rsidP="00DB1FE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9E0D07">
              <w:rPr>
                <w:rFonts w:asciiTheme="minorHAnsi" w:eastAsia="Times New Roman" w:hAnsiTheme="minorHAnsi" w:cs="Times New Roman"/>
                <w:b/>
                <w:bCs/>
                <w:lang w:eastAsia="en-AU"/>
              </w:rPr>
              <w:t xml:space="preserve"> </w:t>
            </w:r>
            <w:r w:rsidR="009E0D07">
              <w:rPr>
                <w:rFonts w:asciiTheme="minorHAnsi" w:eastAsia="Times New Roman" w:hAnsiTheme="minorHAnsi" w:cs="Times New Roman"/>
                <w:bCs/>
                <w:lang w:eastAsia="en-AU"/>
              </w:rPr>
              <w:t xml:space="preserve"> </w:t>
            </w:r>
            <w:r w:rsidR="00DB1FE5">
              <w:rPr>
                <w:rFonts w:asciiTheme="minorHAnsi" w:eastAsia="Times New Roman" w:hAnsiTheme="minorHAnsi" w:cs="Times New Roman"/>
                <w:bCs/>
                <w:lang w:eastAsia="en-AU"/>
              </w:rPr>
              <w:t>Not applicable</w:t>
            </w:r>
          </w:p>
        </w:tc>
      </w:tr>
      <w:tr w:rsidR="00E7550D" w:rsidRPr="00447869" w:rsidTr="00437609">
        <w:trPr>
          <w:trHeight w:val="515"/>
        </w:trPr>
        <w:tc>
          <w:tcPr>
            <w:tcW w:w="14601" w:type="dxa"/>
            <w:gridSpan w:val="2"/>
            <w:shd w:val="clear" w:color="auto" w:fill="DBE5F1" w:themeFill="accent1" w:themeFillTint="33"/>
          </w:tcPr>
          <w:p w:rsidR="00E7550D" w:rsidRDefault="00E7550D" w:rsidP="002B2FE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2B2FE2">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1765" w:type="dxa"/>
            <w:shd w:val="clear" w:color="auto" w:fill="auto"/>
          </w:tcPr>
          <w:p w:rsidR="00793EB5" w:rsidRPr="00E7550D" w:rsidRDefault="002B2FE2"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which Ig use is in </w:t>
            </w:r>
            <w:r w:rsidR="001D0F55" w:rsidRPr="001D0F55">
              <w:rPr>
                <w:rFonts w:asciiTheme="minorHAnsi" w:eastAsia="Times New Roman" w:hAnsiTheme="minorHAnsi" w:cs="Times New Roman"/>
                <w:bCs/>
                <w:lang w:eastAsia="en-AU"/>
              </w:rPr>
              <w:t>exceptional circumstances only</w:t>
            </w:r>
            <w:r>
              <w:rPr>
                <w:rFonts w:asciiTheme="minorHAnsi" w:eastAsia="Times New Roman" w:hAnsiTheme="minorHAnsi" w:cs="Times New Roman"/>
                <w:bCs/>
                <w:lang w:eastAsia="en-AU"/>
              </w:rPr>
              <w:t xml:space="preserve"> (Chapter 7) </w:t>
            </w:r>
          </w:p>
        </w:tc>
      </w:tr>
      <w:tr w:rsidR="00E7550D" w:rsidRPr="00447869" w:rsidTr="00437609">
        <w:trPr>
          <w:trHeight w:val="515"/>
        </w:trPr>
        <w:tc>
          <w:tcPr>
            <w:tcW w:w="2836"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1765" w:type="dxa"/>
            <w:shd w:val="clear" w:color="auto" w:fill="auto"/>
          </w:tcPr>
          <w:p w:rsidR="00E7550D" w:rsidRPr="00793EB5" w:rsidRDefault="001D0F55" w:rsidP="007830E1">
            <w:pPr>
              <w:spacing w:before="120" w:after="120"/>
              <w:rPr>
                <w:rFonts w:asciiTheme="minorHAnsi" w:eastAsia="Times New Roman" w:hAnsiTheme="minorHAnsi" w:cs="Times New Roman"/>
                <w:bCs/>
                <w:lang w:eastAsia="en-AU"/>
              </w:rPr>
            </w:pPr>
            <w:r w:rsidRPr="001D0F55">
              <w:rPr>
                <w:rFonts w:asciiTheme="minorHAnsi" w:eastAsia="Times New Roman" w:hAnsiTheme="minorHAnsi" w:cs="Times New Roman"/>
                <w:bCs/>
                <w:lang w:eastAsia="en-AU"/>
              </w:rPr>
              <w:t>Insufficient data (Category 4a)</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1765" w:type="dxa"/>
            <w:shd w:val="clear" w:color="auto" w:fill="auto"/>
          </w:tcPr>
          <w:p w:rsidR="00793EB5" w:rsidRPr="00793EB5" w:rsidRDefault="00793EB5" w:rsidP="007830E1">
            <w:pPr>
              <w:spacing w:before="120" w:after="120"/>
              <w:rPr>
                <w:rFonts w:asciiTheme="minorHAnsi" w:eastAsia="Times New Roman" w:hAnsiTheme="minorHAnsi" w:cs="Times New Roman"/>
                <w:bCs/>
                <w:lang w:eastAsia="en-AU"/>
              </w:rPr>
            </w:pP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1765" w:type="dxa"/>
            <w:shd w:val="clear" w:color="auto" w:fill="auto"/>
          </w:tcPr>
          <w:p w:rsidR="00DB1FE5" w:rsidRPr="00F95C39" w:rsidRDefault="00F95C39" w:rsidP="00F95C39">
            <w:pPr>
              <w:rPr>
                <w:rFonts w:asciiTheme="minorHAnsi" w:eastAsia="Times New Roman" w:hAnsiTheme="minorHAnsi" w:cs="Times New Roman"/>
                <w:bCs/>
                <w:lang w:eastAsia="en-AU"/>
              </w:rPr>
            </w:pPr>
            <w:r w:rsidRPr="00F95C39">
              <w:rPr>
                <w:rFonts w:asciiTheme="minorHAnsi" w:eastAsia="Times New Roman" w:hAnsiTheme="minorHAnsi" w:cs="Times New Roman"/>
                <w:bCs/>
                <w:lang w:eastAsia="en-AU"/>
              </w:rPr>
              <w:t>There is some evidence that intravenous immunoglobulin (</w:t>
            </w:r>
            <w:proofErr w:type="spellStart"/>
            <w:r w:rsidR="00866D10">
              <w:rPr>
                <w:rFonts w:asciiTheme="minorHAnsi" w:eastAsia="Times New Roman" w:hAnsiTheme="minorHAnsi" w:cs="Times New Roman"/>
                <w:bCs/>
                <w:lang w:eastAsia="en-AU"/>
              </w:rPr>
              <w:t>IVIg</w:t>
            </w:r>
            <w:proofErr w:type="spellEnd"/>
            <w:r w:rsidRPr="00F95C39">
              <w:rPr>
                <w:rFonts w:asciiTheme="minorHAnsi" w:eastAsia="Times New Roman" w:hAnsiTheme="minorHAnsi" w:cs="Times New Roman"/>
                <w:bCs/>
                <w:lang w:eastAsia="en-AU"/>
              </w:rPr>
              <w:t>) improves cardiac function in children with proven or likely viral myocarditis.</w:t>
            </w:r>
          </w:p>
        </w:tc>
      </w:tr>
      <w:tr w:rsidR="008612AB" w:rsidRPr="00021243" w:rsidTr="00437609">
        <w:tblPrEx>
          <w:tblLook w:val="04A0" w:firstRow="1" w:lastRow="0" w:firstColumn="1" w:lastColumn="0" w:noHBand="0" w:noVBand="1"/>
        </w:tblPrEx>
        <w:tc>
          <w:tcPr>
            <w:tcW w:w="14601" w:type="dxa"/>
            <w:gridSpan w:val="2"/>
            <w:shd w:val="clear" w:color="auto" w:fill="DBE5F1" w:themeFill="accent1" w:themeFillTint="33"/>
          </w:tcPr>
          <w:p w:rsidR="00133D92" w:rsidRDefault="00F42816" w:rsidP="001D0F55">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DB1FE5">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133D92">
              <w:rPr>
                <w:rFonts w:asciiTheme="minorHAnsi" w:hAnsiTheme="minorHAnsi"/>
                <w:b/>
              </w:rPr>
              <w:t>:</w:t>
            </w:r>
            <w:r>
              <w:rPr>
                <w:rFonts w:asciiTheme="minorHAnsi" w:hAnsiTheme="minorHAnsi"/>
                <w:b/>
              </w:rPr>
              <w:t xml:space="preserve"> </w:t>
            </w:r>
            <w:r w:rsidR="00F95C39">
              <w:rPr>
                <w:rFonts w:asciiTheme="minorHAnsi" w:hAnsiTheme="minorHAnsi"/>
                <w:b/>
              </w:rPr>
              <w:t>February</w:t>
            </w:r>
            <w:r w:rsidR="00DB1FE5">
              <w:rPr>
                <w:rFonts w:asciiTheme="minorHAnsi" w:hAnsiTheme="minorHAnsi"/>
                <w:b/>
              </w:rPr>
              <w:t xml:space="preserve"> 2016</w:t>
            </w:r>
            <w:r>
              <w:rPr>
                <w:rFonts w:asciiTheme="minorHAnsi" w:hAnsiTheme="minorHAnsi"/>
                <w:b/>
              </w:rPr>
              <w:t>)</w:t>
            </w:r>
          </w:p>
        </w:tc>
      </w:tr>
      <w:tr w:rsidR="008612AB" w:rsidRPr="00255740" w:rsidTr="00437609">
        <w:tblPrEx>
          <w:tblLook w:val="04A0" w:firstRow="1" w:lastRow="0" w:firstColumn="1" w:lastColumn="0" w:noHBand="0" w:noVBand="1"/>
        </w:tblPrEx>
        <w:tc>
          <w:tcPr>
            <w:tcW w:w="14601" w:type="dxa"/>
            <w:gridSpan w:val="2"/>
          </w:tcPr>
          <w:p w:rsidR="001D0F55" w:rsidRDefault="0096446E" w:rsidP="001D0F55">
            <w:pPr>
              <w:spacing w:before="120" w:after="120"/>
              <w:rPr>
                <w:rFonts w:asciiTheme="minorHAnsi" w:hAnsiTheme="minorHAnsi"/>
              </w:rPr>
            </w:pPr>
            <w:r>
              <w:rPr>
                <w:rFonts w:asciiTheme="minorHAnsi" w:hAnsiTheme="minorHAnsi"/>
              </w:rPr>
              <w:lastRenderedPageBreak/>
              <w:t>Drucker</w:t>
            </w:r>
            <w:r w:rsidR="001D0F55" w:rsidRPr="001D0F55">
              <w:rPr>
                <w:rFonts w:asciiTheme="minorHAnsi" w:hAnsiTheme="minorHAnsi"/>
              </w:rPr>
              <w:t xml:space="preserve"> NA</w:t>
            </w:r>
            <w:r>
              <w:rPr>
                <w:rFonts w:asciiTheme="minorHAnsi" w:hAnsiTheme="minorHAnsi"/>
              </w:rPr>
              <w:t xml:space="preserve">, </w:t>
            </w:r>
            <w:proofErr w:type="spellStart"/>
            <w:r>
              <w:rPr>
                <w:rFonts w:asciiTheme="minorHAnsi" w:hAnsiTheme="minorHAnsi"/>
              </w:rPr>
              <w:t>Colan</w:t>
            </w:r>
            <w:proofErr w:type="spellEnd"/>
            <w:r w:rsidR="001D0F55" w:rsidRPr="001D0F55">
              <w:rPr>
                <w:rFonts w:asciiTheme="minorHAnsi" w:hAnsiTheme="minorHAnsi"/>
              </w:rPr>
              <w:t xml:space="preserve"> SD</w:t>
            </w:r>
            <w:r>
              <w:rPr>
                <w:rFonts w:asciiTheme="minorHAnsi" w:hAnsiTheme="minorHAnsi"/>
              </w:rPr>
              <w:t>, Lewis</w:t>
            </w:r>
            <w:r w:rsidR="001D0F55" w:rsidRPr="001D0F55">
              <w:rPr>
                <w:rFonts w:asciiTheme="minorHAnsi" w:hAnsiTheme="minorHAnsi"/>
              </w:rPr>
              <w:t xml:space="preserve"> AB, </w:t>
            </w:r>
            <w:proofErr w:type="spellStart"/>
            <w:r>
              <w:rPr>
                <w:rFonts w:asciiTheme="minorHAnsi" w:hAnsiTheme="minorHAnsi"/>
              </w:rPr>
              <w:t>Beiser</w:t>
            </w:r>
            <w:proofErr w:type="spellEnd"/>
            <w:r>
              <w:rPr>
                <w:rFonts w:asciiTheme="minorHAnsi" w:hAnsiTheme="minorHAnsi"/>
              </w:rPr>
              <w:t xml:space="preserve"> AS, Wessel DL, Takahashi M</w:t>
            </w:r>
            <w:r w:rsidR="00F26537">
              <w:rPr>
                <w:rFonts w:asciiTheme="minorHAnsi" w:hAnsiTheme="minorHAnsi"/>
              </w:rPr>
              <w:t xml:space="preserve">, </w:t>
            </w:r>
            <w:r>
              <w:rPr>
                <w:rFonts w:asciiTheme="minorHAnsi" w:hAnsiTheme="minorHAnsi"/>
              </w:rPr>
              <w:t xml:space="preserve">et al </w:t>
            </w:r>
            <w:r w:rsidR="00F26537">
              <w:rPr>
                <w:rFonts w:asciiTheme="minorHAnsi" w:hAnsiTheme="minorHAnsi"/>
              </w:rPr>
              <w:t>(</w:t>
            </w:r>
            <w:r w:rsidR="001D0F55" w:rsidRPr="001D0F55">
              <w:rPr>
                <w:rFonts w:asciiTheme="minorHAnsi" w:hAnsiTheme="minorHAnsi"/>
              </w:rPr>
              <w:t>1994</w:t>
            </w:r>
            <w:r w:rsidR="00F26537">
              <w:rPr>
                <w:rFonts w:asciiTheme="minorHAnsi" w:hAnsiTheme="minorHAnsi"/>
              </w:rPr>
              <w:t xml:space="preserve">). </w:t>
            </w:r>
            <w:r w:rsidR="001D0F55" w:rsidRPr="001D0F55">
              <w:rPr>
                <w:rFonts w:asciiTheme="minorHAnsi" w:hAnsiTheme="minorHAnsi"/>
              </w:rPr>
              <w:t>Gamma-globulin treatment of acute myocarditi</w:t>
            </w:r>
            <w:r w:rsidR="00F26537">
              <w:rPr>
                <w:rFonts w:asciiTheme="minorHAnsi" w:hAnsiTheme="minorHAnsi"/>
              </w:rPr>
              <w:t xml:space="preserve">s in the </w:t>
            </w:r>
            <w:proofErr w:type="spellStart"/>
            <w:r w:rsidR="00F26537">
              <w:rPr>
                <w:rFonts w:asciiTheme="minorHAnsi" w:hAnsiTheme="minorHAnsi"/>
              </w:rPr>
              <w:t>pediatric</w:t>
            </w:r>
            <w:proofErr w:type="spellEnd"/>
            <w:r w:rsidR="00F26537">
              <w:rPr>
                <w:rFonts w:asciiTheme="minorHAnsi" w:hAnsiTheme="minorHAnsi"/>
              </w:rPr>
              <w:t xml:space="preserve"> population. </w:t>
            </w:r>
            <w:r w:rsidR="001D0F55" w:rsidRPr="00F26537">
              <w:rPr>
                <w:rFonts w:asciiTheme="minorHAnsi" w:hAnsiTheme="minorHAnsi"/>
                <w:i/>
              </w:rPr>
              <w:t>Circulation</w:t>
            </w:r>
            <w:r>
              <w:rPr>
                <w:rFonts w:asciiTheme="minorHAnsi" w:hAnsiTheme="minorHAnsi"/>
              </w:rPr>
              <w:t>, 89:</w:t>
            </w:r>
            <w:r w:rsidR="001D0F55" w:rsidRPr="001D0F55">
              <w:rPr>
                <w:rFonts w:asciiTheme="minorHAnsi" w:hAnsiTheme="minorHAnsi"/>
              </w:rPr>
              <w:t>252–7.</w:t>
            </w:r>
          </w:p>
          <w:p w:rsidR="00C62DDF" w:rsidRDefault="009B4E80" w:rsidP="001D0F55">
            <w:pPr>
              <w:spacing w:before="120" w:after="120"/>
              <w:rPr>
                <w:rStyle w:val="Hyperlink"/>
                <w:rFonts w:asciiTheme="minorHAnsi" w:hAnsiTheme="minorHAnsi"/>
                <w:color w:val="808080" w:themeColor="background1" w:themeShade="80"/>
              </w:rPr>
            </w:pPr>
            <w:hyperlink r:id="rId9" w:history="1">
              <w:r w:rsidR="00C62DDF" w:rsidRPr="00C62DDF">
                <w:rPr>
                  <w:rStyle w:val="Hyperlink"/>
                  <w:rFonts w:asciiTheme="minorHAnsi" w:hAnsiTheme="minorHAnsi"/>
                  <w:color w:val="808080" w:themeColor="background1" w:themeShade="80"/>
                </w:rPr>
                <w:t>https://www.ncbi.nlm.nih.gov/pubmed/8281654</w:t>
              </w:r>
            </w:hyperlink>
          </w:p>
          <w:p w:rsidR="00FB0165" w:rsidRPr="00C62DDF" w:rsidRDefault="00FB0165" w:rsidP="001D0F55">
            <w:pPr>
              <w:spacing w:before="120" w:after="120"/>
              <w:rPr>
                <w:rFonts w:asciiTheme="minorHAnsi" w:hAnsiTheme="minorHAnsi"/>
                <w:color w:val="808080" w:themeColor="background1" w:themeShade="80"/>
              </w:rPr>
            </w:pPr>
            <w:r w:rsidRPr="00FB0165">
              <w:rPr>
                <w:rFonts w:asciiTheme="minorHAnsi" w:hAnsiTheme="minorHAnsi"/>
              </w:rPr>
              <w:t>Ontario Regional Blood Coordinating Network (2016). Ontario Intravenous Immune Globulin (</w:t>
            </w:r>
            <w:r w:rsidR="00866D10">
              <w:rPr>
                <w:rFonts w:asciiTheme="minorHAnsi" w:hAnsiTheme="minorHAnsi"/>
              </w:rPr>
              <w:t>IVIG</w:t>
            </w:r>
            <w:r w:rsidRPr="00FB0165">
              <w:rPr>
                <w:rFonts w:asciiTheme="minorHAnsi" w:hAnsiTheme="minorHAnsi"/>
              </w:rPr>
              <w:t>) Utilization Management Guidelines, Version 3.0. [</w:t>
            </w:r>
            <w:proofErr w:type="gramStart"/>
            <w:r w:rsidRPr="00FB0165">
              <w:rPr>
                <w:rFonts w:asciiTheme="minorHAnsi" w:hAnsiTheme="minorHAnsi"/>
              </w:rPr>
              <w:t>online</w:t>
            </w:r>
            <w:proofErr w:type="gramEnd"/>
            <w:r w:rsidRPr="00FB0165">
              <w:rPr>
                <w:rFonts w:asciiTheme="minorHAnsi" w:hAnsiTheme="minorHAnsi"/>
              </w:rPr>
              <w:t xml:space="preserve">]. Available at: </w:t>
            </w:r>
            <w:r w:rsidRPr="00FB0165">
              <w:rPr>
                <w:rFonts w:asciiTheme="minorHAnsi" w:hAnsiTheme="minorHAnsi"/>
                <w:color w:val="808080" w:themeColor="background1" w:themeShade="80"/>
              </w:rPr>
              <w:t>http://transfusionontario.org/en/download/ontario-intravenous-immune-globulin-</w:t>
            </w:r>
            <w:r w:rsidR="00866D10">
              <w:rPr>
                <w:rFonts w:asciiTheme="minorHAnsi" w:hAnsiTheme="minorHAnsi"/>
                <w:color w:val="808080" w:themeColor="background1" w:themeShade="80"/>
              </w:rPr>
              <w:t>IVIg</w:t>
            </w:r>
            <w:r w:rsidRPr="00FB0165">
              <w:rPr>
                <w:rFonts w:asciiTheme="minorHAnsi" w:hAnsiTheme="minorHAnsi"/>
                <w:color w:val="808080" w:themeColor="background1" w:themeShade="80"/>
              </w:rPr>
              <w:t>-utilization-management-guidelines-2/.</w:t>
            </w:r>
          </w:p>
          <w:p w:rsidR="00901F76" w:rsidRDefault="0096446E" w:rsidP="00F26537">
            <w:pPr>
              <w:spacing w:before="120" w:after="120"/>
              <w:rPr>
                <w:rFonts w:asciiTheme="minorHAnsi" w:hAnsiTheme="minorHAnsi"/>
              </w:rPr>
            </w:pPr>
            <w:r>
              <w:rPr>
                <w:rFonts w:asciiTheme="minorHAnsi" w:hAnsiTheme="minorHAnsi"/>
              </w:rPr>
              <w:t xml:space="preserve">Robinson </w:t>
            </w:r>
            <w:r w:rsidR="001D0F55" w:rsidRPr="001D0F55">
              <w:rPr>
                <w:rFonts w:asciiTheme="minorHAnsi" w:hAnsiTheme="minorHAnsi"/>
              </w:rPr>
              <w:t>J</w:t>
            </w:r>
            <w:r>
              <w:rPr>
                <w:rFonts w:asciiTheme="minorHAnsi" w:hAnsiTheme="minorHAnsi"/>
              </w:rPr>
              <w:t xml:space="preserve">, Hartling </w:t>
            </w:r>
            <w:r w:rsidR="001D0F55" w:rsidRPr="001D0F55">
              <w:rPr>
                <w:rFonts w:asciiTheme="minorHAnsi" w:hAnsiTheme="minorHAnsi"/>
              </w:rPr>
              <w:t>L</w:t>
            </w:r>
            <w:r>
              <w:rPr>
                <w:rFonts w:asciiTheme="minorHAnsi" w:hAnsiTheme="minorHAnsi"/>
              </w:rPr>
              <w:t xml:space="preserve">, </w:t>
            </w:r>
            <w:proofErr w:type="spellStart"/>
            <w:r>
              <w:rPr>
                <w:rFonts w:asciiTheme="minorHAnsi" w:hAnsiTheme="minorHAnsi"/>
              </w:rPr>
              <w:t>Vandermeer</w:t>
            </w:r>
            <w:proofErr w:type="spellEnd"/>
            <w:r w:rsidR="001D0F55" w:rsidRPr="001D0F55">
              <w:rPr>
                <w:rFonts w:asciiTheme="minorHAnsi" w:hAnsiTheme="minorHAnsi"/>
              </w:rPr>
              <w:t xml:space="preserve"> B</w:t>
            </w:r>
            <w:r>
              <w:rPr>
                <w:rFonts w:asciiTheme="minorHAnsi" w:hAnsiTheme="minorHAnsi"/>
              </w:rPr>
              <w:t xml:space="preserve"> and Klassen TP</w:t>
            </w:r>
            <w:r w:rsidR="00F26537">
              <w:rPr>
                <w:rFonts w:asciiTheme="minorHAnsi" w:hAnsiTheme="minorHAnsi"/>
              </w:rPr>
              <w:t xml:space="preserve"> (</w:t>
            </w:r>
            <w:r w:rsidR="001D0F55" w:rsidRPr="001D0F55">
              <w:rPr>
                <w:rFonts w:asciiTheme="minorHAnsi" w:hAnsiTheme="minorHAnsi"/>
              </w:rPr>
              <w:t>2005</w:t>
            </w:r>
            <w:r w:rsidR="00F26537">
              <w:rPr>
                <w:rFonts w:asciiTheme="minorHAnsi" w:hAnsiTheme="minorHAnsi"/>
              </w:rPr>
              <w:t xml:space="preserve">). </w:t>
            </w:r>
            <w:r w:rsidR="001D0F55" w:rsidRPr="001D0F55">
              <w:rPr>
                <w:rFonts w:asciiTheme="minorHAnsi" w:hAnsiTheme="minorHAnsi"/>
              </w:rPr>
              <w:t>Intravenous immunoglobulin for presumed viral myocarditis in childr</w:t>
            </w:r>
            <w:r w:rsidR="00F26537">
              <w:rPr>
                <w:rFonts w:asciiTheme="minorHAnsi" w:hAnsiTheme="minorHAnsi"/>
              </w:rPr>
              <w:t>en and adults (Cochrane Review</w:t>
            </w:r>
            <w:r w:rsidR="00F26537" w:rsidRPr="00F26537">
              <w:rPr>
                <w:rFonts w:asciiTheme="minorHAnsi" w:hAnsiTheme="minorHAnsi"/>
                <w:i/>
              </w:rPr>
              <w:t xml:space="preserve">). </w:t>
            </w:r>
            <w:r w:rsidR="001D0F55" w:rsidRPr="00F26537">
              <w:rPr>
                <w:rFonts w:asciiTheme="minorHAnsi" w:hAnsiTheme="minorHAnsi"/>
                <w:i/>
              </w:rPr>
              <w:t xml:space="preserve"> </w:t>
            </w:r>
            <w:r w:rsidR="00F26537" w:rsidRPr="00F26537">
              <w:rPr>
                <w:rFonts w:asciiTheme="minorHAnsi" w:hAnsiTheme="minorHAnsi"/>
                <w:i/>
              </w:rPr>
              <w:t>Cochrane Database of Systematic Reviews</w:t>
            </w:r>
            <w:r w:rsidR="00F26537">
              <w:rPr>
                <w:rFonts w:asciiTheme="minorHAnsi" w:hAnsiTheme="minorHAnsi"/>
              </w:rPr>
              <w:t xml:space="preserve"> </w:t>
            </w:r>
            <w:r w:rsidR="00F26537" w:rsidRPr="00F26537">
              <w:rPr>
                <w:rFonts w:asciiTheme="minorHAnsi" w:hAnsiTheme="minorHAnsi"/>
                <w:i/>
              </w:rPr>
              <w:t>2005</w:t>
            </w:r>
            <w:r w:rsidR="00F26537">
              <w:rPr>
                <w:rFonts w:asciiTheme="minorHAnsi" w:hAnsiTheme="minorHAnsi"/>
              </w:rPr>
              <w:t xml:space="preserve">, Issue 1. </w:t>
            </w:r>
            <w:r w:rsidR="00F95C39">
              <w:rPr>
                <w:rFonts w:asciiTheme="minorHAnsi" w:hAnsiTheme="minorHAnsi"/>
              </w:rPr>
              <w:t>(Updated May 2015)</w:t>
            </w:r>
          </w:p>
          <w:p w:rsidR="00C62DDF" w:rsidRPr="00C62DDF" w:rsidRDefault="009B4E80" w:rsidP="00F26537">
            <w:pPr>
              <w:spacing w:before="120" w:after="120"/>
              <w:rPr>
                <w:rFonts w:asciiTheme="minorHAnsi" w:hAnsiTheme="minorHAnsi"/>
                <w:color w:val="808080" w:themeColor="background1" w:themeShade="80"/>
              </w:rPr>
            </w:pPr>
            <w:hyperlink r:id="rId10" w:history="1">
              <w:r w:rsidR="00C62DDF" w:rsidRPr="00C62DDF">
                <w:rPr>
                  <w:rStyle w:val="Hyperlink"/>
                  <w:rFonts w:asciiTheme="minorHAnsi" w:hAnsiTheme="minorHAnsi"/>
                  <w:color w:val="808080" w:themeColor="background1" w:themeShade="80"/>
                </w:rPr>
                <w:t>http://www.cochrane.org/CD004370/VASC_intravenous-immunoglobulin-for-presumed-viral-myocarditis-in-children-and-adults</w:t>
              </w:r>
            </w:hyperlink>
          </w:p>
          <w:p w:rsidR="00DB1FE5" w:rsidRPr="00DB1FE5" w:rsidRDefault="00DB1FE5" w:rsidP="00DB1FE5">
            <w:pPr>
              <w:spacing w:before="120" w:after="120"/>
              <w:rPr>
                <w:rFonts w:asciiTheme="minorHAnsi" w:hAnsiTheme="minorHAnsi"/>
                <w:color w:val="808080" w:themeColor="background1" w:themeShade="80"/>
              </w:rPr>
            </w:pPr>
            <w:r w:rsidRPr="00DB1FE5">
              <w:rPr>
                <w:rFonts w:asciiTheme="minorHAnsi" w:hAnsiTheme="minorHAnsi"/>
              </w:rPr>
              <w:t xml:space="preserve">UK Department of Health (2011) Clinical Guidelines for Immunoglobulin Use: Second Edition Update. Available at: </w:t>
            </w:r>
            <w:r w:rsidRPr="00DB1FE5">
              <w:rPr>
                <w:rFonts w:asciiTheme="minorHAnsi" w:hAnsiTheme="minorHAnsi"/>
                <w:color w:val="808080" w:themeColor="background1" w:themeShade="80"/>
              </w:rPr>
              <w:t>https://www.gov.uk/government/uploads/system/uploads/attachment_data/file/216671/dh_131107.pdf</w:t>
            </w:r>
          </w:p>
          <w:p w:rsidR="00C62DDF" w:rsidRPr="00A80A19" w:rsidRDefault="00DB1FE5" w:rsidP="00DB1FE5">
            <w:pPr>
              <w:spacing w:before="120" w:after="120"/>
              <w:rPr>
                <w:rFonts w:asciiTheme="minorHAnsi" w:hAnsiTheme="minorHAnsi"/>
              </w:rPr>
            </w:pPr>
            <w:r w:rsidRPr="00DB1FE5">
              <w:rPr>
                <w:rFonts w:asciiTheme="minorHAnsi" w:hAnsiTheme="minorHAnsi"/>
              </w:rPr>
              <w:t xml:space="preserve">UK Department of Health (2011) Clinical Guidelines for Immunoglobulin Use: Second Edition Update: Summary Poster. Available at: </w:t>
            </w:r>
            <w:r w:rsidRPr="00DB1FE5">
              <w:rPr>
                <w:rFonts w:asciiTheme="minorHAnsi" w:hAnsiTheme="minorHAnsi"/>
                <w:color w:val="808080" w:themeColor="background1" w:themeShade="80"/>
              </w:rPr>
              <w:t>https://www.igd.nhs.uk/wp-content/uploads/2016/04/DemandManagementPoster_v4_February2016.pdf</w:t>
            </w:r>
          </w:p>
        </w:tc>
      </w:tr>
    </w:tbl>
    <w:p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67722" w:rsidP="00E50BD3">
            <w:pPr>
              <w:spacing w:before="120" w:after="120"/>
              <w:rPr>
                <w:rFonts w:asciiTheme="minorHAnsi" w:hAnsiTheme="minorHAnsi"/>
              </w:rPr>
            </w:pPr>
            <w:r>
              <w:rPr>
                <w:rFonts w:asciiTheme="minorHAnsi" w:hAnsiTheme="minorHAnsi"/>
              </w:rPr>
              <w:t xml:space="preserve"> Prescribers will need to be advised that </w:t>
            </w:r>
            <w:r w:rsidR="00E50BD3">
              <w:rPr>
                <w:rFonts w:asciiTheme="minorHAnsi" w:hAnsiTheme="minorHAnsi"/>
              </w:rPr>
              <w:t>Ig therapy</w:t>
            </w:r>
            <w:r>
              <w:rPr>
                <w:rFonts w:asciiTheme="minorHAnsi" w:hAnsiTheme="minorHAnsi"/>
              </w:rPr>
              <w:t xml:space="preserve"> will not be available for this condition to enable them to be prepared to manage patients without Ig therapy. </w:t>
            </w:r>
            <w:r w:rsidR="00DF319E" w:rsidRPr="00DF319E">
              <w:rPr>
                <w:rFonts w:asciiTheme="minorHAnsi" w:hAnsiTheme="minorHAnsi"/>
              </w:rPr>
              <w:t xml:space="preserve">Following public consultation and the subsequent endorsement by governments, specific communication with relevant prescribers </w:t>
            </w:r>
            <w:r w:rsidR="00183086">
              <w:rPr>
                <w:rFonts w:asciiTheme="minorHAnsi" w:hAnsiTheme="minorHAnsi"/>
              </w:rPr>
              <w:t>is planned</w:t>
            </w:r>
            <w:r w:rsidR="00DF319E" w:rsidRPr="00DF319E">
              <w:rPr>
                <w:rFonts w:asciiTheme="minorHAnsi" w:hAnsiTheme="minorHAnsi"/>
              </w:rPr>
              <w:t xml:space="preserve">. </w:t>
            </w:r>
            <w:r w:rsidR="00183086">
              <w:rPr>
                <w:rFonts w:asciiTheme="minorHAnsi" w:hAnsiTheme="minorHAnsi"/>
              </w:rPr>
              <w:t>As Ig t</w:t>
            </w:r>
            <w:r w:rsidR="00DF319E" w:rsidRPr="00DF319E">
              <w:rPr>
                <w:rFonts w:asciiTheme="minorHAnsi" w:hAnsiTheme="minorHAnsi"/>
              </w:rPr>
              <w:t xml:space="preserve">reatment for this condition </w:t>
            </w:r>
            <w:r>
              <w:rPr>
                <w:rFonts w:asciiTheme="minorHAnsi" w:hAnsiTheme="minorHAnsi"/>
              </w:rPr>
              <w:t>has</w:t>
            </w:r>
            <w:r w:rsidR="00183086">
              <w:rPr>
                <w:rFonts w:asciiTheme="minorHAnsi" w:hAnsiTheme="minorHAnsi"/>
              </w:rPr>
              <w:t xml:space="preserve"> historically been </w:t>
            </w:r>
            <w:r w:rsidR="00DF319E" w:rsidRPr="00DF319E">
              <w:rPr>
                <w:rFonts w:asciiTheme="minorHAnsi" w:hAnsiTheme="minorHAnsi"/>
              </w:rPr>
              <w:t>short term therapy</w:t>
            </w:r>
            <w:r w:rsidR="00183086">
              <w:rPr>
                <w:rFonts w:asciiTheme="minorHAnsi" w:hAnsiTheme="minorHAnsi"/>
              </w:rPr>
              <w:t>, i</w:t>
            </w:r>
            <w:r w:rsidR="00DF319E" w:rsidRPr="00DF319E">
              <w:rPr>
                <w:rFonts w:asciiTheme="minorHAnsi" w:hAnsiTheme="minorHAnsi"/>
              </w:rPr>
              <w:t>t is anticipated</w:t>
            </w:r>
            <w:r w:rsidR="00183086">
              <w:rPr>
                <w:rFonts w:asciiTheme="minorHAnsi" w:hAnsiTheme="minorHAnsi"/>
              </w:rPr>
              <w:t xml:space="preserve"> that a very small number of patients is likely to be being treated at the time of implementation of this change.  </w:t>
            </w:r>
            <w:r w:rsidR="00DF319E" w:rsidRPr="00DF319E">
              <w:rPr>
                <w:rFonts w:asciiTheme="minorHAnsi" w:hAnsiTheme="minorHAnsi"/>
              </w:rPr>
              <w:t xml:space="preserve"> </w:t>
            </w:r>
            <w:r w:rsidR="00183086">
              <w:rPr>
                <w:rFonts w:asciiTheme="minorHAnsi" w:hAnsiTheme="minorHAnsi"/>
              </w:rPr>
              <w:t xml:space="preserve">To support </w:t>
            </w:r>
            <w:r>
              <w:rPr>
                <w:rFonts w:asciiTheme="minorHAnsi" w:hAnsiTheme="minorHAnsi"/>
              </w:rPr>
              <w:t xml:space="preserve">doctors to provide </w:t>
            </w:r>
            <w:r w:rsidR="00183086">
              <w:rPr>
                <w:rFonts w:asciiTheme="minorHAnsi" w:hAnsiTheme="minorHAnsi"/>
              </w:rPr>
              <w:t>optimal patient management, advice will be provided</w:t>
            </w:r>
            <w:r w:rsidR="00DF319E" w:rsidRPr="00DF319E">
              <w:rPr>
                <w:rFonts w:asciiTheme="minorHAnsi" w:hAnsiTheme="minorHAnsi"/>
              </w:rPr>
              <w:t xml:space="preserve"> to prescribers well prior to </w:t>
            </w:r>
            <w:r w:rsidR="00183086">
              <w:rPr>
                <w:rFonts w:asciiTheme="minorHAnsi" w:hAnsiTheme="minorHAnsi"/>
              </w:rPr>
              <w:t>the date of implementation of this change</w:t>
            </w:r>
            <w:r w:rsidR="00DF319E" w:rsidRPr="00DF319E">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DF319E" w:rsidRPr="009C00EE" w:rsidTr="005006E3">
        <w:trPr>
          <w:trHeight w:val="510"/>
        </w:trPr>
        <w:tc>
          <w:tcPr>
            <w:tcW w:w="3545" w:type="dxa"/>
            <w:gridSpan w:val="2"/>
            <w:shd w:val="clear" w:color="auto" w:fill="auto"/>
          </w:tcPr>
          <w:p w:rsidR="00DF319E" w:rsidRDefault="00DF319E" w:rsidP="005006E3">
            <w:pPr>
              <w:spacing w:before="120" w:after="120"/>
              <w:rPr>
                <w:rFonts w:asciiTheme="minorHAnsi" w:hAnsiTheme="minorHAnsi"/>
                <w:b/>
              </w:rPr>
            </w:pPr>
            <w:r>
              <w:rPr>
                <w:rFonts w:asciiTheme="minorHAnsi" w:hAnsiTheme="minorHAnsi"/>
                <w:b/>
              </w:rPr>
              <w:t xml:space="preserve">Potential impact on patients:  </w:t>
            </w:r>
          </w:p>
        </w:tc>
        <w:tc>
          <w:tcPr>
            <w:tcW w:w="11056" w:type="dxa"/>
            <w:gridSpan w:val="5"/>
            <w:shd w:val="clear" w:color="auto" w:fill="auto"/>
          </w:tcPr>
          <w:p w:rsidR="00E50BD3" w:rsidRDefault="00924C48" w:rsidP="00E50BD3">
            <w:pPr>
              <w:spacing w:before="120" w:after="120"/>
              <w:rPr>
                <w:rFonts w:asciiTheme="minorHAnsi" w:hAnsiTheme="minorHAnsi"/>
              </w:rPr>
            </w:pPr>
            <w:r>
              <w:rPr>
                <w:rFonts w:asciiTheme="minorHAnsi" w:hAnsiTheme="minorHAnsi"/>
              </w:rPr>
              <w:t xml:space="preserve">It is recommended that this condition no longer be supported for funding under the national blood arrangements because </w:t>
            </w:r>
            <w:r w:rsidR="00E50BD3">
              <w:rPr>
                <w:rFonts w:asciiTheme="minorHAnsi" w:eastAsia="Times New Roman" w:hAnsiTheme="minorHAnsi" w:cs="Times New Roman"/>
                <w:bCs/>
                <w:lang w:eastAsia="en-AU"/>
              </w:rPr>
              <w:t xml:space="preserve">alternative therapies have been demonstrated to be effective in </w:t>
            </w:r>
            <w:r>
              <w:rPr>
                <w:rFonts w:asciiTheme="minorHAnsi" w:eastAsia="Times New Roman" w:hAnsiTheme="minorHAnsi" w:cs="Times New Roman"/>
                <w:bCs/>
                <w:lang w:eastAsia="en-AU"/>
              </w:rPr>
              <w:t xml:space="preserve">managing the condition, </w:t>
            </w:r>
            <w:r w:rsidR="00E50BD3">
              <w:rPr>
                <w:rFonts w:asciiTheme="minorHAnsi" w:eastAsia="Times New Roman" w:hAnsiTheme="minorHAnsi" w:cs="Times New Roman"/>
                <w:bCs/>
                <w:lang w:eastAsia="en-AU"/>
              </w:rPr>
              <w:t xml:space="preserve">are available and are being used in Australia. There is very little evidence to support any beneficial effect from Ig therapy and recent </w:t>
            </w:r>
            <w:r>
              <w:rPr>
                <w:rFonts w:asciiTheme="minorHAnsi" w:eastAsia="Times New Roman" w:hAnsiTheme="minorHAnsi" w:cs="Times New Roman"/>
                <w:bCs/>
                <w:lang w:eastAsia="en-AU"/>
              </w:rPr>
              <w:t xml:space="preserve">scientific </w:t>
            </w:r>
            <w:r w:rsidR="00E50BD3">
              <w:rPr>
                <w:rFonts w:asciiTheme="minorHAnsi" w:eastAsia="Times New Roman" w:hAnsiTheme="minorHAnsi" w:cs="Times New Roman"/>
                <w:bCs/>
                <w:lang w:eastAsia="en-AU"/>
              </w:rPr>
              <w:t xml:space="preserve">reviews have suggested that Ig therapy should not be used as routine treatment in children </w:t>
            </w:r>
            <w:r w:rsidR="007062A8">
              <w:rPr>
                <w:rFonts w:asciiTheme="minorHAnsi" w:eastAsia="Times New Roman" w:hAnsiTheme="minorHAnsi" w:cs="Times New Roman"/>
                <w:bCs/>
                <w:lang w:eastAsia="en-AU"/>
              </w:rPr>
              <w:t xml:space="preserve">or adults </w:t>
            </w:r>
            <w:r w:rsidR="00E50BD3">
              <w:rPr>
                <w:rFonts w:asciiTheme="minorHAnsi" w:eastAsia="Times New Roman" w:hAnsiTheme="minorHAnsi" w:cs="Times New Roman"/>
                <w:bCs/>
                <w:lang w:eastAsia="en-AU"/>
              </w:rPr>
              <w:t xml:space="preserve">with this condition. </w:t>
            </w:r>
            <w:r w:rsidR="00E50BD3">
              <w:rPr>
                <w:rFonts w:asciiTheme="minorHAnsi" w:hAnsiTheme="minorHAnsi"/>
              </w:rPr>
              <w:t xml:space="preserve">It is inappropriate to treat patients with medication that has no demonstrable benefit and in addition, there are small but not insignificant risks of harm from Ig therapy, as well as a high cost.  </w:t>
            </w:r>
          </w:p>
          <w:p w:rsidR="00DF319E" w:rsidRPr="00DF319E" w:rsidRDefault="00E50BD3" w:rsidP="008F57BC">
            <w:pPr>
              <w:spacing w:before="120" w:after="120"/>
              <w:rPr>
                <w:rFonts w:asciiTheme="minorHAnsi" w:hAnsiTheme="minorHAnsi"/>
              </w:rPr>
            </w:pPr>
            <w:r>
              <w:rPr>
                <w:rFonts w:asciiTheme="minorHAnsi" w:hAnsiTheme="minorHAnsi"/>
              </w:rPr>
              <w:t xml:space="preserve">Given the very low level of use over the last few years </w:t>
            </w:r>
            <w:r w:rsidR="007062A8">
              <w:rPr>
                <w:rFonts w:asciiTheme="minorHAnsi" w:hAnsiTheme="minorHAnsi"/>
              </w:rPr>
              <w:t>for</w:t>
            </w:r>
            <w:r>
              <w:rPr>
                <w:rFonts w:asciiTheme="minorHAnsi" w:hAnsiTheme="minorHAnsi"/>
              </w:rPr>
              <w:t xml:space="preserve"> myocarditis, it is clear that where patients have received Ig therapy, it has been for very short periods of treatment only.  It is therefore unlikely that there would be any impact to ongoing patient</w:t>
            </w:r>
            <w:r w:rsidR="008F57BC">
              <w:rPr>
                <w:rFonts w:asciiTheme="minorHAnsi" w:hAnsiTheme="minorHAnsi"/>
              </w:rPr>
              <w:t xml:space="preserve"> care at the time of transition</w:t>
            </w:r>
            <w:r w:rsidR="00DF319E" w:rsidRPr="00DF319E">
              <w:rPr>
                <w:rFonts w:asciiTheme="minorHAnsi" w:hAnsiTheme="minorHAnsi"/>
              </w:rPr>
              <w:t>. I</w:t>
            </w:r>
            <w:r>
              <w:rPr>
                <w:rFonts w:asciiTheme="minorHAnsi" w:hAnsiTheme="minorHAnsi"/>
              </w:rPr>
              <w:t>t is possible that some of the patients treated under this condition may have been</w:t>
            </w:r>
            <w:r w:rsidR="00DF319E" w:rsidRPr="00DF319E">
              <w:rPr>
                <w:rFonts w:asciiTheme="minorHAnsi" w:hAnsiTheme="minorHAnsi"/>
              </w:rPr>
              <w:t xml:space="preserve"> eligible under Autoimmune congenital heart block</w:t>
            </w:r>
            <w:r>
              <w:rPr>
                <w:rFonts w:asciiTheme="minorHAnsi" w:hAnsiTheme="minorHAnsi"/>
              </w:rPr>
              <w:t xml:space="preserve">, noting that access </w:t>
            </w:r>
            <w:r w:rsidR="008F57BC">
              <w:rPr>
                <w:rFonts w:asciiTheme="minorHAnsi" w:hAnsiTheme="minorHAnsi"/>
              </w:rPr>
              <w:t>in</w:t>
            </w:r>
            <w:r w:rsidR="00DF319E" w:rsidRPr="00DF319E">
              <w:rPr>
                <w:rFonts w:asciiTheme="minorHAnsi" w:hAnsiTheme="minorHAnsi"/>
              </w:rPr>
              <w:t xml:space="preserve"> th</w:t>
            </w:r>
            <w:r>
              <w:rPr>
                <w:rFonts w:asciiTheme="minorHAnsi" w:hAnsiTheme="minorHAnsi"/>
              </w:rPr>
              <w:t>at</w:t>
            </w:r>
            <w:r w:rsidR="00DF319E" w:rsidRPr="00DF319E">
              <w:rPr>
                <w:rFonts w:asciiTheme="minorHAnsi" w:hAnsiTheme="minorHAnsi"/>
              </w:rPr>
              <w:t xml:space="preserve"> condition is </w:t>
            </w:r>
            <w:r>
              <w:rPr>
                <w:rFonts w:asciiTheme="minorHAnsi" w:hAnsiTheme="minorHAnsi"/>
              </w:rPr>
              <w:t>ongoing</w:t>
            </w:r>
            <w:r w:rsidR="00DF319E" w:rsidRPr="00DF319E">
              <w:rPr>
                <w:rFonts w:asciiTheme="minorHAnsi" w:hAnsiTheme="minorHAnsi"/>
              </w:rPr>
              <w:t xml:space="preserve">. </w:t>
            </w:r>
          </w:p>
        </w:tc>
      </w:tr>
      <w:tr w:rsidR="00DF319E" w:rsidRPr="009C00EE" w:rsidTr="005006E3">
        <w:trPr>
          <w:trHeight w:val="510"/>
        </w:trPr>
        <w:tc>
          <w:tcPr>
            <w:tcW w:w="3545" w:type="dxa"/>
            <w:gridSpan w:val="2"/>
            <w:shd w:val="clear" w:color="auto" w:fill="auto"/>
          </w:tcPr>
          <w:p w:rsidR="00DF319E" w:rsidRDefault="00DF319E" w:rsidP="005006E3">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DF319E" w:rsidRPr="00DF319E" w:rsidRDefault="00DF319E" w:rsidP="005006E3">
            <w:pPr>
              <w:spacing w:before="120" w:after="120"/>
              <w:rPr>
                <w:rFonts w:asciiTheme="minorHAnsi" w:hAnsiTheme="minorHAnsi"/>
              </w:rPr>
            </w:pPr>
            <w:r w:rsidRPr="00DF319E">
              <w:rPr>
                <w:rFonts w:asciiTheme="minorHAnsi" w:hAnsiTheme="minorHAnsi"/>
              </w:rPr>
              <w:t>Given that this condition will no longer be supported, there wou</w:t>
            </w:r>
            <w:r>
              <w:rPr>
                <w:rFonts w:asciiTheme="minorHAnsi" w:hAnsiTheme="minorHAnsi"/>
              </w:rPr>
              <w:t>l</w:t>
            </w:r>
            <w:r w:rsidRPr="00DF319E">
              <w:rPr>
                <w:rFonts w:asciiTheme="minorHAnsi" w:hAnsiTheme="minorHAnsi"/>
              </w:rPr>
              <w:t xml:space="preserve">d be a reduction in use, however, it is possible that some patients should have been treated under Autoimmune congenital heart block, in which case, the demand for that condition would increase. The overall impact </w:t>
            </w:r>
            <w:r w:rsidR="00400F0E">
              <w:rPr>
                <w:rFonts w:asciiTheme="minorHAnsi" w:hAnsiTheme="minorHAnsi"/>
              </w:rPr>
              <w:t xml:space="preserve">is expected to be a small reduction in use. </w:t>
            </w:r>
            <w:r w:rsidRPr="00DF319E">
              <w:rPr>
                <w:rFonts w:asciiTheme="minorHAnsi" w:hAnsiTheme="minorHAnsi"/>
              </w:rPr>
              <w:t xml:space="preserve"> </w:t>
            </w: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p>
        </w:tc>
        <w:tc>
          <w:tcPr>
            <w:tcW w:w="1384"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AB45F5" w:rsidRPr="00AB45F5" w:rsidRDefault="00AB45F5" w:rsidP="00AB45F5">
            <w:pPr>
              <w:spacing w:before="120" w:after="120"/>
              <w:ind w:left="34"/>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AB45F5" w:rsidRPr="00221E67" w:rsidRDefault="00AB45F5" w:rsidP="00AB45F5">
            <w:pPr>
              <w:rPr>
                <w:rFonts w:asciiTheme="minorHAnsi" w:hAnsiTheme="minorHAnsi"/>
                <w:sz w:val="18"/>
                <w:szCs w:val="18"/>
              </w:rPr>
            </w:pPr>
          </w:p>
          <w:p w:rsidR="00AB45F5" w:rsidRPr="00221E67" w:rsidRDefault="00AB45F5" w:rsidP="00AB45F5">
            <w:pPr>
              <w:rPr>
                <w:rFonts w:asciiTheme="minorHAnsi" w:hAnsiTheme="minorHAnsi"/>
                <w:sz w:val="18"/>
                <w:szCs w:val="18"/>
              </w:rPr>
            </w:pPr>
            <w:r w:rsidRPr="00221E67">
              <w:rPr>
                <w:rFonts w:asciiTheme="minorHAnsi" w:hAnsiTheme="minorHAnsi"/>
                <w:sz w:val="18"/>
                <w:szCs w:val="18"/>
              </w:rPr>
              <w:t xml:space="preserve">The </w:t>
            </w:r>
            <w:r w:rsidR="002B2FE2">
              <w:rPr>
                <w:rFonts w:asciiTheme="minorHAnsi" w:hAnsiTheme="minorHAnsi"/>
                <w:sz w:val="18"/>
                <w:szCs w:val="18"/>
              </w:rPr>
              <w:t>Specialist Working Group</w:t>
            </w:r>
            <w:r w:rsidR="002B2FE2" w:rsidRPr="00221E67">
              <w:rPr>
                <w:rFonts w:asciiTheme="minorHAnsi" w:hAnsiTheme="minorHAnsi"/>
                <w:sz w:val="18"/>
                <w:szCs w:val="18"/>
              </w:rPr>
              <w:t xml:space="preserve"> </w:t>
            </w:r>
            <w:r w:rsidRPr="00221E67">
              <w:rPr>
                <w:rFonts w:asciiTheme="minorHAnsi" w:hAnsiTheme="minorHAnsi"/>
                <w:sz w:val="18"/>
                <w:szCs w:val="18"/>
              </w:rPr>
              <w:t>estimated magnitude of effect:</w:t>
            </w:r>
          </w:p>
          <w:p w:rsidR="00AB45F5" w:rsidRPr="00221E67" w:rsidRDefault="00AB45F5" w:rsidP="00AB45F5">
            <w:pPr>
              <w:ind w:left="34"/>
              <w:rPr>
                <w:rFonts w:asciiTheme="minorHAnsi" w:hAnsiTheme="minorHAnsi"/>
                <w:sz w:val="18"/>
                <w:szCs w:val="18"/>
              </w:rPr>
            </w:pPr>
            <w:r w:rsidRPr="00221E67">
              <w:rPr>
                <w:rFonts w:asciiTheme="minorHAnsi" w:hAnsiTheme="minorHAnsi"/>
                <w:sz w:val="18"/>
                <w:szCs w:val="18"/>
              </w:rPr>
              <w:t xml:space="preserve">Marginal: &lt;$500K reduction </w:t>
            </w:r>
            <w:r w:rsidR="004D7B71">
              <w:rPr>
                <w:rFonts w:asciiTheme="minorHAnsi" w:hAnsiTheme="minorHAnsi"/>
                <w:sz w:val="18"/>
                <w:szCs w:val="18"/>
              </w:rPr>
              <w:t>against projected demand</w:t>
            </w:r>
          </w:p>
          <w:p w:rsidR="00AB45F5" w:rsidRPr="00C92149" w:rsidRDefault="00AB45F5" w:rsidP="00DF319E">
            <w:pPr>
              <w:ind w:left="34"/>
              <w:rPr>
                <w:rFonts w:asciiTheme="minorHAnsi" w:hAnsiTheme="minorHAnsi"/>
                <w:b/>
                <w:sz w:val="18"/>
                <w:szCs w:val="18"/>
              </w:rPr>
            </w:pP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16</w:t>
            </w:r>
          </w:p>
        </w:tc>
        <w:tc>
          <w:tcPr>
            <w:tcW w:w="1593"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31</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15</w:t>
            </w:r>
          </w:p>
        </w:tc>
        <w:tc>
          <w:tcPr>
            <w:tcW w:w="1701"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28</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29</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B45F5" w:rsidRPr="00853117" w:rsidTr="00AB45F5">
        <w:trPr>
          <w:trHeight w:val="535"/>
        </w:trPr>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627</w:t>
            </w:r>
          </w:p>
        </w:tc>
        <w:tc>
          <w:tcPr>
            <w:tcW w:w="1593"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795</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525</w:t>
            </w:r>
          </w:p>
        </w:tc>
        <w:tc>
          <w:tcPr>
            <w:tcW w:w="1701"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778</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1,055</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B45F5" w:rsidRPr="00853117" w:rsidTr="00AB45F5">
        <w:tc>
          <w:tcPr>
            <w:tcW w:w="2161" w:type="dxa"/>
            <w:shd w:val="clear" w:color="auto" w:fill="auto"/>
          </w:tcPr>
          <w:p w:rsidR="00AB45F5" w:rsidRPr="00C92149" w:rsidRDefault="00AB45F5"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AB45F5" w:rsidRPr="00944AF7" w:rsidRDefault="00944AF7"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w:t>
            </w:r>
            <w:r w:rsidR="00054FD5">
              <w:rPr>
                <w:rFonts w:asciiTheme="minorHAnsi" w:hAnsiTheme="minorHAnsi" w:cs="Helvetica"/>
                <w:b/>
                <w:color w:val="333333"/>
                <w:sz w:val="18"/>
                <w:szCs w:val="18"/>
              </w:rPr>
              <w:t>2</w:t>
            </w:r>
            <w:r w:rsidR="00AB45F5" w:rsidRPr="00944AF7">
              <w:rPr>
                <w:rFonts w:asciiTheme="minorHAnsi" w:hAnsiTheme="minorHAnsi" w:cs="Helvetica"/>
                <w:b/>
                <w:color w:val="333333"/>
                <w:sz w:val="18"/>
                <w:szCs w:val="18"/>
              </w:rPr>
              <w:t>%</w:t>
            </w:r>
          </w:p>
        </w:tc>
        <w:tc>
          <w:tcPr>
            <w:tcW w:w="1593" w:type="dxa"/>
            <w:shd w:val="clear" w:color="auto" w:fill="auto"/>
            <w:vAlign w:val="bottom"/>
          </w:tcPr>
          <w:p w:rsidR="00AB45F5" w:rsidRPr="00944AF7" w:rsidRDefault="00974E7D" w:rsidP="00944AF7">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0.02</w:t>
            </w:r>
            <w:r w:rsidR="00AB45F5" w:rsidRPr="00944AF7">
              <w:rPr>
                <w:rFonts w:asciiTheme="minorHAnsi" w:hAnsiTheme="minorHAnsi" w:cs="Helvetica"/>
                <w:b/>
                <w:color w:val="333333"/>
                <w:sz w:val="18"/>
                <w:szCs w:val="18"/>
              </w:rPr>
              <w:t>%</w:t>
            </w:r>
          </w:p>
        </w:tc>
        <w:tc>
          <w:tcPr>
            <w:tcW w:w="1667" w:type="dxa"/>
            <w:shd w:val="clear" w:color="auto" w:fill="auto"/>
            <w:vAlign w:val="bottom"/>
          </w:tcPr>
          <w:p w:rsidR="00AB45F5" w:rsidRPr="00944AF7" w:rsidRDefault="00AB45F5"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0.01%</w:t>
            </w:r>
          </w:p>
        </w:tc>
        <w:tc>
          <w:tcPr>
            <w:tcW w:w="1701" w:type="dxa"/>
            <w:shd w:val="clear" w:color="auto" w:fill="auto"/>
            <w:vAlign w:val="bottom"/>
          </w:tcPr>
          <w:p w:rsidR="00AB45F5" w:rsidRPr="00944AF7" w:rsidRDefault="00944AF7" w:rsidP="00944AF7">
            <w:pPr>
              <w:spacing w:before="120" w:after="120"/>
              <w:rPr>
                <w:rFonts w:asciiTheme="minorHAnsi" w:hAnsiTheme="minorHAnsi" w:cs="Helvetica"/>
                <w:b/>
                <w:color w:val="333333"/>
                <w:sz w:val="18"/>
                <w:szCs w:val="18"/>
              </w:rPr>
            </w:pPr>
            <w:r w:rsidRPr="00944AF7">
              <w:rPr>
                <w:rFonts w:asciiTheme="minorHAnsi" w:hAnsiTheme="minorHAnsi" w:cs="Helvetica"/>
                <w:b/>
                <w:color w:val="333333"/>
                <w:sz w:val="18"/>
                <w:szCs w:val="18"/>
              </w:rPr>
              <w:t>0.0</w:t>
            </w:r>
            <w:r w:rsidR="00054FD5">
              <w:rPr>
                <w:rFonts w:asciiTheme="minorHAnsi" w:hAnsiTheme="minorHAnsi" w:cs="Helvetica"/>
                <w:b/>
                <w:color w:val="333333"/>
                <w:sz w:val="18"/>
                <w:szCs w:val="18"/>
              </w:rPr>
              <w:t>2</w:t>
            </w:r>
            <w:r w:rsidR="00AB45F5" w:rsidRPr="00944AF7">
              <w:rPr>
                <w:rFonts w:asciiTheme="minorHAnsi" w:hAnsiTheme="minorHAnsi" w:cs="Helvetica"/>
                <w:b/>
                <w:color w:val="333333"/>
                <w:sz w:val="18"/>
                <w:szCs w:val="18"/>
              </w:rPr>
              <w:t>%</w:t>
            </w:r>
          </w:p>
        </w:tc>
        <w:tc>
          <w:tcPr>
            <w:tcW w:w="1559" w:type="dxa"/>
            <w:shd w:val="clear" w:color="auto" w:fill="auto"/>
          </w:tcPr>
          <w:p w:rsidR="00AB45F5" w:rsidRPr="00AB45F5" w:rsidRDefault="00944AF7"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0.02%</w:t>
            </w:r>
          </w:p>
        </w:tc>
        <w:tc>
          <w:tcPr>
            <w:tcW w:w="4536" w:type="dxa"/>
            <w:vMerge/>
            <w:shd w:val="clear" w:color="auto" w:fill="auto"/>
          </w:tcPr>
          <w:p w:rsidR="00AB45F5" w:rsidRPr="00C92149" w:rsidRDefault="00AB45F5" w:rsidP="004A10A2">
            <w:pPr>
              <w:spacing w:before="120" w:after="120"/>
              <w:rPr>
                <w:rFonts w:asciiTheme="minorHAnsi" w:hAnsiTheme="minorHAnsi"/>
                <w:b/>
                <w:sz w:val="18"/>
                <w:szCs w:val="18"/>
              </w:rPr>
            </w:pPr>
          </w:p>
        </w:tc>
      </w:tr>
      <w:tr w:rsidR="00AF6D55" w:rsidRPr="00021243" w:rsidTr="005D45E6">
        <w:tc>
          <w:tcPr>
            <w:tcW w:w="14601" w:type="dxa"/>
            <w:gridSpan w:val="7"/>
            <w:shd w:val="clear" w:color="auto" w:fill="F79646" w:themeFill="accent6"/>
          </w:tcPr>
          <w:p w:rsidR="00AF6D55" w:rsidRDefault="002B2FE2" w:rsidP="005D45E6">
            <w:pPr>
              <w:spacing w:before="120" w:after="120"/>
              <w:rPr>
                <w:rFonts w:asciiTheme="minorHAnsi" w:hAnsiTheme="minorHAnsi"/>
                <w:b/>
              </w:rPr>
            </w:pPr>
            <w:r>
              <w:rPr>
                <w:rFonts w:asciiTheme="minorHAnsi" w:hAnsiTheme="minorHAnsi"/>
                <w:b/>
              </w:rPr>
              <w:t xml:space="preserve">Specialist Working Group </w:t>
            </w:r>
            <w:r w:rsidR="00AF6D55">
              <w:rPr>
                <w:rFonts w:asciiTheme="minorHAnsi" w:hAnsiTheme="minorHAnsi"/>
                <w:b/>
              </w:rPr>
              <w:t>knowledge development opportunities and recommendations</w:t>
            </w:r>
          </w:p>
        </w:tc>
      </w:tr>
      <w:tr w:rsidR="00AF6D55" w:rsidRPr="00021243" w:rsidTr="005D45E6">
        <w:tc>
          <w:tcPr>
            <w:tcW w:w="14601" w:type="dxa"/>
            <w:gridSpan w:val="7"/>
            <w:shd w:val="clear" w:color="auto" w:fill="auto"/>
          </w:tcPr>
          <w:p w:rsidR="00AF6D55" w:rsidRPr="002506FF" w:rsidRDefault="00DF319E" w:rsidP="005D45E6">
            <w:pPr>
              <w:spacing w:before="120" w:after="120"/>
              <w:rPr>
                <w:rFonts w:asciiTheme="minorHAnsi" w:hAnsiTheme="minorHAnsi"/>
              </w:rPr>
            </w:pPr>
            <w:r>
              <w:rPr>
                <w:rFonts w:asciiTheme="minorHAnsi" w:hAnsiTheme="minorHAnsi"/>
              </w:rPr>
              <w:lastRenderedPageBreak/>
              <w:t>None identified</w:t>
            </w:r>
            <w:r w:rsidR="009F7F7D">
              <w:rPr>
                <w:rFonts w:asciiTheme="minorHAnsi" w:hAnsiTheme="minorHAnsi"/>
              </w:rPr>
              <w:t xml:space="preserve">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866D10">
              <w:rPr>
                <w:rFonts w:asciiTheme="minorHAnsi" w:hAnsiTheme="minorHAnsi"/>
                <w:b/>
              </w:rPr>
              <w:t>PUBLIC CONSULTATION</w:t>
            </w:r>
            <w:r>
              <w:rPr>
                <w:rFonts w:asciiTheme="minorHAnsi" w:hAnsiTheme="minorHAnsi"/>
                <w:b/>
              </w:rPr>
              <w:t xml:space="preserve"> DOCUMENT</w:t>
            </w:r>
          </w:p>
          <w:p w:rsidR="000E09C4" w:rsidRPr="00021243" w:rsidRDefault="00866D10" w:rsidP="00DF319E">
            <w:pPr>
              <w:spacing w:before="120" w:after="120"/>
              <w:jc w:val="center"/>
              <w:rPr>
                <w:rFonts w:asciiTheme="minorHAnsi" w:hAnsiTheme="minorHAnsi"/>
                <w:b/>
              </w:rPr>
            </w:pPr>
            <w:r>
              <w:rPr>
                <w:rFonts w:asciiTheme="minorHAnsi" w:hAnsiTheme="minorHAnsi"/>
                <w:b/>
              </w:rPr>
              <w:t>Next review</w:t>
            </w:r>
            <w:r w:rsidR="00600F9E">
              <w:rPr>
                <w:rFonts w:asciiTheme="minorHAnsi" w:hAnsiTheme="minorHAnsi"/>
                <w:b/>
              </w:rPr>
              <w:t xml:space="preserve">: Two years from </w:t>
            </w:r>
            <w:proofErr w:type="spellStart"/>
            <w:r w:rsidR="00600F9E">
              <w:rPr>
                <w:rFonts w:asciiTheme="minorHAnsi" w:hAnsiTheme="minorHAnsi"/>
                <w:b/>
              </w:rPr>
              <w:t>BloodSTAR</w:t>
            </w:r>
            <w:proofErr w:type="spellEnd"/>
            <w:r w:rsidR="00600F9E">
              <w:rPr>
                <w:rFonts w:asciiTheme="minorHAnsi" w:hAnsiTheme="minorHAnsi"/>
                <w:b/>
              </w:rPr>
              <w:t xml:space="preserve"> </w:t>
            </w:r>
            <w:r w:rsidR="002B2FE2">
              <w:rPr>
                <w:rFonts w:asciiTheme="minorHAnsi" w:hAnsiTheme="minorHAnsi"/>
                <w:b/>
              </w:rPr>
              <w:t>v</w:t>
            </w:r>
            <w:r w:rsidR="00600F9E">
              <w:rPr>
                <w:rFonts w:asciiTheme="minorHAnsi" w:hAnsiTheme="minorHAnsi"/>
                <w:b/>
              </w:rPr>
              <w:t>3.0</w:t>
            </w:r>
            <w:r w:rsidR="00DF319E">
              <w:rPr>
                <w:rFonts w:asciiTheme="minorHAnsi" w:hAnsiTheme="minorHAnsi"/>
                <w:b/>
              </w:rPr>
              <w:t xml:space="preserve"> implementation</w:t>
            </w:r>
          </w:p>
        </w:tc>
      </w:tr>
    </w:tbl>
    <w:p w:rsidR="006627B5" w:rsidRPr="00FD2CCD" w:rsidRDefault="006627B5" w:rsidP="007830E1">
      <w:pPr>
        <w:spacing w:line="276" w:lineRule="auto"/>
      </w:pPr>
    </w:p>
    <w:sectPr w:rsidR="006627B5" w:rsidRPr="00FD2CCD" w:rsidSect="00DB1FE5">
      <w:headerReference w:type="default" r:id="rId11"/>
      <w:footerReference w:type="default" r:id="rId12"/>
      <w:headerReference w:type="first" r:id="rId13"/>
      <w:footerReference w:type="first" r:id="rId14"/>
      <w:pgSz w:w="16839" w:h="11907" w:orient="landscape" w:code="9"/>
      <w:pgMar w:top="851"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9667"/>
      <w:docPartObj>
        <w:docPartGallery w:val="Page Numbers (Bottom of Page)"/>
        <w:docPartUnique/>
      </w:docPartObj>
    </w:sdtPr>
    <w:sdtEndPr>
      <w:rPr>
        <w:noProof/>
      </w:rPr>
    </w:sdtEndPr>
    <w:sdtContent>
      <w:p w:rsidR="00FE37D5" w:rsidRDefault="00FE37D5">
        <w:pPr>
          <w:pStyle w:val="Footer"/>
          <w:jc w:val="right"/>
        </w:pPr>
        <w:r>
          <w:fldChar w:fldCharType="begin"/>
        </w:r>
        <w:r>
          <w:instrText xml:space="preserve"> PAGE   \* MERGEFORMAT </w:instrText>
        </w:r>
        <w:r>
          <w:fldChar w:fldCharType="separate"/>
        </w:r>
        <w:r w:rsidR="009B4E80">
          <w:rPr>
            <w:noProof/>
          </w:rPr>
          <w:t>4</w:t>
        </w:r>
        <w:r>
          <w:rPr>
            <w:noProof/>
          </w:rPr>
          <w:fldChar w:fldCharType="end"/>
        </w:r>
      </w:p>
    </w:sdtContent>
  </w:sdt>
  <w:p w:rsidR="00E21A38" w:rsidRPr="00E21A38" w:rsidRDefault="00E21A3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22671"/>
      <w:docPartObj>
        <w:docPartGallery w:val="Page Numbers (Bottom of Page)"/>
        <w:docPartUnique/>
      </w:docPartObj>
    </w:sdtPr>
    <w:sdtEndPr>
      <w:rPr>
        <w:noProof/>
      </w:rPr>
    </w:sdtEndPr>
    <w:sdtContent>
      <w:p w:rsidR="00FE37D5" w:rsidRDefault="00FE37D5">
        <w:pPr>
          <w:pStyle w:val="Footer"/>
          <w:jc w:val="right"/>
        </w:pPr>
        <w:r>
          <w:fldChar w:fldCharType="begin"/>
        </w:r>
        <w:r>
          <w:instrText xml:space="preserve"> PAGE   \* MERGEFORMAT </w:instrText>
        </w:r>
        <w:r>
          <w:fldChar w:fldCharType="separate"/>
        </w:r>
        <w:r w:rsidR="009B4E80">
          <w:rPr>
            <w:noProof/>
          </w:rPr>
          <w:t>1</w:t>
        </w:r>
        <w:r>
          <w:rPr>
            <w:noProof/>
          </w:rPr>
          <w:fldChar w:fldCharType="end"/>
        </w:r>
      </w:p>
    </w:sdtContent>
  </w:sdt>
  <w:p w:rsidR="00974E7D" w:rsidRPr="00FE37D5" w:rsidRDefault="00974E7D" w:rsidP="00FE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D5" w:rsidRPr="00E21A38" w:rsidRDefault="004D7B71" w:rsidP="00FE37D5">
    <w:pPr>
      <w:pStyle w:val="Footer"/>
      <w:rPr>
        <w:sz w:val="20"/>
        <w:szCs w:val="20"/>
      </w:rPr>
    </w:pPr>
    <w:r>
      <w:rPr>
        <w:sz w:val="20"/>
        <w:szCs w:val="20"/>
      </w:rPr>
      <w:t xml:space="preserve">PUBLIC CONSULTATION 2017 </w:t>
    </w:r>
    <w:r w:rsidR="00FE37D5">
      <w:rPr>
        <w:sz w:val="20"/>
        <w:szCs w:val="20"/>
      </w:rPr>
      <w:t>–</w:t>
    </w:r>
    <w:r w:rsidR="00FE37D5" w:rsidRPr="009016FB">
      <w:rPr>
        <w:sz w:val="20"/>
        <w:szCs w:val="20"/>
      </w:rPr>
      <w:t xml:space="preserve"> </w:t>
    </w:r>
    <w:r w:rsidR="00FE37D5">
      <w:rPr>
        <w:sz w:val="20"/>
        <w:szCs w:val="20"/>
      </w:rPr>
      <w:t>Myocarditis in children</w:t>
    </w:r>
  </w:p>
  <w:p w:rsidR="00FE37D5" w:rsidRDefault="00FE3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021243" w:rsidRDefault="000E09C4" w:rsidP="000E09C4">
    <w:pPr>
      <w:spacing w:before="120" w:after="120"/>
      <w:rPr>
        <w:rFonts w:asciiTheme="minorHAnsi" w:hAnsiTheme="minorHAnsi"/>
        <w:b/>
      </w:rPr>
    </w:pPr>
  </w:p>
  <w:p w:rsidR="00FE37D5" w:rsidRPr="00E21A38" w:rsidRDefault="004D7B71" w:rsidP="00FE37D5">
    <w:pPr>
      <w:pStyle w:val="Footer"/>
      <w:rPr>
        <w:sz w:val="20"/>
        <w:szCs w:val="20"/>
      </w:rPr>
    </w:pPr>
    <w:r>
      <w:rPr>
        <w:sz w:val="20"/>
        <w:szCs w:val="20"/>
      </w:rPr>
      <w:t>PUBLIC CONSULTATION 2017</w:t>
    </w:r>
    <w:r w:rsidR="00FE37D5" w:rsidRPr="009016FB">
      <w:rPr>
        <w:sz w:val="20"/>
        <w:szCs w:val="20"/>
      </w:rPr>
      <w:t xml:space="preserve"> </w:t>
    </w:r>
    <w:r w:rsidR="00FE37D5">
      <w:rPr>
        <w:sz w:val="20"/>
        <w:szCs w:val="20"/>
      </w:rPr>
      <w:t>–</w:t>
    </w:r>
    <w:r w:rsidR="00FE37D5" w:rsidRPr="009016FB">
      <w:rPr>
        <w:sz w:val="20"/>
        <w:szCs w:val="20"/>
      </w:rPr>
      <w:t xml:space="preserve"> </w:t>
    </w:r>
    <w:r w:rsidR="00FE37D5">
      <w:rPr>
        <w:sz w:val="20"/>
        <w:szCs w:val="20"/>
      </w:rPr>
      <w:t>Myocarditis in children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C978BE"/>
    <w:multiLevelType w:val="hybridMultilevel"/>
    <w:tmpl w:val="1778D5CE"/>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CD6F44"/>
    <w:multiLevelType w:val="hybridMultilevel"/>
    <w:tmpl w:val="C876EC10"/>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5"/>
  </w:num>
  <w:num w:numId="6">
    <w:abstractNumId w:val="2"/>
  </w:num>
  <w:num w:numId="7">
    <w:abstractNumId w:val="1"/>
  </w:num>
  <w:num w:numId="8">
    <w:abstractNumId w:val="4"/>
  </w:num>
  <w:num w:numId="9">
    <w:abstractNumId w:val="0"/>
  </w:num>
  <w:num w:numId="10">
    <w:abstractNumId w:val="42"/>
  </w:num>
  <w:num w:numId="11">
    <w:abstractNumId w:val="28"/>
  </w:num>
  <w:num w:numId="12">
    <w:abstractNumId w:val="35"/>
  </w:num>
  <w:num w:numId="13">
    <w:abstractNumId w:val="12"/>
  </w:num>
  <w:num w:numId="14">
    <w:abstractNumId w:val="21"/>
  </w:num>
  <w:num w:numId="15">
    <w:abstractNumId w:val="11"/>
  </w:num>
  <w:num w:numId="16">
    <w:abstractNumId w:val="37"/>
  </w:num>
  <w:num w:numId="17">
    <w:abstractNumId w:val="5"/>
  </w:num>
  <w:num w:numId="18">
    <w:abstractNumId w:val="16"/>
  </w:num>
  <w:num w:numId="19">
    <w:abstractNumId w:val="32"/>
  </w:num>
  <w:num w:numId="20">
    <w:abstractNumId w:val="44"/>
  </w:num>
  <w:num w:numId="21">
    <w:abstractNumId w:val="13"/>
  </w:num>
  <w:num w:numId="22">
    <w:abstractNumId w:val="34"/>
  </w:num>
  <w:num w:numId="23">
    <w:abstractNumId w:val="10"/>
  </w:num>
  <w:num w:numId="24">
    <w:abstractNumId w:val="3"/>
  </w:num>
  <w:num w:numId="25">
    <w:abstractNumId w:val="36"/>
  </w:num>
  <w:num w:numId="26">
    <w:abstractNumId w:val="24"/>
  </w:num>
  <w:num w:numId="27">
    <w:abstractNumId w:val="40"/>
  </w:num>
  <w:num w:numId="28">
    <w:abstractNumId w:val="29"/>
  </w:num>
  <w:num w:numId="29">
    <w:abstractNumId w:val="30"/>
  </w:num>
  <w:num w:numId="30">
    <w:abstractNumId w:val="8"/>
  </w:num>
  <w:num w:numId="31">
    <w:abstractNumId w:val="9"/>
  </w:num>
  <w:num w:numId="32">
    <w:abstractNumId w:val="27"/>
  </w:num>
  <w:num w:numId="33">
    <w:abstractNumId w:val="43"/>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9"/>
  </w:num>
  <w:num w:numId="42">
    <w:abstractNumId w:val="41"/>
  </w:num>
  <w:num w:numId="43">
    <w:abstractNumId w:val="25"/>
  </w:num>
  <w:num w:numId="44">
    <w:abstractNumId w:val="6"/>
  </w:num>
  <w:num w:numId="45">
    <w:abstractNumId w:val="45"/>
  </w:num>
  <w:num w:numId="46">
    <w:abstractNumId w:val="1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54FD5"/>
    <w:rsid w:val="00067722"/>
    <w:rsid w:val="0007639A"/>
    <w:rsid w:val="000A3A69"/>
    <w:rsid w:val="000A65C9"/>
    <w:rsid w:val="000B27A7"/>
    <w:rsid w:val="000E09C4"/>
    <w:rsid w:val="000E4D1E"/>
    <w:rsid w:val="00133D92"/>
    <w:rsid w:val="00153753"/>
    <w:rsid w:val="00165F48"/>
    <w:rsid w:val="0017270F"/>
    <w:rsid w:val="00183086"/>
    <w:rsid w:val="001849B2"/>
    <w:rsid w:val="00184E12"/>
    <w:rsid w:val="00186CF7"/>
    <w:rsid w:val="001A2460"/>
    <w:rsid w:val="001C45B4"/>
    <w:rsid w:val="001D0F55"/>
    <w:rsid w:val="00205AB2"/>
    <w:rsid w:val="0021213D"/>
    <w:rsid w:val="00216823"/>
    <w:rsid w:val="00221E67"/>
    <w:rsid w:val="0022664C"/>
    <w:rsid w:val="002306B2"/>
    <w:rsid w:val="00236B19"/>
    <w:rsid w:val="00240825"/>
    <w:rsid w:val="002506FF"/>
    <w:rsid w:val="002537F2"/>
    <w:rsid w:val="00255740"/>
    <w:rsid w:val="00275679"/>
    <w:rsid w:val="00282F66"/>
    <w:rsid w:val="00290737"/>
    <w:rsid w:val="002936DD"/>
    <w:rsid w:val="00295CD3"/>
    <w:rsid w:val="002B2FE2"/>
    <w:rsid w:val="002D2007"/>
    <w:rsid w:val="002E6F3A"/>
    <w:rsid w:val="002F3325"/>
    <w:rsid w:val="00320BEB"/>
    <w:rsid w:val="00327526"/>
    <w:rsid w:val="0033060E"/>
    <w:rsid w:val="00360326"/>
    <w:rsid w:val="00395032"/>
    <w:rsid w:val="003A1F9D"/>
    <w:rsid w:val="003D1795"/>
    <w:rsid w:val="003D27F1"/>
    <w:rsid w:val="003E3235"/>
    <w:rsid w:val="003F11F8"/>
    <w:rsid w:val="003F4E60"/>
    <w:rsid w:val="00400F0E"/>
    <w:rsid w:val="00403201"/>
    <w:rsid w:val="00420DA8"/>
    <w:rsid w:val="00433C78"/>
    <w:rsid w:val="00437609"/>
    <w:rsid w:val="00445EDE"/>
    <w:rsid w:val="00447869"/>
    <w:rsid w:val="00454FA8"/>
    <w:rsid w:val="00460325"/>
    <w:rsid w:val="00463B0C"/>
    <w:rsid w:val="0047615E"/>
    <w:rsid w:val="004856E4"/>
    <w:rsid w:val="004926F2"/>
    <w:rsid w:val="004A10A2"/>
    <w:rsid w:val="004B14F4"/>
    <w:rsid w:val="004D4636"/>
    <w:rsid w:val="004D7B71"/>
    <w:rsid w:val="004E4A52"/>
    <w:rsid w:val="005023CE"/>
    <w:rsid w:val="00525C51"/>
    <w:rsid w:val="00531E6D"/>
    <w:rsid w:val="00540020"/>
    <w:rsid w:val="00543C69"/>
    <w:rsid w:val="005546AE"/>
    <w:rsid w:val="005629EE"/>
    <w:rsid w:val="00577D9A"/>
    <w:rsid w:val="00584BEC"/>
    <w:rsid w:val="005851ED"/>
    <w:rsid w:val="005960E7"/>
    <w:rsid w:val="00596C72"/>
    <w:rsid w:val="005C78F4"/>
    <w:rsid w:val="005D2C3D"/>
    <w:rsid w:val="005E04F6"/>
    <w:rsid w:val="00600F9E"/>
    <w:rsid w:val="00602D7D"/>
    <w:rsid w:val="00617D9D"/>
    <w:rsid w:val="006201B1"/>
    <w:rsid w:val="0063151A"/>
    <w:rsid w:val="006427C2"/>
    <w:rsid w:val="00642A5C"/>
    <w:rsid w:val="00644285"/>
    <w:rsid w:val="00657F36"/>
    <w:rsid w:val="006627B5"/>
    <w:rsid w:val="006631E9"/>
    <w:rsid w:val="00666AA5"/>
    <w:rsid w:val="00670D34"/>
    <w:rsid w:val="006855AF"/>
    <w:rsid w:val="00695219"/>
    <w:rsid w:val="006A0A27"/>
    <w:rsid w:val="006B0323"/>
    <w:rsid w:val="006B4C33"/>
    <w:rsid w:val="006D2521"/>
    <w:rsid w:val="006D2FA8"/>
    <w:rsid w:val="006D36A9"/>
    <w:rsid w:val="006F1FA7"/>
    <w:rsid w:val="006F485E"/>
    <w:rsid w:val="00702EB0"/>
    <w:rsid w:val="007062A8"/>
    <w:rsid w:val="00722415"/>
    <w:rsid w:val="007568D0"/>
    <w:rsid w:val="00766EA6"/>
    <w:rsid w:val="00780D9A"/>
    <w:rsid w:val="007830E1"/>
    <w:rsid w:val="00787242"/>
    <w:rsid w:val="00793EB5"/>
    <w:rsid w:val="007B0C7B"/>
    <w:rsid w:val="007B2100"/>
    <w:rsid w:val="007C7B0F"/>
    <w:rsid w:val="007F3022"/>
    <w:rsid w:val="008041F6"/>
    <w:rsid w:val="00847EC8"/>
    <w:rsid w:val="0085141B"/>
    <w:rsid w:val="00853117"/>
    <w:rsid w:val="00856708"/>
    <w:rsid w:val="008612AB"/>
    <w:rsid w:val="00866D10"/>
    <w:rsid w:val="00880ECB"/>
    <w:rsid w:val="00893E0A"/>
    <w:rsid w:val="00896241"/>
    <w:rsid w:val="008F57BC"/>
    <w:rsid w:val="009012E7"/>
    <w:rsid w:val="00901446"/>
    <w:rsid w:val="00901F76"/>
    <w:rsid w:val="009025B7"/>
    <w:rsid w:val="009208EC"/>
    <w:rsid w:val="00924C48"/>
    <w:rsid w:val="00933536"/>
    <w:rsid w:val="009347BC"/>
    <w:rsid w:val="0093594E"/>
    <w:rsid w:val="00944AF7"/>
    <w:rsid w:val="00951B85"/>
    <w:rsid w:val="0096446E"/>
    <w:rsid w:val="00974E7D"/>
    <w:rsid w:val="00982D63"/>
    <w:rsid w:val="009A69CF"/>
    <w:rsid w:val="009B04BD"/>
    <w:rsid w:val="009B4E80"/>
    <w:rsid w:val="009C1E09"/>
    <w:rsid w:val="009E0D07"/>
    <w:rsid w:val="009E38CC"/>
    <w:rsid w:val="009F4509"/>
    <w:rsid w:val="009F7F7D"/>
    <w:rsid w:val="00A0276B"/>
    <w:rsid w:val="00A0352E"/>
    <w:rsid w:val="00A05745"/>
    <w:rsid w:val="00A23D1D"/>
    <w:rsid w:val="00A31C82"/>
    <w:rsid w:val="00A357C4"/>
    <w:rsid w:val="00A57D60"/>
    <w:rsid w:val="00A7510F"/>
    <w:rsid w:val="00A80A19"/>
    <w:rsid w:val="00A81C38"/>
    <w:rsid w:val="00AA19C1"/>
    <w:rsid w:val="00AB120F"/>
    <w:rsid w:val="00AB45F5"/>
    <w:rsid w:val="00AD086B"/>
    <w:rsid w:val="00AD1EF1"/>
    <w:rsid w:val="00AD4362"/>
    <w:rsid w:val="00AE5015"/>
    <w:rsid w:val="00AE63FA"/>
    <w:rsid w:val="00AF6D55"/>
    <w:rsid w:val="00B35BD7"/>
    <w:rsid w:val="00B3726E"/>
    <w:rsid w:val="00B97261"/>
    <w:rsid w:val="00BA2B21"/>
    <w:rsid w:val="00BA76E3"/>
    <w:rsid w:val="00BD6C2D"/>
    <w:rsid w:val="00BD7111"/>
    <w:rsid w:val="00BD735D"/>
    <w:rsid w:val="00C21002"/>
    <w:rsid w:val="00C24E0B"/>
    <w:rsid w:val="00C30FD5"/>
    <w:rsid w:val="00C34D27"/>
    <w:rsid w:val="00C364CA"/>
    <w:rsid w:val="00C51E04"/>
    <w:rsid w:val="00C62DDF"/>
    <w:rsid w:val="00C92149"/>
    <w:rsid w:val="00CA4321"/>
    <w:rsid w:val="00CB47C1"/>
    <w:rsid w:val="00CB50C5"/>
    <w:rsid w:val="00CC12B9"/>
    <w:rsid w:val="00CD489A"/>
    <w:rsid w:val="00CD5856"/>
    <w:rsid w:val="00CD7B8A"/>
    <w:rsid w:val="00D16B82"/>
    <w:rsid w:val="00D17E7A"/>
    <w:rsid w:val="00D17FEC"/>
    <w:rsid w:val="00D24193"/>
    <w:rsid w:val="00D67CFD"/>
    <w:rsid w:val="00D874FD"/>
    <w:rsid w:val="00D87794"/>
    <w:rsid w:val="00D958DF"/>
    <w:rsid w:val="00D96987"/>
    <w:rsid w:val="00DB17C2"/>
    <w:rsid w:val="00DB1925"/>
    <w:rsid w:val="00DB1FE5"/>
    <w:rsid w:val="00DD166F"/>
    <w:rsid w:val="00DF319E"/>
    <w:rsid w:val="00E21A38"/>
    <w:rsid w:val="00E337E6"/>
    <w:rsid w:val="00E50BD3"/>
    <w:rsid w:val="00E62E16"/>
    <w:rsid w:val="00E6450F"/>
    <w:rsid w:val="00E672AA"/>
    <w:rsid w:val="00E7550D"/>
    <w:rsid w:val="00EA2E82"/>
    <w:rsid w:val="00EB78FB"/>
    <w:rsid w:val="00EC0889"/>
    <w:rsid w:val="00F26537"/>
    <w:rsid w:val="00F42816"/>
    <w:rsid w:val="00F66136"/>
    <w:rsid w:val="00F70578"/>
    <w:rsid w:val="00F95C39"/>
    <w:rsid w:val="00FB0165"/>
    <w:rsid w:val="00FC0E9B"/>
    <w:rsid w:val="00FC5CB0"/>
    <w:rsid w:val="00FD2CCD"/>
    <w:rsid w:val="00FE1B13"/>
    <w:rsid w:val="00FE1EE0"/>
    <w:rsid w:val="00FE37D5"/>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C62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C6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chrane.org/CD004370/VASC_intravenous-immunoglobulin-for-presumed-viral-myocarditis-in-children-and-adults" TargetMode="External"/><Relationship Id="rId4" Type="http://schemas.microsoft.com/office/2007/relationships/stylesWithEffects" Target="stylesWithEffects.xml"/><Relationship Id="rId9" Type="http://schemas.openxmlformats.org/officeDocument/2006/relationships/hyperlink" Target="https://www.ncbi.nlm.nih.gov/pubmed/828165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E3DE-11D6-46D1-BF3D-A15C2CC3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10</cp:revision>
  <cp:lastPrinted>2017-04-10T03:37:00Z</cp:lastPrinted>
  <dcterms:created xsi:type="dcterms:W3CDTF">2017-03-15T22:56:00Z</dcterms:created>
  <dcterms:modified xsi:type="dcterms:W3CDTF">2017-04-10T03:37:00Z</dcterms:modified>
</cp:coreProperties>
</file>