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B" w:rsidRDefault="007641EB"/>
    <w:p w:rsidR="007641EB" w:rsidRDefault="007641EB"/>
    <w:tbl>
      <w:tblPr>
        <w:tblStyle w:val="LightList-Accent1"/>
        <w:tblW w:w="12049" w:type="dxa"/>
        <w:tblInd w:w="-601" w:type="dxa"/>
        <w:tblLook w:val="04A0" w:firstRow="1" w:lastRow="0" w:firstColumn="1" w:lastColumn="0" w:noHBand="0" w:noVBand="1"/>
      </w:tblPr>
      <w:tblGrid>
        <w:gridCol w:w="3369"/>
        <w:gridCol w:w="8680"/>
      </w:tblGrid>
      <w:tr w:rsidR="000A4182" w:rsidTr="000A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bottom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r w:rsidRPr="00496AAD">
              <w:rPr>
                <w:b w:val="0"/>
              </w:rPr>
              <w:t>Condition Name</w:t>
            </w:r>
          </w:p>
        </w:tc>
        <w:tc>
          <w:tcPr>
            <w:tcW w:w="8680" w:type="dxa"/>
            <w:tcBorders>
              <w:top w:val="single" w:sz="8" w:space="0" w:color="4F81BD" w:themeColor="accent1"/>
              <w:bottom w:val="single" w:sz="4" w:space="0" w:color="548DD4" w:themeColor="text2" w:themeTint="99"/>
            </w:tcBorders>
          </w:tcPr>
          <w:p w:rsidR="000A4182" w:rsidRDefault="000A4182" w:rsidP="005760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Proposed Changes</w:t>
            </w:r>
          </w:p>
        </w:tc>
      </w:tr>
      <w:tr w:rsidR="000A4182" w:rsidTr="000A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9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0A4182" w:rsidRPr="00496AAD" w:rsidRDefault="000A4182" w:rsidP="005760E6">
            <w:r>
              <w:t>Immunology</w:t>
            </w:r>
          </w:p>
        </w:tc>
      </w:tr>
      <w:tr w:rsidR="000A4182" w:rsidTr="000A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5E7099" w:rsidRDefault="000A4182" w:rsidP="005760E6">
            <w:pPr>
              <w:rPr>
                <w:b w:val="0"/>
              </w:rPr>
            </w:pPr>
            <w:r w:rsidRPr="005E7099">
              <w:rPr>
                <w:rFonts w:asciiTheme="minorHAnsi" w:eastAsia="Times New Roman" w:hAnsiTheme="minorHAnsi" w:cs="Times New Roman"/>
                <w:b w:val="0"/>
                <w:lang w:eastAsia="en-AU"/>
              </w:rPr>
              <w:t>Anti-neutrophil cytoplasmic antibody (ANCA) [Proteinase 3 (PR3) or myeloperoxidase (MPO)]- positive systemic necrotising vasculitis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nephrologist has been added to the list of specialists who can diagnose and review this condition</w:t>
            </w:r>
          </w:p>
          <w:p w:rsidR="000A4182" w:rsidRDefault="000A41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Rituximab must have been trialled and failed</w:t>
            </w:r>
          </w:p>
          <w:p w:rsidR="000A4182" w:rsidRDefault="000A41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response is required to be demonstrated to allow access to continued treatment </w:t>
            </w:r>
          </w:p>
          <w:p w:rsidR="000A4182" w:rsidRDefault="000A41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treatment is allowed for six months, after which time patients must requalify under a relapse indication</w:t>
            </w:r>
            <w:bookmarkStart w:id="0" w:name="_GoBack"/>
            <w:bookmarkEnd w:id="0"/>
          </w:p>
          <w:p w:rsidR="000A4182" w:rsidRDefault="000A41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t>Autoimmune congenital heart block</w:t>
            </w:r>
          </w:p>
          <w:p w:rsidR="000A4182" w:rsidRPr="002D5B2A" w:rsidRDefault="000A4182" w:rsidP="00E32A26">
            <w:pPr>
              <w:rPr>
                <w:b w:val="0"/>
              </w:rPr>
            </w:pPr>
            <w:r>
              <w:rPr>
                <w:b w:val="0"/>
              </w:rPr>
              <w:t>(formerly Autoimmune congenital heart block (neonatal lupus)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Neonatal lupus has been removed from the name as there are other manifestations of neonatal lupus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diagnosis must be made by an obstetrician or clinical immunologist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Three indications have been added to support three differing qualifying criteria and treatment periods 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Except where previous pregnancies have been affected, heart block and maternal anti-Ro and/or anti-La antibodies must be present to qualify for Ig therapy  </w:t>
            </w:r>
          </w:p>
          <w:p w:rsidR="000A4182" w:rsidRDefault="000A4182" w:rsidP="005760E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t>Autoimmune retinopathy (formerly Autoimmune uveitis)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has been changed to more clearly describe the sub-group of patients who would be eligible for Ig therapy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ophthalmologist is required diagnosis and to provide ongoing assessment of the eyes, along with another specialist who will manage Ig therapy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is required within first 3 months and annually thereafter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tests required for diagnosis and review have been specified by the Royal Australian and New Zealand College of Ophthalmologists </w:t>
            </w:r>
          </w:p>
          <w:p w:rsidR="000A4182" w:rsidRDefault="000A4182" w:rsidP="005760E6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for steroids and immunosuppressants to have been trialled and failed, or contraindicated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E9086B" w:rsidRDefault="000A4182" w:rsidP="005760E6">
            <w:pPr>
              <w:rPr>
                <w:b w:val="0"/>
              </w:rPr>
            </w:pPr>
            <w:r w:rsidRPr="00E9086B">
              <w:rPr>
                <w:b w:val="0"/>
              </w:rPr>
              <w:t>Catastrophic anti-phospholipid syndrome</w:t>
            </w:r>
            <w:r>
              <w:rPr>
                <w:b w:val="0"/>
              </w:rPr>
              <w:t xml:space="preserve"> (CAPS)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3C54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indication has been more clearly defined and acknowledges the role steroids and plasmapheresis in this condition </w:t>
            </w:r>
          </w:p>
          <w:p w:rsidR="000A4182" w:rsidRDefault="000A4182" w:rsidP="001F1631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Patients with chronic recurrent thrombosis have been excluded </w:t>
            </w:r>
          </w:p>
          <w:p w:rsidR="000A4182" w:rsidRDefault="000A41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The diagnosis must be made by a clinical </w:t>
            </w:r>
            <w:r w:rsidR="005E7099">
              <w:t>immunologist or a haematologist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F85547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Epidermolysis bullosa </w:t>
            </w:r>
            <w:proofErr w:type="spellStart"/>
            <w:r>
              <w:rPr>
                <w:b w:val="0"/>
              </w:rPr>
              <w:t>acquista</w:t>
            </w:r>
            <w:proofErr w:type="spellEnd"/>
            <w:r>
              <w:rPr>
                <w:b w:val="0"/>
              </w:rPr>
              <w:t xml:space="preserve"> (EBA)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0A418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A35">
              <w:t xml:space="preserve">Two </w:t>
            </w:r>
            <w:r>
              <w:t>indications have been developed to provide access for initial therapy, and for continued treatment for worsening disease after a trial off therapy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diagnosis must be made by either a dermatologist or a clinical immunologist and review which is required in the first four months and annually thereafter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diagnosis must confirmed by biopsy and immunofluorescence</w:t>
            </w:r>
          </w:p>
          <w:p w:rsidR="000A4182" w:rsidRDefault="000A4182" w:rsidP="000A418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for steroids and immunosuppressants to have been trialled and failed, or contraindicated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5760E6">
            <w:r w:rsidRPr="00F85547">
              <w:rPr>
                <w:b w:val="0"/>
              </w:rPr>
              <w:t xml:space="preserve">Graves </w:t>
            </w:r>
            <w:proofErr w:type="spellStart"/>
            <w:r w:rsidRPr="00F85547">
              <w:rPr>
                <w:b w:val="0"/>
              </w:rPr>
              <w:t>Ophthalmopathy</w:t>
            </w:r>
            <w:proofErr w:type="spellEnd"/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0A41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is now limited to those with severe disease, and in whom both corticosteroids and immunosuppressants have been trialled and</w:t>
            </w:r>
            <w:r w:rsidR="005E7099">
              <w:t xml:space="preserve"> failed, or are contraindicated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addition, two alternative treatments (</w:t>
            </w:r>
            <w:proofErr w:type="spellStart"/>
            <w:r>
              <w:t>eg</w:t>
            </w:r>
            <w:proofErr w:type="spellEnd"/>
            <w:r>
              <w:t xml:space="preserve">  </w:t>
            </w:r>
            <w:r w:rsidRPr="00B66E6B">
              <w:t>Cyclosporine</w:t>
            </w:r>
            <w:r>
              <w:t xml:space="preserve">, </w:t>
            </w:r>
            <w:r w:rsidRPr="007E6F4E">
              <w:t>Methotrexate</w:t>
            </w:r>
            <w:r>
              <w:t>, o</w:t>
            </w:r>
            <w:r w:rsidRPr="007E6F4E">
              <w:t>rbital radiotherapy</w:t>
            </w:r>
            <w:r>
              <w:t xml:space="preserve"> or orbital decompression s</w:t>
            </w:r>
            <w:r w:rsidRPr="007E6F4E">
              <w:t>urgery</w:t>
            </w:r>
            <w:r>
              <w:t>), must have also been trialled and failed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03690">
              <w:rPr>
                <w:i/>
              </w:rPr>
              <w:t>Bartelena</w:t>
            </w:r>
            <w:proofErr w:type="spellEnd"/>
            <w:r w:rsidRPr="00303690">
              <w:rPr>
                <w:i/>
              </w:rPr>
              <w:t xml:space="preserve"> Activity Score measures of severity</w:t>
            </w:r>
            <w:r>
              <w:t xml:space="preserve"> will now be required to assess improvement which must be demonstra</w:t>
            </w:r>
            <w:r w:rsidR="005E7099">
              <w:t>ted to receive ongoing therapy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ophthalmologist or clinical immunologist is required f</w:t>
            </w:r>
            <w:r w:rsidR="005E7099">
              <w:t>or diagnosis and review which is</w:t>
            </w:r>
            <w:r>
              <w:t xml:space="preserve"> required within the first three months and six monthly thereafter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t>HIV in children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3C547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proposed that this condition will no longer be supported for funded access to immunoglobulin treatment as there are more effective treatments for this condition</w:t>
            </w:r>
            <w:r w:rsidDel="001F1631">
              <w:t xml:space="preserve"> 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t>Myocarditis in Children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3C547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is proposed that this condition will no longer be supported for funded access to immunoglobulin treatment as there are more effective treatments for this condition</w:t>
            </w:r>
            <w:r w:rsidDel="001F1631">
              <w:t xml:space="preserve"> 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t xml:space="preserve">Pyoderma </w:t>
            </w:r>
            <w:proofErr w:type="spellStart"/>
            <w:r>
              <w:rPr>
                <w:b w:val="0"/>
              </w:rPr>
              <w:t>gangrenosum</w:t>
            </w:r>
            <w:proofErr w:type="spellEnd"/>
            <w:r>
              <w:rPr>
                <w:b w:val="0"/>
              </w:rPr>
              <w:t xml:space="preserve"> (PG)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Default="000A4182" w:rsidP="003C54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Two indications have been defined: one for initial treatment and the other for relapse in responding patients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for severe persistent ulceration and impact on quality of life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 for other therapies (corticosteroids, immunosuppressant medication and biologic therapy) to be trialled and failed, if not contraindicated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dermatologist or clinical immunologist is required for diagnosis and review which is required within the first three months and six monthly thereafter 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trial off therapy is recommended once disease is controlled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Scleromyxedema</w:t>
            </w:r>
            <w:proofErr w:type="spellEnd"/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8037E5" w:rsidRDefault="000A4182" w:rsidP="003C54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Two indications have been developed to support differing types of disease: skin involvement only and systemic disease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</w:p>
          <w:p w:rsidR="000A4182" w:rsidRDefault="000A4182" w:rsidP="003C5475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patients with disease limited to the skin there is a requirement to have trialled and failed other therapies (corticosteroids, immunosuppressant medication), if not contraindicated</w:t>
            </w:r>
          </w:p>
          <w:p w:rsidR="000A4182" w:rsidRDefault="000A4182" w:rsidP="00770158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receive Ig as first line therapy, a skin biopsy proving Scleromyxedema and evidence of systemic manifestations is required</w:t>
            </w:r>
          </w:p>
          <w:p w:rsidR="000A4182" w:rsidRPr="000A4182" w:rsidRDefault="000A41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Cs w:val="20"/>
              </w:rPr>
              <w:t>A dermatologist or clinical immunologist is required for diagnosis and review which must occur six monthly</w:t>
            </w:r>
          </w:p>
          <w:p w:rsidR="000A4182" w:rsidRDefault="000A41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trial off is therapy is recommended once disease is stable or in remission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  <w:tr w:rsidR="000A4182" w:rsidTr="000A4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496AAD" w:rsidRDefault="000A4182" w:rsidP="005760E6">
            <w:pPr>
              <w:rPr>
                <w:b w:val="0"/>
              </w:rPr>
            </w:pPr>
            <w:r>
              <w:rPr>
                <w:b w:val="0"/>
              </w:rPr>
              <w:t>Systemic capillary leak syndrome (SCLS)</w:t>
            </w:r>
          </w:p>
        </w:tc>
        <w:tc>
          <w:tcPr>
            <w:tcW w:w="868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0A4182" w:rsidRPr="0012288B" w:rsidRDefault="000A4182" w:rsidP="003C547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Cs w:val="20"/>
              </w:rPr>
              <w:t xml:space="preserve">The symptoms of shock must be described to establish sufficient severity of a life threatening nature including that hospitalisation has been required on more than one occasion </w:t>
            </w:r>
          </w:p>
          <w:p w:rsidR="000A4182" w:rsidRDefault="000A4182" w:rsidP="0077015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immunologists have been added to the list of specialists who can make the diagnosis </w:t>
            </w:r>
          </w:p>
          <w:p w:rsidR="000A4182" w:rsidRDefault="000A4182" w:rsidP="0077015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Reviews must be undertaken by a general physician or a clinical immunologist within the first six months and then annually thereafter </w:t>
            </w:r>
          </w:p>
          <w:p w:rsidR="000A4182" w:rsidRDefault="000A4182" w:rsidP="00770158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trial off is therapy is recommended once disease is stable or in remission</w:t>
            </w:r>
          </w:p>
          <w:p w:rsidR="000A4182" w:rsidRDefault="000A4182" w:rsidP="000A418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the condition </w:t>
            </w:r>
            <w:proofErr w:type="spellStart"/>
            <w:r>
              <w:t>proforma</w:t>
            </w:r>
            <w:proofErr w:type="spellEnd"/>
            <w:r>
              <w:t xml:space="preserve"> for detailed information</w:t>
            </w:r>
          </w:p>
        </w:tc>
      </w:tr>
    </w:tbl>
    <w:p w:rsidR="00FA5701" w:rsidRPr="006221FD" w:rsidRDefault="00FA5701" w:rsidP="006221FD"/>
    <w:sectPr w:rsidR="00FA5701" w:rsidRPr="006221FD" w:rsidSect="006221FD">
      <w:footerReference w:type="default" r:id="rId9"/>
      <w:pgSz w:w="16838" w:h="11906" w:orient="landscape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FD" w:rsidRDefault="006221FD" w:rsidP="00856708">
      <w:pPr>
        <w:spacing w:after="0"/>
      </w:pPr>
      <w:r>
        <w:separator/>
      </w:r>
    </w:p>
  </w:endnote>
  <w:endnote w:type="continuationSeparator" w:id="0">
    <w:p w:rsidR="006221FD" w:rsidRDefault="006221FD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proofErr w:type="spellStart"/>
    <w:r w:rsidRPr="00856708">
      <w:rPr>
        <w:sz w:val="20"/>
        <w:szCs w:val="20"/>
      </w:rPr>
      <w:t>pg</w:t>
    </w:r>
    <w:proofErr w:type="spellEnd"/>
    <w:r w:rsidRPr="00856708">
      <w:rPr>
        <w:sz w:val="20"/>
        <w:szCs w:val="20"/>
      </w:rPr>
      <w:t xml:space="preserve">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5E7099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FD" w:rsidRDefault="006221FD" w:rsidP="00856708">
      <w:pPr>
        <w:spacing w:after="0"/>
      </w:pPr>
      <w:r>
        <w:separator/>
      </w:r>
    </w:p>
  </w:footnote>
  <w:footnote w:type="continuationSeparator" w:id="0">
    <w:p w:rsidR="006221FD" w:rsidRDefault="006221FD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4044D21"/>
    <w:multiLevelType w:val="hybridMultilevel"/>
    <w:tmpl w:val="4544A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62B2B"/>
    <w:multiLevelType w:val="hybridMultilevel"/>
    <w:tmpl w:val="C7EAE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E85CB5"/>
    <w:multiLevelType w:val="hybridMultilevel"/>
    <w:tmpl w:val="2836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332688"/>
    <w:multiLevelType w:val="hybridMultilevel"/>
    <w:tmpl w:val="CA220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410BF"/>
    <w:multiLevelType w:val="hybridMultilevel"/>
    <w:tmpl w:val="63201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6C02F6"/>
    <w:multiLevelType w:val="hybridMultilevel"/>
    <w:tmpl w:val="9B602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4A79FA"/>
    <w:multiLevelType w:val="hybridMultilevel"/>
    <w:tmpl w:val="980A4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FD"/>
    <w:rsid w:val="00016BB3"/>
    <w:rsid w:val="00036EDC"/>
    <w:rsid w:val="000759BC"/>
    <w:rsid w:val="000A4182"/>
    <w:rsid w:val="000F6F1A"/>
    <w:rsid w:val="00111639"/>
    <w:rsid w:val="00120376"/>
    <w:rsid w:val="0012288B"/>
    <w:rsid w:val="0012295C"/>
    <w:rsid w:val="001A1D4B"/>
    <w:rsid w:val="001E718F"/>
    <w:rsid w:val="001F1631"/>
    <w:rsid w:val="00235F02"/>
    <w:rsid w:val="002537F2"/>
    <w:rsid w:val="00270CAF"/>
    <w:rsid w:val="00295CD3"/>
    <w:rsid w:val="00297219"/>
    <w:rsid w:val="002A6E10"/>
    <w:rsid w:val="002D5B2A"/>
    <w:rsid w:val="00303690"/>
    <w:rsid w:val="00367154"/>
    <w:rsid w:val="003705FE"/>
    <w:rsid w:val="003C5475"/>
    <w:rsid w:val="003D27F1"/>
    <w:rsid w:val="00426F4A"/>
    <w:rsid w:val="00496AAD"/>
    <w:rsid w:val="004D4636"/>
    <w:rsid w:val="00540020"/>
    <w:rsid w:val="005D1DF6"/>
    <w:rsid w:val="005E7099"/>
    <w:rsid w:val="006221FD"/>
    <w:rsid w:val="00632630"/>
    <w:rsid w:val="00661539"/>
    <w:rsid w:val="00673C59"/>
    <w:rsid w:val="006C0CDD"/>
    <w:rsid w:val="006F4698"/>
    <w:rsid w:val="00720159"/>
    <w:rsid w:val="0074502F"/>
    <w:rsid w:val="007641EB"/>
    <w:rsid w:val="00770158"/>
    <w:rsid w:val="00784E50"/>
    <w:rsid w:val="008037E5"/>
    <w:rsid w:val="00856708"/>
    <w:rsid w:val="00893E0A"/>
    <w:rsid w:val="00951B85"/>
    <w:rsid w:val="009C7E20"/>
    <w:rsid w:val="009D13B4"/>
    <w:rsid w:val="009E38CC"/>
    <w:rsid w:val="00A84A57"/>
    <w:rsid w:val="00AD51F7"/>
    <w:rsid w:val="00B3726E"/>
    <w:rsid w:val="00B6218D"/>
    <w:rsid w:val="00C82185"/>
    <w:rsid w:val="00C828AF"/>
    <w:rsid w:val="00CD5218"/>
    <w:rsid w:val="00CF2CA0"/>
    <w:rsid w:val="00D0206B"/>
    <w:rsid w:val="00D972A0"/>
    <w:rsid w:val="00DE018E"/>
    <w:rsid w:val="00E32A26"/>
    <w:rsid w:val="00E9086B"/>
    <w:rsid w:val="00F3572F"/>
    <w:rsid w:val="00F35B05"/>
    <w:rsid w:val="00F4592C"/>
    <w:rsid w:val="00F67776"/>
    <w:rsid w:val="00F67B14"/>
    <w:rsid w:val="00F75F2E"/>
    <w:rsid w:val="00F84A03"/>
    <w:rsid w:val="00F85547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6221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3C5475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3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2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26"/>
    <w:rPr>
      <w:rFonts w:ascii="Calibri" w:eastAsia="Dotum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26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table" w:styleId="LightList-Accent1">
    <w:name w:val="Light List Accent 1"/>
    <w:basedOn w:val="TableNormal"/>
    <w:uiPriority w:val="61"/>
    <w:rsid w:val="006221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3C5475"/>
    <w:rPr>
      <w:rFonts w:ascii="Calibri" w:eastAsia="Dotum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32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A26"/>
    <w:rPr>
      <w:rFonts w:ascii="Calibri" w:eastAsia="Dotum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A26"/>
    <w:rPr>
      <w:rFonts w:ascii="Calibri" w:eastAsia="Dotum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A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A26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3B1A-4413-4384-AB80-025DEC50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Cameron</dc:creator>
  <cp:keywords/>
  <dc:description/>
  <cp:lastModifiedBy>J Roberts</cp:lastModifiedBy>
  <cp:revision>20</cp:revision>
  <dcterms:created xsi:type="dcterms:W3CDTF">2017-03-15T23:33:00Z</dcterms:created>
  <dcterms:modified xsi:type="dcterms:W3CDTF">2017-04-28T01:32:00Z</dcterms:modified>
</cp:coreProperties>
</file>