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69" w:rsidRPr="003B41FA" w:rsidRDefault="00FD188B" w:rsidP="004A2602">
      <w:pPr>
        <w:ind w:left="-426"/>
        <w:rPr>
          <w:rFonts w:ascii="Arial" w:hAnsi="Arial" w:cs="Arial"/>
          <w:sz w:val="28"/>
          <w:szCs w:val="28"/>
        </w:rPr>
      </w:pPr>
      <w:bookmarkStart w:id="0" w:name="_GoBack"/>
      <w:bookmarkEnd w:id="0"/>
      <w:r w:rsidRPr="003B41FA">
        <w:rPr>
          <w:rFonts w:ascii="Arial" w:hAnsi="Arial" w:cs="Arial"/>
          <w:sz w:val="28"/>
          <w:szCs w:val="28"/>
        </w:rPr>
        <w:t>2017 (v3.0) Proposed changes to v2.1 of 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3687"/>
        <w:gridCol w:w="10914"/>
      </w:tblGrid>
      <w:tr w:rsidR="008612AB" w:rsidRPr="00447869" w:rsidTr="00832D0D">
        <w:trPr>
          <w:tblHeader/>
        </w:trPr>
        <w:tc>
          <w:tcPr>
            <w:tcW w:w="14601" w:type="dxa"/>
            <w:gridSpan w:val="2"/>
            <w:shd w:val="clear" w:color="auto" w:fill="DBE5F1" w:themeFill="accent1" w:themeFillTint="33"/>
          </w:tcPr>
          <w:p w:rsidR="008612AB" w:rsidRPr="00447869" w:rsidRDefault="003A7E5D" w:rsidP="00FD188B">
            <w:pPr>
              <w:spacing w:before="120" w:after="120"/>
              <w:rPr>
                <w:rFonts w:asciiTheme="minorHAnsi" w:eastAsia="Times New Roman" w:hAnsiTheme="minorHAnsi" w:cs="Times New Roman"/>
                <w:b/>
                <w:bCs/>
                <w:lang w:eastAsia="en-AU"/>
              </w:rPr>
            </w:pPr>
            <w:r w:rsidRPr="003A7E5D">
              <w:rPr>
                <w:rFonts w:asciiTheme="minorHAnsi" w:eastAsia="Times New Roman" w:hAnsiTheme="minorHAnsi" w:cs="Times New Roman"/>
                <w:b/>
                <w:bCs/>
                <w:lang w:eastAsia="en-AU"/>
              </w:rPr>
              <w:t xml:space="preserve"> </w:t>
            </w:r>
            <w:r w:rsidR="005D1CA5">
              <w:rPr>
                <w:rFonts w:asciiTheme="minorHAnsi" w:eastAsia="Times New Roman" w:hAnsiTheme="minorHAnsi" w:cs="Times New Roman"/>
                <w:b/>
                <w:bCs/>
                <w:lang w:eastAsia="en-AU"/>
              </w:rPr>
              <w:t>v</w:t>
            </w:r>
            <w:r w:rsidRPr="003A7E5D">
              <w:rPr>
                <w:rFonts w:asciiTheme="minorHAnsi" w:eastAsia="Times New Roman" w:hAnsiTheme="minorHAnsi" w:cs="Times New Roman"/>
                <w:b/>
                <w:bCs/>
                <w:lang w:eastAsia="en-AU"/>
              </w:rPr>
              <w:t>2.1 CONDITION NAME</w:t>
            </w:r>
            <w:r w:rsidR="00D57589">
              <w:rPr>
                <w:rFonts w:asciiTheme="minorHAnsi" w:eastAsia="Times New Roman" w:hAnsiTheme="minorHAnsi" w:cs="Times New Roman"/>
                <w:b/>
                <w:bCs/>
                <w:lang w:eastAsia="en-AU"/>
              </w:rPr>
              <w:t xml:space="preserve">: </w:t>
            </w:r>
            <w:r>
              <w:rPr>
                <w:rFonts w:asciiTheme="minorHAnsi" w:eastAsia="Times New Roman" w:hAnsiTheme="minorHAnsi" w:cs="Times New Roman"/>
                <w:b/>
                <w:bCs/>
                <w:lang w:eastAsia="en-AU"/>
              </w:rPr>
              <w:t xml:space="preserve">Kidney </w:t>
            </w:r>
            <w:r w:rsidR="005D1CA5">
              <w:rPr>
                <w:rFonts w:asciiTheme="minorHAnsi" w:eastAsia="Times New Roman" w:hAnsiTheme="minorHAnsi" w:cs="Times New Roman"/>
                <w:b/>
                <w:bCs/>
                <w:lang w:eastAsia="en-AU"/>
              </w:rPr>
              <w:t>t</w:t>
            </w:r>
            <w:r>
              <w:rPr>
                <w:rFonts w:asciiTheme="minorHAnsi" w:eastAsia="Times New Roman" w:hAnsiTheme="minorHAnsi" w:cs="Times New Roman"/>
                <w:b/>
                <w:bCs/>
                <w:lang w:eastAsia="en-AU"/>
              </w:rPr>
              <w:t>ransplantation</w:t>
            </w:r>
            <w:r w:rsidR="00FF3BB6">
              <w:rPr>
                <w:rFonts w:asciiTheme="minorHAnsi" w:eastAsia="Times New Roman" w:hAnsiTheme="minorHAnsi" w:cs="Times New Roman"/>
                <w:b/>
                <w:bCs/>
                <w:lang w:eastAsia="en-AU"/>
              </w:rPr>
              <w:tab/>
            </w:r>
          </w:p>
        </w:tc>
      </w:tr>
      <w:tr w:rsidR="00642A5C" w:rsidRPr="00447869" w:rsidTr="00CE3354">
        <w:trPr>
          <w:tblHeader/>
        </w:trPr>
        <w:tc>
          <w:tcPr>
            <w:tcW w:w="3687" w:type="dxa"/>
            <w:shd w:val="clear" w:color="auto" w:fill="auto"/>
          </w:tcPr>
          <w:p w:rsidR="00CE3354" w:rsidRDefault="00CE3354" w:rsidP="00CE3354">
            <w:p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Kidney transplantation</w:t>
            </w:r>
            <w:r>
              <w:rPr>
                <w:rFonts w:asciiTheme="minorHAnsi" w:eastAsia="Times New Roman" w:hAnsiTheme="minorHAnsi" w:cs="Times New Roman"/>
                <w:b/>
                <w:bCs/>
                <w:lang w:eastAsia="en-AU"/>
              </w:rPr>
              <w:t xml:space="preserve"> </w:t>
            </w:r>
            <w:r>
              <w:rPr>
                <w:rFonts w:asciiTheme="minorHAnsi" w:eastAsia="Times New Roman" w:hAnsiTheme="minorHAnsi" w:cs="Times New Roman"/>
                <w:bCs/>
                <w:lang w:eastAsia="en-AU"/>
              </w:rPr>
              <w:t xml:space="preserve">has already been endorsed by NIGAC and JBC </w:t>
            </w:r>
            <w:r w:rsidR="004F1043">
              <w:rPr>
                <w:rFonts w:asciiTheme="minorHAnsi" w:eastAsia="Times New Roman" w:hAnsiTheme="minorHAnsi" w:cs="Times New Roman"/>
                <w:bCs/>
                <w:lang w:eastAsia="en-AU"/>
              </w:rPr>
              <w:t xml:space="preserve">in 2015 </w:t>
            </w:r>
            <w:r>
              <w:rPr>
                <w:rFonts w:asciiTheme="minorHAnsi" w:eastAsia="Times New Roman" w:hAnsiTheme="minorHAnsi" w:cs="Times New Roman"/>
                <w:bCs/>
                <w:lang w:eastAsia="en-AU"/>
              </w:rPr>
              <w:t xml:space="preserve">with revised criteria as a condition for which Ig has an emerging therapeutic role.  At the time, the need for further review was acknowledged by the </w:t>
            </w:r>
            <w:r w:rsidR="005D1CA5">
              <w:rPr>
                <w:rFonts w:asciiTheme="minorHAnsi" w:eastAsia="Times New Roman" w:hAnsiTheme="minorHAnsi" w:cs="Times New Roman"/>
                <w:bCs/>
                <w:lang w:eastAsia="en-AU"/>
              </w:rPr>
              <w:t xml:space="preserve">Specialist Working Group </w:t>
            </w:r>
            <w:r>
              <w:rPr>
                <w:rFonts w:asciiTheme="minorHAnsi" w:eastAsia="Times New Roman" w:hAnsiTheme="minorHAnsi" w:cs="Times New Roman"/>
                <w:bCs/>
                <w:lang w:eastAsia="en-AU"/>
              </w:rPr>
              <w:t xml:space="preserve">and this review has now been completed as part of the </w:t>
            </w:r>
            <w:r w:rsidR="005D1CA5">
              <w:rPr>
                <w:rFonts w:asciiTheme="minorHAnsi" w:eastAsia="Times New Roman" w:hAnsiTheme="minorHAnsi" w:cs="Times New Roman"/>
                <w:bCs/>
                <w:lang w:eastAsia="en-AU"/>
              </w:rPr>
              <w:t>current Specialist Working Group</w:t>
            </w:r>
            <w:r>
              <w:rPr>
                <w:rFonts w:asciiTheme="minorHAnsi" w:eastAsia="Times New Roman" w:hAnsiTheme="minorHAnsi" w:cs="Times New Roman"/>
                <w:bCs/>
                <w:lang w:eastAsia="en-AU"/>
              </w:rPr>
              <w:t xml:space="preserve"> work program. </w:t>
            </w:r>
          </w:p>
          <w:p w:rsidR="005D1CA5" w:rsidRPr="005D1CA5" w:rsidRDefault="005D1CA5" w:rsidP="00CE3354">
            <w:pPr>
              <w:spacing w:before="120" w:after="120"/>
              <w:rPr>
                <w:rFonts w:asciiTheme="minorHAnsi" w:eastAsia="Times New Roman" w:hAnsiTheme="minorHAnsi" w:cs="Times New Roman"/>
                <w:b/>
                <w:bCs/>
                <w:lang w:eastAsia="en-AU"/>
              </w:rPr>
            </w:pPr>
            <w:r w:rsidRPr="005D1CA5">
              <w:rPr>
                <w:rFonts w:asciiTheme="minorHAnsi" w:eastAsia="Times New Roman" w:hAnsiTheme="minorHAnsi" w:cs="Times New Roman"/>
                <w:b/>
                <w:bCs/>
                <w:lang w:eastAsia="en-AU"/>
              </w:rPr>
              <w:t>PROPOSED APPROACH:</w:t>
            </w:r>
          </w:p>
          <w:p w:rsidR="005D1CA5" w:rsidRPr="005D1CA5" w:rsidRDefault="005D1CA5" w:rsidP="00CE3354">
            <w:pPr>
              <w:spacing w:before="120" w:after="120"/>
              <w:rPr>
                <w:rFonts w:asciiTheme="minorHAnsi" w:eastAsia="Times New Roman" w:hAnsiTheme="minorHAnsi" w:cs="Times New Roman"/>
                <w:b/>
                <w:bCs/>
                <w:lang w:eastAsia="en-AU"/>
              </w:rPr>
            </w:pPr>
            <w:r w:rsidRPr="005D1CA5">
              <w:rPr>
                <w:rFonts w:asciiTheme="minorHAnsi" w:eastAsia="Times New Roman" w:hAnsiTheme="minorHAnsi" w:cs="Times New Roman"/>
                <w:b/>
                <w:bCs/>
                <w:lang w:eastAsia="en-AU"/>
              </w:rPr>
              <w:t xml:space="preserve">To retain </w:t>
            </w:r>
            <w:r w:rsidR="003B41FA">
              <w:rPr>
                <w:rFonts w:asciiTheme="minorHAnsi" w:eastAsia="Times New Roman" w:hAnsiTheme="minorHAnsi" w:cs="Times New Roman"/>
                <w:b/>
                <w:bCs/>
                <w:lang w:eastAsia="en-AU"/>
              </w:rPr>
              <w:t>Kidney t</w:t>
            </w:r>
            <w:r w:rsidR="00CC6228">
              <w:rPr>
                <w:rFonts w:asciiTheme="minorHAnsi" w:eastAsia="Times New Roman" w:hAnsiTheme="minorHAnsi" w:cs="Times New Roman"/>
                <w:b/>
                <w:bCs/>
                <w:lang w:eastAsia="en-AU"/>
              </w:rPr>
              <w:t xml:space="preserve">ransplantation </w:t>
            </w:r>
            <w:r w:rsidRPr="005D1CA5">
              <w:rPr>
                <w:rFonts w:asciiTheme="minorHAnsi" w:eastAsia="Times New Roman" w:hAnsiTheme="minorHAnsi" w:cs="Times New Roman"/>
                <w:b/>
                <w:bCs/>
                <w:lang w:eastAsia="en-AU"/>
              </w:rPr>
              <w:t xml:space="preserve">in </w:t>
            </w:r>
            <w:r w:rsidRPr="005D1CA5">
              <w:rPr>
                <w:rFonts w:asciiTheme="minorHAnsi" w:eastAsia="Times New Roman" w:hAnsiTheme="minorHAnsi" w:cs="Times New Roman"/>
                <w:b/>
                <w:bCs/>
                <w:i/>
                <w:lang w:eastAsia="en-AU"/>
              </w:rPr>
              <w:t xml:space="preserve">Emerging </w:t>
            </w:r>
            <w:r w:rsidR="007D09EF">
              <w:rPr>
                <w:rFonts w:asciiTheme="minorHAnsi" w:eastAsia="Times New Roman" w:hAnsiTheme="minorHAnsi" w:cs="Times New Roman"/>
                <w:b/>
                <w:bCs/>
                <w:i/>
                <w:lang w:eastAsia="en-AU"/>
              </w:rPr>
              <w:t xml:space="preserve">therapeutic </w:t>
            </w:r>
            <w:r w:rsidR="00134B22">
              <w:rPr>
                <w:rFonts w:asciiTheme="minorHAnsi" w:eastAsia="Times New Roman" w:hAnsiTheme="minorHAnsi" w:cs="Times New Roman"/>
                <w:b/>
                <w:bCs/>
                <w:i/>
                <w:lang w:eastAsia="en-AU"/>
              </w:rPr>
              <w:t xml:space="preserve">role </w:t>
            </w:r>
            <w:r w:rsidRPr="005D1CA5">
              <w:rPr>
                <w:rFonts w:asciiTheme="minorHAnsi" w:eastAsia="Times New Roman" w:hAnsiTheme="minorHAnsi" w:cs="Times New Roman"/>
                <w:b/>
                <w:bCs/>
                <w:lang w:eastAsia="en-AU"/>
              </w:rPr>
              <w:t xml:space="preserve">with the changes </w:t>
            </w:r>
            <w:r w:rsidR="009D3342">
              <w:rPr>
                <w:rFonts w:asciiTheme="minorHAnsi" w:eastAsia="Times New Roman" w:hAnsiTheme="minorHAnsi" w:cs="Times New Roman"/>
                <w:b/>
                <w:bCs/>
                <w:lang w:eastAsia="en-AU"/>
              </w:rPr>
              <w:t xml:space="preserve">as </w:t>
            </w:r>
            <w:r w:rsidRPr="005D1CA5">
              <w:rPr>
                <w:rFonts w:asciiTheme="minorHAnsi" w:eastAsia="Times New Roman" w:hAnsiTheme="minorHAnsi" w:cs="Times New Roman"/>
                <w:b/>
                <w:bCs/>
                <w:lang w:eastAsia="en-AU"/>
              </w:rPr>
              <w:t xml:space="preserve">outlined. </w:t>
            </w:r>
          </w:p>
          <w:p w:rsidR="003E3235" w:rsidRPr="00C92149" w:rsidRDefault="003E3235" w:rsidP="00445094">
            <w:pPr>
              <w:spacing w:before="120" w:after="120"/>
              <w:rPr>
                <w:rFonts w:asciiTheme="minorHAnsi" w:eastAsia="Times New Roman" w:hAnsiTheme="minorHAnsi" w:cs="Times New Roman"/>
                <w:bCs/>
                <w:lang w:eastAsia="en-AU"/>
              </w:rPr>
            </w:pPr>
          </w:p>
        </w:tc>
        <w:tc>
          <w:tcPr>
            <w:tcW w:w="10914" w:type="dxa"/>
            <w:shd w:val="clear" w:color="auto" w:fill="auto"/>
          </w:tcPr>
          <w:p w:rsidR="00CE3354" w:rsidRDefault="00CE3354" w:rsidP="00CE3354">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rsidR="00CE3354" w:rsidRPr="004813E2" w:rsidRDefault="00CE3354" w:rsidP="00CE3354">
            <w:pPr>
              <w:spacing w:before="120" w:after="120"/>
              <w:rPr>
                <w:rFonts w:eastAsia="Times New Roman" w:cs="Times New Roman"/>
                <w:bCs/>
                <w:lang w:eastAsia="en-AU"/>
              </w:rPr>
            </w:pPr>
            <w:r w:rsidRPr="004813E2">
              <w:rPr>
                <w:rFonts w:eastAsia="Times New Roman" w:cs="Times New Roman"/>
                <w:bCs/>
                <w:lang w:eastAsia="en-AU"/>
              </w:rPr>
              <w:t xml:space="preserve">The </w:t>
            </w:r>
            <w:r>
              <w:rPr>
                <w:rFonts w:eastAsia="Times New Roman" w:cs="Times New Roman"/>
                <w:bCs/>
                <w:lang w:eastAsia="en-AU"/>
              </w:rPr>
              <w:t xml:space="preserve">recommended changes are supported by factors including that: </w:t>
            </w:r>
          </w:p>
          <w:p w:rsidR="004229B2" w:rsidRPr="003D64F0" w:rsidRDefault="004229B2">
            <w:pPr>
              <w:pStyle w:val="ListParagraph"/>
              <w:numPr>
                <w:ilvl w:val="0"/>
                <w:numId w:val="44"/>
              </w:numPr>
              <w:spacing w:before="120" w:after="120"/>
              <w:rPr>
                <w:rFonts w:asciiTheme="minorHAnsi" w:eastAsia="Times New Roman" w:hAnsiTheme="minorHAnsi" w:cs="Times New Roman"/>
                <w:bCs/>
                <w:lang w:eastAsia="en-AU"/>
              </w:rPr>
            </w:pPr>
            <w:r w:rsidRPr="004229B2">
              <w:rPr>
                <w:rFonts w:asciiTheme="minorHAnsi" w:eastAsia="Times New Roman" w:hAnsiTheme="minorHAnsi" w:cs="Times New Roman"/>
                <w:bCs/>
                <w:lang w:eastAsia="en-AU"/>
              </w:rPr>
              <w:t xml:space="preserve">Access to ongoing (rather than one-off) Ig treatment </w:t>
            </w:r>
            <w:r w:rsidR="00C97801">
              <w:rPr>
                <w:rFonts w:asciiTheme="minorHAnsi" w:eastAsia="Times New Roman" w:hAnsiTheme="minorHAnsi" w:cs="Times New Roman"/>
                <w:bCs/>
                <w:lang w:eastAsia="en-AU"/>
              </w:rPr>
              <w:t xml:space="preserve">is not available in BloodSTAR v2.1 and was not requested during the 2015 review process.  However, </w:t>
            </w:r>
            <w:r w:rsidR="00212345">
              <w:rPr>
                <w:rFonts w:asciiTheme="minorHAnsi" w:eastAsia="Times New Roman" w:hAnsiTheme="minorHAnsi" w:cs="Times New Roman"/>
                <w:bCs/>
                <w:lang w:eastAsia="en-AU"/>
              </w:rPr>
              <w:t>this</w:t>
            </w:r>
            <w:r w:rsidR="00C97801" w:rsidRPr="003D64F0">
              <w:rPr>
                <w:rFonts w:asciiTheme="minorHAnsi" w:eastAsia="Times New Roman" w:hAnsiTheme="minorHAnsi" w:cs="Times New Roman"/>
                <w:bCs/>
                <w:lang w:eastAsia="en-AU"/>
              </w:rPr>
              <w:t xml:space="preserve"> </w:t>
            </w:r>
            <w:r w:rsidR="007066DA">
              <w:rPr>
                <w:rFonts w:asciiTheme="minorHAnsi" w:eastAsia="Times New Roman" w:hAnsiTheme="minorHAnsi" w:cs="Times New Roman"/>
                <w:bCs/>
                <w:lang w:eastAsia="en-AU"/>
              </w:rPr>
              <w:t>review has identified that additional doses for up to six months are requir</w:t>
            </w:r>
            <w:r w:rsidR="001C0A18">
              <w:rPr>
                <w:rFonts w:asciiTheme="minorHAnsi" w:eastAsia="Times New Roman" w:hAnsiTheme="minorHAnsi" w:cs="Times New Roman"/>
                <w:bCs/>
                <w:lang w:eastAsia="en-AU"/>
              </w:rPr>
              <w:t xml:space="preserve">ed for two specific indications. </w:t>
            </w:r>
            <w:r w:rsidR="007066DA">
              <w:rPr>
                <w:rFonts w:asciiTheme="minorHAnsi" w:eastAsia="Times New Roman" w:hAnsiTheme="minorHAnsi" w:cs="Times New Roman"/>
                <w:bCs/>
                <w:lang w:eastAsia="en-AU"/>
              </w:rPr>
              <w:t>Ig has been access</w:t>
            </w:r>
            <w:r w:rsidR="001C0A18">
              <w:rPr>
                <w:rFonts w:asciiTheme="minorHAnsi" w:eastAsia="Times New Roman" w:hAnsiTheme="minorHAnsi" w:cs="Times New Roman"/>
                <w:bCs/>
                <w:lang w:eastAsia="en-AU"/>
              </w:rPr>
              <w:t>ed</w:t>
            </w:r>
            <w:r w:rsidR="007066DA">
              <w:rPr>
                <w:rFonts w:asciiTheme="minorHAnsi" w:eastAsia="Times New Roman" w:hAnsiTheme="minorHAnsi" w:cs="Times New Roman"/>
                <w:bCs/>
                <w:lang w:eastAsia="en-AU"/>
              </w:rPr>
              <w:t xml:space="preserve"> for these indications for a number of years</w:t>
            </w:r>
            <w:r w:rsidR="00330837">
              <w:rPr>
                <w:rFonts w:asciiTheme="minorHAnsi" w:eastAsia="Times New Roman" w:hAnsiTheme="minorHAnsi" w:cs="Times New Roman"/>
                <w:bCs/>
                <w:lang w:eastAsia="en-AU"/>
              </w:rPr>
              <w:t xml:space="preserve">. Multiple doses are currently being accessed via a workaround solution in BloodSTAR v2.1.  </w:t>
            </w:r>
            <w:r w:rsidR="0011301A">
              <w:rPr>
                <w:rFonts w:asciiTheme="minorHAnsi" w:eastAsia="Times New Roman" w:hAnsiTheme="minorHAnsi" w:cs="Times New Roman"/>
                <w:bCs/>
                <w:lang w:eastAsia="en-AU"/>
              </w:rPr>
              <w:t xml:space="preserve">Ig </w:t>
            </w:r>
            <w:r w:rsidR="00330837">
              <w:rPr>
                <w:rFonts w:asciiTheme="minorHAnsi" w:eastAsia="Times New Roman" w:hAnsiTheme="minorHAnsi" w:cs="Times New Roman"/>
                <w:bCs/>
                <w:lang w:eastAsia="en-AU"/>
              </w:rPr>
              <w:t>protocols vary across Australia and it is acknowledged that some protocols that use multiple dosing without requiring further review and authorisation, will not be s</w:t>
            </w:r>
            <w:r w:rsidR="00A618E9">
              <w:rPr>
                <w:rFonts w:asciiTheme="minorHAnsi" w:eastAsia="Times New Roman" w:hAnsiTheme="minorHAnsi" w:cs="Times New Roman"/>
                <w:bCs/>
                <w:lang w:eastAsia="en-AU"/>
              </w:rPr>
              <w:t xml:space="preserve">upported by the </w:t>
            </w:r>
            <w:r w:rsidR="00330837">
              <w:rPr>
                <w:rFonts w:asciiTheme="minorHAnsi" w:eastAsia="Times New Roman" w:hAnsiTheme="minorHAnsi" w:cs="Times New Roman"/>
                <w:bCs/>
                <w:lang w:eastAsia="en-AU"/>
              </w:rPr>
              <w:t xml:space="preserve">these </w:t>
            </w:r>
            <w:r w:rsidR="00A618E9">
              <w:rPr>
                <w:rFonts w:asciiTheme="minorHAnsi" w:eastAsia="Times New Roman" w:hAnsiTheme="minorHAnsi" w:cs="Times New Roman"/>
                <w:bCs/>
                <w:lang w:eastAsia="en-AU"/>
              </w:rPr>
              <w:t xml:space="preserve">proposed changes. </w:t>
            </w:r>
            <w:r w:rsidRPr="003D64F0">
              <w:rPr>
                <w:rFonts w:asciiTheme="minorHAnsi" w:eastAsia="Times New Roman" w:hAnsiTheme="minorHAnsi" w:cs="Times New Roman"/>
                <w:bCs/>
                <w:lang w:eastAsia="en-AU"/>
              </w:rPr>
              <w:t xml:space="preserve"> </w:t>
            </w:r>
            <w:r w:rsidR="00C97801" w:rsidRPr="003D64F0">
              <w:rPr>
                <w:rFonts w:asciiTheme="minorHAnsi" w:eastAsia="Times New Roman" w:hAnsiTheme="minorHAnsi" w:cs="Times New Roman"/>
                <w:bCs/>
                <w:lang w:eastAsia="en-AU"/>
              </w:rPr>
              <w:t xml:space="preserve">This review has defined </w:t>
            </w:r>
            <w:r w:rsidR="001C0A18">
              <w:rPr>
                <w:rFonts w:asciiTheme="minorHAnsi" w:eastAsia="Times New Roman" w:hAnsiTheme="minorHAnsi" w:cs="Times New Roman"/>
                <w:bCs/>
                <w:lang w:eastAsia="en-AU"/>
              </w:rPr>
              <w:t>the qualifying criteria for the</w:t>
            </w:r>
            <w:r w:rsidRPr="003D64F0">
              <w:rPr>
                <w:rFonts w:asciiTheme="minorHAnsi" w:eastAsia="Times New Roman" w:hAnsiTheme="minorHAnsi" w:cs="Times New Roman"/>
                <w:bCs/>
                <w:lang w:eastAsia="en-AU"/>
              </w:rPr>
              <w:t xml:space="preserve"> indications</w:t>
            </w:r>
            <w:r w:rsidR="001C0A18">
              <w:rPr>
                <w:rFonts w:asciiTheme="minorHAnsi" w:eastAsia="Times New Roman" w:hAnsiTheme="minorHAnsi" w:cs="Times New Roman"/>
                <w:bCs/>
                <w:lang w:eastAsia="en-AU"/>
              </w:rPr>
              <w:t xml:space="preserve"> </w:t>
            </w:r>
            <w:r w:rsidR="00C97801" w:rsidRPr="003D64F0">
              <w:rPr>
                <w:rFonts w:asciiTheme="minorHAnsi" w:eastAsia="Times New Roman" w:hAnsiTheme="minorHAnsi" w:cs="Times New Roman"/>
                <w:bCs/>
                <w:lang w:eastAsia="en-AU"/>
              </w:rPr>
              <w:t xml:space="preserve">where additional therapy is required. </w:t>
            </w:r>
            <w:r w:rsidRPr="003D64F0">
              <w:rPr>
                <w:rFonts w:asciiTheme="minorHAnsi" w:eastAsia="Times New Roman" w:hAnsiTheme="minorHAnsi" w:cs="Times New Roman"/>
                <w:bCs/>
                <w:lang w:eastAsia="en-AU"/>
              </w:rPr>
              <w:t xml:space="preserve"> </w:t>
            </w:r>
            <w:r w:rsidR="00C97801" w:rsidRPr="003D64F0">
              <w:rPr>
                <w:rFonts w:asciiTheme="minorHAnsi" w:eastAsia="Times New Roman" w:hAnsiTheme="minorHAnsi" w:cs="Times New Roman"/>
                <w:bCs/>
                <w:lang w:eastAsia="en-AU"/>
              </w:rPr>
              <w:t>Access</w:t>
            </w:r>
            <w:r w:rsidRPr="003D64F0">
              <w:rPr>
                <w:rFonts w:asciiTheme="minorHAnsi" w:eastAsia="Times New Roman" w:hAnsiTheme="minorHAnsi" w:cs="Times New Roman"/>
                <w:bCs/>
                <w:lang w:eastAsia="en-AU"/>
              </w:rPr>
              <w:t xml:space="preserve"> to ongoing therapy is proposed to be for a maximum of six months, with a clinical response needing to be demonstrated after two months for authorisation of the final four months of Ig treatment.  </w:t>
            </w:r>
          </w:p>
          <w:p w:rsidR="004229B2" w:rsidRPr="004229B2" w:rsidRDefault="004229B2" w:rsidP="004229B2">
            <w:pPr>
              <w:pStyle w:val="ListParagraph"/>
              <w:numPr>
                <w:ilvl w:val="0"/>
                <w:numId w:val="44"/>
              </w:numPr>
              <w:spacing w:before="120" w:after="120"/>
              <w:rPr>
                <w:rFonts w:asciiTheme="minorHAnsi" w:eastAsia="Times New Roman" w:hAnsiTheme="minorHAnsi" w:cs="Times New Roman"/>
                <w:bCs/>
                <w:lang w:eastAsia="en-AU"/>
              </w:rPr>
            </w:pPr>
            <w:r w:rsidRPr="004229B2">
              <w:rPr>
                <w:rFonts w:asciiTheme="minorHAnsi" w:eastAsia="Times New Roman" w:hAnsiTheme="minorHAnsi" w:cs="Times New Roman"/>
                <w:bCs/>
                <w:lang w:eastAsia="en-AU"/>
              </w:rPr>
              <w:t xml:space="preserve">Ig use in kidney transplantation has been steadily increasing in line with investments by governments over the last few years into transplantation programs and this trend is expected to continue. However, it is recognised that while there is no evidence for treating ‘chronic rejection’ with Ig therapy, some transplant patients have been treated for periods of time longer than six months, which will no longer continue under the proposed changes. In the current criteria, there is also no requirement to demonstrate that a patient is responding to Ig therapy </w:t>
            </w:r>
            <w:proofErr w:type="gramStart"/>
            <w:r w:rsidRPr="004229B2">
              <w:rPr>
                <w:rFonts w:asciiTheme="minorHAnsi" w:eastAsia="Times New Roman" w:hAnsiTheme="minorHAnsi" w:cs="Times New Roman"/>
                <w:bCs/>
                <w:lang w:eastAsia="en-AU"/>
              </w:rPr>
              <w:t>nor</w:t>
            </w:r>
            <w:proofErr w:type="gramEnd"/>
            <w:r w:rsidRPr="004229B2">
              <w:rPr>
                <w:rFonts w:asciiTheme="minorHAnsi" w:eastAsia="Times New Roman" w:hAnsiTheme="minorHAnsi" w:cs="Times New Roman"/>
                <w:bCs/>
                <w:lang w:eastAsia="en-AU"/>
              </w:rPr>
              <w:t xml:space="preserve"> any control on the number of requests that can be made. Ig use in these areas is expected to reduce.  </w:t>
            </w:r>
          </w:p>
          <w:p w:rsidR="00FF4718" w:rsidRPr="00F6525C" w:rsidRDefault="00CE3354" w:rsidP="00F6525C">
            <w:pPr>
              <w:pStyle w:val="ListParagraph"/>
              <w:numPr>
                <w:ilvl w:val="0"/>
                <w:numId w:val="44"/>
              </w:numPr>
              <w:spacing w:before="120" w:after="120"/>
              <w:rPr>
                <w:rFonts w:asciiTheme="minorHAnsi" w:eastAsia="Times New Roman" w:hAnsiTheme="minorHAnsi" w:cs="Times New Roman"/>
                <w:bCs/>
                <w:i/>
                <w:lang w:eastAsia="en-AU"/>
              </w:rPr>
            </w:pPr>
            <w:r w:rsidRPr="00F6525C">
              <w:rPr>
                <w:rFonts w:asciiTheme="minorHAnsi" w:eastAsia="Times New Roman" w:hAnsiTheme="minorHAnsi" w:cs="Times New Roman"/>
                <w:bCs/>
                <w:lang w:eastAsia="en-AU"/>
              </w:rPr>
              <w:t xml:space="preserve">Treatment for ‘chronic antibody mediated rejection’ and ‘de-sensitisation of patients who are highly sensitised and unlikely to otherwise receive a transplant’ are both included in the </w:t>
            </w:r>
            <w:r w:rsidRPr="00F6525C">
              <w:rPr>
                <w:rFonts w:asciiTheme="minorHAnsi" w:hAnsiTheme="minorHAnsi"/>
              </w:rPr>
              <w:t xml:space="preserve">Canadian (Ontario Regional Blood Coordinating Network, 2016) guidelines. The UK guidelines (UK Department of Health, 2011) include desensitisation of antibody incompatible solid organ transplantation but do not specifically cover ongoing treatment for antibody mediated rejection (up to 2 g/kg repeated for 2-3 doses). </w:t>
            </w:r>
          </w:p>
        </w:tc>
      </w:tr>
      <w:tr w:rsidR="00631EAB" w:rsidRPr="00447869" w:rsidTr="008612AB">
        <w:trPr>
          <w:tblHeader/>
        </w:trPr>
        <w:tc>
          <w:tcPr>
            <w:tcW w:w="14601" w:type="dxa"/>
            <w:gridSpan w:val="2"/>
            <w:shd w:val="clear" w:color="auto" w:fill="auto"/>
          </w:tcPr>
          <w:p w:rsidR="00631EAB" w:rsidRDefault="005D1CA5" w:rsidP="005D1CA5">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v</w:t>
            </w:r>
            <w:r w:rsidR="00CE3354">
              <w:rPr>
                <w:rFonts w:asciiTheme="minorHAnsi" w:eastAsia="Times New Roman" w:hAnsiTheme="minorHAnsi" w:cs="Times New Roman"/>
                <w:b/>
                <w:bCs/>
                <w:lang w:eastAsia="en-AU"/>
              </w:rPr>
              <w:t>2.1 CONDITION CATEG</w:t>
            </w:r>
            <w:r w:rsidR="00631EAB">
              <w:rPr>
                <w:rFonts w:asciiTheme="minorHAnsi" w:eastAsia="Times New Roman" w:hAnsiTheme="minorHAnsi" w:cs="Times New Roman"/>
                <w:b/>
                <w:bCs/>
                <w:lang w:eastAsia="en-AU"/>
              </w:rPr>
              <w:t xml:space="preserve">ORY: </w:t>
            </w:r>
            <w:r w:rsidR="003B41FA">
              <w:rPr>
                <w:rFonts w:asciiTheme="minorHAnsi" w:eastAsia="Times New Roman" w:hAnsiTheme="minorHAnsi" w:cs="Times New Roman"/>
                <w:bCs/>
                <w:lang w:eastAsia="en-AU"/>
              </w:rPr>
              <w:t>Condition for which Ig has an E</w:t>
            </w:r>
            <w:r w:rsidR="00C077BF">
              <w:rPr>
                <w:rFonts w:asciiTheme="minorHAnsi" w:eastAsia="Times New Roman" w:hAnsiTheme="minorHAnsi" w:cs="Times New Roman"/>
                <w:bCs/>
                <w:lang w:eastAsia="en-AU"/>
              </w:rPr>
              <w:t>merging therapeutic role</w:t>
            </w:r>
            <w:r>
              <w:rPr>
                <w:rFonts w:asciiTheme="minorHAnsi" w:eastAsia="Times New Roman" w:hAnsiTheme="minorHAnsi" w:cs="Times New Roman"/>
                <w:bCs/>
                <w:lang w:eastAsia="en-AU"/>
              </w:rPr>
              <w:t>(Chapter 6)</w:t>
            </w:r>
          </w:p>
          <w:p w:rsidR="008E7455" w:rsidRPr="008E7455" w:rsidRDefault="008E7455" w:rsidP="005D1CA5">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 xml:space="preserve">2015 PUBLIC CONSULTATION CATEGORY: </w:t>
            </w:r>
            <w:r w:rsidRPr="008E7455">
              <w:rPr>
                <w:rFonts w:asciiTheme="minorHAnsi" w:eastAsia="Times New Roman" w:hAnsiTheme="minorHAnsi" w:cs="Times New Roman"/>
                <w:bCs/>
                <w:lang w:eastAsia="en-AU"/>
              </w:rPr>
              <w:t xml:space="preserve">Condition for which Ig has an </w:t>
            </w:r>
            <w:r w:rsidR="00336055">
              <w:rPr>
                <w:rFonts w:asciiTheme="minorHAnsi" w:eastAsia="Times New Roman" w:hAnsiTheme="minorHAnsi" w:cs="Times New Roman"/>
                <w:bCs/>
                <w:lang w:eastAsia="en-AU"/>
              </w:rPr>
              <w:t>E</w:t>
            </w:r>
            <w:r w:rsidRPr="008E7455">
              <w:rPr>
                <w:rFonts w:asciiTheme="minorHAnsi" w:eastAsia="Times New Roman" w:hAnsiTheme="minorHAnsi" w:cs="Times New Roman"/>
                <w:bCs/>
                <w:lang w:eastAsia="en-AU"/>
              </w:rPr>
              <w:t>merging therapeutic role (Chapter 6)</w:t>
            </w:r>
          </w:p>
          <w:p w:rsidR="004F1043" w:rsidRDefault="004F1043" w:rsidP="005D1CA5">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v3.0 CONDITION CATEGORY: </w:t>
            </w:r>
            <w:r>
              <w:rPr>
                <w:rFonts w:asciiTheme="minorHAnsi" w:eastAsia="Times New Roman" w:hAnsiTheme="minorHAnsi" w:cs="Times New Roman"/>
                <w:bCs/>
                <w:lang w:eastAsia="en-AU"/>
              </w:rPr>
              <w:t>Condition for which Ig has an Emerging therapeutic role(Chapter 6)</w:t>
            </w:r>
          </w:p>
        </w:tc>
      </w:tr>
      <w:tr w:rsidR="008612AB" w:rsidRPr="00447869" w:rsidTr="008612AB">
        <w:trPr>
          <w:tblHeader/>
        </w:trPr>
        <w:tc>
          <w:tcPr>
            <w:tcW w:w="14601" w:type="dxa"/>
            <w:gridSpan w:val="2"/>
            <w:shd w:val="clear" w:color="auto" w:fill="auto"/>
          </w:tcPr>
          <w:p w:rsidR="00CE3354" w:rsidRPr="00E721AB" w:rsidRDefault="008612AB" w:rsidP="00CE3354">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lastRenderedPageBreak/>
              <w:t>Role of Ig therapy</w:t>
            </w:r>
            <w:r w:rsidR="004229B2" w:rsidRPr="004229B2">
              <w:rPr>
                <w:rFonts w:asciiTheme="minorHAnsi" w:eastAsia="Times New Roman" w:hAnsiTheme="minorHAnsi" w:cs="Times New Roman"/>
                <w:b/>
                <w:bCs/>
                <w:lang w:eastAsia="en-AU"/>
              </w:rPr>
              <w:t xml:space="preserve">: </w:t>
            </w:r>
            <w:r w:rsidR="004229B2" w:rsidRPr="004229B2">
              <w:rPr>
                <w:rFonts w:asciiTheme="minorHAnsi" w:eastAsia="Times New Roman" w:hAnsiTheme="minorHAnsi" w:cs="Times New Roman"/>
                <w:bCs/>
                <w:lang w:eastAsia="en-AU"/>
              </w:rPr>
              <w:t>Ig therapy plays an important immunomodulatory role in incompatible organ transplantation with proven benefit (Level 1 evidence) in a variety of clinical settings including the de-sensitisation of highly sensitised patients pre-transplant to improve transplant rates and clinical outcomes (Jordan 2004) and also by reducing acute antibody mediated rejection (Diamali</w:t>
            </w:r>
            <w:r w:rsidR="004229B2">
              <w:rPr>
                <w:rFonts w:asciiTheme="minorHAnsi" w:eastAsia="Times New Roman" w:hAnsiTheme="minorHAnsi" w:cs="Times New Roman"/>
                <w:bCs/>
                <w:lang w:eastAsia="en-AU"/>
              </w:rPr>
              <w:t>,</w:t>
            </w:r>
            <w:r w:rsidR="004229B2" w:rsidRPr="004229B2">
              <w:rPr>
                <w:rFonts w:asciiTheme="minorHAnsi" w:eastAsia="Times New Roman" w:hAnsiTheme="minorHAnsi" w:cs="Times New Roman"/>
                <w:bCs/>
                <w:lang w:eastAsia="en-AU"/>
              </w:rPr>
              <w:t xml:space="preserve"> 2014). For patient desensitisation, trials have demonstrated improved long term outcomes when IVIg is used in low dose with plasmapheresis (Montgomery</w:t>
            </w:r>
            <w:r w:rsidR="004229B2">
              <w:rPr>
                <w:rFonts w:asciiTheme="minorHAnsi" w:eastAsia="Times New Roman" w:hAnsiTheme="minorHAnsi" w:cs="Times New Roman"/>
                <w:bCs/>
                <w:lang w:eastAsia="en-AU"/>
              </w:rPr>
              <w:t>,</w:t>
            </w:r>
            <w:r w:rsidR="004229B2" w:rsidRPr="004229B2">
              <w:rPr>
                <w:rFonts w:asciiTheme="minorHAnsi" w:eastAsia="Times New Roman" w:hAnsiTheme="minorHAnsi" w:cs="Times New Roman"/>
                <w:bCs/>
                <w:lang w:eastAsia="en-AU"/>
              </w:rPr>
              <w:t xml:space="preserve"> 2011).  Evidence supports the use of IVIg in association with plasmapheresis and immunosuppressant agents in the treatment of Acute antibody mediated rejection (Takemoto</w:t>
            </w:r>
            <w:r w:rsidR="004229B2">
              <w:rPr>
                <w:rFonts w:asciiTheme="minorHAnsi" w:eastAsia="Times New Roman" w:hAnsiTheme="minorHAnsi" w:cs="Times New Roman"/>
                <w:bCs/>
                <w:lang w:eastAsia="en-AU"/>
              </w:rPr>
              <w:t>,</w:t>
            </w:r>
            <w:r w:rsidR="004229B2" w:rsidRPr="004229B2">
              <w:rPr>
                <w:rFonts w:asciiTheme="minorHAnsi" w:eastAsia="Times New Roman" w:hAnsiTheme="minorHAnsi" w:cs="Times New Roman"/>
                <w:bCs/>
                <w:lang w:eastAsia="en-AU"/>
              </w:rPr>
              <w:t xml:space="preserve"> 2004). It is also recognised to provide benefit in the treatment of secondary hypo-gammaglobulinaemia and some infectious complica</w:t>
            </w:r>
            <w:r w:rsidR="004229B2">
              <w:rPr>
                <w:rFonts w:asciiTheme="minorHAnsi" w:eastAsia="Times New Roman" w:hAnsiTheme="minorHAnsi" w:cs="Times New Roman"/>
                <w:bCs/>
                <w:lang w:eastAsia="en-AU"/>
              </w:rPr>
              <w:t>tions in solid organ recipients</w:t>
            </w:r>
            <w:r w:rsidR="004229B2" w:rsidRPr="004229B2">
              <w:rPr>
                <w:rFonts w:asciiTheme="minorHAnsi" w:eastAsia="Times New Roman" w:hAnsiTheme="minorHAnsi" w:cs="Times New Roman"/>
                <w:bCs/>
                <w:lang w:eastAsia="en-AU"/>
              </w:rPr>
              <w:t xml:space="preserve"> (Jordan</w:t>
            </w:r>
            <w:r w:rsidR="004229B2">
              <w:rPr>
                <w:rFonts w:asciiTheme="minorHAnsi" w:eastAsia="Times New Roman" w:hAnsiTheme="minorHAnsi" w:cs="Times New Roman"/>
                <w:bCs/>
                <w:lang w:eastAsia="en-AU"/>
              </w:rPr>
              <w:t>,</w:t>
            </w:r>
            <w:r w:rsidR="004229B2" w:rsidRPr="004229B2">
              <w:rPr>
                <w:rFonts w:asciiTheme="minorHAnsi" w:eastAsia="Times New Roman" w:hAnsiTheme="minorHAnsi" w:cs="Times New Roman"/>
                <w:bCs/>
                <w:lang w:eastAsia="en-AU"/>
              </w:rPr>
              <w:t xml:space="preserve"> 2011).</w:t>
            </w:r>
          </w:p>
          <w:p w:rsidR="008612AB" w:rsidRPr="00447869" w:rsidRDefault="00CE3354" w:rsidP="00CE3354">
            <w:pPr>
              <w:spacing w:before="120" w:after="120"/>
              <w:rPr>
                <w:rFonts w:asciiTheme="minorHAnsi" w:eastAsia="Times New Roman" w:hAnsiTheme="minorHAnsi" w:cs="Times New Roman"/>
                <w:b/>
                <w:bCs/>
                <w:lang w:eastAsia="en-AU"/>
              </w:rPr>
            </w:pPr>
            <w:r w:rsidRPr="00E721AB">
              <w:rPr>
                <w:rFonts w:asciiTheme="minorHAnsi" w:eastAsia="Times New Roman" w:hAnsiTheme="minorHAnsi" w:cs="Times New Roman"/>
                <w:bCs/>
                <w:lang w:eastAsia="en-AU"/>
              </w:rPr>
              <w:t>The</w:t>
            </w:r>
            <w:r>
              <w:rPr>
                <w:rFonts w:asciiTheme="minorHAnsi" w:eastAsia="Times New Roman" w:hAnsiTheme="minorHAnsi" w:cs="Times New Roman"/>
                <w:bCs/>
                <w:lang w:eastAsia="en-AU"/>
              </w:rPr>
              <w:t>re are a number of potential</w:t>
            </w:r>
            <w:r w:rsidRPr="00E721AB">
              <w:rPr>
                <w:rFonts w:asciiTheme="minorHAnsi" w:eastAsia="Times New Roman" w:hAnsiTheme="minorHAnsi" w:cs="Times New Roman"/>
                <w:bCs/>
                <w:lang w:eastAsia="en-AU"/>
              </w:rPr>
              <w:t xml:space="preserve"> mechanism</w:t>
            </w:r>
            <w:r>
              <w:rPr>
                <w:rFonts w:asciiTheme="minorHAnsi" w:eastAsia="Times New Roman" w:hAnsiTheme="minorHAnsi" w:cs="Times New Roman"/>
                <w:bCs/>
                <w:lang w:eastAsia="en-AU"/>
              </w:rPr>
              <w:t>s</w:t>
            </w:r>
            <w:r w:rsidRPr="00E721AB">
              <w:rPr>
                <w:rFonts w:asciiTheme="minorHAnsi" w:eastAsia="Times New Roman" w:hAnsiTheme="minorHAnsi" w:cs="Times New Roman"/>
                <w:bCs/>
                <w:lang w:eastAsia="en-AU"/>
              </w:rPr>
              <w:t xml:space="preserve"> of action </w:t>
            </w:r>
            <w:r>
              <w:rPr>
                <w:rFonts w:asciiTheme="minorHAnsi" w:eastAsia="Times New Roman" w:hAnsiTheme="minorHAnsi" w:cs="Times New Roman"/>
                <w:bCs/>
                <w:lang w:eastAsia="en-AU"/>
              </w:rPr>
              <w:t xml:space="preserve">reported for Ig therapy in this context. These include inhibition of complement activation by the Fc fragment of IgG molecules in the </w:t>
            </w:r>
            <w:r w:rsidR="00F6525C">
              <w:rPr>
                <w:rFonts w:asciiTheme="minorHAnsi" w:eastAsia="Times New Roman" w:hAnsiTheme="minorHAnsi" w:cs="Times New Roman"/>
                <w:bCs/>
                <w:lang w:eastAsia="en-AU"/>
              </w:rPr>
              <w:t>IVIg</w:t>
            </w:r>
            <w:r>
              <w:rPr>
                <w:rFonts w:asciiTheme="minorHAnsi" w:eastAsia="Times New Roman" w:hAnsiTheme="minorHAnsi" w:cs="Times New Roman"/>
                <w:bCs/>
                <w:lang w:eastAsia="en-AU"/>
              </w:rPr>
              <w:t xml:space="preserve"> preparations, or possible contamination of </w:t>
            </w:r>
            <w:r w:rsidR="00F6525C">
              <w:rPr>
                <w:rFonts w:asciiTheme="minorHAnsi" w:eastAsia="Times New Roman" w:hAnsiTheme="minorHAnsi" w:cs="Times New Roman"/>
                <w:bCs/>
                <w:lang w:eastAsia="en-AU"/>
              </w:rPr>
              <w:t>IVIg</w:t>
            </w:r>
            <w:r>
              <w:rPr>
                <w:rFonts w:asciiTheme="minorHAnsi" w:eastAsia="Times New Roman" w:hAnsiTheme="minorHAnsi" w:cs="Times New Roman"/>
                <w:bCs/>
                <w:lang w:eastAsia="en-AU"/>
              </w:rPr>
              <w:t xml:space="preserve"> prod</w:t>
            </w:r>
            <w:r w:rsidR="004229B2">
              <w:rPr>
                <w:rFonts w:asciiTheme="minorHAnsi" w:eastAsia="Times New Roman" w:hAnsiTheme="minorHAnsi" w:cs="Times New Roman"/>
                <w:bCs/>
                <w:lang w:eastAsia="en-AU"/>
              </w:rPr>
              <w:t>ucts with soluble HLA molecules</w:t>
            </w:r>
            <w:r>
              <w:rPr>
                <w:rFonts w:asciiTheme="minorHAnsi" w:eastAsia="Times New Roman" w:hAnsiTheme="minorHAnsi" w:cs="Times New Roman"/>
                <w:bCs/>
                <w:lang w:eastAsia="en-AU"/>
              </w:rPr>
              <w:t xml:space="preserve"> (Wanatabe</w:t>
            </w:r>
            <w:r w:rsidR="004229B2">
              <w:rPr>
                <w:rFonts w:asciiTheme="minorHAnsi" w:eastAsia="Times New Roman" w:hAnsiTheme="minorHAnsi" w:cs="Times New Roman"/>
                <w:bCs/>
                <w:lang w:eastAsia="en-AU"/>
              </w:rPr>
              <w:t>,</w:t>
            </w:r>
            <w:r>
              <w:rPr>
                <w:rFonts w:asciiTheme="minorHAnsi" w:eastAsia="Times New Roman" w:hAnsiTheme="minorHAnsi" w:cs="Times New Roman"/>
                <w:bCs/>
                <w:lang w:eastAsia="en-AU"/>
              </w:rPr>
              <w:t xml:space="preserve"> 2005) It has also been reported to </w:t>
            </w:r>
            <w:r w:rsidRPr="00E721AB">
              <w:rPr>
                <w:rFonts w:asciiTheme="minorHAnsi" w:eastAsia="Times New Roman" w:hAnsiTheme="minorHAnsi" w:cs="Times New Roman"/>
                <w:bCs/>
                <w:lang w:eastAsia="en-AU"/>
              </w:rPr>
              <w:t>be related to variation</w:t>
            </w:r>
            <w:r>
              <w:rPr>
                <w:rFonts w:asciiTheme="minorHAnsi" w:eastAsia="Times New Roman" w:hAnsiTheme="minorHAnsi" w:cs="Times New Roman"/>
                <w:bCs/>
                <w:lang w:eastAsia="en-AU"/>
              </w:rPr>
              <w:t>s</w:t>
            </w:r>
            <w:r w:rsidRPr="00E721AB">
              <w:rPr>
                <w:rFonts w:asciiTheme="minorHAnsi" w:eastAsia="Times New Roman" w:hAnsiTheme="minorHAnsi" w:cs="Times New Roman"/>
                <w:bCs/>
                <w:lang w:eastAsia="en-AU"/>
              </w:rPr>
              <w:t xml:space="preserve"> in glycosylatio</w:t>
            </w:r>
            <w:r>
              <w:rPr>
                <w:rFonts w:asciiTheme="minorHAnsi" w:eastAsia="Times New Roman" w:hAnsiTheme="minorHAnsi" w:cs="Times New Roman"/>
                <w:bCs/>
                <w:lang w:eastAsia="en-AU"/>
              </w:rPr>
              <w:t>n and amino acid sequence causing</w:t>
            </w:r>
            <w:r w:rsidRPr="00E721AB">
              <w:rPr>
                <w:rFonts w:asciiTheme="minorHAnsi" w:eastAsia="Times New Roman" w:hAnsiTheme="minorHAnsi" w:cs="Times New Roman"/>
                <w:bCs/>
                <w:lang w:eastAsia="en-AU"/>
              </w:rPr>
              <w:t xml:space="preserve"> the crystallisable fragment of IgG to assume specific conformations that have high affinity for canonical crystallisable fragment receptors (FcR) or a newly discovered class of FcRs, labelled type II FcRs</w:t>
            </w:r>
            <w:r>
              <w:rPr>
                <w:rFonts w:asciiTheme="minorHAnsi" w:eastAsia="Times New Roman" w:hAnsiTheme="minorHAnsi" w:cs="Times New Roman"/>
                <w:bCs/>
                <w:lang w:eastAsia="en-AU"/>
              </w:rPr>
              <w:t>. Signalling through type II FcRs is reported to trigger anti-inflammatory pathways (Tedla</w:t>
            </w:r>
            <w:r w:rsidR="004229B2">
              <w:rPr>
                <w:rFonts w:asciiTheme="minorHAnsi" w:eastAsia="Times New Roman" w:hAnsiTheme="minorHAnsi" w:cs="Times New Roman"/>
                <w:bCs/>
                <w:lang w:eastAsia="en-AU"/>
              </w:rPr>
              <w:t>,</w:t>
            </w:r>
            <w:r>
              <w:rPr>
                <w:rFonts w:asciiTheme="minorHAnsi" w:eastAsia="Times New Roman" w:hAnsiTheme="minorHAnsi" w:cs="Times New Roman"/>
                <w:bCs/>
                <w:lang w:eastAsia="en-AU"/>
              </w:rPr>
              <w:t xml:space="preserve"> 2015).</w:t>
            </w:r>
          </w:p>
        </w:tc>
      </w:tr>
    </w:tbl>
    <w:p w:rsidR="005851ED" w:rsidRDefault="005851ED"/>
    <w:tbl>
      <w:tblPr>
        <w:tblStyle w:val="TableGrid"/>
        <w:tblW w:w="14601" w:type="dxa"/>
        <w:tblInd w:w="-318" w:type="dxa"/>
        <w:tblLook w:val="0680" w:firstRow="0" w:lastRow="0" w:firstColumn="1" w:lastColumn="0" w:noHBand="1" w:noVBand="1"/>
      </w:tblPr>
      <w:tblGrid>
        <w:gridCol w:w="1560"/>
        <w:gridCol w:w="3828"/>
        <w:gridCol w:w="1606"/>
        <w:gridCol w:w="1606"/>
        <w:gridCol w:w="1607"/>
        <w:gridCol w:w="4394"/>
      </w:tblGrid>
      <w:tr w:rsidR="00447869" w:rsidRPr="00853117" w:rsidTr="003A7E5D">
        <w:trPr>
          <w:trHeight w:val="406"/>
          <w:tblHeader/>
        </w:trPr>
        <w:tc>
          <w:tcPr>
            <w:tcW w:w="1560" w:type="dxa"/>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ITEM</w:t>
            </w:r>
          </w:p>
        </w:tc>
        <w:tc>
          <w:tcPr>
            <w:tcW w:w="3828" w:type="dxa"/>
            <w:shd w:val="clear" w:color="auto" w:fill="DBE5F1" w:themeFill="accent1" w:themeFillTint="33"/>
          </w:tcPr>
          <w:p w:rsidR="004A10A2" w:rsidRPr="00C92149" w:rsidRDefault="007860CF" w:rsidP="003A7E5D">
            <w:pPr>
              <w:spacing w:before="120" w:after="120"/>
              <w:jc w:val="center"/>
              <w:rPr>
                <w:rFonts w:asciiTheme="minorHAnsi" w:hAnsiTheme="minorHAnsi"/>
                <w:b/>
                <w:sz w:val="20"/>
                <w:szCs w:val="18"/>
              </w:rPr>
            </w:pPr>
            <w:r>
              <w:rPr>
                <w:rFonts w:asciiTheme="minorHAnsi" w:hAnsiTheme="minorHAnsi"/>
                <w:b/>
                <w:sz w:val="20"/>
                <w:szCs w:val="18"/>
              </w:rPr>
              <w:t>2015 JBC APPROVED WORDING</w:t>
            </w:r>
          </w:p>
        </w:tc>
        <w:tc>
          <w:tcPr>
            <w:tcW w:w="4819" w:type="dxa"/>
            <w:gridSpan w:val="3"/>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PROPOSED REVISIONS TO THE CRITERIA</w:t>
            </w:r>
          </w:p>
        </w:tc>
        <w:tc>
          <w:tcPr>
            <w:tcW w:w="4394" w:type="dxa"/>
            <w:shd w:val="clear" w:color="auto" w:fill="DBE5F1" w:themeFill="accent1" w:themeFillTint="33"/>
          </w:tcPr>
          <w:p w:rsidR="00447869" w:rsidRPr="00C92149" w:rsidRDefault="008660A8">
            <w:pPr>
              <w:spacing w:before="120" w:after="120"/>
              <w:jc w:val="center"/>
              <w:rPr>
                <w:rFonts w:asciiTheme="minorHAnsi" w:hAnsiTheme="minorHAnsi"/>
                <w:b/>
                <w:sz w:val="20"/>
                <w:szCs w:val="20"/>
              </w:rPr>
            </w:pPr>
            <w:r>
              <w:rPr>
                <w:rFonts w:asciiTheme="minorHAnsi" w:eastAsia="Times New Roman" w:hAnsiTheme="minorHAnsi" w:cs="Times New Roman"/>
                <w:b/>
                <w:bCs/>
                <w:sz w:val="20"/>
                <w:szCs w:val="20"/>
                <w:lang w:eastAsia="en-AU"/>
              </w:rPr>
              <w:t>SPECIALIST WORKING GROUP</w:t>
            </w:r>
            <w:r w:rsidRPr="00D740C7">
              <w:rPr>
                <w:rFonts w:asciiTheme="minorHAnsi" w:eastAsia="Times New Roman" w:hAnsiTheme="minorHAnsi" w:cs="Times New Roman"/>
                <w:b/>
                <w:bCs/>
                <w:sz w:val="20"/>
                <w:szCs w:val="20"/>
                <w:lang w:eastAsia="en-AU"/>
              </w:rPr>
              <w:t xml:space="preserve"> </w:t>
            </w:r>
            <w:r w:rsidR="00D740C7" w:rsidRPr="00D740C7">
              <w:rPr>
                <w:rFonts w:asciiTheme="minorHAnsi" w:eastAsia="Times New Roman" w:hAnsiTheme="minorHAnsi" w:cs="Times New Roman"/>
                <w:b/>
                <w:bCs/>
                <w:sz w:val="20"/>
                <w:szCs w:val="20"/>
                <w:lang w:eastAsia="en-AU"/>
              </w:rPr>
              <w:t>RATIONALE FOR ADDITIONS/CLARIFICATIONS</w:t>
            </w:r>
          </w:p>
        </w:tc>
      </w:tr>
      <w:tr w:rsidR="00021243" w:rsidRPr="00447869" w:rsidTr="003A7E5D">
        <w:tc>
          <w:tcPr>
            <w:tcW w:w="1560" w:type="dxa"/>
            <w:shd w:val="clear" w:color="auto" w:fill="D9D9D9" w:themeFill="background1" w:themeFillShade="D9"/>
          </w:tcPr>
          <w:p w:rsidR="00021243" w:rsidRPr="00447869" w:rsidRDefault="00021243" w:rsidP="00021243">
            <w:pPr>
              <w:spacing w:before="120" w:after="120"/>
              <w:rPr>
                <w:rFonts w:asciiTheme="minorHAnsi" w:hAnsiTheme="minorHAnsi"/>
                <w:b/>
              </w:rPr>
            </w:pPr>
            <w:r w:rsidRPr="00447869">
              <w:rPr>
                <w:rFonts w:asciiTheme="minorHAnsi" w:hAnsiTheme="minorHAnsi"/>
                <w:b/>
              </w:rPr>
              <w:t>Condition Name</w:t>
            </w:r>
          </w:p>
        </w:tc>
        <w:tc>
          <w:tcPr>
            <w:tcW w:w="3828" w:type="dxa"/>
          </w:tcPr>
          <w:p w:rsidR="00021243" w:rsidRPr="00C077BF" w:rsidRDefault="00C077BF" w:rsidP="00C077BF">
            <w:pPr>
              <w:pStyle w:val="heading"/>
              <w:spacing w:before="0" w:beforeAutospacing="0" w:after="225" w:afterAutospacing="0" w:line="293" w:lineRule="atLeast"/>
              <w:rPr>
                <w:rFonts w:asciiTheme="minorHAnsi" w:hAnsiTheme="minorHAnsi" w:cs="Times New Roman"/>
                <w:bCs/>
                <w:color w:val="000000"/>
                <w:sz w:val="22"/>
                <w:szCs w:val="22"/>
              </w:rPr>
            </w:pPr>
            <w:r w:rsidRPr="00C077BF">
              <w:rPr>
                <w:rFonts w:asciiTheme="minorHAnsi" w:hAnsiTheme="minorHAnsi" w:cs="Times New Roman"/>
                <w:bCs/>
                <w:color w:val="000000"/>
                <w:sz w:val="22"/>
                <w:szCs w:val="22"/>
              </w:rPr>
              <w:t>Kidney transplantation</w:t>
            </w:r>
          </w:p>
        </w:tc>
        <w:tc>
          <w:tcPr>
            <w:tcW w:w="4819" w:type="dxa"/>
            <w:gridSpan w:val="3"/>
          </w:tcPr>
          <w:p w:rsidR="00021243" w:rsidRPr="00C077BF" w:rsidRDefault="00C077BF" w:rsidP="00C077BF">
            <w:pPr>
              <w:pStyle w:val="heading"/>
              <w:spacing w:before="0" w:beforeAutospacing="0" w:after="225" w:afterAutospacing="0" w:line="293" w:lineRule="atLeast"/>
              <w:rPr>
                <w:rFonts w:asciiTheme="minorHAnsi" w:hAnsiTheme="minorHAnsi"/>
              </w:rPr>
            </w:pPr>
            <w:r w:rsidRPr="00C077BF">
              <w:rPr>
                <w:rFonts w:asciiTheme="minorHAnsi" w:hAnsiTheme="minorHAnsi" w:cs="Times New Roman"/>
                <w:bCs/>
                <w:color w:val="000000"/>
                <w:sz w:val="22"/>
                <w:szCs w:val="22"/>
              </w:rPr>
              <w:t>Kidney transplantation</w:t>
            </w:r>
          </w:p>
        </w:tc>
        <w:tc>
          <w:tcPr>
            <w:tcW w:w="4394" w:type="dxa"/>
          </w:tcPr>
          <w:p w:rsidR="005960E7" w:rsidRPr="00C92149" w:rsidRDefault="007860CF" w:rsidP="005960E7">
            <w:pPr>
              <w:pStyle w:val="heading"/>
              <w:spacing w:before="0" w:beforeAutospacing="0" w:after="225" w:afterAutospacing="0" w:line="293" w:lineRule="atLeast"/>
              <w:rPr>
                <w:rFonts w:asciiTheme="minorHAnsi" w:hAnsiTheme="minorHAnsi"/>
                <w:sz w:val="22"/>
              </w:rPr>
            </w:pPr>
            <w:r>
              <w:rPr>
                <w:rFonts w:asciiTheme="minorHAnsi" w:hAnsiTheme="minorHAnsi"/>
                <w:sz w:val="22"/>
              </w:rPr>
              <w:t>Unchanged</w:t>
            </w:r>
          </w:p>
        </w:tc>
      </w:tr>
      <w:tr w:rsidR="00447869" w:rsidRPr="00447869" w:rsidTr="003A7E5D">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rPr>
            </w:pPr>
            <w:r w:rsidRPr="00447869">
              <w:rPr>
                <w:rFonts w:asciiTheme="minorHAnsi" w:hAnsiTheme="minorHAnsi"/>
                <w:b/>
              </w:rPr>
              <w:t>Specialty</w:t>
            </w:r>
          </w:p>
        </w:tc>
        <w:tc>
          <w:tcPr>
            <w:tcW w:w="3828" w:type="dxa"/>
          </w:tcPr>
          <w:p w:rsidR="00447869" w:rsidRPr="00447869" w:rsidRDefault="003A7E5D" w:rsidP="0091257A">
            <w:pPr>
              <w:spacing w:before="120" w:after="120"/>
              <w:rPr>
                <w:rFonts w:asciiTheme="minorHAnsi" w:hAnsiTheme="minorHAnsi"/>
              </w:rPr>
            </w:pPr>
            <w:r>
              <w:rPr>
                <w:rFonts w:asciiTheme="minorHAnsi" w:hAnsiTheme="minorHAnsi"/>
              </w:rPr>
              <w:t xml:space="preserve"> Transplantation</w:t>
            </w:r>
          </w:p>
        </w:tc>
        <w:tc>
          <w:tcPr>
            <w:tcW w:w="4819" w:type="dxa"/>
            <w:gridSpan w:val="3"/>
          </w:tcPr>
          <w:p w:rsidR="00447869" w:rsidRPr="00447869" w:rsidRDefault="007860CF" w:rsidP="00021243">
            <w:pPr>
              <w:spacing w:before="120" w:after="120"/>
              <w:rPr>
                <w:rFonts w:asciiTheme="minorHAnsi" w:hAnsiTheme="minorHAnsi"/>
              </w:rPr>
            </w:pPr>
            <w:r>
              <w:rPr>
                <w:rFonts w:asciiTheme="minorHAnsi" w:hAnsiTheme="minorHAnsi"/>
              </w:rPr>
              <w:t>Nephrology/Transplantation</w:t>
            </w:r>
          </w:p>
        </w:tc>
        <w:tc>
          <w:tcPr>
            <w:tcW w:w="4394" w:type="dxa"/>
          </w:tcPr>
          <w:p w:rsidR="00447869" w:rsidRPr="009208EC" w:rsidRDefault="007860CF" w:rsidP="00021243">
            <w:pPr>
              <w:spacing w:before="120" w:after="120"/>
              <w:rPr>
                <w:rFonts w:asciiTheme="minorHAnsi" w:hAnsiTheme="minorHAnsi"/>
                <w:szCs w:val="20"/>
              </w:rPr>
            </w:pPr>
            <w:r>
              <w:rPr>
                <w:rFonts w:asciiTheme="minorHAnsi" w:hAnsiTheme="minorHAnsi"/>
              </w:rPr>
              <w:t>Unchanged</w:t>
            </w:r>
          </w:p>
        </w:tc>
      </w:tr>
      <w:tr w:rsidR="00021243" w:rsidRPr="00447869" w:rsidTr="003A7E5D">
        <w:tc>
          <w:tcPr>
            <w:tcW w:w="1560" w:type="dxa"/>
            <w:shd w:val="clear" w:color="auto" w:fill="D9D9D9" w:themeFill="background1" w:themeFillShade="D9"/>
          </w:tcPr>
          <w:p w:rsidR="00021243" w:rsidRPr="00447869" w:rsidRDefault="005D1CA5" w:rsidP="00021243">
            <w:pPr>
              <w:spacing w:before="120" w:after="120"/>
              <w:rPr>
                <w:rFonts w:asciiTheme="minorHAnsi" w:hAnsiTheme="minorHAnsi"/>
              </w:rPr>
            </w:pPr>
            <w:r>
              <w:rPr>
                <w:rFonts w:asciiTheme="minorHAnsi" w:hAnsiTheme="minorHAnsi"/>
                <w:b/>
              </w:rPr>
              <w:t>Category</w:t>
            </w:r>
          </w:p>
        </w:tc>
        <w:tc>
          <w:tcPr>
            <w:tcW w:w="3828" w:type="dxa"/>
          </w:tcPr>
          <w:p w:rsidR="00021243" w:rsidRPr="003B41FA" w:rsidRDefault="005D1CA5" w:rsidP="00134B22">
            <w:pPr>
              <w:spacing w:before="120" w:after="120"/>
              <w:rPr>
                <w:rFonts w:asciiTheme="minorHAnsi" w:hAnsiTheme="minorHAnsi"/>
                <w:i/>
              </w:rPr>
            </w:pPr>
            <w:r w:rsidRPr="003B41FA">
              <w:rPr>
                <w:rFonts w:asciiTheme="minorHAnsi" w:hAnsiTheme="minorHAnsi"/>
                <w:i/>
              </w:rPr>
              <w:t xml:space="preserve">Emerging </w:t>
            </w:r>
            <w:r w:rsidR="007D09EF" w:rsidRPr="003B41FA">
              <w:rPr>
                <w:rFonts w:asciiTheme="minorHAnsi" w:eastAsia="Times New Roman" w:hAnsiTheme="minorHAnsi" w:cs="Times New Roman"/>
                <w:bCs/>
                <w:i/>
                <w:lang w:eastAsia="en-AU"/>
              </w:rPr>
              <w:t>therapeutic</w:t>
            </w:r>
            <w:r w:rsidR="007D09EF" w:rsidRPr="00F62D61">
              <w:rPr>
                <w:rFonts w:asciiTheme="minorHAnsi" w:eastAsia="Times New Roman" w:hAnsiTheme="minorHAnsi" w:cs="Times New Roman"/>
                <w:b/>
                <w:bCs/>
                <w:i/>
                <w:lang w:eastAsia="en-AU"/>
              </w:rPr>
              <w:t xml:space="preserve"> </w:t>
            </w:r>
            <w:r w:rsidRPr="003B41FA">
              <w:rPr>
                <w:rFonts w:asciiTheme="minorHAnsi" w:hAnsiTheme="minorHAnsi"/>
                <w:i/>
              </w:rPr>
              <w:t xml:space="preserve">role </w:t>
            </w:r>
          </w:p>
        </w:tc>
        <w:tc>
          <w:tcPr>
            <w:tcW w:w="4819" w:type="dxa"/>
            <w:gridSpan w:val="3"/>
          </w:tcPr>
          <w:p w:rsidR="00021243" w:rsidRPr="003B41FA" w:rsidRDefault="005D1CA5" w:rsidP="00134B22">
            <w:pPr>
              <w:spacing w:before="120" w:after="120"/>
              <w:rPr>
                <w:rFonts w:asciiTheme="minorHAnsi" w:hAnsiTheme="minorHAnsi"/>
                <w:i/>
              </w:rPr>
            </w:pPr>
            <w:r w:rsidRPr="003B41FA">
              <w:rPr>
                <w:rFonts w:asciiTheme="minorHAnsi" w:hAnsiTheme="minorHAnsi"/>
                <w:i/>
              </w:rPr>
              <w:t xml:space="preserve">Emerging </w:t>
            </w:r>
            <w:r w:rsidR="007D09EF" w:rsidRPr="003B41FA">
              <w:rPr>
                <w:rFonts w:asciiTheme="minorHAnsi" w:eastAsia="Times New Roman" w:hAnsiTheme="minorHAnsi" w:cs="Times New Roman"/>
                <w:bCs/>
                <w:i/>
                <w:lang w:eastAsia="en-AU"/>
              </w:rPr>
              <w:t>therapeutic</w:t>
            </w:r>
            <w:r w:rsidR="007D09EF" w:rsidRPr="00F62D61">
              <w:rPr>
                <w:rFonts w:asciiTheme="minorHAnsi" w:eastAsia="Times New Roman" w:hAnsiTheme="minorHAnsi" w:cs="Times New Roman"/>
                <w:b/>
                <w:bCs/>
                <w:i/>
                <w:lang w:eastAsia="en-AU"/>
              </w:rPr>
              <w:t xml:space="preserve"> </w:t>
            </w:r>
            <w:r w:rsidRPr="003B41FA">
              <w:rPr>
                <w:rFonts w:asciiTheme="minorHAnsi" w:hAnsiTheme="minorHAnsi"/>
                <w:i/>
              </w:rPr>
              <w:t xml:space="preserve">role </w:t>
            </w:r>
          </w:p>
        </w:tc>
        <w:tc>
          <w:tcPr>
            <w:tcW w:w="4394" w:type="dxa"/>
          </w:tcPr>
          <w:p w:rsidR="00021243" w:rsidRPr="009208EC" w:rsidRDefault="00021243" w:rsidP="00631EAB">
            <w:pPr>
              <w:spacing w:before="120" w:after="120"/>
              <w:rPr>
                <w:rFonts w:asciiTheme="minorHAnsi" w:hAnsiTheme="minorHAnsi"/>
                <w:szCs w:val="20"/>
              </w:rPr>
            </w:pPr>
          </w:p>
        </w:tc>
      </w:tr>
      <w:tr w:rsidR="00447869" w:rsidRPr="00447869" w:rsidTr="003A7E5D">
        <w:tc>
          <w:tcPr>
            <w:tcW w:w="1560" w:type="dxa"/>
            <w:shd w:val="clear" w:color="auto" w:fill="D9D9D9" w:themeFill="background1" w:themeFillShade="D9"/>
          </w:tcPr>
          <w:p w:rsidR="00447869" w:rsidRPr="008515FF" w:rsidRDefault="00447869" w:rsidP="00021243">
            <w:pPr>
              <w:spacing w:before="120" w:after="120"/>
              <w:rPr>
                <w:rFonts w:asciiTheme="minorHAnsi" w:hAnsiTheme="minorHAnsi"/>
                <w:b/>
              </w:rPr>
            </w:pPr>
            <w:r w:rsidRPr="00447869">
              <w:rPr>
                <w:rFonts w:asciiTheme="minorHAnsi" w:hAnsiTheme="minorHAnsi"/>
                <w:b/>
              </w:rPr>
              <w:t>Specific Conditions</w:t>
            </w:r>
          </w:p>
        </w:tc>
        <w:tc>
          <w:tcPr>
            <w:tcW w:w="3828" w:type="dxa"/>
          </w:tcPr>
          <w:p w:rsidR="003A7E5D" w:rsidRPr="00C077BF" w:rsidRDefault="003A7E5D" w:rsidP="003A7E5D">
            <w:pPr>
              <w:rPr>
                <w:rFonts w:asciiTheme="minorHAnsi" w:hAnsiTheme="minorHAnsi"/>
              </w:rPr>
            </w:pPr>
            <w:r w:rsidRPr="00C077BF">
              <w:rPr>
                <w:rFonts w:asciiTheme="minorHAnsi" w:hAnsiTheme="minorHAnsi"/>
              </w:rPr>
              <w:t>i.</w:t>
            </w:r>
            <w:r w:rsidRPr="00C077BF">
              <w:rPr>
                <w:rFonts w:asciiTheme="minorHAnsi" w:hAnsiTheme="minorHAnsi"/>
              </w:rPr>
              <w:tab/>
              <w:t>1st kidney</w:t>
            </w:r>
          </w:p>
          <w:p w:rsidR="003A7E5D" w:rsidRPr="00C077BF" w:rsidRDefault="003A7E5D" w:rsidP="003A7E5D">
            <w:pPr>
              <w:rPr>
                <w:rFonts w:asciiTheme="minorHAnsi" w:hAnsiTheme="minorHAnsi"/>
              </w:rPr>
            </w:pPr>
            <w:r w:rsidRPr="00C077BF">
              <w:rPr>
                <w:rFonts w:asciiTheme="minorHAnsi" w:hAnsiTheme="minorHAnsi"/>
              </w:rPr>
              <w:t>ii.</w:t>
            </w:r>
            <w:r w:rsidRPr="00C077BF">
              <w:rPr>
                <w:rFonts w:asciiTheme="minorHAnsi" w:hAnsiTheme="minorHAnsi"/>
              </w:rPr>
              <w:tab/>
              <w:t xml:space="preserve">2nd kidney </w:t>
            </w:r>
          </w:p>
          <w:p w:rsidR="003A7E5D" w:rsidRPr="00C077BF" w:rsidRDefault="003A7E5D" w:rsidP="003A7E5D">
            <w:pPr>
              <w:rPr>
                <w:rFonts w:asciiTheme="minorHAnsi" w:hAnsiTheme="minorHAnsi"/>
              </w:rPr>
            </w:pPr>
            <w:r w:rsidRPr="00C077BF">
              <w:rPr>
                <w:rFonts w:asciiTheme="minorHAnsi" w:hAnsiTheme="minorHAnsi"/>
              </w:rPr>
              <w:t>iii.</w:t>
            </w:r>
            <w:r w:rsidRPr="00C077BF">
              <w:rPr>
                <w:rFonts w:asciiTheme="minorHAnsi" w:hAnsiTheme="minorHAnsi"/>
              </w:rPr>
              <w:tab/>
              <w:t>3rd kidney</w:t>
            </w:r>
          </w:p>
          <w:p w:rsidR="003A7E5D" w:rsidRPr="00C077BF" w:rsidRDefault="003A7E5D" w:rsidP="003A7E5D">
            <w:pPr>
              <w:rPr>
                <w:rFonts w:asciiTheme="minorHAnsi" w:hAnsiTheme="minorHAnsi"/>
              </w:rPr>
            </w:pPr>
            <w:r w:rsidRPr="00C077BF">
              <w:rPr>
                <w:rFonts w:asciiTheme="minorHAnsi" w:hAnsiTheme="minorHAnsi"/>
              </w:rPr>
              <w:t>iv.</w:t>
            </w:r>
            <w:r w:rsidRPr="00C077BF">
              <w:rPr>
                <w:rFonts w:asciiTheme="minorHAnsi" w:hAnsiTheme="minorHAnsi"/>
              </w:rPr>
              <w:tab/>
              <w:t>4th kidney</w:t>
            </w:r>
          </w:p>
          <w:p w:rsidR="003A7E5D" w:rsidRPr="00C077BF" w:rsidRDefault="003A7E5D" w:rsidP="003A7E5D">
            <w:pPr>
              <w:rPr>
                <w:rFonts w:asciiTheme="minorHAnsi" w:hAnsiTheme="minorHAnsi"/>
              </w:rPr>
            </w:pPr>
            <w:r w:rsidRPr="00C077BF">
              <w:rPr>
                <w:rFonts w:asciiTheme="minorHAnsi" w:hAnsiTheme="minorHAnsi"/>
              </w:rPr>
              <w:t>v.</w:t>
            </w:r>
            <w:r w:rsidRPr="00C077BF">
              <w:rPr>
                <w:rFonts w:asciiTheme="minorHAnsi" w:hAnsiTheme="minorHAnsi"/>
              </w:rPr>
              <w:tab/>
              <w:t>Liver &amp; Kidney</w:t>
            </w:r>
          </w:p>
          <w:p w:rsidR="003A7E5D" w:rsidRPr="00C077BF" w:rsidRDefault="003A7E5D" w:rsidP="003A7E5D">
            <w:pPr>
              <w:rPr>
                <w:rFonts w:asciiTheme="minorHAnsi" w:hAnsiTheme="minorHAnsi"/>
              </w:rPr>
            </w:pPr>
            <w:r w:rsidRPr="00C077BF">
              <w:rPr>
                <w:rFonts w:asciiTheme="minorHAnsi" w:hAnsiTheme="minorHAnsi"/>
              </w:rPr>
              <w:t>vi.</w:t>
            </w:r>
            <w:r w:rsidRPr="00C077BF">
              <w:rPr>
                <w:rFonts w:asciiTheme="minorHAnsi" w:hAnsiTheme="minorHAnsi"/>
              </w:rPr>
              <w:tab/>
              <w:t>Heart &amp; Kidney</w:t>
            </w:r>
          </w:p>
          <w:p w:rsidR="006D27A8" w:rsidRDefault="003A7E5D" w:rsidP="006D27A8">
            <w:pPr>
              <w:rPr>
                <w:rFonts w:asciiTheme="minorHAnsi" w:hAnsiTheme="minorHAnsi"/>
              </w:rPr>
            </w:pPr>
            <w:r w:rsidRPr="00C077BF">
              <w:rPr>
                <w:rFonts w:asciiTheme="minorHAnsi" w:hAnsiTheme="minorHAnsi"/>
              </w:rPr>
              <w:t>vii.</w:t>
            </w:r>
            <w:r w:rsidRPr="00C077BF">
              <w:rPr>
                <w:rFonts w:asciiTheme="minorHAnsi" w:hAnsiTheme="minorHAnsi"/>
              </w:rPr>
              <w:tab/>
              <w:t>Pancreas &amp; kidney</w:t>
            </w:r>
          </w:p>
          <w:p w:rsidR="004A10A2" w:rsidRPr="00447869" w:rsidRDefault="003A7E5D" w:rsidP="006D27A8">
            <w:pPr>
              <w:rPr>
                <w:rFonts w:asciiTheme="minorHAnsi" w:hAnsiTheme="minorHAnsi"/>
              </w:rPr>
            </w:pPr>
            <w:r w:rsidRPr="00C077BF">
              <w:rPr>
                <w:rFonts w:asciiTheme="minorHAnsi" w:hAnsiTheme="minorHAnsi"/>
              </w:rPr>
              <w:t>viii.</w:t>
            </w:r>
            <w:r w:rsidRPr="00C077BF">
              <w:rPr>
                <w:rFonts w:asciiTheme="minorHAnsi" w:hAnsiTheme="minorHAnsi"/>
              </w:rPr>
              <w:tab/>
              <w:t>Other</w:t>
            </w:r>
          </w:p>
        </w:tc>
        <w:tc>
          <w:tcPr>
            <w:tcW w:w="4819" w:type="dxa"/>
            <w:gridSpan w:val="3"/>
          </w:tcPr>
          <w:p w:rsidR="00462B57" w:rsidRPr="00C077BF" w:rsidRDefault="00462B57" w:rsidP="00462B57">
            <w:pPr>
              <w:rPr>
                <w:rFonts w:asciiTheme="minorHAnsi" w:hAnsiTheme="minorHAnsi"/>
              </w:rPr>
            </w:pPr>
            <w:r w:rsidRPr="00C077BF">
              <w:rPr>
                <w:rFonts w:asciiTheme="minorHAnsi" w:hAnsiTheme="minorHAnsi"/>
              </w:rPr>
              <w:t>i.</w:t>
            </w:r>
            <w:r w:rsidRPr="00C077BF">
              <w:rPr>
                <w:rFonts w:asciiTheme="minorHAnsi" w:hAnsiTheme="minorHAnsi"/>
              </w:rPr>
              <w:tab/>
              <w:t>1st kidney</w:t>
            </w:r>
          </w:p>
          <w:p w:rsidR="00462B57" w:rsidRPr="00C077BF" w:rsidRDefault="00462B57" w:rsidP="00462B57">
            <w:pPr>
              <w:rPr>
                <w:rFonts w:asciiTheme="minorHAnsi" w:hAnsiTheme="minorHAnsi"/>
              </w:rPr>
            </w:pPr>
            <w:r w:rsidRPr="00C077BF">
              <w:rPr>
                <w:rFonts w:asciiTheme="minorHAnsi" w:hAnsiTheme="minorHAnsi"/>
              </w:rPr>
              <w:t>ii.</w:t>
            </w:r>
            <w:r w:rsidRPr="00C077BF">
              <w:rPr>
                <w:rFonts w:asciiTheme="minorHAnsi" w:hAnsiTheme="minorHAnsi"/>
              </w:rPr>
              <w:tab/>
              <w:t xml:space="preserve">2nd kidney </w:t>
            </w:r>
          </w:p>
          <w:p w:rsidR="00462B57" w:rsidRPr="00C077BF" w:rsidRDefault="00462B57" w:rsidP="00462B57">
            <w:pPr>
              <w:rPr>
                <w:rFonts w:asciiTheme="minorHAnsi" w:hAnsiTheme="minorHAnsi"/>
              </w:rPr>
            </w:pPr>
            <w:r w:rsidRPr="00C077BF">
              <w:rPr>
                <w:rFonts w:asciiTheme="minorHAnsi" w:hAnsiTheme="minorHAnsi"/>
              </w:rPr>
              <w:t>iii.</w:t>
            </w:r>
            <w:r w:rsidRPr="00C077BF">
              <w:rPr>
                <w:rFonts w:asciiTheme="minorHAnsi" w:hAnsiTheme="minorHAnsi"/>
              </w:rPr>
              <w:tab/>
              <w:t>3rd kidney</w:t>
            </w:r>
          </w:p>
          <w:p w:rsidR="00462B57" w:rsidRPr="00C077BF" w:rsidRDefault="00462B57" w:rsidP="00462B57">
            <w:pPr>
              <w:rPr>
                <w:rFonts w:asciiTheme="minorHAnsi" w:hAnsiTheme="minorHAnsi"/>
              </w:rPr>
            </w:pPr>
            <w:r w:rsidRPr="00C077BF">
              <w:rPr>
                <w:rFonts w:asciiTheme="minorHAnsi" w:hAnsiTheme="minorHAnsi"/>
              </w:rPr>
              <w:t>iv.</w:t>
            </w:r>
            <w:r w:rsidRPr="00C077BF">
              <w:rPr>
                <w:rFonts w:asciiTheme="minorHAnsi" w:hAnsiTheme="minorHAnsi"/>
              </w:rPr>
              <w:tab/>
              <w:t>4th kidney</w:t>
            </w:r>
          </w:p>
          <w:p w:rsidR="00462B57" w:rsidRPr="00C077BF" w:rsidRDefault="00462B57" w:rsidP="00462B57">
            <w:pPr>
              <w:rPr>
                <w:rFonts w:asciiTheme="minorHAnsi" w:hAnsiTheme="minorHAnsi"/>
              </w:rPr>
            </w:pPr>
            <w:r w:rsidRPr="00C077BF">
              <w:rPr>
                <w:rFonts w:asciiTheme="minorHAnsi" w:hAnsiTheme="minorHAnsi"/>
              </w:rPr>
              <w:t>v.</w:t>
            </w:r>
            <w:r w:rsidRPr="00C077BF">
              <w:rPr>
                <w:rFonts w:asciiTheme="minorHAnsi" w:hAnsiTheme="minorHAnsi"/>
              </w:rPr>
              <w:tab/>
              <w:t>Liver &amp; Kidney</w:t>
            </w:r>
          </w:p>
          <w:p w:rsidR="00462B57" w:rsidRPr="00C077BF" w:rsidRDefault="00462B57" w:rsidP="00462B57">
            <w:pPr>
              <w:rPr>
                <w:rFonts w:asciiTheme="minorHAnsi" w:hAnsiTheme="minorHAnsi"/>
              </w:rPr>
            </w:pPr>
            <w:r w:rsidRPr="00C077BF">
              <w:rPr>
                <w:rFonts w:asciiTheme="minorHAnsi" w:hAnsiTheme="minorHAnsi"/>
              </w:rPr>
              <w:t>vi.</w:t>
            </w:r>
            <w:r w:rsidRPr="00C077BF">
              <w:rPr>
                <w:rFonts w:asciiTheme="minorHAnsi" w:hAnsiTheme="minorHAnsi"/>
              </w:rPr>
              <w:tab/>
              <w:t>Heart &amp; Kidney</w:t>
            </w:r>
          </w:p>
          <w:p w:rsidR="00462B57" w:rsidRDefault="00462B57" w:rsidP="00462B57">
            <w:pPr>
              <w:rPr>
                <w:rFonts w:asciiTheme="minorHAnsi" w:hAnsiTheme="minorHAnsi"/>
              </w:rPr>
            </w:pPr>
            <w:r w:rsidRPr="00C077BF">
              <w:rPr>
                <w:rFonts w:asciiTheme="minorHAnsi" w:hAnsiTheme="minorHAnsi"/>
              </w:rPr>
              <w:t>vii.</w:t>
            </w:r>
            <w:r w:rsidRPr="00C077BF">
              <w:rPr>
                <w:rFonts w:asciiTheme="minorHAnsi" w:hAnsiTheme="minorHAnsi"/>
              </w:rPr>
              <w:tab/>
              <w:t>Pancreas &amp; kidney</w:t>
            </w:r>
          </w:p>
          <w:p w:rsidR="00447869" w:rsidRPr="00447869" w:rsidRDefault="00462B57" w:rsidP="00462B57">
            <w:pPr>
              <w:rPr>
                <w:rFonts w:asciiTheme="minorHAnsi" w:hAnsiTheme="minorHAnsi"/>
              </w:rPr>
            </w:pPr>
            <w:r w:rsidRPr="00C077BF">
              <w:rPr>
                <w:rFonts w:asciiTheme="minorHAnsi" w:hAnsiTheme="minorHAnsi"/>
              </w:rPr>
              <w:t>viii.</w:t>
            </w:r>
            <w:r w:rsidRPr="00C077BF">
              <w:rPr>
                <w:rFonts w:asciiTheme="minorHAnsi" w:hAnsiTheme="minorHAnsi"/>
              </w:rPr>
              <w:tab/>
              <w:t>Other</w:t>
            </w:r>
          </w:p>
        </w:tc>
        <w:tc>
          <w:tcPr>
            <w:tcW w:w="4394" w:type="dxa"/>
          </w:tcPr>
          <w:p w:rsidR="00447869" w:rsidRPr="00C92149" w:rsidRDefault="007860CF" w:rsidP="00021243">
            <w:pPr>
              <w:spacing w:before="120" w:after="120"/>
              <w:rPr>
                <w:rFonts w:asciiTheme="minorHAnsi" w:hAnsiTheme="minorHAnsi"/>
                <w:szCs w:val="20"/>
              </w:rPr>
            </w:pPr>
            <w:r>
              <w:rPr>
                <w:rFonts w:asciiTheme="minorHAnsi" w:hAnsiTheme="minorHAnsi"/>
              </w:rPr>
              <w:t>Unchanged</w:t>
            </w:r>
          </w:p>
        </w:tc>
      </w:tr>
      <w:tr w:rsidR="00021243" w:rsidRPr="00447869" w:rsidTr="003A7E5D">
        <w:tc>
          <w:tcPr>
            <w:tcW w:w="1560" w:type="dxa"/>
            <w:shd w:val="clear" w:color="auto" w:fill="D9D9D9" w:themeFill="background1" w:themeFillShade="D9"/>
          </w:tcPr>
          <w:p w:rsidR="00021243" w:rsidRPr="00462B57" w:rsidRDefault="00021243" w:rsidP="00021243">
            <w:pPr>
              <w:spacing w:before="120" w:after="120"/>
              <w:rPr>
                <w:rFonts w:asciiTheme="minorHAnsi" w:hAnsiTheme="minorHAnsi"/>
                <w:b/>
              </w:rPr>
            </w:pPr>
            <w:r w:rsidRPr="00447869">
              <w:rPr>
                <w:rFonts w:asciiTheme="minorHAnsi" w:hAnsiTheme="minorHAnsi"/>
                <w:b/>
              </w:rPr>
              <w:t xml:space="preserve">Level of </w:t>
            </w:r>
            <w:r w:rsidRPr="00447869">
              <w:rPr>
                <w:rFonts w:asciiTheme="minorHAnsi" w:hAnsiTheme="minorHAnsi"/>
                <w:b/>
              </w:rPr>
              <w:lastRenderedPageBreak/>
              <w:t>Evidence</w:t>
            </w:r>
          </w:p>
        </w:tc>
        <w:tc>
          <w:tcPr>
            <w:tcW w:w="3828" w:type="dxa"/>
          </w:tcPr>
          <w:p w:rsidR="00021243" w:rsidRPr="00447869" w:rsidRDefault="00C077BF" w:rsidP="00021243">
            <w:pPr>
              <w:spacing w:before="120" w:after="120"/>
              <w:rPr>
                <w:rFonts w:asciiTheme="minorHAnsi" w:hAnsiTheme="minorHAnsi"/>
              </w:rPr>
            </w:pPr>
            <w:r w:rsidRPr="00C077BF">
              <w:rPr>
                <w:rFonts w:asciiTheme="minorHAnsi" w:hAnsiTheme="minorHAnsi"/>
              </w:rPr>
              <w:lastRenderedPageBreak/>
              <w:t>Clear evidence of benefit (Category 1).</w:t>
            </w:r>
          </w:p>
        </w:tc>
        <w:tc>
          <w:tcPr>
            <w:tcW w:w="4819" w:type="dxa"/>
            <w:gridSpan w:val="3"/>
          </w:tcPr>
          <w:p w:rsidR="00021243" w:rsidRPr="00447869" w:rsidRDefault="00282F66" w:rsidP="003A7E5D">
            <w:pPr>
              <w:spacing w:before="120" w:after="120"/>
              <w:rPr>
                <w:rFonts w:asciiTheme="minorHAnsi" w:hAnsiTheme="minorHAnsi"/>
              </w:rPr>
            </w:pPr>
            <w:r>
              <w:t xml:space="preserve"> </w:t>
            </w:r>
            <w:r w:rsidR="00462B57" w:rsidRPr="00C077BF">
              <w:rPr>
                <w:rFonts w:asciiTheme="minorHAnsi" w:hAnsiTheme="minorHAnsi"/>
              </w:rPr>
              <w:t>Clear evidence of benefit (Category 1).</w:t>
            </w:r>
          </w:p>
        </w:tc>
        <w:tc>
          <w:tcPr>
            <w:tcW w:w="4394" w:type="dxa"/>
          </w:tcPr>
          <w:p w:rsidR="00021243" w:rsidRPr="009208EC" w:rsidRDefault="006E2E88" w:rsidP="00021243">
            <w:pPr>
              <w:spacing w:before="120" w:after="120"/>
              <w:rPr>
                <w:rFonts w:asciiTheme="minorHAnsi" w:hAnsiTheme="minorHAnsi"/>
                <w:szCs w:val="20"/>
              </w:rPr>
            </w:pPr>
            <w:r>
              <w:rPr>
                <w:rFonts w:asciiTheme="minorHAnsi" w:hAnsiTheme="minorHAnsi"/>
              </w:rPr>
              <w:t>Unchanged</w:t>
            </w:r>
          </w:p>
        </w:tc>
      </w:tr>
      <w:tr w:rsidR="00AB120F" w:rsidRPr="00447869" w:rsidTr="003A7E5D">
        <w:tc>
          <w:tcPr>
            <w:tcW w:w="1560" w:type="dxa"/>
            <w:shd w:val="clear" w:color="auto" w:fill="D9D9D9" w:themeFill="background1" w:themeFillShade="D9"/>
          </w:tcPr>
          <w:p w:rsidR="00AB120F" w:rsidRPr="00447869" w:rsidRDefault="00AB120F" w:rsidP="00CE69D0">
            <w:pPr>
              <w:spacing w:before="120" w:after="120"/>
              <w:rPr>
                <w:rFonts w:asciiTheme="minorHAnsi" w:hAnsiTheme="minorHAnsi"/>
                <w:b/>
              </w:rPr>
            </w:pPr>
            <w:r w:rsidRPr="00447869">
              <w:rPr>
                <w:rFonts w:asciiTheme="minorHAnsi" w:hAnsiTheme="minorHAnsi"/>
                <w:b/>
              </w:rPr>
              <w:lastRenderedPageBreak/>
              <w:t>Justification for Evidence Category</w:t>
            </w:r>
          </w:p>
          <w:p w:rsidR="00AB120F" w:rsidRPr="00447869" w:rsidRDefault="00AB120F" w:rsidP="00CE69D0">
            <w:pPr>
              <w:spacing w:before="120" w:after="120"/>
              <w:rPr>
                <w:rFonts w:asciiTheme="minorHAnsi" w:hAnsiTheme="minorHAnsi"/>
              </w:rPr>
            </w:pPr>
          </w:p>
        </w:tc>
        <w:tc>
          <w:tcPr>
            <w:tcW w:w="3828" w:type="dxa"/>
          </w:tcPr>
          <w:p w:rsidR="00C077BF" w:rsidRPr="00C077BF" w:rsidRDefault="00C077BF" w:rsidP="00C077BF">
            <w:pPr>
              <w:spacing w:before="120" w:after="120"/>
              <w:rPr>
                <w:rFonts w:asciiTheme="minorHAnsi" w:hAnsiTheme="minorHAnsi"/>
              </w:rPr>
            </w:pPr>
            <w:r w:rsidRPr="00C077BF">
              <w:rPr>
                <w:rFonts w:asciiTheme="minorHAnsi" w:hAnsiTheme="minorHAnsi"/>
              </w:rPr>
              <w:t xml:space="preserve">An RCT enrolling adult patients with end stage renal disease (ESRD) who were highly sensitised to HLA antigens found that </w:t>
            </w:r>
            <w:r w:rsidR="00F6525C">
              <w:rPr>
                <w:rFonts w:asciiTheme="minorHAnsi" w:hAnsiTheme="minorHAnsi"/>
              </w:rPr>
              <w:t>IVIg</w:t>
            </w:r>
            <w:r w:rsidRPr="00C077BF">
              <w:rPr>
                <w:rFonts w:asciiTheme="minorHAnsi" w:hAnsiTheme="minorHAnsi"/>
              </w:rPr>
              <w:t xml:space="preserve"> was better than placebo in reducing anti-HLA antibody levels in highly sensitised patients with ESRD (followed for two years after transplant), and that transplant rates were improved with </w:t>
            </w:r>
            <w:r w:rsidR="00F6525C">
              <w:rPr>
                <w:rFonts w:asciiTheme="minorHAnsi" w:hAnsiTheme="minorHAnsi"/>
              </w:rPr>
              <w:t>IVIg</w:t>
            </w:r>
            <w:r w:rsidRPr="00C077BF">
              <w:rPr>
                <w:rFonts w:asciiTheme="minorHAnsi" w:hAnsiTheme="minorHAnsi"/>
              </w:rPr>
              <w:t xml:space="preserve"> therapy (Jordan et al 2004).</w:t>
            </w:r>
          </w:p>
          <w:p w:rsidR="00C077BF" w:rsidRPr="00C077BF" w:rsidRDefault="00C077BF" w:rsidP="00C077BF">
            <w:pPr>
              <w:spacing w:before="120" w:after="120"/>
              <w:rPr>
                <w:rFonts w:asciiTheme="minorHAnsi" w:hAnsiTheme="minorHAnsi"/>
              </w:rPr>
            </w:pPr>
            <w:r w:rsidRPr="00C077BF">
              <w:rPr>
                <w:rFonts w:asciiTheme="minorHAnsi" w:hAnsiTheme="minorHAnsi"/>
              </w:rPr>
              <w:t>Multiple case series have been reported in the literature, indicating efficacy in (acute) antibody mediated rejection, and recommended by a consensus conference (Takemoto et al 2004).</w:t>
            </w:r>
          </w:p>
          <w:p w:rsidR="00C077BF" w:rsidRPr="00C077BF" w:rsidRDefault="00C077BF" w:rsidP="00C077BF">
            <w:pPr>
              <w:spacing w:before="120" w:after="120"/>
              <w:rPr>
                <w:rFonts w:asciiTheme="minorHAnsi" w:hAnsiTheme="minorHAnsi"/>
              </w:rPr>
            </w:pPr>
            <w:r w:rsidRPr="00C077BF">
              <w:rPr>
                <w:rFonts w:asciiTheme="minorHAnsi" w:hAnsiTheme="minorHAnsi"/>
              </w:rPr>
              <w:t xml:space="preserve">Jordan et al (1998) combined data from seven renal transplant recipients and three heart transplant recipients with steroid-resistant combined antibody-mediated and cellular rejection. All patients in this series were successfully treated with high-dose </w:t>
            </w:r>
            <w:r w:rsidR="00F6525C">
              <w:rPr>
                <w:rFonts w:asciiTheme="minorHAnsi" w:hAnsiTheme="minorHAnsi"/>
              </w:rPr>
              <w:t>IVIg</w:t>
            </w:r>
            <w:r w:rsidRPr="00C077BF">
              <w:rPr>
                <w:rFonts w:asciiTheme="minorHAnsi" w:hAnsiTheme="minorHAnsi"/>
              </w:rPr>
              <w:t>.</w:t>
            </w:r>
          </w:p>
          <w:p w:rsidR="00AB120F" w:rsidRPr="00447869" w:rsidRDefault="00C077BF" w:rsidP="00C077BF">
            <w:pPr>
              <w:spacing w:before="120" w:after="120"/>
              <w:rPr>
                <w:rFonts w:asciiTheme="minorHAnsi" w:hAnsiTheme="minorHAnsi"/>
              </w:rPr>
            </w:pPr>
            <w:r w:rsidRPr="00C077BF">
              <w:rPr>
                <w:rFonts w:asciiTheme="minorHAnsi" w:hAnsiTheme="minorHAnsi"/>
              </w:rPr>
              <w:t xml:space="preserve">A small RCT of transplanted patients with a five-year follow-up period showed that </w:t>
            </w:r>
            <w:r w:rsidR="00F6525C">
              <w:rPr>
                <w:rFonts w:asciiTheme="minorHAnsi" w:hAnsiTheme="minorHAnsi"/>
              </w:rPr>
              <w:t>IVIg</w:t>
            </w:r>
            <w:r w:rsidRPr="00C077BF">
              <w:rPr>
                <w:rFonts w:asciiTheme="minorHAnsi" w:hAnsiTheme="minorHAnsi"/>
              </w:rPr>
              <w:t xml:space="preserve"> was as effective as OKT3 monoclonal antibodies in the treatment of steroid resistant rejection (survival rate at two years was 80% in </w:t>
            </w:r>
            <w:r w:rsidRPr="00C077BF">
              <w:rPr>
                <w:rFonts w:asciiTheme="minorHAnsi" w:hAnsiTheme="minorHAnsi"/>
              </w:rPr>
              <w:lastRenderedPageBreak/>
              <w:t xml:space="preserve">both groups) but </w:t>
            </w:r>
            <w:r w:rsidR="00F6525C">
              <w:rPr>
                <w:rFonts w:asciiTheme="minorHAnsi" w:hAnsiTheme="minorHAnsi"/>
              </w:rPr>
              <w:t>IVIg</w:t>
            </w:r>
            <w:r w:rsidRPr="00C077BF">
              <w:rPr>
                <w:rFonts w:asciiTheme="minorHAnsi" w:hAnsiTheme="minorHAnsi"/>
              </w:rPr>
              <w:t xml:space="preserve"> generated fewer side effects (Casadei et al 2001).</w:t>
            </w:r>
          </w:p>
        </w:tc>
        <w:tc>
          <w:tcPr>
            <w:tcW w:w="4819" w:type="dxa"/>
            <w:gridSpan w:val="3"/>
          </w:tcPr>
          <w:p w:rsidR="004229B2" w:rsidRPr="004229B2" w:rsidRDefault="004229B2" w:rsidP="004229B2">
            <w:pPr>
              <w:spacing w:before="120" w:after="120"/>
              <w:rPr>
                <w:rFonts w:asciiTheme="minorHAnsi" w:hAnsiTheme="minorHAnsi"/>
              </w:rPr>
            </w:pPr>
            <w:r w:rsidRPr="004229B2">
              <w:rPr>
                <w:rFonts w:asciiTheme="minorHAnsi" w:hAnsiTheme="minorHAnsi"/>
              </w:rPr>
              <w:lastRenderedPageBreak/>
              <w:t>Desensitisation: The only RCT to date on desensitising patients awaiting kidney transplantation found that IVIg was better than placebo in reducing allosensitisation in highly sensitised patients with end stage kidney disease (followed for two years after transplant), and that transplant rates were improved with IVIg therapy (Jordan et al</w:t>
            </w:r>
            <w:r>
              <w:rPr>
                <w:rFonts w:asciiTheme="minorHAnsi" w:hAnsiTheme="minorHAnsi"/>
              </w:rPr>
              <w:t>,</w:t>
            </w:r>
            <w:r w:rsidRPr="004229B2">
              <w:rPr>
                <w:rFonts w:asciiTheme="minorHAnsi" w:hAnsiTheme="minorHAnsi"/>
              </w:rPr>
              <w:t xml:space="preserve"> 2004). Nonrandomised clinical observational studies suggest that a combination of plasmapheresis and low-dose IVIg is effective and provides a survival benefit for recipients (Montgomery</w:t>
            </w:r>
            <w:r>
              <w:rPr>
                <w:rFonts w:asciiTheme="minorHAnsi" w:hAnsiTheme="minorHAnsi"/>
              </w:rPr>
              <w:t>,</w:t>
            </w:r>
            <w:r w:rsidRPr="004229B2">
              <w:rPr>
                <w:rFonts w:asciiTheme="minorHAnsi" w:hAnsiTheme="minorHAnsi"/>
              </w:rPr>
              <w:t xml:space="preserve"> 2011). </w:t>
            </w:r>
          </w:p>
          <w:p w:rsidR="004229B2" w:rsidRPr="004229B2" w:rsidRDefault="004229B2" w:rsidP="004229B2">
            <w:pPr>
              <w:spacing w:before="120" w:after="120"/>
              <w:rPr>
                <w:rFonts w:asciiTheme="minorHAnsi" w:hAnsiTheme="minorHAnsi"/>
              </w:rPr>
            </w:pPr>
            <w:r w:rsidRPr="004229B2">
              <w:rPr>
                <w:rFonts w:asciiTheme="minorHAnsi" w:hAnsiTheme="minorHAnsi"/>
              </w:rPr>
              <w:t>Treatment of Acute Rejection: Multiple case series and some controlled trials have been reported in the literature indicating efficacy of IVIg in treating acute/active antibody mediated rejection, and it is recommended by a consensus conference (Takemoto et al</w:t>
            </w:r>
            <w:r>
              <w:rPr>
                <w:rFonts w:asciiTheme="minorHAnsi" w:hAnsiTheme="minorHAnsi"/>
              </w:rPr>
              <w:t>,</w:t>
            </w:r>
            <w:r w:rsidRPr="004229B2">
              <w:rPr>
                <w:rFonts w:asciiTheme="minorHAnsi" w:hAnsiTheme="minorHAnsi"/>
              </w:rPr>
              <w:t xml:space="preserve"> 2004). There are no randomized controlled studies that</w:t>
            </w:r>
            <w:r w:rsidR="003B41FA">
              <w:rPr>
                <w:rFonts w:asciiTheme="minorHAnsi" w:hAnsiTheme="minorHAnsi"/>
              </w:rPr>
              <w:t xml:space="preserve"> have</w:t>
            </w:r>
            <w:r w:rsidRPr="004229B2">
              <w:rPr>
                <w:rFonts w:asciiTheme="minorHAnsi" w:hAnsiTheme="minorHAnsi"/>
              </w:rPr>
              <w:t xml:space="preserve"> </w:t>
            </w:r>
            <w:r w:rsidR="00C71450" w:rsidRPr="004229B2">
              <w:rPr>
                <w:rFonts w:asciiTheme="minorHAnsi" w:hAnsiTheme="minorHAnsi"/>
              </w:rPr>
              <w:t>s</w:t>
            </w:r>
            <w:r w:rsidR="00C71450">
              <w:rPr>
                <w:rFonts w:asciiTheme="minorHAnsi" w:hAnsiTheme="minorHAnsi"/>
              </w:rPr>
              <w:t>pecifically studied</w:t>
            </w:r>
            <w:r w:rsidR="00C71450" w:rsidRPr="004229B2">
              <w:rPr>
                <w:rFonts w:asciiTheme="minorHAnsi" w:hAnsiTheme="minorHAnsi"/>
              </w:rPr>
              <w:t xml:space="preserve"> </w:t>
            </w:r>
            <w:r w:rsidRPr="004229B2">
              <w:rPr>
                <w:rFonts w:asciiTheme="minorHAnsi" w:hAnsiTheme="minorHAnsi"/>
              </w:rPr>
              <w:t>the benefits of IVIg in acute ABMR, despite its common use in this context. Since 20</w:t>
            </w:r>
            <w:r w:rsidR="00C71450">
              <w:rPr>
                <w:rFonts w:asciiTheme="minorHAnsi" w:hAnsiTheme="minorHAnsi"/>
              </w:rPr>
              <w:t>08</w:t>
            </w:r>
            <w:r w:rsidRPr="004229B2">
              <w:rPr>
                <w:rFonts w:asciiTheme="minorHAnsi" w:hAnsiTheme="minorHAnsi"/>
              </w:rPr>
              <w:t xml:space="preserve"> there have been four non RCT and 3 RCT examining management of AbMR, all but one included IVIg and usually used both in the control and intervention arm of the trial. </w:t>
            </w:r>
            <w:r w:rsidRPr="009D3342">
              <w:rPr>
                <w:rFonts w:asciiTheme="minorHAnsi" w:hAnsiTheme="minorHAnsi"/>
              </w:rPr>
              <w:t>(</w:t>
            </w:r>
            <w:r w:rsidR="00C71450" w:rsidRPr="009D3342">
              <w:rPr>
                <w:rFonts w:asciiTheme="minorHAnsi" w:hAnsiTheme="minorHAnsi"/>
              </w:rPr>
              <w:t>Lee 2016, Montgomery 2016, Choi 2016, Einecke 2016, Vigglietti 2016, Sautenet 2016, Zarkhin 2008</w:t>
            </w:r>
            <w:r w:rsidRPr="009D3342">
              <w:rPr>
                <w:rFonts w:asciiTheme="minorHAnsi" w:hAnsiTheme="minorHAnsi"/>
              </w:rPr>
              <w:t>)</w:t>
            </w:r>
            <w:r w:rsidRPr="004229B2">
              <w:rPr>
                <w:rFonts w:asciiTheme="minorHAnsi" w:hAnsiTheme="minorHAnsi"/>
              </w:rPr>
              <w:t xml:space="preserve"> </w:t>
            </w:r>
          </w:p>
          <w:p w:rsidR="00AB120F" w:rsidRPr="00447869" w:rsidRDefault="004229B2" w:rsidP="004229B2">
            <w:pPr>
              <w:spacing w:before="120" w:after="120"/>
              <w:rPr>
                <w:rFonts w:asciiTheme="minorHAnsi" w:hAnsiTheme="minorHAnsi"/>
              </w:rPr>
            </w:pPr>
            <w:r w:rsidRPr="004229B2">
              <w:rPr>
                <w:rFonts w:asciiTheme="minorHAnsi" w:hAnsiTheme="minorHAnsi"/>
              </w:rPr>
              <w:t xml:space="preserve">Chronic Antibody Mediated Rejection (AbMR): This </w:t>
            </w:r>
            <w:r w:rsidRPr="004229B2">
              <w:rPr>
                <w:rFonts w:asciiTheme="minorHAnsi" w:hAnsiTheme="minorHAnsi"/>
              </w:rPr>
              <w:lastRenderedPageBreak/>
              <w:t>is a challenging and evolving area, despite the significant adverse impact of chronic AbMR, there is limited literature to guide clinical practice and no widely accepted standard of care. (Cooper 2014, Gupta 2014).</w:t>
            </w:r>
          </w:p>
        </w:tc>
        <w:tc>
          <w:tcPr>
            <w:tcW w:w="4394" w:type="dxa"/>
          </w:tcPr>
          <w:p w:rsidR="00AB120F" w:rsidRPr="00C92149" w:rsidRDefault="006E2E88" w:rsidP="00F62D61">
            <w:pPr>
              <w:spacing w:before="120" w:after="120"/>
              <w:rPr>
                <w:rFonts w:asciiTheme="minorHAnsi" w:hAnsiTheme="minorHAnsi"/>
                <w:szCs w:val="20"/>
              </w:rPr>
            </w:pPr>
            <w:r w:rsidRPr="00996B7F">
              <w:rPr>
                <w:rFonts w:asciiTheme="minorHAnsi" w:hAnsiTheme="minorHAnsi"/>
              </w:rPr>
              <w:lastRenderedPageBreak/>
              <w:t xml:space="preserve">Revised following </w:t>
            </w:r>
            <w:r w:rsidR="00F62D61">
              <w:rPr>
                <w:rFonts w:asciiTheme="minorHAnsi" w:hAnsiTheme="minorHAnsi"/>
              </w:rPr>
              <w:t xml:space="preserve">Specialist Working Group </w:t>
            </w:r>
            <w:r w:rsidR="00606785">
              <w:rPr>
                <w:rFonts w:asciiTheme="minorHAnsi" w:hAnsiTheme="minorHAnsi"/>
              </w:rPr>
              <w:t xml:space="preserve">consideration of more recent </w:t>
            </w:r>
            <w:r w:rsidRPr="00996B7F">
              <w:rPr>
                <w:rFonts w:asciiTheme="minorHAnsi" w:hAnsiTheme="minorHAnsi"/>
              </w:rPr>
              <w:t xml:space="preserve">literature. </w:t>
            </w:r>
          </w:p>
        </w:tc>
      </w:tr>
      <w:tr w:rsidR="00AB120F" w:rsidRPr="00447869" w:rsidTr="003A7E5D">
        <w:tc>
          <w:tcPr>
            <w:tcW w:w="1560" w:type="dxa"/>
            <w:shd w:val="clear" w:color="auto" w:fill="D9D9D9" w:themeFill="background1" w:themeFillShade="D9"/>
          </w:tcPr>
          <w:p w:rsidR="00AB120F" w:rsidRPr="00F91CA7" w:rsidRDefault="00AB120F" w:rsidP="00F91CA7">
            <w:pPr>
              <w:rPr>
                <w:b/>
              </w:rPr>
            </w:pPr>
            <w:r w:rsidRPr="00F91CA7">
              <w:rPr>
                <w:b/>
              </w:rPr>
              <w:lastRenderedPageBreak/>
              <w:t>Indications</w:t>
            </w:r>
          </w:p>
        </w:tc>
        <w:tc>
          <w:tcPr>
            <w:tcW w:w="3828" w:type="dxa"/>
          </w:tcPr>
          <w:p w:rsidR="003A7E5D" w:rsidRDefault="00AB120F" w:rsidP="003A7E5D">
            <w:pPr>
              <w:spacing w:before="120" w:after="120"/>
              <w:rPr>
                <w:rFonts w:asciiTheme="minorHAnsi" w:hAnsiTheme="minorHAnsi"/>
                <w:b/>
              </w:rPr>
            </w:pPr>
            <w:r>
              <w:t xml:space="preserve"> </w:t>
            </w:r>
            <w:r w:rsidR="003A7E5D" w:rsidRPr="00C077BF">
              <w:rPr>
                <w:rFonts w:asciiTheme="minorHAnsi" w:hAnsiTheme="minorHAnsi"/>
                <w:b/>
              </w:rPr>
              <w:t>Pre - transplant where donor specific antibody/ies prevent transplantation (HLA or anti-blood group)  in highly sensitised patients</w:t>
            </w:r>
          </w:p>
          <w:p w:rsidR="003A7E5D" w:rsidRPr="00C077BF" w:rsidRDefault="003A7E5D" w:rsidP="003A7E5D">
            <w:pPr>
              <w:spacing w:before="120" w:after="120"/>
              <w:rPr>
                <w:rFonts w:asciiTheme="minorHAnsi" w:hAnsiTheme="minorHAnsi"/>
                <w:b/>
              </w:rPr>
            </w:pPr>
            <w:r w:rsidRPr="00C077BF">
              <w:rPr>
                <w:rFonts w:asciiTheme="minorHAnsi" w:hAnsiTheme="minorHAnsi"/>
                <w:b/>
              </w:rPr>
              <w:t>Post-transplant - acute anti-body mediated rejection</w:t>
            </w:r>
          </w:p>
          <w:p w:rsidR="003A7E5D" w:rsidRDefault="003A7E5D" w:rsidP="003A7E5D">
            <w:pPr>
              <w:spacing w:before="120" w:after="120"/>
              <w:rPr>
                <w:rFonts w:asciiTheme="minorHAnsi" w:hAnsiTheme="minorHAnsi"/>
                <w:b/>
              </w:rPr>
            </w:pPr>
            <w:r w:rsidRPr="00C077BF">
              <w:rPr>
                <w:rFonts w:asciiTheme="minorHAnsi" w:hAnsiTheme="minorHAnsi"/>
                <w:b/>
              </w:rPr>
              <w:t>Treatment or prevention of graft rejection where conventional immunosuppressive therapies is contraindicated or pose a threat to the graft or patient</w:t>
            </w:r>
          </w:p>
          <w:p w:rsidR="00AB120F" w:rsidRPr="00447869" w:rsidRDefault="00AB120F">
            <w:pPr>
              <w:spacing w:before="120" w:after="120"/>
              <w:rPr>
                <w:rFonts w:asciiTheme="minorHAnsi" w:hAnsiTheme="minorHAnsi"/>
              </w:rPr>
            </w:pPr>
          </w:p>
        </w:tc>
        <w:tc>
          <w:tcPr>
            <w:tcW w:w="4819" w:type="dxa"/>
            <w:gridSpan w:val="3"/>
          </w:tcPr>
          <w:p w:rsidR="00462B57" w:rsidRPr="00462B57" w:rsidRDefault="00462B57" w:rsidP="00462B57">
            <w:pPr>
              <w:spacing w:before="120" w:after="120"/>
              <w:rPr>
                <w:rFonts w:asciiTheme="minorHAnsi" w:hAnsiTheme="minorHAnsi"/>
                <w:b/>
              </w:rPr>
            </w:pPr>
            <w:r w:rsidRPr="00462B57">
              <w:rPr>
                <w:rFonts w:asciiTheme="minorHAnsi" w:hAnsiTheme="minorHAnsi"/>
                <w:b/>
              </w:rPr>
              <w:t>Immediate pre-transplant where donor specific antibody/ies prevent transplantation (HLA or anti-blood group).</w:t>
            </w:r>
          </w:p>
          <w:p w:rsidR="00462B57" w:rsidRPr="00462B57" w:rsidRDefault="00462B57" w:rsidP="00462B57">
            <w:pPr>
              <w:spacing w:before="120" w:after="120"/>
              <w:rPr>
                <w:rFonts w:asciiTheme="minorHAnsi" w:hAnsiTheme="minorHAnsi"/>
                <w:b/>
              </w:rPr>
            </w:pPr>
            <w:r w:rsidRPr="00462B57">
              <w:rPr>
                <w:rFonts w:asciiTheme="minorHAnsi" w:hAnsiTheme="minorHAnsi"/>
                <w:b/>
              </w:rPr>
              <w:t>Post-transplant - acute antibody mediated rejection</w:t>
            </w:r>
          </w:p>
          <w:p w:rsidR="00462B57" w:rsidRPr="00462B57" w:rsidRDefault="00462B57" w:rsidP="00462B57">
            <w:pPr>
              <w:spacing w:before="120" w:after="120"/>
              <w:rPr>
                <w:rFonts w:asciiTheme="minorHAnsi" w:hAnsiTheme="minorHAnsi"/>
                <w:b/>
              </w:rPr>
            </w:pPr>
            <w:r w:rsidRPr="00462B57">
              <w:rPr>
                <w:rFonts w:asciiTheme="minorHAnsi" w:hAnsiTheme="minorHAnsi"/>
                <w:b/>
              </w:rPr>
              <w:t>Treatment or prevention of graft rejection where conventional immunosuppressive therapies is contraindicated or pose a threat to the graft or patient</w:t>
            </w:r>
          </w:p>
          <w:p w:rsidR="00462B57" w:rsidRPr="00462B57" w:rsidRDefault="006E2E88" w:rsidP="00462B57">
            <w:pPr>
              <w:spacing w:before="120" w:after="120"/>
              <w:rPr>
                <w:rFonts w:asciiTheme="minorHAnsi" w:hAnsiTheme="minorHAnsi"/>
                <w:b/>
              </w:rPr>
            </w:pPr>
            <w:r>
              <w:rPr>
                <w:rFonts w:asciiTheme="minorHAnsi" w:hAnsiTheme="minorHAnsi"/>
                <w:b/>
              </w:rPr>
              <w:t>De</w:t>
            </w:r>
            <w:r w:rsidR="00462B57" w:rsidRPr="00462B57">
              <w:rPr>
                <w:rFonts w:asciiTheme="minorHAnsi" w:hAnsiTheme="minorHAnsi"/>
                <w:b/>
              </w:rPr>
              <w:t xml:space="preserve">-sensitisation of patients to improve the likelihood of transplantation </w:t>
            </w:r>
          </w:p>
          <w:p w:rsidR="002E21C4" w:rsidRPr="00C077BF" w:rsidRDefault="00462B57" w:rsidP="00462B57">
            <w:pPr>
              <w:spacing w:before="120" w:after="120"/>
              <w:rPr>
                <w:rFonts w:asciiTheme="minorHAnsi" w:hAnsiTheme="minorHAnsi"/>
                <w:b/>
              </w:rPr>
            </w:pPr>
            <w:r>
              <w:rPr>
                <w:rFonts w:asciiTheme="minorHAnsi" w:hAnsiTheme="minorHAnsi"/>
                <w:b/>
              </w:rPr>
              <w:t xml:space="preserve">Treatment of ongoing </w:t>
            </w:r>
            <w:r w:rsidRPr="00462B57">
              <w:rPr>
                <w:rFonts w:asciiTheme="minorHAnsi" w:hAnsiTheme="minorHAnsi"/>
                <w:b/>
              </w:rPr>
              <w:t>active antibody mediated rejection</w:t>
            </w:r>
          </w:p>
        </w:tc>
        <w:tc>
          <w:tcPr>
            <w:tcW w:w="4394" w:type="dxa"/>
          </w:tcPr>
          <w:p w:rsidR="00606785" w:rsidRDefault="00AB120F" w:rsidP="006E2E88">
            <w:pPr>
              <w:spacing w:before="120" w:after="120"/>
              <w:rPr>
                <w:rFonts w:asciiTheme="minorHAnsi" w:hAnsiTheme="minorHAnsi"/>
              </w:rPr>
            </w:pPr>
            <w:r w:rsidRPr="00C92149">
              <w:rPr>
                <w:sz w:val="20"/>
                <w:szCs w:val="20"/>
              </w:rPr>
              <w:t xml:space="preserve"> </w:t>
            </w:r>
            <w:r w:rsidR="006E2E88" w:rsidRPr="00E721AB">
              <w:rPr>
                <w:rFonts w:asciiTheme="minorHAnsi" w:hAnsiTheme="minorHAnsi"/>
              </w:rPr>
              <w:t>The first indication has been amended slightly to distinguish longer desensitisation from short term Ig use immediately pre-transplant.</w:t>
            </w:r>
          </w:p>
          <w:p w:rsidR="00606785" w:rsidRDefault="00606785" w:rsidP="006E2E88">
            <w:pPr>
              <w:spacing w:before="120" w:after="120"/>
              <w:rPr>
                <w:rFonts w:asciiTheme="minorHAnsi" w:hAnsiTheme="minorHAnsi"/>
              </w:rPr>
            </w:pPr>
          </w:p>
          <w:p w:rsidR="006E2E88" w:rsidRDefault="006E2E88" w:rsidP="006E2E88">
            <w:pPr>
              <w:spacing w:before="120" w:after="120"/>
              <w:rPr>
                <w:rFonts w:asciiTheme="minorHAnsi" w:hAnsiTheme="minorHAnsi"/>
              </w:rPr>
            </w:pPr>
          </w:p>
          <w:p w:rsidR="00AB120F" w:rsidRPr="00C92149" w:rsidRDefault="006E2E88" w:rsidP="006E2E88">
            <w:pPr>
              <w:spacing w:before="120" w:after="120"/>
              <w:rPr>
                <w:sz w:val="20"/>
                <w:szCs w:val="20"/>
              </w:rPr>
            </w:pPr>
            <w:r w:rsidRPr="00E721AB">
              <w:rPr>
                <w:rFonts w:asciiTheme="minorHAnsi" w:hAnsiTheme="minorHAnsi"/>
              </w:rPr>
              <w:t>Two additional indications have been</w:t>
            </w:r>
            <w:r>
              <w:rPr>
                <w:rFonts w:asciiTheme="minorHAnsi" w:hAnsiTheme="minorHAnsi"/>
              </w:rPr>
              <w:t xml:space="preserve"> </w:t>
            </w:r>
            <w:r w:rsidRPr="00E721AB">
              <w:rPr>
                <w:rFonts w:asciiTheme="minorHAnsi" w:hAnsiTheme="minorHAnsi"/>
              </w:rPr>
              <w:t>developed to support eligible patient access to treatment</w:t>
            </w:r>
            <w:r w:rsidR="00B3798A">
              <w:rPr>
                <w:rFonts w:asciiTheme="minorHAnsi" w:hAnsiTheme="minorHAnsi"/>
              </w:rPr>
              <w:t xml:space="preserve"> for up to six months</w:t>
            </w:r>
            <w:r w:rsidRPr="00E721AB">
              <w:rPr>
                <w:rFonts w:asciiTheme="minorHAnsi" w:hAnsiTheme="minorHAnsi"/>
              </w:rPr>
              <w:t>.</w:t>
            </w:r>
          </w:p>
          <w:p w:rsidR="00AB120F" w:rsidRPr="00C92149" w:rsidRDefault="00AB120F" w:rsidP="00606785">
            <w:pPr>
              <w:spacing w:before="120" w:after="120"/>
              <w:rPr>
                <w:rFonts w:asciiTheme="minorHAnsi" w:hAnsiTheme="minorHAnsi"/>
                <w:sz w:val="20"/>
                <w:szCs w:val="20"/>
              </w:rPr>
            </w:pPr>
          </w:p>
        </w:tc>
      </w:tr>
      <w:tr w:rsidR="00BA76E3" w:rsidRPr="00447869" w:rsidTr="003A7E5D">
        <w:tc>
          <w:tcPr>
            <w:tcW w:w="1560" w:type="dxa"/>
            <w:shd w:val="clear" w:color="auto" w:fill="D9D9D9" w:themeFill="background1" w:themeFillShade="D9"/>
          </w:tcPr>
          <w:p w:rsidR="00BA76E3" w:rsidRPr="00447869" w:rsidRDefault="00BA76E3" w:rsidP="00282F66">
            <w:pPr>
              <w:spacing w:before="120" w:after="120"/>
              <w:rPr>
                <w:rFonts w:asciiTheme="minorHAnsi" w:hAnsiTheme="minorHAnsi"/>
                <w:b/>
              </w:rPr>
            </w:pPr>
            <w:r w:rsidRPr="00447869">
              <w:rPr>
                <w:rFonts w:asciiTheme="minorHAnsi" w:hAnsiTheme="minorHAnsi"/>
                <w:b/>
              </w:rPr>
              <w:t>Description and Diagnostic Criteria</w:t>
            </w:r>
          </w:p>
          <w:p w:rsidR="00BA76E3" w:rsidRPr="00447869" w:rsidRDefault="00BA76E3" w:rsidP="00282F66">
            <w:pPr>
              <w:spacing w:before="120" w:after="120"/>
              <w:rPr>
                <w:rFonts w:asciiTheme="minorHAnsi" w:hAnsiTheme="minorHAnsi"/>
              </w:rPr>
            </w:pPr>
          </w:p>
        </w:tc>
        <w:tc>
          <w:tcPr>
            <w:tcW w:w="3828" w:type="dxa"/>
          </w:tcPr>
          <w:p w:rsidR="003A7E5D" w:rsidRPr="00C077BF" w:rsidRDefault="003A7E5D" w:rsidP="003A7E5D">
            <w:pPr>
              <w:rPr>
                <w:rFonts w:asciiTheme="minorHAnsi" w:hAnsiTheme="minorHAnsi"/>
              </w:rPr>
            </w:pPr>
            <w:r w:rsidRPr="00C077BF">
              <w:rPr>
                <w:rFonts w:asciiTheme="minorHAnsi" w:hAnsiTheme="minorHAnsi"/>
              </w:rPr>
              <w:t>Transplant rejection occurs when a recipient’s immune system attacks a transplanted organ or tissue. Despite the use of immunosuppressants, one or more episodes of rejection can occur after transplantation. Both cellular and humoral (antibody-mediated) effector mechanisms can play a role.</w:t>
            </w:r>
          </w:p>
          <w:p w:rsidR="003A7E5D" w:rsidRPr="00C077BF" w:rsidRDefault="003A7E5D" w:rsidP="003A7E5D">
            <w:pPr>
              <w:rPr>
                <w:rFonts w:asciiTheme="minorHAnsi" w:hAnsiTheme="minorHAnsi"/>
              </w:rPr>
            </w:pPr>
            <w:r w:rsidRPr="00C077BF">
              <w:rPr>
                <w:rFonts w:asciiTheme="minorHAnsi" w:hAnsiTheme="minorHAnsi"/>
              </w:rPr>
              <w:t xml:space="preserve">The presence and pattern of rejection need to be established by biopsy. </w:t>
            </w:r>
            <w:r w:rsidRPr="00C077BF">
              <w:rPr>
                <w:rFonts w:asciiTheme="minorHAnsi" w:hAnsiTheme="minorHAnsi"/>
              </w:rPr>
              <w:lastRenderedPageBreak/>
              <w:t>Laboratory tests to assess the presence and strength of antibodies to the donor antigens can provide additional useful information. Clinical assessment, blood tests, ultrasound and nuclear imaging are used primarily to exclude other causes of organ dysfunction.</w:t>
            </w:r>
          </w:p>
          <w:p w:rsidR="003A7E5D" w:rsidRPr="00C077BF" w:rsidRDefault="003A7E5D" w:rsidP="003A7E5D">
            <w:pPr>
              <w:rPr>
                <w:rFonts w:asciiTheme="minorHAnsi" w:hAnsiTheme="minorHAnsi"/>
              </w:rPr>
            </w:pPr>
            <w:r w:rsidRPr="00C077BF">
              <w:rPr>
                <w:rFonts w:asciiTheme="minorHAnsi" w:hAnsiTheme="minorHAnsi"/>
              </w:rPr>
              <w:t xml:space="preserve">Acute cellular rejection occurs in 15–30% of renal transplants and is responsive to steroids in more than 90% of cases. When rejection is steroid resistant, </w:t>
            </w:r>
            <w:r w:rsidR="00F6525C">
              <w:rPr>
                <w:rFonts w:asciiTheme="minorHAnsi" w:hAnsiTheme="minorHAnsi"/>
              </w:rPr>
              <w:t>IVIg</w:t>
            </w:r>
            <w:r w:rsidRPr="00C077BF">
              <w:rPr>
                <w:rFonts w:asciiTheme="minorHAnsi" w:hAnsiTheme="minorHAnsi"/>
              </w:rPr>
              <w:t xml:space="preserve"> is a safer therapy than anti-T cell antibody therapy with equal efficacy.</w:t>
            </w:r>
          </w:p>
          <w:p w:rsidR="00BA76E3" w:rsidRPr="00447869" w:rsidRDefault="003A7E5D" w:rsidP="003A7E5D">
            <w:pPr>
              <w:spacing w:after="225" w:line="293" w:lineRule="atLeast"/>
              <w:rPr>
                <w:rFonts w:asciiTheme="minorHAnsi" w:hAnsiTheme="minorHAnsi"/>
              </w:rPr>
            </w:pPr>
            <w:r w:rsidRPr="00C077BF">
              <w:rPr>
                <w:rFonts w:asciiTheme="minorHAnsi" w:hAnsiTheme="minorHAnsi"/>
              </w:rPr>
              <w:t xml:space="preserve">Antibody mediated rejection (AbMR) occurs in 5–10% of renal transplants that have been performed with a compatible cross match.  Before the use of </w:t>
            </w:r>
            <w:r w:rsidR="00F6525C">
              <w:rPr>
                <w:rFonts w:asciiTheme="minorHAnsi" w:hAnsiTheme="minorHAnsi"/>
              </w:rPr>
              <w:t>IVIg</w:t>
            </w:r>
            <w:r w:rsidRPr="00C077BF">
              <w:rPr>
                <w:rFonts w:asciiTheme="minorHAnsi" w:hAnsiTheme="minorHAnsi"/>
              </w:rPr>
              <w:t xml:space="preserve"> and plasma exchange, AbMR failed to respond adequately to therapy in most cases. Additionally, complications from therapy were severe and sometimes fatal. AbMR responds to </w:t>
            </w:r>
            <w:r w:rsidR="00F6525C">
              <w:rPr>
                <w:rFonts w:asciiTheme="minorHAnsi" w:hAnsiTheme="minorHAnsi"/>
              </w:rPr>
              <w:t>IVIg</w:t>
            </w:r>
            <w:r w:rsidRPr="00C077BF">
              <w:rPr>
                <w:rFonts w:asciiTheme="minorHAnsi" w:hAnsiTheme="minorHAnsi"/>
              </w:rPr>
              <w:t xml:space="preserve"> with or without plasma exchange in more than 85% of patients.  Diagnostic criteria for AbMR must be consistent with Banff Criteria (Banff 2013 Meeting Report American </w:t>
            </w:r>
            <w:r w:rsidR="006E2E88">
              <w:rPr>
                <w:rFonts w:asciiTheme="minorHAnsi" w:hAnsiTheme="minorHAnsi"/>
              </w:rPr>
              <w:t>Journal of Transplantation 2014</w:t>
            </w:r>
            <w:r w:rsidRPr="00C077BF">
              <w:rPr>
                <w:rFonts w:asciiTheme="minorHAnsi" w:hAnsiTheme="minorHAnsi"/>
              </w:rPr>
              <w:t>:14;</w:t>
            </w:r>
            <w:r w:rsidR="001244A7">
              <w:rPr>
                <w:rFonts w:asciiTheme="minorHAnsi" w:hAnsiTheme="minorHAnsi"/>
              </w:rPr>
              <w:t xml:space="preserve"> </w:t>
            </w:r>
            <w:r w:rsidRPr="00C077BF">
              <w:rPr>
                <w:rFonts w:asciiTheme="minorHAnsi" w:hAnsiTheme="minorHAnsi"/>
              </w:rPr>
              <w:t xml:space="preserve">272-283 </w:t>
            </w:r>
            <w:r w:rsidRPr="00C077BF">
              <w:rPr>
                <w:rFonts w:asciiTheme="minorHAnsi" w:hAnsiTheme="minorHAnsi"/>
              </w:rPr>
              <w:lastRenderedPageBreak/>
              <w:t>page 277).</w:t>
            </w:r>
          </w:p>
        </w:tc>
        <w:tc>
          <w:tcPr>
            <w:tcW w:w="4819" w:type="dxa"/>
            <w:gridSpan w:val="3"/>
          </w:tcPr>
          <w:p w:rsidR="004229B2" w:rsidRPr="004229B2" w:rsidRDefault="00282F66" w:rsidP="004229B2">
            <w:pPr>
              <w:rPr>
                <w:rFonts w:asciiTheme="minorHAnsi" w:eastAsia="Times New Roman" w:hAnsiTheme="minorHAnsi" w:cs="Times New Roman"/>
                <w:color w:val="000000"/>
                <w:lang w:eastAsia="en-AU"/>
              </w:rPr>
            </w:pPr>
            <w:r w:rsidRPr="00282F66">
              <w:rPr>
                <w:rFonts w:asciiTheme="minorHAnsi" w:eastAsia="Times New Roman" w:hAnsiTheme="minorHAnsi" w:cs="Times New Roman"/>
                <w:color w:val="000000"/>
                <w:lang w:eastAsia="en-AU"/>
              </w:rPr>
              <w:lastRenderedPageBreak/>
              <w:t xml:space="preserve"> </w:t>
            </w:r>
            <w:r w:rsidR="004229B2" w:rsidRPr="004229B2">
              <w:rPr>
                <w:rFonts w:asciiTheme="minorHAnsi" w:eastAsia="Times New Roman" w:hAnsiTheme="minorHAnsi" w:cs="Times New Roman"/>
                <w:color w:val="000000"/>
                <w:lang w:eastAsia="en-AU"/>
              </w:rPr>
              <w:t xml:space="preserve">Transplant rejection occurs when a recipient’s immune system attacks a transplanted organ or tissue. Despite the use of immunosuppression, rejection occurs in a significant number of recipients and </w:t>
            </w:r>
            <w:r w:rsidR="00C71450">
              <w:rPr>
                <w:rFonts w:asciiTheme="minorHAnsi" w:eastAsia="Times New Roman" w:hAnsiTheme="minorHAnsi" w:cs="Times New Roman"/>
                <w:color w:val="000000"/>
                <w:lang w:eastAsia="en-AU"/>
              </w:rPr>
              <w:t>may</w:t>
            </w:r>
            <w:r w:rsidR="00C71450" w:rsidRPr="004229B2">
              <w:rPr>
                <w:rFonts w:asciiTheme="minorHAnsi" w:eastAsia="Times New Roman" w:hAnsiTheme="minorHAnsi" w:cs="Times New Roman"/>
                <w:color w:val="000000"/>
                <w:lang w:eastAsia="en-AU"/>
              </w:rPr>
              <w:t xml:space="preserve"> </w:t>
            </w:r>
            <w:r w:rsidR="004229B2" w:rsidRPr="004229B2">
              <w:rPr>
                <w:rFonts w:asciiTheme="minorHAnsi" w:eastAsia="Times New Roman" w:hAnsiTheme="minorHAnsi" w:cs="Times New Roman"/>
                <w:color w:val="000000"/>
                <w:lang w:eastAsia="en-AU"/>
              </w:rPr>
              <w:t xml:space="preserve">impact on long term graft survival. Both cellular and humoral (antibody-mediated) effector mechanisms </w:t>
            </w:r>
            <w:r w:rsidR="00C71450">
              <w:rPr>
                <w:rFonts w:asciiTheme="minorHAnsi" w:eastAsia="Times New Roman" w:hAnsiTheme="minorHAnsi" w:cs="Times New Roman"/>
                <w:color w:val="000000"/>
                <w:lang w:eastAsia="en-AU"/>
              </w:rPr>
              <w:t>may</w:t>
            </w:r>
            <w:r w:rsidR="00C71450" w:rsidRPr="004229B2">
              <w:rPr>
                <w:rFonts w:asciiTheme="minorHAnsi" w:eastAsia="Times New Roman" w:hAnsiTheme="minorHAnsi" w:cs="Times New Roman"/>
                <w:color w:val="000000"/>
                <w:lang w:eastAsia="en-AU"/>
              </w:rPr>
              <w:t xml:space="preserve"> </w:t>
            </w:r>
            <w:r w:rsidR="004229B2" w:rsidRPr="004229B2">
              <w:rPr>
                <w:rFonts w:asciiTheme="minorHAnsi" w:eastAsia="Times New Roman" w:hAnsiTheme="minorHAnsi" w:cs="Times New Roman"/>
                <w:color w:val="000000"/>
                <w:lang w:eastAsia="en-AU"/>
              </w:rPr>
              <w:t>play a role.</w:t>
            </w:r>
          </w:p>
          <w:p w:rsidR="004229B2" w:rsidRPr="004229B2" w:rsidRDefault="004229B2" w:rsidP="004229B2">
            <w:pPr>
              <w:rPr>
                <w:rFonts w:asciiTheme="minorHAnsi" w:eastAsia="Times New Roman" w:hAnsiTheme="minorHAnsi" w:cs="Times New Roman"/>
                <w:color w:val="000000"/>
                <w:lang w:eastAsia="en-AU"/>
              </w:rPr>
            </w:pPr>
            <w:r w:rsidRPr="004229B2">
              <w:rPr>
                <w:rFonts w:asciiTheme="minorHAnsi" w:eastAsia="Times New Roman" w:hAnsiTheme="minorHAnsi" w:cs="Times New Roman"/>
                <w:color w:val="000000"/>
                <w:lang w:eastAsia="en-AU"/>
              </w:rPr>
              <w:t xml:space="preserve">Rejection is diagnosed histologically on tissue biopsy, with contributory information from clinical assessment, radiological and laboratory tests </w:t>
            </w:r>
            <w:r w:rsidRPr="004229B2">
              <w:rPr>
                <w:rFonts w:asciiTheme="minorHAnsi" w:eastAsia="Times New Roman" w:hAnsiTheme="minorHAnsi" w:cs="Times New Roman"/>
                <w:color w:val="000000"/>
                <w:lang w:eastAsia="en-AU"/>
              </w:rPr>
              <w:lastRenderedPageBreak/>
              <w:t>including determination of the presence and strength of antibodies to the donor antigens.</w:t>
            </w:r>
          </w:p>
          <w:p w:rsidR="004229B2" w:rsidRPr="004229B2" w:rsidRDefault="004229B2" w:rsidP="004229B2">
            <w:pPr>
              <w:rPr>
                <w:rFonts w:asciiTheme="minorHAnsi" w:eastAsia="Times New Roman" w:hAnsiTheme="minorHAnsi" w:cs="Times New Roman"/>
                <w:color w:val="000000"/>
                <w:lang w:eastAsia="en-AU"/>
              </w:rPr>
            </w:pPr>
            <w:r w:rsidRPr="004229B2">
              <w:rPr>
                <w:rFonts w:asciiTheme="minorHAnsi" w:eastAsia="Times New Roman" w:hAnsiTheme="minorHAnsi" w:cs="Times New Roman"/>
                <w:color w:val="000000"/>
                <w:lang w:eastAsia="en-AU"/>
              </w:rPr>
              <w:t>According to the current Banff criteria (Haas et al</w:t>
            </w:r>
            <w:r>
              <w:rPr>
                <w:rFonts w:asciiTheme="minorHAnsi" w:eastAsia="Times New Roman" w:hAnsiTheme="minorHAnsi" w:cs="Times New Roman"/>
                <w:color w:val="000000"/>
                <w:lang w:eastAsia="en-AU"/>
              </w:rPr>
              <w:t>,</w:t>
            </w:r>
            <w:r w:rsidRPr="004229B2">
              <w:rPr>
                <w:rFonts w:asciiTheme="minorHAnsi" w:eastAsia="Times New Roman" w:hAnsiTheme="minorHAnsi" w:cs="Times New Roman"/>
                <w:color w:val="000000"/>
                <w:lang w:eastAsia="en-AU"/>
              </w:rPr>
              <w:t xml:space="preserve"> 2014), kidney transplant rejection may be classified as acute or chronic, cellular or antibody mediated rejection, or mixed.</w:t>
            </w:r>
          </w:p>
          <w:p w:rsidR="004229B2" w:rsidRPr="004229B2" w:rsidRDefault="004229B2" w:rsidP="004229B2">
            <w:pPr>
              <w:rPr>
                <w:rFonts w:asciiTheme="minorHAnsi" w:eastAsia="Times New Roman" w:hAnsiTheme="minorHAnsi" w:cs="Times New Roman"/>
                <w:color w:val="000000"/>
                <w:lang w:eastAsia="en-AU"/>
              </w:rPr>
            </w:pPr>
          </w:p>
          <w:p w:rsidR="004229B2" w:rsidRPr="004229B2" w:rsidRDefault="004229B2" w:rsidP="004229B2">
            <w:pPr>
              <w:rPr>
                <w:rFonts w:asciiTheme="minorHAnsi" w:eastAsia="Times New Roman" w:hAnsiTheme="minorHAnsi" w:cs="Times New Roman"/>
                <w:color w:val="000000"/>
                <w:lang w:eastAsia="en-AU"/>
              </w:rPr>
            </w:pPr>
            <w:r w:rsidRPr="004229B2">
              <w:rPr>
                <w:rFonts w:asciiTheme="minorHAnsi" w:eastAsia="Times New Roman" w:hAnsiTheme="minorHAnsi" w:cs="Times New Roman"/>
                <w:color w:val="000000"/>
                <w:lang w:eastAsia="en-AU"/>
              </w:rPr>
              <w:t xml:space="preserve">Acute cellular rejection occurs in 5–20% of kidney transplants and is </w:t>
            </w:r>
            <w:r w:rsidR="00C71450">
              <w:rPr>
                <w:rFonts w:asciiTheme="minorHAnsi" w:eastAsia="Times New Roman" w:hAnsiTheme="minorHAnsi" w:cs="Times New Roman"/>
                <w:color w:val="000000"/>
                <w:lang w:eastAsia="en-AU"/>
              </w:rPr>
              <w:t xml:space="preserve">generally </w:t>
            </w:r>
            <w:r w:rsidRPr="004229B2">
              <w:rPr>
                <w:rFonts w:asciiTheme="minorHAnsi" w:eastAsia="Times New Roman" w:hAnsiTheme="minorHAnsi" w:cs="Times New Roman"/>
                <w:color w:val="000000"/>
                <w:lang w:eastAsia="en-AU"/>
              </w:rPr>
              <w:t xml:space="preserve">responsive to high doses of steroid treatment. </w:t>
            </w:r>
          </w:p>
          <w:p w:rsidR="004229B2" w:rsidRPr="004229B2" w:rsidRDefault="004229B2" w:rsidP="004229B2">
            <w:pPr>
              <w:rPr>
                <w:rFonts w:asciiTheme="minorHAnsi" w:eastAsia="Times New Roman" w:hAnsiTheme="minorHAnsi" w:cs="Times New Roman"/>
                <w:color w:val="000000"/>
                <w:lang w:eastAsia="en-AU"/>
              </w:rPr>
            </w:pPr>
          </w:p>
          <w:p w:rsidR="004229B2" w:rsidRPr="004229B2" w:rsidRDefault="004229B2" w:rsidP="004229B2">
            <w:pPr>
              <w:rPr>
                <w:rFonts w:asciiTheme="minorHAnsi" w:eastAsia="Times New Roman" w:hAnsiTheme="minorHAnsi" w:cs="Times New Roman"/>
                <w:color w:val="000000"/>
                <w:lang w:eastAsia="en-AU"/>
              </w:rPr>
            </w:pPr>
            <w:r w:rsidRPr="004229B2">
              <w:rPr>
                <w:rFonts w:asciiTheme="minorHAnsi" w:eastAsia="Times New Roman" w:hAnsiTheme="minorHAnsi" w:cs="Times New Roman"/>
                <w:color w:val="000000"/>
                <w:lang w:eastAsia="en-AU"/>
              </w:rPr>
              <w:t>Antibody mediated rejection (AbMR) occurs in 5–10% of renal transplants that have been performed with a compatible cross match but may be significantly higher in more sensitised recipients.   Diagnostic criteria for AbMR must be consistent with Banff Criteria (Haas</w:t>
            </w:r>
            <w:r>
              <w:rPr>
                <w:rFonts w:asciiTheme="minorHAnsi" w:eastAsia="Times New Roman" w:hAnsiTheme="minorHAnsi" w:cs="Times New Roman"/>
                <w:color w:val="000000"/>
                <w:lang w:eastAsia="en-AU"/>
              </w:rPr>
              <w:t>,</w:t>
            </w:r>
            <w:r w:rsidRPr="004229B2">
              <w:rPr>
                <w:rFonts w:asciiTheme="minorHAnsi" w:eastAsia="Times New Roman" w:hAnsiTheme="minorHAnsi" w:cs="Times New Roman"/>
                <w:color w:val="000000"/>
                <w:lang w:eastAsia="en-AU"/>
              </w:rPr>
              <w:t xml:space="preserve"> 2014).  </w:t>
            </w:r>
          </w:p>
          <w:p w:rsidR="004229B2" w:rsidRPr="004229B2" w:rsidRDefault="004229B2" w:rsidP="004229B2">
            <w:pPr>
              <w:rPr>
                <w:rFonts w:asciiTheme="minorHAnsi" w:eastAsia="Times New Roman" w:hAnsiTheme="minorHAnsi" w:cs="Times New Roman"/>
                <w:color w:val="000000"/>
                <w:lang w:eastAsia="en-AU"/>
              </w:rPr>
            </w:pPr>
          </w:p>
          <w:p w:rsidR="00BA76E3" w:rsidRPr="00447869" w:rsidRDefault="004229B2" w:rsidP="00C71450">
            <w:pPr>
              <w:rPr>
                <w:rFonts w:asciiTheme="minorHAnsi" w:hAnsiTheme="minorHAnsi"/>
              </w:rPr>
            </w:pPr>
            <w:r w:rsidRPr="004229B2">
              <w:rPr>
                <w:rFonts w:asciiTheme="minorHAnsi" w:eastAsia="Times New Roman" w:hAnsiTheme="minorHAnsi" w:cs="Times New Roman"/>
                <w:color w:val="000000"/>
                <w:lang w:eastAsia="en-AU"/>
              </w:rPr>
              <w:t xml:space="preserve">Before the use of IVIg and plasma exchange, AbMR </w:t>
            </w:r>
            <w:r w:rsidR="00C71450">
              <w:rPr>
                <w:rFonts w:asciiTheme="minorHAnsi" w:eastAsia="Times New Roman" w:hAnsiTheme="minorHAnsi" w:cs="Times New Roman"/>
                <w:color w:val="000000"/>
                <w:lang w:eastAsia="en-AU"/>
              </w:rPr>
              <w:t xml:space="preserve">often </w:t>
            </w:r>
            <w:r w:rsidRPr="004229B2">
              <w:rPr>
                <w:rFonts w:asciiTheme="minorHAnsi" w:eastAsia="Times New Roman" w:hAnsiTheme="minorHAnsi" w:cs="Times New Roman"/>
                <w:color w:val="000000"/>
                <w:lang w:eastAsia="en-AU"/>
              </w:rPr>
              <w:t>failed to respond adequately to therapy</w:t>
            </w:r>
            <w:r w:rsidR="00C71450">
              <w:rPr>
                <w:rFonts w:asciiTheme="minorHAnsi" w:eastAsia="Times New Roman" w:hAnsiTheme="minorHAnsi" w:cs="Times New Roman"/>
                <w:color w:val="000000"/>
                <w:lang w:eastAsia="en-AU"/>
              </w:rPr>
              <w:t xml:space="preserve"> resulting</w:t>
            </w:r>
            <w:r w:rsidRPr="004229B2">
              <w:rPr>
                <w:rFonts w:asciiTheme="minorHAnsi" w:eastAsia="Times New Roman" w:hAnsiTheme="minorHAnsi" w:cs="Times New Roman"/>
                <w:color w:val="000000"/>
                <w:lang w:eastAsia="en-AU"/>
              </w:rPr>
              <w:t xml:space="preserve"> in progressive graft dysfunction and loss. Additionally, complications from other therapies were severe and sometimes fatal. While the use of IVIg and plasma exchange forms the basis of treatment for acute AbMR, management of chronic AbMR is more challenging and there are currently very few controlled trials to guide clinicians on the optimal treatment of chronic AbMR.</w:t>
            </w:r>
          </w:p>
        </w:tc>
        <w:tc>
          <w:tcPr>
            <w:tcW w:w="4394" w:type="dxa"/>
          </w:tcPr>
          <w:p w:rsidR="00BA76E3" w:rsidRPr="00C92149" w:rsidRDefault="006E2E88" w:rsidP="00606785">
            <w:pPr>
              <w:spacing w:before="120" w:after="120"/>
              <w:rPr>
                <w:rFonts w:asciiTheme="minorHAnsi" w:hAnsiTheme="minorHAnsi"/>
                <w:sz w:val="20"/>
                <w:szCs w:val="20"/>
              </w:rPr>
            </w:pPr>
            <w:r w:rsidRPr="009D3342">
              <w:rPr>
                <w:rFonts w:asciiTheme="minorHAnsi" w:hAnsiTheme="minorHAnsi"/>
              </w:rPr>
              <w:lastRenderedPageBreak/>
              <w:t>This sect</w:t>
            </w:r>
            <w:r w:rsidR="004229B2" w:rsidRPr="009D3342">
              <w:rPr>
                <w:rFonts w:asciiTheme="minorHAnsi" w:hAnsiTheme="minorHAnsi"/>
              </w:rPr>
              <w:t xml:space="preserve">ion has been updated following </w:t>
            </w:r>
            <w:r w:rsidRPr="009D3342">
              <w:rPr>
                <w:rFonts w:asciiTheme="minorHAnsi" w:hAnsiTheme="minorHAnsi"/>
              </w:rPr>
              <w:t xml:space="preserve">further </w:t>
            </w:r>
            <w:r w:rsidR="004520F5">
              <w:rPr>
                <w:rFonts w:asciiTheme="minorHAnsi" w:hAnsiTheme="minorHAnsi"/>
              </w:rPr>
              <w:t xml:space="preserve">consideration of more recent </w:t>
            </w:r>
            <w:r w:rsidRPr="009D3342">
              <w:rPr>
                <w:rFonts w:asciiTheme="minorHAnsi" w:hAnsiTheme="minorHAnsi"/>
              </w:rPr>
              <w:t>literature.</w:t>
            </w:r>
          </w:p>
        </w:tc>
      </w:tr>
      <w:tr w:rsidR="00447869" w:rsidRPr="00853117" w:rsidTr="006159EE">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Diagnosis is required</w:t>
            </w:r>
          </w:p>
        </w:tc>
        <w:tc>
          <w:tcPr>
            <w:tcW w:w="3828" w:type="dxa"/>
            <w:vMerge w:val="restart"/>
          </w:tcPr>
          <w:p w:rsidR="00447869" w:rsidRPr="00447869" w:rsidRDefault="00282F66" w:rsidP="00021243">
            <w:pPr>
              <w:spacing w:before="120" w:after="120"/>
              <w:rPr>
                <w:rFonts w:asciiTheme="minorHAnsi" w:hAnsiTheme="minorHAnsi"/>
                <w:b/>
              </w:rPr>
            </w:pPr>
            <w:r>
              <w:t xml:space="preserve"> </w:t>
            </w:r>
          </w:p>
        </w:tc>
        <w:tc>
          <w:tcPr>
            <w:tcW w:w="1606" w:type="dxa"/>
          </w:tcPr>
          <w:p w:rsidR="00447869" w:rsidRPr="00447869" w:rsidRDefault="002E21C4" w:rsidP="00021243">
            <w:pPr>
              <w:spacing w:before="120" w:after="120"/>
              <w:rPr>
                <w:rFonts w:asciiTheme="minorHAnsi" w:hAnsiTheme="minorHAnsi"/>
              </w:rPr>
            </w:pPr>
            <w:r>
              <w:rPr>
                <w:rFonts w:asciiTheme="minorHAnsi" w:hAnsiTheme="minorHAnsi"/>
              </w:rPr>
              <w:t>No</w:t>
            </w:r>
          </w:p>
        </w:tc>
        <w:tc>
          <w:tcPr>
            <w:tcW w:w="1606"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607" w:type="dxa"/>
          </w:tcPr>
          <w:p w:rsidR="00447869" w:rsidRPr="00447869" w:rsidRDefault="006E2E88" w:rsidP="00021243">
            <w:pPr>
              <w:spacing w:before="120" w:after="120"/>
              <w:rPr>
                <w:rFonts w:asciiTheme="minorHAnsi" w:hAnsiTheme="minorHAnsi"/>
              </w:rPr>
            </w:pPr>
            <w:r>
              <w:rPr>
                <w:rFonts w:asciiTheme="minorHAnsi" w:hAnsiTheme="minorHAnsi"/>
              </w:rPr>
              <w:t>N/A</w:t>
            </w:r>
          </w:p>
        </w:tc>
        <w:tc>
          <w:tcPr>
            <w:tcW w:w="4394" w:type="dxa"/>
            <w:vMerge w:val="restart"/>
          </w:tcPr>
          <w:p w:rsidR="00447869" w:rsidRPr="00C92149" w:rsidRDefault="006E2E88" w:rsidP="008515FF">
            <w:pPr>
              <w:spacing w:before="120" w:after="120"/>
              <w:ind w:right="90"/>
              <w:rPr>
                <w:rFonts w:asciiTheme="minorHAnsi" w:hAnsiTheme="minorHAnsi"/>
                <w:szCs w:val="20"/>
              </w:rPr>
            </w:pPr>
            <w:r>
              <w:rPr>
                <w:rFonts w:asciiTheme="minorHAnsi" w:hAnsiTheme="minorHAnsi"/>
                <w:szCs w:val="20"/>
              </w:rPr>
              <w:t xml:space="preserve">Unchanged </w:t>
            </w:r>
          </w:p>
        </w:tc>
      </w:tr>
      <w:tr w:rsidR="00447869" w:rsidRPr="00853117" w:rsidTr="006159EE">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t>Diagnosis must be verified</w:t>
            </w:r>
          </w:p>
        </w:tc>
        <w:tc>
          <w:tcPr>
            <w:tcW w:w="3828" w:type="dxa"/>
            <w:vMerge/>
          </w:tcPr>
          <w:p w:rsidR="00447869" w:rsidRPr="00447869" w:rsidRDefault="00447869" w:rsidP="00021243">
            <w:pPr>
              <w:spacing w:before="120" w:after="120"/>
              <w:rPr>
                <w:rFonts w:asciiTheme="minorHAnsi" w:hAnsiTheme="minorHAnsi"/>
              </w:rPr>
            </w:pPr>
          </w:p>
        </w:tc>
        <w:tc>
          <w:tcPr>
            <w:tcW w:w="1606" w:type="dxa"/>
          </w:tcPr>
          <w:p w:rsidR="00447869" w:rsidRPr="00447869" w:rsidRDefault="00447869" w:rsidP="00021243">
            <w:pPr>
              <w:spacing w:before="120" w:after="120"/>
              <w:rPr>
                <w:rFonts w:asciiTheme="minorHAnsi" w:hAnsiTheme="minorHAnsi"/>
              </w:rPr>
            </w:pPr>
            <w:r w:rsidRPr="00447869">
              <w:rPr>
                <w:rFonts w:asciiTheme="minorHAnsi" w:hAnsiTheme="minorHAnsi"/>
              </w:rPr>
              <w:t>No</w:t>
            </w:r>
          </w:p>
        </w:tc>
        <w:tc>
          <w:tcPr>
            <w:tcW w:w="1606"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607" w:type="dxa"/>
          </w:tcPr>
          <w:p w:rsidR="00447869" w:rsidRPr="00447869" w:rsidRDefault="006E2E88" w:rsidP="00021243">
            <w:pPr>
              <w:spacing w:before="120" w:after="120"/>
              <w:rPr>
                <w:rFonts w:asciiTheme="minorHAnsi" w:hAnsiTheme="minorHAnsi"/>
              </w:rPr>
            </w:pPr>
            <w:r>
              <w:rPr>
                <w:rFonts w:asciiTheme="minorHAnsi" w:hAnsiTheme="minorHAnsi"/>
              </w:rPr>
              <w:t>N/A</w:t>
            </w:r>
          </w:p>
        </w:tc>
        <w:tc>
          <w:tcPr>
            <w:tcW w:w="4394" w:type="dxa"/>
            <w:vMerge/>
          </w:tcPr>
          <w:p w:rsidR="00447869" w:rsidRPr="00C92149" w:rsidRDefault="00447869" w:rsidP="00021243">
            <w:pPr>
              <w:spacing w:before="120" w:after="120"/>
              <w:rPr>
                <w:rFonts w:asciiTheme="minorHAnsi" w:hAnsiTheme="minorHAnsi"/>
                <w:szCs w:val="20"/>
              </w:rPr>
            </w:pPr>
          </w:p>
        </w:tc>
      </w:tr>
      <w:tr w:rsidR="00447869" w:rsidRPr="00853117" w:rsidTr="003A7E5D">
        <w:tc>
          <w:tcPr>
            <w:tcW w:w="1560" w:type="dxa"/>
            <w:shd w:val="clear" w:color="auto" w:fill="D9D9D9" w:themeFill="background1" w:themeFillShade="D9"/>
          </w:tcPr>
          <w:p w:rsidR="00447869" w:rsidRPr="006E2E88" w:rsidRDefault="00447869" w:rsidP="00021243">
            <w:pPr>
              <w:spacing w:before="120" w:after="120"/>
              <w:rPr>
                <w:rFonts w:asciiTheme="minorHAnsi" w:hAnsiTheme="minorHAnsi"/>
                <w:b/>
              </w:rPr>
            </w:pPr>
            <w:r w:rsidRPr="00447869">
              <w:rPr>
                <w:rFonts w:asciiTheme="minorHAnsi" w:hAnsiTheme="minorHAnsi"/>
                <w:b/>
              </w:rPr>
              <w:t>Exclusion Criteria</w:t>
            </w:r>
          </w:p>
        </w:tc>
        <w:tc>
          <w:tcPr>
            <w:tcW w:w="3828" w:type="dxa"/>
          </w:tcPr>
          <w:p w:rsidR="00447869" w:rsidRPr="00447869" w:rsidRDefault="00282F66" w:rsidP="00021243">
            <w:pPr>
              <w:spacing w:before="120" w:after="120"/>
              <w:rPr>
                <w:rFonts w:asciiTheme="minorHAnsi" w:hAnsiTheme="minorHAnsi"/>
              </w:rPr>
            </w:pPr>
            <w:r>
              <w:rPr>
                <w:rFonts w:asciiTheme="minorHAnsi" w:hAnsiTheme="minorHAnsi"/>
              </w:rPr>
              <w:t xml:space="preserve"> </w:t>
            </w:r>
          </w:p>
        </w:tc>
        <w:tc>
          <w:tcPr>
            <w:tcW w:w="4819" w:type="dxa"/>
            <w:gridSpan w:val="3"/>
          </w:tcPr>
          <w:p w:rsidR="00447869" w:rsidRPr="00447869" w:rsidRDefault="00447869" w:rsidP="00021243">
            <w:pPr>
              <w:spacing w:before="120" w:after="120"/>
              <w:rPr>
                <w:rFonts w:asciiTheme="minorHAnsi" w:hAnsiTheme="minorHAnsi"/>
                <w:strike/>
              </w:rPr>
            </w:pPr>
          </w:p>
        </w:tc>
        <w:tc>
          <w:tcPr>
            <w:tcW w:w="4394" w:type="dxa"/>
          </w:tcPr>
          <w:p w:rsidR="00447869" w:rsidRPr="00C92149" w:rsidRDefault="00447869" w:rsidP="003A1F9D">
            <w:pPr>
              <w:spacing w:before="120" w:after="120"/>
              <w:rPr>
                <w:rFonts w:asciiTheme="minorHAnsi" w:hAnsiTheme="minorHAnsi"/>
                <w:szCs w:val="20"/>
              </w:rPr>
            </w:pPr>
          </w:p>
        </w:tc>
      </w:tr>
      <w:tr w:rsidR="00021243" w:rsidRPr="00853117" w:rsidTr="003A7E5D">
        <w:tc>
          <w:tcPr>
            <w:tcW w:w="1560" w:type="dxa"/>
            <w:shd w:val="clear" w:color="auto" w:fill="D9D9D9" w:themeFill="background1" w:themeFillShade="D9"/>
          </w:tcPr>
          <w:p w:rsidR="00021243" w:rsidRPr="00F91CA7" w:rsidRDefault="00021243" w:rsidP="00F91CA7">
            <w:pPr>
              <w:spacing w:before="120" w:after="120"/>
              <w:rPr>
                <w:rFonts w:asciiTheme="minorHAnsi" w:hAnsiTheme="minorHAnsi"/>
                <w:b/>
              </w:rPr>
            </w:pPr>
            <w:r w:rsidRPr="00447869">
              <w:rPr>
                <w:rFonts w:asciiTheme="minorHAnsi" w:hAnsiTheme="minorHAnsi"/>
                <w:b/>
              </w:rPr>
              <w:t>Qualifying Criteria</w:t>
            </w:r>
          </w:p>
        </w:tc>
        <w:tc>
          <w:tcPr>
            <w:tcW w:w="3828" w:type="dxa"/>
          </w:tcPr>
          <w:p w:rsidR="003A7E5D" w:rsidRPr="00462B57" w:rsidRDefault="002E21C4" w:rsidP="003A7E5D">
            <w:pPr>
              <w:spacing w:after="225" w:line="360" w:lineRule="atLeast"/>
              <w:rPr>
                <w:rFonts w:asciiTheme="minorHAnsi" w:hAnsiTheme="minorHAnsi"/>
              </w:rPr>
            </w:pPr>
            <w:r w:rsidRPr="00462B57">
              <w:rPr>
                <w:rFonts w:asciiTheme="minorHAnsi" w:hAnsiTheme="minorHAnsi"/>
              </w:rPr>
              <w:t xml:space="preserve"> </w:t>
            </w:r>
            <w:r w:rsidR="003A7E5D" w:rsidRPr="00462B57">
              <w:rPr>
                <w:rFonts w:asciiTheme="minorHAnsi" w:hAnsiTheme="minorHAnsi"/>
              </w:rPr>
              <w:t xml:space="preserve">Pre - transplant where donor specific antibody/ies prevent transplantation (HLA or anti-blood group) </w:t>
            </w:r>
          </w:p>
          <w:p w:rsidR="003A7E5D" w:rsidRDefault="003A7E5D" w:rsidP="00830C7C">
            <w:pPr>
              <w:pStyle w:val="ListParagraph"/>
              <w:numPr>
                <w:ilvl w:val="0"/>
                <w:numId w:val="47"/>
              </w:numPr>
              <w:spacing w:before="100" w:beforeAutospacing="1"/>
              <w:rPr>
                <w:rFonts w:asciiTheme="minorHAnsi" w:hAnsiTheme="minorHAnsi"/>
              </w:rPr>
            </w:pPr>
            <w:r w:rsidRPr="00624E82">
              <w:rPr>
                <w:rFonts w:asciiTheme="minorHAnsi" w:hAnsiTheme="minorHAnsi"/>
              </w:rPr>
              <w:t>ABO incompatible transplant planned  with or without HLA antibody or antibodies (at least 500 MFI) prevent organ transplantation</w:t>
            </w:r>
          </w:p>
          <w:p w:rsidR="003A7E5D" w:rsidRDefault="003A7E5D" w:rsidP="003A7E5D">
            <w:pPr>
              <w:pStyle w:val="ListParagraph"/>
              <w:spacing w:before="100" w:beforeAutospacing="1"/>
              <w:ind w:left="0"/>
              <w:rPr>
                <w:rFonts w:asciiTheme="minorHAnsi" w:hAnsiTheme="minorHAnsi"/>
              </w:rPr>
            </w:pPr>
          </w:p>
          <w:p w:rsidR="003A7E5D" w:rsidRPr="00462B57" w:rsidRDefault="003A7E5D" w:rsidP="003A7E5D">
            <w:pPr>
              <w:pStyle w:val="ListParagraph"/>
              <w:spacing w:before="100" w:beforeAutospacing="1"/>
              <w:ind w:left="0"/>
              <w:rPr>
                <w:rFonts w:asciiTheme="minorHAnsi" w:hAnsiTheme="minorHAnsi"/>
              </w:rPr>
            </w:pPr>
            <w:r w:rsidRPr="00462B57">
              <w:rPr>
                <w:rFonts w:asciiTheme="minorHAnsi" w:hAnsiTheme="minorHAnsi"/>
              </w:rPr>
              <w:t>Post-transplant - active acute anti-body mediated rejection</w:t>
            </w:r>
          </w:p>
          <w:p w:rsidR="00830C7C" w:rsidRPr="00462B57" w:rsidRDefault="00830C7C" w:rsidP="003A7E5D">
            <w:pPr>
              <w:pStyle w:val="ListParagraph"/>
              <w:spacing w:before="100" w:beforeAutospacing="1"/>
              <w:ind w:left="0"/>
              <w:rPr>
                <w:rFonts w:asciiTheme="minorHAnsi" w:hAnsiTheme="minorHAnsi"/>
              </w:rPr>
            </w:pPr>
          </w:p>
          <w:p w:rsidR="003A7E5D" w:rsidRPr="00624E82" w:rsidRDefault="003A7E5D" w:rsidP="00830C7C">
            <w:pPr>
              <w:pStyle w:val="ListParagraph"/>
              <w:numPr>
                <w:ilvl w:val="0"/>
                <w:numId w:val="47"/>
              </w:numPr>
              <w:spacing w:before="100" w:beforeAutospacing="1"/>
              <w:rPr>
                <w:rFonts w:asciiTheme="minorHAnsi" w:hAnsiTheme="minorHAnsi"/>
              </w:rPr>
            </w:pPr>
            <w:r w:rsidRPr="00624E82">
              <w:rPr>
                <w:rFonts w:asciiTheme="minorHAnsi" w:hAnsiTheme="minorHAnsi"/>
              </w:rPr>
              <w:t xml:space="preserve">Presence of incompatible ABO blood group donor specific antibody/antibodies and/or donor specific HLA antibody / antibodies (at least a minimum </w:t>
            </w:r>
            <w:r w:rsidRPr="00624E82">
              <w:rPr>
                <w:rFonts w:asciiTheme="minorHAnsi" w:hAnsiTheme="minorHAnsi"/>
              </w:rPr>
              <w:lastRenderedPageBreak/>
              <w:t xml:space="preserve">of 500 MFI) </w:t>
            </w:r>
          </w:p>
          <w:p w:rsidR="003A7E5D" w:rsidRPr="00624E82" w:rsidRDefault="003A7E5D" w:rsidP="003A7E5D">
            <w:pPr>
              <w:pStyle w:val="ListParagraph"/>
              <w:spacing w:before="100" w:beforeAutospacing="1"/>
              <w:ind w:left="34"/>
              <w:rPr>
                <w:rFonts w:asciiTheme="minorHAnsi" w:hAnsiTheme="minorHAnsi"/>
              </w:rPr>
            </w:pPr>
          </w:p>
          <w:p w:rsidR="003A7E5D" w:rsidRPr="00624E82" w:rsidRDefault="003A7E5D" w:rsidP="003A7E5D">
            <w:pPr>
              <w:pStyle w:val="ListParagraph"/>
              <w:spacing w:before="100" w:beforeAutospacing="1"/>
              <w:ind w:left="34"/>
              <w:rPr>
                <w:rFonts w:asciiTheme="minorHAnsi" w:hAnsiTheme="minorHAnsi"/>
              </w:rPr>
            </w:pPr>
            <w:r w:rsidRPr="00624E82">
              <w:rPr>
                <w:rFonts w:asciiTheme="minorHAnsi" w:hAnsiTheme="minorHAnsi"/>
              </w:rPr>
              <w:t xml:space="preserve">AND </w:t>
            </w:r>
          </w:p>
          <w:p w:rsidR="003A7E5D" w:rsidRPr="00624E82" w:rsidRDefault="003A7E5D" w:rsidP="003A7E5D">
            <w:pPr>
              <w:pStyle w:val="ListParagraph"/>
              <w:spacing w:before="100" w:beforeAutospacing="1"/>
              <w:ind w:left="34"/>
              <w:rPr>
                <w:rFonts w:asciiTheme="minorHAnsi" w:hAnsiTheme="minorHAnsi"/>
              </w:rPr>
            </w:pPr>
          </w:p>
          <w:p w:rsidR="003A7E5D" w:rsidRPr="00624E82" w:rsidRDefault="003A7E5D" w:rsidP="00830C7C">
            <w:pPr>
              <w:pStyle w:val="ListParagraph"/>
              <w:numPr>
                <w:ilvl w:val="0"/>
                <w:numId w:val="47"/>
              </w:numPr>
              <w:spacing w:before="100" w:beforeAutospacing="1"/>
              <w:rPr>
                <w:rFonts w:asciiTheme="minorHAnsi" w:hAnsiTheme="minorHAnsi"/>
              </w:rPr>
            </w:pPr>
            <w:r w:rsidRPr="00624E82">
              <w:rPr>
                <w:rFonts w:asciiTheme="minorHAnsi" w:hAnsiTheme="minorHAnsi"/>
              </w:rPr>
              <w:t xml:space="preserve">Current clinical and laboratory evidence of graft dysfunction where biopsy is not available </w:t>
            </w:r>
          </w:p>
          <w:p w:rsidR="003A7E5D" w:rsidRPr="00624E82" w:rsidRDefault="003A7E5D" w:rsidP="003A7E5D">
            <w:pPr>
              <w:pStyle w:val="ListParagraph"/>
              <w:spacing w:before="100" w:beforeAutospacing="1"/>
              <w:ind w:left="34"/>
              <w:rPr>
                <w:rFonts w:asciiTheme="minorHAnsi" w:hAnsiTheme="minorHAnsi"/>
              </w:rPr>
            </w:pPr>
          </w:p>
          <w:p w:rsidR="003A7E5D" w:rsidRPr="00624E82" w:rsidRDefault="003A7E5D" w:rsidP="003A7E5D">
            <w:pPr>
              <w:pStyle w:val="ListParagraph"/>
              <w:spacing w:before="100" w:beforeAutospacing="1"/>
              <w:ind w:left="34"/>
              <w:rPr>
                <w:rFonts w:asciiTheme="minorHAnsi" w:hAnsiTheme="minorHAnsi"/>
              </w:rPr>
            </w:pPr>
            <w:r w:rsidRPr="00624E82">
              <w:rPr>
                <w:rFonts w:asciiTheme="minorHAnsi" w:hAnsiTheme="minorHAnsi"/>
              </w:rPr>
              <w:t xml:space="preserve">OR </w:t>
            </w:r>
          </w:p>
          <w:p w:rsidR="003A7E5D" w:rsidRDefault="003A7E5D" w:rsidP="003A7E5D">
            <w:pPr>
              <w:pStyle w:val="ListParagraph"/>
              <w:spacing w:before="100" w:beforeAutospacing="1"/>
              <w:ind w:left="34"/>
              <w:rPr>
                <w:rFonts w:asciiTheme="minorHAnsi" w:hAnsiTheme="minorHAnsi"/>
              </w:rPr>
            </w:pPr>
          </w:p>
          <w:p w:rsidR="003A7E5D" w:rsidRPr="00624E82" w:rsidRDefault="003A7E5D" w:rsidP="00830C7C">
            <w:pPr>
              <w:pStyle w:val="ListParagraph"/>
              <w:numPr>
                <w:ilvl w:val="0"/>
                <w:numId w:val="47"/>
              </w:numPr>
              <w:spacing w:before="100" w:beforeAutospacing="1"/>
              <w:rPr>
                <w:rFonts w:asciiTheme="minorHAnsi" w:hAnsiTheme="minorHAnsi"/>
              </w:rPr>
            </w:pPr>
            <w:r w:rsidRPr="00624E82">
              <w:rPr>
                <w:rFonts w:asciiTheme="minorHAnsi" w:hAnsiTheme="minorHAnsi"/>
              </w:rPr>
              <w:t>Organ biopsy demonstrates antibody mediated rejection according to Banff criteria</w:t>
            </w:r>
            <w:r w:rsidRPr="00462B57">
              <w:rPr>
                <w:rFonts w:asciiTheme="minorHAnsi" w:hAnsiTheme="minorHAnsi"/>
              </w:rPr>
              <w:t>1</w:t>
            </w:r>
          </w:p>
          <w:p w:rsidR="003A7E5D" w:rsidRPr="00624E82" w:rsidRDefault="003A7E5D" w:rsidP="003A7E5D">
            <w:pPr>
              <w:pStyle w:val="ListParagraph"/>
              <w:spacing w:before="100" w:beforeAutospacing="1"/>
              <w:rPr>
                <w:rFonts w:asciiTheme="minorHAnsi" w:hAnsiTheme="minorHAnsi"/>
              </w:rPr>
            </w:pPr>
          </w:p>
          <w:p w:rsidR="003A7E5D" w:rsidRDefault="003A7E5D" w:rsidP="003A7E5D">
            <w:pPr>
              <w:pStyle w:val="ListParagraph"/>
              <w:spacing w:before="100" w:beforeAutospacing="1"/>
              <w:ind w:left="0"/>
              <w:rPr>
                <w:rFonts w:asciiTheme="minorHAnsi" w:hAnsiTheme="minorHAnsi"/>
              </w:rPr>
            </w:pPr>
            <w:r w:rsidRPr="00624E82">
              <w:rPr>
                <w:rFonts w:asciiTheme="minorHAnsi" w:hAnsiTheme="minorHAnsi"/>
              </w:rPr>
              <w:t>OR</w:t>
            </w:r>
          </w:p>
          <w:p w:rsidR="003A7E5D" w:rsidRDefault="003A7E5D" w:rsidP="003A7E5D">
            <w:pPr>
              <w:pStyle w:val="ListParagraph"/>
              <w:spacing w:before="100" w:beforeAutospacing="1"/>
              <w:ind w:left="0"/>
              <w:rPr>
                <w:rFonts w:asciiTheme="minorHAnsi" w:hAnsiTheme="minorHAnsi"/>
              </w:rPr>
            </w:pPr>
          </w:p>
          <w:p w:rsidR="003A7E5D" w:rsidRDefault="003A7E5D" w:rsidP="00830C7C">
            <w:pPr>
              <w:pStyle w:val="ListParagraph"/>
              <w:numPr>
                <w:ilvl w:val="0"/>
                <w:numId w:val="47"/>
              </w:numPr>
              <w:spacing w:before="100" w:beforeAutospacing="1"/>
              <w:rPr>
                <w:rFonts w:asciiTheme="minorHAnsi" w:hAnsiTheme="minorHAnsi"/>
              </w:rPr>
            </w:pPr>
            <w:r w:rsidRPr="00624E82">
              <w:rPr>
                <w:rFonts w:asciiTheme="minorHAnsi" w:hAnsiTheme="minorHAnsi"/>
              </w:rPr>
              <w:t>There is a high clinical suspicion that it is antibody mediated rejection and evidence is not yet available (one-off request in early period of acute rejection).</w:t>
            </w:r>
          </w:p>
          <w:p w:rsidR="003A7E5D" w:rsidRDefault="003A7E5D" w:rsidP="003A7E5D">
            <w:pPr>
              <w:pStyle w:val="ListParagraph"/>
              <w:spacing w:before="100" w:beforeAutospacing="1"/>
              <w:ind w:left="0"/>
              <w:rPr>
                <w:rFonts w:asciiTheme="minorHAnsi" w:hAnsiTheme="minorHAnsi"/>
              </w:rPr>
            </w:pPr>
          </w:p>
          <w:p w:rsidR="003A7E5D" w:rsidRPr="00624E82" w:rsidRDefault="003A7E5D" w:rsidP="003A7E5D">
            <w:pPr>
              <w:pStyle w:val="ListParagraph"/>
              <w:spacing w:before="100" w:beforeAutospacing="1"/>
              <w:rPr>
                <w:rFonts w:asciiTheme="minorHAnsi" w:hAnsiTheme="minorHAnsi"/>
              </w:rPr>
            </w:pPr>
          </w:p>
          <w:p w:rsidR="003A7E5D" w:rsidRPr="003D64F0" w:rsidRDefault="003A7E5D" w:rsidP="003A7E5D">
            <w:pPr>
              <w:pStyle w:val="ListParagraph"/>
              <w:spacing w:before="100" w:beforeAutospacing="1"/>
              <w:ind w:left="34"/>
              <w:rPr>
                <w:rFonts w:asciiTheme="minorHAnsi" w:hAnsiTheme="minorHAnsi"/>
                <w:color w:val="808080" w:themeColor="background1" w:themeShade="80"/>
              </w:rPr>
            </w:pPr>
            <w:r w:rsidRPr="003D64F0">
              <w:rPr>
                <w:rFonts w:asciiTheme="minorHAnsi" w:hAnsiTheme="minorHAnsi"/>
                <w:color w:val="808080" w:themeColor="background1" w:themeShade="80"/>
              </w:rPr>
              <w:t xml:space="preserve">For second dose, the Donor Specific Antibody (DSA) must be proven and biopsy must be abnormal but may not yet meet all of the Banff 1 diagnostic criteria. For subsequent doses, </w:t>
            </w:r>
            <w:proofErr w:type="gramStart"/>
            <w:r w:rsidRPr="003D64F0">
              <w:rPr>
                <w:rFonts w:asciiTheme="minorHAnsi" w:hAnsiTheme="minorHAnsi"/>
                <w:color w:val="808080" w:themeColor="background1" w:themeShade="80"/>
              </w:rPr>
              <w:t>Banff1  criteria</w:t>
            </w:r>
            <w:proofErr w:type="gramEnd"/>
            <w:r w:rsidRPr="003D64F0">
              <w:rPr>
                <w:rFonts w:asciiTheme="minorHAnsi" w:hAnsiTheme="minorHAnsi"/>
                <w:color w:val="808080" w:themeColor="background1" w:themeShade="80"/>
              </w:rPr>
              <w:t xml:space="preserve"> on biopsy must be met. </w:t>
            </w:r>
          </w:p>
          <w:p w:rsidR="003A7E5D" w:rsidRPr="00624E82" w:rsidRDefault="003A7E5D" w:rsidP="003A7E5D">
            <w:pPr>
              <w:pStyle w:val="ListParagraph"/>
              <w:spacing w:before="100" w:beforeAutospacing="1"/>
              <w:rPr>
                <w:rFonts w:asciiTheme="minorHAnsi" w:hAnsiTheme="minorHAnsi"/>
              </w:rPr>
            </w:pPr>
          </w:p>
          <w:p w:rsidR="003A7E5D" w:rsidRPr="00462B57" w:rsidRDefault="003A7E5D" w:rsidP="003A7E5D">
            <w:pPr>
              <w:pStyle w:val="ListParagraph"/>
              <w:spacing w:before="100" w:beforeAutospacing="1"/>
              <w:ind w:left="0"/>
              <w:rPr>
                <w:rFonts w:asciiTheme="minorHAnsi" w:hAnsiTheme="minorHAnsi"/>
              </w:rPr>
            </w:pPr>
            <w:r w:rsidRPr="00462B57">
              <w:rPr>
                <w:rFonts w:asciiTheme="minorHAnsi" w:hAnsiTheme="minorHAnsi"/>
              </w:rPr>
              <w:t xml:space="preserve">1. Banff 2013 Meeting Report American </w:t>
            </w:r>
            <w:r w:rsidRPr="00462B57">
              <w:rPr>
                <w:rFonts w:asciiTheme="minorHAnsi" w:hAnsiTheme="minorHAnsi"/>
              </w:rPr>
              <w:lastRenderedPageBreak/>
              <w:t xml:space="preserve">Journal of Transplantation </w:t>
            </w:r>
            <w:proofErr w:type="gramStart"/>
            <w:r w:rsidRPr="00462B57">
              <w:rPr>
                <w:rFonts w:asciiTheme="minorHAnsi" w:hAnsiTheme="minorHAnsi"/>
              </w:rPr>
              <w:t>2014 :</w:t>
            </w:r>
            <w:proofErr w:type="gramEnd"/>
            <w:r w:rsidRPr="00462B57">
              <w:rPr>
                <w:rFonts w:asciiTheme="minorHAnsi" w:hAnsiTheme="minorHAnsi"/>
              </w:rPr>
              <w:t>14;272-283 page 277.</w:t>
            </w:r>
          </w:p>
          <w:p w:rsidR="003A7E5D" w:rsidRDefault="003A7E5D" w:rsidP="003A7E5D">
            <w:pPr>
              <w:pStyle w:val="ListParagraph"/>
              <w:spacing w:before="100" w:beforeAutospacing="1"/>
              <w:ind w:left="0"/>
              <w:rPr>
                <w:rFonts w:asciiTheme="minorHAnsi" w:hAnsiTheme="minorHAnsi"/>
              </w:rPr>
            </w:pPr>
          </w:p>
          <w:p w:rsidR="003A7E5D" w:rsidRPr="00462B57" w:rsidRDefault="003A7E5D" w:rsidP="003A7E5D">
            <w:pPr>
              <w:pStyle w:val="ListParagraph"/>
              <w:spacing w:before="100" w:beforeAutospacing="1"/>
              <w:ind w:left="0"/>
              <w:rPr>
                <w:rFonts w:asciiTheme="minorHAnsi" w:hAnsiTheme="minorHAnsi"/>
              </w:rPr>
            </w:pPr>
            <w:r w:rsidRPr="00462B57">
              <w:rPr>
                <w:rFonts w:asciiTheme="minorHAnsi" w:hAnsiTheme="minorHAnsi"/>
              </w:rPr>
              <w:t>Treatment or prevention of graft rejection where conventional immunosuppressive therapies is contraindicated or pose a threat to the graft or patient</w:t>
            </w:r>
          </w:p>
          <w:p w:rsidR="00BB56DB" w:rsidRPr="00462B57" w:rsidRDefault="00BB56DB" w:rsidP="003A7E5D">
            <w:pPr>
              <w:pStyle w:val="ListParagraph"/>
              <w:spacing w:before="100" w:beforeAutospacing="1"/>
              <w:ind w:left="0"/>
              <w:rPr>
                <w:rFonts w:asciiTheme="minorHAnsi" w:hAnsiTheme="minorHAnsi"/>
              </w:rPr>
            </w:pPr>
          </w:p>
          <w:p w:rsidR="003A7E5D" w:rsidRDefault="003A7E5D" w:rsidP="003A7E5D">
            <w:pPr>
              <w:pStyle w:val="ListParagraph"/>
              <w:spacing w:before="100" w:beforeAutospacing="1"/>
              <w:ind w:left="0"/>
              <w:rPr>
                <w:rFonts w:asciiTheme="minorHAnsi" w:hAnsiTheme="minorHAnsi"/>
              </w:rPr>
            </w:pPr>
            <w:r w:rsidRPr="00624E82">
              <w:rPr>
                <w:rFonts w:asciiTheme="minorHAnsi" w:hAnsiTheme="minorHAnsi"/>
              </w:rPr>
              <w:t>Conventional immunosuppressive therapy is contraindicated and reason is provided.</w:t>
            </w:r>
          </w:p>
          <w:p w:rsidR="002E21C4" w:rsidRPr="002E21C4" w:rsidRDefault="002E21C4" w:rsidP="007D4439">
            <w:pPr>
              <w:pStyle w:val="ListParagraph"/>
              <w:spacing w:before="120" w:after="120"/>
              <w:ind w:left="754"/>
              <w:rPr>
                <w:rFonts w:asciiTheme="minorHAnsi" w:hAnsiTheme="minorHAnsi"/>
              </w:rPr>
            </w:pPr>
          </w:p>
        </w:tc>
        <w:tc>
          <w:tcPr>
            <w:tcW w:w="4819" w:type="dxa"/>
            <w:gridSpan w:val="3"/>
          </w:tcPr>
          <w:p w:rsidR="00624E82" w:rsidRPr="00462B57" w:rsidRDefault="00462B57" w:rsidP="00624E82">
            <w:pPr>
              <w:pStyle w:val="ListParagraph"/>
              <w:spacing w:before="100" w:beforeAutospacing="1"/>
              <w:ind w:left="0"/>
              <w:rPr>
                <w:rFonts w:asciiTheme="minorHAnsi" w:hAnsiTheme="minorHAnsi"/>
                <w:b/>
              </w:rPr>
            </w:pPr>
            <w:r w:rsidRPr="00462B57">
              <w:rPr>
                <w:rFonts w:asciiTheme="minorHAnsi" w:hAnsiTheme="minorHAnsi"/>
                <w:b/>
              </w:rPr>
              <w:lastRenderedPageBreak/>
              <w:t>Immediate pre - transplant where donor specific antibody/ies prevent transplantation (HLA or anti-blood group) in highly sensitised patients</w:t>
            </w:r>
          </w:p>
          <w:p w:rsidR="00462B57" w:rsidRDefault="00462B57" w:rsidP="00624E82">
            <w:pPr>
              <w:pStyle w:val="ListParagraph"/>
              <w:spacing w:before="100" w:beforeAutospacing="1"/>
              <w:ind w:left="0"/>
              <w:rPr>
                <w:rFonts w:asciiTheme="minorHAnsi" w:hAnsiTheme="minorHAnsi"/>
              </w:rPr>
            </w:pPr>
          </w:p>
          <w:p w:rsidR="00462B57" w:rsidRDefault="00462B57" w:rsidP="00624E82">
            <w:pPr>
              <w:pStyle w:val="ListParagraph"/>
              <w:spacing w:before="100" w:beforeAutospacing="1"/>
              <w:ind w:left="0"/>
              <w:rPr>
                <w:rFonts w:asciiTheme="minorHAnsi" w:hAnsiTheme="minorHAnsi"/>
              </w:rPr>
            </w:pPr>
            <w:r w:rsidRPr="00462B57">
              <w:rPr>
                <w:rFonts w:asciiTheme="minorHAnsi" w:hAnsiTheme="minorHAnsi"/>
              </w:rPr>
              <w:t>ABO incompatible transplant planned with or without HLA antibody or antibodies (at least 500 MFI) prevent organ transplantation</w:t>
            </w:r>
          </w:p>
          <w:p w:rsidR="00462B57" w:rsidRDefault="00462B57" w:rsidP="00624E82">
            <w:pPr>
              <w:pStyle w:val="ListParagraph"/>
              <w:spacing w:before="100" w:beforeAutospacing="1"/>
              <w:ind w:left="0"/>
              <w:rPr>
                <w:rFonts w:asciiTheme="minorHAnsi" w:hAnsiTheme="minorHAnsi"/>
              </w:rPr>
            </w:pPr>
          </w:p>
          <w:p w:rsidR="00462B57" w:rsidRPr="00462B57" w:rsidRDefault="00462B57" w:rsidP="00624E82">
            <w:pPr>
              <w:pStyle w:val="ListParagraph"/>
              <w:spacing w:before="100" w:beforeAutospacing="1"/>
              <w:ind w:left="0"/>
              <w:rPr>
                <w:rFonts w:asciiTheme="minorHAnsi" w:hAnsiTheme="minorHAnsi"/>
                <w:b/>
              </w:rPr>
            </w:pPr>
            <w:r w:rsidRPr="00462B57">
              <w:rPr>
                <w:rFonts w:asciiTheme="minorHAnsi" w:hAnsiTheme="minorHAnsi"/>
                <w:b/>
              </w:rPr>
              <w:t>Post transplant - acute anti-body mediated rejection</w:t>
            </w:r>
          </w:p>
          <w:p w:rsidR="00462B57" w:rsidRDefault="00462B57" w:rsidP="00624E82">
            <w:pPr>
              <w:pStyle w:val="ListParagraph"/>
              <w:spacing w:before="100" w:beforeAutospacing="1"/>
              <w:ind w:left="0"/>
              <w:rPr>
                <w:rFonts w:asciiTheme="minorHAnsi" w:hAnsiTheme="minorHAnsi"/>
              </w:rPr>
            </w:pPr>
          </w:p>
          <w:p w:rsidR="00462B57" w:rsidRDefault="00462B57" w:rsidP="007D4439">
            <w:pPr>
              <w:pStyle w:val="ListParagraph"/>
              <w:numPr>
                <w:ilvl w:val="0"/>
                <w:numId w:val="48"/>
              </w:numPr>
              <w:spacing w:before="100" w:beforeAutospacing="1"/>
              <w:rPr>
                <w:rFonts w:asciiTheme="minorHAnsi" w:hAnsiTheme="minorHAnsi"/>
              </w:rPr>
            </w:pPr>
            <w:r w:rsidRPr="00462B57">
              <w:rPr>
                <w:rFonts w:asciiTheme="minorHAnsi" w:hAnsiTheme="minorHAnsi"/>
              </w:rPr>
              <w:t>Presence of incompatible ABO blood group donor specific antibody/antibodies and/or donor specific HLA antibody / antibodies (at least 500 MFI)</w:t>
            </w:r>
          </w:p>
          <w:p w:rsidR="00462B57" w:rsidRDefault="00462B57" w:rsidP="00624E82">
            <w:pPr>
              <w:pStyle w:val="ListParagraph"/>
              <w:spacing w:before="100" w:beforeAutospacing="1"/>
              <w:ind w:left="0"/>
              <w:rPr>
                <w:rFonts w:asciiTheme="minorHAnsi" w:hAnsiTheme="minorHAnsi"/>
              </w:rPr>
            </w:pPr>
          </w:p>
          <w:p w:rsidR="00462B57" w:rsidRPr="00462B57" w:rsidRDefault="00462B57" w:rsidP="00462B57">
            <w:pPr>
              <w:rPr>
                <w:rFonts w:asciiTheme="minorHAnsi" w:hAnsiTheme="minorHAnsi"/>
              </w:rPr>
            </w:pPr>
            <w:r w:rsidRPr="00462B57">
              <w:rPr>
                <w:rFonts w:asciiTheme="minorHAnsi" w:hAnsiTheme="minorHAnsi"/>
              </w:rPr>
              <w:t xml:space="preserve">AND </w:t>
            </w:r>
          </w:p>
          <w:p w:rsidR="00462B57" w:rsidRDefault="00462B57" w:rsidP="00624E82">
            <w:pPr>
              <w:pStyle w:val="ListParagraph"/>
              <w:spacing w:before="100" w:beforeAutospacing="1"/>
              <w:ind w:left="0"/>
              <w:rPr>
                <w:rFonts w:asciiTheme="minorHAnsi" w:hAnsiTheme="minorHAnsi"/>
              </w:rPr>
            </w:pPr>
            <w:r w:rsidRPr="00462B57">
              <w:rPr>
                <w:rFonts w:asciiTheme="minorHAnsi" w:hAnsiTheme="minorHAnsi"/>
              </w:rPr>
              <w:t xml:space="preserve">Current clinical and laboratory evidence of graft </w:t>
            </w:r>
            <w:r w:rsidRPr="00462B57">
              <w:rPr>
                <w:rFonts w:asciiTheme="minorHAnsi" w:hAnsiTheme="minorHAnsi"/>
              </w:rPr>
              <w:lastRenderedPageBreak/>
              <w:t>dysfunction where a biopsy is not available</w:t>
            </w:r>
          </w:p>
          <w:p w:rsidR="00462B57" w:rsidRDefault="00462B57" w:rsidP="00624E82">
            <w:pPr>
              <w:pStyle w:val="ListParagraph"/>
              <w:spacing w:before="100" w:beforeAutospacing="1"/>
              <w:ind w:left="0"/>
              <w:rPr>
                <w:rFonts w:asciiTheme="minorHAnsi" w:hAnsiTheme="minorHAnsi"/>
              </w:rPr>
            </w:pPr>
          </w:p>
          <w:p w:rsidR="00462B57" w:rsidRDefault="00462B57" w:rsidP="007D4439">
            <w:pPr>
              <w:pStyle w:val="ListParagraph"/>
              <w:spacing w:before="100" w:beforeAutospacing="1"/>
              <w:ind w:left="0"/>
              <w:jc w:val="center"/>
              <w:rPr>
                <w:rFonts w:asciiTheme="minorHAnsi" w:hAnsiTheme="minorHAnsi"/>
              </w:rPr>
            </w:pPr>
            <w:r>
              <w:rPr>
                <w:rFonts w:asciiTheme="minorHAnsi" w:hAnsiTheme="minorHAnsi"/>
              </w:rPr>
              <w:t>OR</w:t>
            </w:r>
          </w:p>
          <w:p w:rsidR="00462B57" w:rsidRDefault="00462B57" w:rsidP="00624E82">
            <w:pPr>
              <w:pStyle w:val="ListParagraph"/>
              <w:spacing w:before="100" w:beforeAutospacing="1"/>
              <w:ind w:left="0"/>
              <w:rPr>
                <w:rFonts w:asciiTheme="minorHAnsi" w:hAnsiTheme="minorHAnsi"/>
              </w:rPr>
            </w:pPr>
          </w:p>
          <w:p w:rsidR="00462B57" w:rsidRDefault="00462B57" w:rsidP="00624E82">
            <w:pPr>
              <w:pStyle w:val="ListParagraph"/>
              <w:spacing w:before="100" w:beforeAutospacing="1"/>
              <w:ind w:left="0"/>
              <w:rPr>
                <w:rFonts w:asciiTheme="minorHAnsi" w:hAnsiTheme="minorHAnsi"/>
              </w:rPr>
            </w:pPr>
            <w:r w:rsidRPr="00462B57">
              <w:rPr>
                <w:rFonts w:asciiTheme="minorHAnsi" w:hAnsiTheme="minorHAnsi"/>
              </w:rPr>
              <w:t>Organ biopsy demonstrates antibody mediated rejection according to Banff criteria</w:t>
            </w:r>
            <w:r w:rsidR="005773F1">
              <w:rPr>
                <w:rFonts w:asciiTheme="minorHAnsi" w:hAnsiTheme="minorHAnsi"/>
                <w:vertAlign w:val="superscript"/>
              </w:rPr>
              <w:t xml:space="preserve"> </w:t>
            </w:r>
            <w:r w:rsidR="005773F1" w:rsidRPr="005773F1">
              <w:rPr>
                <w:rFonts w:asciiTheme="minorHAnsi" w:hAnsiTheme="minorHAnsi"/>
              </w:rPr>
              <w:t>(Haas et al, 2014)</w:t>
            </w:r>
          </w:p>
          <w:p w:rsidR="00462B57" w:rsidRDefault="00462B57" w:rsidP="00624E82">
            <w:pPr>
              <w:pStyle w:val="ListParagraph"/>
              <w:spacing w:before="100" w:beforeAutospacing="1"/>
              <w:ind w:left="0"/>
              <w:rPr>
                <w:rFonts w:asciiTheme="minorHAnsi" w:hAnsiTheme="minorHAnsi"/>
              </w:rPr>
            </w:pPr>
          </w:p>
          <w:p w:rsidR="00462B57" w:rsidRDefault="00462B57" w:rsidP="007D4439">
            <w:pPr>
              <w:pStyle w:val="ListParagraph"/>
              <w:spacing w:before="100" w:beforeAutospacing="1"/>
              <w:ind w:left="0"/>
              <w:jc w:val="center"/>
              <w:rPr>
                <w:rFonts w:asciiTheme="minorHAnsi" w:hAnsiTheme="minorHAnsi"/>
              </w:rPr>
            </w:pPr>
            <w:r>
              <w:rPr>
                <w:rFonts w:asciiTheme="minorHAnsi" w:hAnsiTheme="minorHAnsi"/>
              </w:rPr>
              <w:t>OR</w:t>
            </w:r>
          </w:p>
          <w:p w:rsidR="00462B57" w:rsidRDefault="00462B57" w:rsidP="00624E82">
            <w:pPr>
              <w:pStyle w:val="ListParagraph"/>
              <w:spacing w:before="100" w:beforeAutospacing="1"/>
              <w:ind w:left="0"/>
              <w:rPr>
                <w:rFonts w:asciiTheme="minorHAnsi" w:hAnsiTheme="minorHAnsi"/>
              </w:rPr>
            </w:pPr>
          </w:p>
          <w:p w:rsidR="00462B57" w:rsidRDefault="00462B57" w:rsidP="00624E82">
            <w:pPr>
              <w:pStyle w:val="ListParagraph"/>
              <w:spacing w:before="100" w:beforeAutospacing="1"/>
              <w:ind w:left="0"/>
              <w:rPr>
                <w:rFonts w:asciiTheme="minorHAnsi" w:hAnsiTheme="minorHAnsi"/>
              </w:rPr>
            </w:pPr>
            <w:r w:rsidRPr="00462B57">
              <w:rPr>
                <w:rFonts w:asciiTheme="minorHAnsi" w:hAnsiTheme="minorHAnsi"/>
              </w:rPr>
              <w:t>There is a high clinical suspicion that it is antibody-mediated rejection and evidence is not yet available (one-off request in early period of acute rejection).</w:t>
            </w:r>
          </w:p>
          <w:p w:rsidR="00CE1A81" w:rsidRDefault="00CE1A81" w:rsidP="00624E82">
            <w:pPr>
              <w:pStyle w:val="ListParagraph"/>
              <w:spacing w:before="100" w:beforeAutospacing="1"/>
              <w:ind w:left="0"/>
              <w:rPr>
                <w:rFonts w:asciiTheme="minorHAnsi" w:hAnsiTheme="minorHAnsi"/>
              </w:rPr>
            </w:pPr>
          </w:p>
          <w:p w:rsidR="00CE1A81" w:rsidRPr="003D64F0" w:rsidRDefault="00CE1A81" w:rsidP="00624E82">
            <w:pPr>
              <w:pStyle w:val="ListParagraph"/>
              <w:spacing w:before="100" w:beforeAutospacing="1"/>
              <w:ind w:left="0"/>
              <w:rPr>
                <w:rFonts w:asciiTheme="minorHAnsi" w:hAnsiTheme="minorHAnsi"/>
                <w:color w:val="808080" w:themeColor="background1" w:themeShade="80"/>
              </w:rPr>
            </w:pPr>
            <w:r w:rsidRPr="003D64F0">
              <w:rPr>
                <w:rFonts w:asciiTheme="minorHAnsi" w:hAnsiTheme="minorHAnsi"/>
                <w:color w:val="808080" w:themeColor="background1" w:themeShade="80"/>
              </w:rPr>
              <w:t>For second dose, the Donor Specific Antibody (DSA) must be proven and the biopsy must be abnormal but may not yet meet all of th</w:t>
            </w:r>
            <w:r w:rsidR="00EB4832" w:rsidRPr="003D64F0">
              <w:rPr>
                <w:rFonts w:asciiTheme="minorHAnsi" w:hAnsiTheme="minorHAnsi"/>
                <w:color w:val="808080" w:themeColor="background1" w:themeShade="80"/>
              </w:rPr>
              <w:t>e Banff (Haas et al, 2014)</w:t>
            </w:r>
            <w:r w:rsidRPr="003D64F0">
              <w:rPr>
                <w:rFonts w:asciiTheme="minorHAnsi" w:hAnsiTheme="minorHAnsi"/>
                <w:color w:val="808080" w:themeColor="background1" w:themeShade="80"/>
              </w:rPr>
              <w:t xml:space="preserve"> diagnostic criteria. For subsequent doses, Banff</w:t>
            </w:r>
            <w:r w:rsidRPr="003D64F0">
              <w:rPr>
                <w:rFonts w:asciiTheme="minorHAnsi" w:hAnsiTheme="minorHAnsi"/>
                <w:color w:val="808080" w:themeColor="background1" w:themeShade="80"/>
                <w:vertAlign w:val="superscript"/>
              </w:rPr>
              <w:t xml:space="preserve"> </w:t>
            </w:r>
            <w:r w:rsidRPr="003D64F0">
              <w:rPr>
                <w:rFonts w:asciiTheme="minorHAnsi" w:hAnsiTheme="minorHAnsi"/>
                <w:color w:val="808080" w:themeColor="background1" w:themeShade="80"/>
              </w:rPr>
              <w:t xml:space="preserve">criteria </w:t>
            </w:r>
            <w:r w:rsidR="00EB4832" w:rsidRPr="003D64F0">
              <w:rPr>
                <w:rFonts w:asciiTheme="minorHAnsi" w:hAnsiTheme="minorHAnsi"/>
                <w:color w:val="808080" w:themeColor="background1" w:themeShade="80"/>
              </w:rPr>
              <w:t xml:space="preserve">(Haas et al, 2014) </w:t>
            </w:r>
            <w:r w:rsidRPr="003D64F0">
              <w:rPr>
                <w:rFonts w:asciiTheme="minorHAnsi" w:hAnsiTheme="minorHAnsi"/>
                <w:color w:val="808080" w:themeColor="background1" w:themeShade="80"/>
              </w:rPr>
              <w:t>on biopsy must be met.</w:t>
            </w:r>
          </w:p>
          <w:p w:rsidR="00CE1A81" w:rsidRDefault="00CE1A81" w:rsidP="00624E82">
            <w:pPr>
              <w:pStyle w:val="ListParagraph"/>
              <w:spacing w:before="100" w:beforeAutospacing="1"/>
              <w:ind w:left="0"/>
              <w:rPr>
                <w:rFonts w:asciiTheme="minorHAnsi" w:hAnsiTheme="minorHAnsi"/>
                <w:b/>
              </w:rPr>
            </w:pPr>
          </w:p>
          <w:p w:rsidR="00CE1A81" w:rsidRDefault="00CE1A81" w:rsidP="00624E82">
            <w:pPr>
              <w:pStyle w:val="ListParagraph"/>
              <w:spacing w:before="100" w:beforeAutospacing="1"/>
              <w:ind w:left="0"/>
              <w:rPr>
                <w:rFonts w:asciiTheme="minorHAnsi" w:hAnsiTheme="minorHAnsi"/>
                <w:b/>
              </w:rPr>
            </w:pPr>
          </w:p>
          <w:p w:rsidR="00CE1A81" w:rsidRDefault="00CE1A81" w:rsidP="00624E82">
            <w:pPr>
              <w:pStyle w:val="ListParagraph"/>
              <w:spacing w:before="100" w:beforeAutospacing="1"/>
              <w:ind w:left="0"/>
              <w:rPr>
                <w:rFonts w:asciiTheme="minorHAnsi" w:hAnsiTheme="minorHAnsi"/>
                <w:b/>
              </w:rPr>
            </w:pPr>
            <w:r w:rsidRPr="00CE1A81">
              <w:rPr>
                <w:rFonts w:asciiTheme="minorHAnsi" w:hAnsiTheme="minorHAnsi"/>
                <w:b/>
              </w:rPr>
              <w:t>Treatment or prevention of graft rejection where conventional immunosuppressive therapies is contraindicated or pose a threat to the graft or patient</w:t>
            </w:r>
          </w:p>
          <w:p w:rsidR="00CE1A81" w:rsidRDefault="00CE1A81" w:rsidP="00624E82">
            <w:pPr>
              <w:pStyle w:val="ListParagraph"/>
              <w:spacing w:before="100" w:beforeAutospacing="1"/>
              <w:ind w:left="0"/>
              <w:rPr>
                <w:rFonts w:asciiTheme="minorHAnsi" w:hAnsiTheme="minorHAnsi"/>
                <w:b/>
              </w:rPr>
            </w:pPr>
          </w:p>
          <w:p w:rsidR="00CE1A81" w:rsidRDefault="00CE1A81" w:rsidP="007D4439">
            <w:pPr>
              <w:pStyle w:val="ListParagraph"/>
              <w:numPr>
                <w:ilvl w:val="0"/>
                <w:numId w:val="48"/>
              </w:numPr>
              <w:spacing w:before="100" w:beforeAutospacing="1"/>
              <w:rPr>
                <w:rFonts w:asciiTheme="minorHAnsi" w:hAnsiTheme="minorHAnsi"/>
              </w:rPr>
            </w:pPr>
            <w:r w:rsidRPr="00CE1A81">
              <w:rPr>
                <w:rFonts w:asciiTheme="minorHAnsi" w:hAnsiTheme="minorHAnsi"/>
              </w:rPr>
              <w:t>Conventional immunosuppressive therapy is contraindicated and a reason is provided.</w:t>
            </w:r>
          </w:p>
          <w:p w:rsidR="00CE1A81" w:rsidRDefault="00CE1A81" w:rsidP="00624E82">
            <w:pPr>
              <w:pStyle w:val="ListParagraph"/>
              <w:spacing w:before="100" w:beforeAutospacing="1"/>
              <w:ind w:left="0"/>
              <w:rPr>
                <w:rFonts w:asciiTheme="minorHAnsi" w:hAnsiTheme="minorHAnsi"/>
              </w:rPr>
            </w:pPr>
          </w:p>
          <w:p w:rsidR="00CE1A81" w:rsidRPr="00CE1A81" w:rsidRDefault="007D4439" w:rsidP="00624E82">
            <w:pPr>
              <w:pStyle w:val="ListParagraph"/>
              <w:spacing w:before="100" w:beforeAutospacing="1"/>
              <w:ind w:left="0"/>
              <w:rPr>
                <w:rFonts w:asciiTheme="minorHAnsi" w:hAnsiTheme="minorHAnsi"/>
                <w:b/>
              </w:rPr>
            </w:pPr>
            <w:r>
              <w:rPr>
                <w:rFonts w:asciiTheme="minorHAnsi" w:hAnsiTheme="minorHAnsi"/>
                <w:b/>
              </w:rPr>
              <w:t>De</w:t>
            </w:r>
            <w:r w:rsidR="00CE1A81" w:rsidRPr="00CE1A81">
              <w:rPr>
                <w:rFonts w:asciiTheme="minorHAnsi" w:hAnsiTheme="minorHAnsi"/>
                <w:b/>
              </w:rPr>
              <w:t>-sensitisation of patients to increase the likelihood of transplantation</w:t>
            </w:r>
          </w:p>
          <w:p w:rsidR="00CE1A81" w:rsidRDefault="00CE1A81" w:rsidP="00624E82">
            <w:pPr>
              <w:pStyle w:val="ListParagraph"/>
              <w:spacing w:before="100" w:beforeAutospacing="1"/>
              <w:ind w:left="0"/>
              <w:rPr>
                <w:rFonts w:asciiTheme="minorHAnsi" w:hAnsiTheme="minorHAnsi"/>
              </w:rPr>
            </w:pPr>
          </w:p>
          <w:p w:rsidR="00CE1A81" w:rsidRDefault="00CE1A81" w:rsidP="007D4439">
            <w:pPr>
              <w:pStyle w:val="ListParagraph"/>
              <w:numPr>
                <w:ilvl w:val="0"/>
                <w:numId w:val="48"/>
              </w:numPr>
              <w:spacing w:before="100" w:beforeAutospacing="1"/>
              <w:rPr>
                <w:rFonts w:asciiTheme="minorHAnsi" w:hAnsiTheme="minorHAnsi"/>
              </w:rPr>
            </w:pPr>
            <w:r w:rsidRPr="00CE1A81">
              <w:rPr>
                <w:rFonts w:asciiTheme="minorHAnsi" w:hAnsiTheme="minorHAnsi"/>
              </w:rPr>
              <w:t xml:space="preserve">Highly sensitised patient with known antibody(ies) of at least 1000 </w:t>
            </w:r>
            <w:r w:rsidR="007D4439" w:rsidRPr="00624E82">
              <w:rPr>
                <w:rFonts w:asciiTheme="minorHAnsi" w:hAnsiTheme="minorHAnsi"/>
              </w:rPr>
              <w:t>M</w:t>
            </w:r>
            <w:r w:rsidR="007D4439">
              <w:rPr>
                <w:rFonts w:asciiTheme="minorHAnsi" w:hAnsiTheme="minorHAnsi"/>
              </w:rPr>
              <w:t xml:space="preserve">ean </w:t>
            </w:r>
            <w:r w:rsidR="007D4439" w:rsidRPr="00624E82">
              <w:rPr>
                <w:rFonts w:asciiTheme="minorHAnsi" w:hAnsiTheme="minorHAnsi"/>
              </w:rPr>
              <w:t>F</w:t>
            </w:r>
            <w:r w:rsidR="007D4439">
              <w:rPr>
                <w:rFonts w:asciiTheme="minorHAnsi" w:hAnsiTheme="minorHAnsi"/>
              </w:rPr>
              <w:t xml:space="preserve">luorescence </w:t>
            </w:r>
            <w:r w:rsidR="007D4439" w:rsidRPr="00624E82">
              <w:rPr>
                <w:rFonts w:asciiTheme="minorHAnsi" w:hAnsiTheme="minorHAnsi"/>
              </w:rPr>
              <w:t>I</w:t>
            </w:r>
            <w:r w:rsidR="007D4439">
              <w:rPr>
                <w:rFonts w:asciiTheme="minorHAnsi" w:hAnsiTheme="minorHAnsi"/>
              </w:rPr>
              <w:t>ntensity (MFI)</w:t>
            </w:r>
          </w:p>
          <w:p w:rsidR="00CE1A81" w:rsidRDefault="00CE1A81" w:rsidP="00624E82">
            <w:pPr>
              <w:pStyle w:val="ListParagraph"/>
              <w:spacing w:before="100" w:beforeAutospacing="1"/>
              <w:ind w:left="0"/>
              <w:rPr>
                <w:rFonts w:asciiTheme="minorHAnsi" w:hAnsiTheme="minorHAnsi"/>
              </w:rPr>
            </w:pPr>
          </w:p>
          <w:p w:rsidR="00CE1A81" w:rsidRDefault="00CE1A81" w:rsidP="00624E82">
            <w:pPr>
              <w:pStyle w:val="ListParagraph"/>
              <w:spacing w:before="100" w:beforeAutospacing="1"/>
              <w:ind w:left="0"/>
              <w:rPr>
                <w:rFonts w:asciiTheme="minorHAnsi" w:hAnsiTheme="minorHAnsi"/>
              </w:rPr>
            </w:pPr>
            <w:r>
              <w:rPr>
                <w:rFonts w:asciiTheme="minorHAnsi" w:hAnsiTheme="minorHAnsi"/>
              </w:rPr>
              <w:t>AND</w:t>
            </w:r>
          </w:p>
          <w:p w:rsidR="00CE1A81" w:rsidRDefault="00CE1A81" w:rsidP="00624E82">
            <w:pPr>
              <w:pStyle w:val="ListParagraph"/>
              <w:spacing w:before="100" w:beforeAutospacing="1"/>
              <w:ind w:left="0"/>
              <w:rPr>
                <w:rFonts w:asciiTheme="minorHAnsi" w:hAnsiTheme="minorHAnsi"/>
              </w:rPr>
            </w:pPr>
          </w:p>
          <w:p w:rsidR="00CE1A81" w:rsidRDefault="00CE1A81" w:rsidP="007D4439">
            <w:pPr>
              <w:pStyle w:val="ListParagraph"/>
              <w:numPr>
                <w:ilvl w:val="0"/>
                <w:numId w:val="48"/>
              </w:numPr>
              <w:spacing w:before="100" w:beforeAutospacing="1"/>
              <w:rPr>
                <w:rFonts w:asciiTheme="minorHAnsi" w:hAnsiTheme="minorHAnsi"/>
              </w:rPr>
            </w:pPr>
            <w:r w:rsidRPr="00CE1A81">
              <w:rPr>
                <w:rFonts w:asciiTheme="minorHAnsi" w:hAnsiTheme="minorHAnsi"/>
              </w:rPr>
              <w:t>Circumstances indicate that the likelihood of receiving an organ is very low</w:t>
            </w:r>
          </w:p>
          <w:p w:rsidR="00CE1A81" w:rsidRDefault="00CE1A81" w:rsidP="00624E82">
            <w:pPr>
              <w:pStyle w:val="ListParagraph"/>
              <w:spacing w:before="100" w:beforeAutospacing="1"/>
              <w:ind w:left="0"/>
              <w:rPr>
                <w:rFonts w:asciiTheme="minorHAnsi" w:hAnsiTheme="minorHAnsi"/>
              </w:rPr>
            </w:pPr>
          </w:p>
          <w:p w:rsidR="00CE1A81" w:rsidRDefault="00CE1A81" w:rsidP="00624E82">
            <w:pPr>
              <w:pStyle w:val="ListParagraph"/>
              <w:spacing w:before="100" w:beforeAutospacing="1"/>
              <w:ind w:left="0"/>
              <w:rPr>
                <w:rFonts w:asciiTheme="minorHAnsi" w:hAnsiTheme="minorHAnsi"/>
                <w:b/>
              </w:rPr>
            </w:pPr>
            <w:r w:rsidRPr="00CE1A81">
              <w:rPr>
                <w:rFonts w:asciiTheme="minorHAnsi" w:hAnsiTheme="minorHAnsi"/>
                <w:b/>
              </w:rPr>
              <w:t xml:space="preserve">Treatment of ongoing active antibody mediated rejection  </w:t>
            </w:r>
          </w:p>
          <w:p w:rsidR="00CE1A81" w:rsidRPr="00CE1A81" w:rsidRDefault="00CE1A81" w:rsidP="00624E82">
            <w:pPr>
              <w:pStyle w:val="ListParagraph"/>
              <w:spacing w:before="100" w:beforeAutospacing="1"/>
              <w:ind w:left="0"/>
              <w:rPr>
                <w:rFonts w:asciiTheme="minorHAnsi" w:hAnsiTheme="minorHAnsi"/>
              </w:rPr>
            </w:pPr>
          </w:p>
          <w:p w:rsidR="00CE1A81" w:rsidRPr="00CE1A81" w:rsidRDefault="00CE1A81" w:rsidP="007D4439">
            <w:pPr>
              <w:pStyle w:val="ListParagraph"/>
              <w:numPr>
                <w:ilvl w:val="0"/>
                <w:numId w:val="48"/>
              </w:numPr>
              <w:spacing w:before="100" w:beforeAutospacing="1"/>
              <w:rPr>
                <w:rFonts w:asciiTheme="minorHAnsi" w:hAnsiTheme="minorHAnsi"/>
                <w:b/>
              </w:rPr>
            </w:pPr>
            <w:r w:rsidRPr="00CE1A81">
              <w:rPr>
                <w:rFonts w:asciiTheme="minorHAnsi" w:hAnsiTheme="minorHAnsi"/>
              </w:rPr>
              <w:t>Ongoing antibody mediated rejection as demonstrated by biopsy in accordance with BANFF criteria</w:t>
            </w:r>
          </w:p>
        </w:tc>
        <w:tc>
          <w:tcPr>
            <w:tcW w:w="4394" w:type="dxa"/>
          </w:tcPr>
          <w:p w:rsidR="006E2E88" w:rsidRDefault="00282F66" w:rsidP="006E2E88">
            <w:pPr>
              <w:spacing w:before="120" w:after="120"/>
              <w:rPr>
                <w:szCs w:val="20"/>
              </w:rPr>
            </w:pPr>
            <w:r w:rsidRPr="009208EC">
              <w:rPr>
                <w:szCs w:val="20"/>
              </w:rPr>
              <w:lastRenderedPageBreak/>
              <w:t xml:space="preserve"> </w:t>
            </w:r>
            <w:r w:rsidR="006E2E88">
              <w:rPr>
                <w:szCs w:val="20"/>
              </w:rPr>
              <w:t xml:space="preserve">The criteria for the first three indications are unchanged. </w:t>
            </w:r>
          </w:p>
          <w:p w:rsidR="00D95517" w:rsidRPr="006E2E88" w:rsidRDefault="00D95517" w:rsidP="006E2E88">
            <w:pPr>
              <w:tabs>
                <w:tab w:val="left" w:pos="283"/>
              </w:tabs>
              <w:ind w:left="-77"/>
              <w:rPr>
                <w:rFonts w:asciiTheme="minorHAnsi" w:hAnsiTheme="minorHAnsi"/>
                <w:sz w:val="24"/>
                <w:szCs w:val="24"/>
              </w:rPr>
            </w:pPr>
          </w:p>
          <w:p w:rsidR="00880ECB" w:rsidRDefault="00880ECB" w:rsidP="003A1F9D">
            <w:pPr>
              <w:spacing w:before="120" w:after="120"/>
              <w:rPr>
                <w:rFonts w:asciiTheme="minorHAnsi" w:hAnsiTheme="minorHAnsi"/>
                <w:szCs w:val="20"/>
              </w:rPr>
            </w:pPr>
          </w:p>
          <w:p w:rsidR="007D4439" w:rsidRDefault="007D4439" w:rsidP="003A1F9D">
            <w:pPr>
              <w:spacing w:before="120" w:after="120"/>
              <w:rPr>
                <w:rFonts w:asciiTheme="minorHAnsi" w:hAnsiTheme="minorHAnsi"/>
                <w:szCs w:val="20"/>
              </w:rPr>
            </w:pPr>
          </w:p>
          <w:p w:rsidR="007D4439" w:rsidRDefault="007D4439" w:rsidP="003A1F9D">
            <w:pPr>
              <w:spacing w:before="120" w:after="120"/>
              <w:rPr>
                <w:rFonts w:asciiTheme="minorHAnsi" w:hAnsiTheme="minorHAnsi"/>
                <w:szCs w:val="20"/>
              </w:rPr>
            </w:pPr>
          </w:p>
          <w:p w:rsidR="007D4439" w:rsidRDefault="007D4439" w:rsidP="003A1F9D">
            <w:pPr>
              <w:spacing w:before="120" w:after="120"/>
              <w:rPr>
                <w:rFonts w:asciiTheme="minorHAnsi" w:hAnsiTheme="minorHAnsi"/>
                <w:szCs w:val="20"/>
              </w:rPr>
            </w:pPr>
          </w:p>
          <w:p w:rsidR="007D4439" w:rsidRDefault="007D4439" w:rsidP="003A1F9D">
            <w:pPr>
              <w:spacing w:before="120" w:after="120"/>
              <w:rPr>
                <w:rFonts w:asciiTheme="minorHAnsi" w:hAnsiTheme="minorHAnsi"/>
                <w:szCs w:val="20"/>
              </w:rPr>
            </w:pPr>
          </w:p>
          <w:p w:rsidR="007D4439" w:rsidRDefault="007D4439" w:rsidP="003A1F9D">
            <w:pPr>
              <w:spacing w:before="120" w:after="120"/>
              <w:rPr>
                <w:rFonts w:asciiTheme="minorHAnsi" w:hAnsiTheme="minorHAnsi"/>
                <w:szCs w:val="20"/>
              </w:rPr>
            </w:pPr>
          </w:p>
          <w:p w:rsidR="007D4439" w:rsidRDefault="007D4439" w:rsidP="003A1F9D">
            <w:pPr>
              <w:spacing w:before="120" w:after="120"/>
              <w:rPr>
                <w:rFonts w:asciiTheme="minorHAnsi" w:hAnsiTheme="minorHAnsi"/>
                <w:szCs w:val="20"/>
              </w:rPr>
            </w:pPr>
          </w:p>
          <w:p w:rsidR="007D4439" w:rsidRDefault="007D4439" w:rsidP="003A1F9D">
            <w:pPr>
              <w:spacing w:before="120" w:after="120"/>
              <w:rPr>
                <w:rFonts w:asciiTheme="minorHAnsi" w:hAnsiTheme="minorHAnsi"/>
                <w:szCs w:val="20"/>
              </w:rPr>
            </w:pPr>
          </w:p>
          <w:p w:rsidR="007D4439" w:rsidRDefault="007D4439" w:rsidP="003A1F9D">
            <w:pPr>
              <w:spacing w:before="120" w:after="120"/>
              <w:rPr>
                <w:rFonts w:asciiTheme="minorHAnsi" w:hAnsiTheme="minorHAnsi"/>
                <w:szCs w:val="20"/>
              </w:rPr>
            </w:pPr>
          </w:p>
          <w:p w:rsidR="007D4439" w:rsidRDefault="007D4439" w:rsidP="003A1F9D">
            <w:pPr>
              <w:spacing w:before="120" w:after="120"/>
              <w:rPr>
                <w:rFonts w:asciiTheme="minorHAnsi" w:hAnsiTheme="minorHAnsi"/>
                <w:szCs w:val="20"/>
              </w:rPr>
            </w:pPr>
          </w:p>
          <w:p w:rsidR="007D4439" w:rsidRDefault="007D4439" w:rsidP="003A1F9D">
            <w:pPr>
              <w:spacing w:before="120" w:after="120"/>
              <w:rPr>
                <w:rFonts w:asciiTheme="minorHAnsi" w:hAnsiTheme="minorHAnsi"/>
                <w:szCs w:val="20"/>
              </w:rPr>
            </w:pPr>
          </w:p>
          <w:p w:rsidR="007D4439" w:rsidRDefault="007D4439" w:rsidP="003A1F9D">
            <w:pPr>
              <w:spacing w:before="120" w:after="120"/>
              <w:rPr>
                <w:rFonts w:asciiTheme="minorHAnsi" w:hAnsiTheme="minorHAnsi"/>
                <w:szCs w:val="20"/>
              </w:rPr>
            </w:pPr>
          </w:p>
          <w:p w:rsidR="007D4439" w:rsidRDefault="007D4439" w:rsidP="003A1F9D">
            <w:pPr>
              <w:spacing w:before="120" w:after="120"/>
              <w:rPr>
                <w:rFonts w:asciiTheme="minorHAnsi" w:hAnsiTheme="minorHAnsi"/>
                <w:szCs w:val="20"/>
              </w:rPr>
            </w:pPr>
          </w:p>
          <w:p w:rsidR="007D4439" w:rsidRDefault="007D4439" w:rsidP="003A1F9D">
            <w:pPr>
              <w:spacing w:before="120" w:after="120"/>
              <w:rPr>
                <w:rFonts w:asciiTheme="minorHAnsi" w:hAnsiTheme="minorHAnsi"/>
                <w:szCs w:val="20"/>
              </w:rPr>
            </w:pPr>
          </w:p>
          <w:p w:rsidR="007D4439" w:rsidRDefault="007D4439" w:rsidP="003A1F9D">
            <w:pPr>
              <w:spacing w:before="120" w:after="120"/>
              <w:rPr>
                <w:rFonts w:asciiTheme="minorHAnsi" w:hAnsiTheme="minorHAnsi"/>
                <w:szCs w:val="20"/>
              </w:rPr>
            </w:pPr>
          </w:p>
          <w:p w:rsidR="007D4439" w:rsidRDefault="007D4439" w:rsidP="003A1F9D">
            <w:pPr>
              <w:spacing w:before="120" w:after="120"/>
              <w:rPr>
                <w:rFonts w:asciiTheme="minorHAnsi" w:hAnsiTheme="minorHAnsi"/>
                <w:szCs w:val="20"/>
              </w:rPr>
            </w:pPr>
          </w:p>
          <w:p w:rsidR="007D4439" w:rsidRDefault="007D4439" w:rsidP="003A1F9D">
            <w:pPr>
              <w:spacing w:before="120" w:after="120"/>
              <w:rPr>
                <w:rFonts w:asciiTheme="minorHAnsi" w:hAnsiTheme="minorHAnsi"/>
                <w:szCs w:val="20"/>
              </w:rPr>
            </w:pPr>
          </w:p>
          <w:p w:rsidR="007D4439" w:rsidRDefault="007D4439" w:rsidP="003A1F9D">
            <w:pPr>
              <w:spacing w:before="120" w:after="120"/>
              <w:rPr>
                <w:rFonts w:asciiTheme="minorHAnsi" w:hAnsiTheme="minorHAnsi"/>
                <w:szCs w:val="20"/>
              </w:rPr>
            </w:pPr>
          </w:p>
          <w:p w:rsidR="007D4439" w:rsidRDefault="007D4439" w:rsidP="003A1F9D">
            <w:pPr>
              <w:spacing w:before="120" w:after="120"/>
              <w:rPr>
                <w:rFonts w:asciiTheme="minorHAnsi" w:hAnsiTheme="minorHAnsi"/>
                <w:szCs w:val="20"/>
              </w:rPr>
            </w:pPr>
          </w:p>
          <w:p w:rsidR="007D4439" w:rsidRDefault="007D4439" w:rsidP="003A1F9D">
            <w:pPr>
              <w:spacing w:before="120" w:after="120"/>
              <w:rPr>
                <w:rFonts w:asciiTheme="minorHAnsi" w:hAnsiTheme="minorHAnsi"/>
                <w:szCs w:val="20"/>
              </w:rPr>
            </w:pPr>
          </w:p>
          <w:p w:rsidR="007D4439" w:rsidRDefault="007D4439" w:rsidP="003A1F9D">
            <w:pPr>
              <w:spacing w:before="120" w:after="120"/>
              <w:rPr>
                <w:rFonts w:asciiTheme="minorHAnsi" w:hAnsiTheme="minorHAnsi"/>
                <w:szCs w:val="20"/>
              </w:rPr>
            </w:pPr>
          </w:p>
          <w:p w:rsidR="007D4439" w:rsidRDefault="007D4439" w:rsidP="003A1F9D">
            <w:pPr>
              <w:spacing w:before="120" w:after="120"/>
              <w:rPr>
                <w:rFonts w:asciiTheme="minorHAnsi" w:hAnsiTheme="minorHAnsi"/>
                <w:szCs w:val="20"/>
              </w:rPr>
            </w:pPr>
          </w:p>
          <w:p w:rsidR="007D4439" w:rsidRDefault="007D4439" w:rsidP="003A1F9D">
            <w:pPr>
              <w:spacing w:before="120" w:after="120"/>
              <w:rPr>
                <w:rFonts w:asciiTheme="minorHAnsi" w:hAnsiTheme="minorHAnsi"/>
                <w:szCs w:val="20"/>
              </w:rPr>
            </w:pPr>
          </w:p>
          <w:p w:rsidR="007D4439" w:rsidRDefault="007D4439" w:rsidP="003A1F9D">
            <w:pPr>
              <w:spacing w:before="120" w:after="120"/>
              <w:rPr>
                <w:rFonts w:asciiTheme="minorHAnsi" w:hAnsiTheme="minorHAnsi"/>
                <w:szCs w:val="20"/>
              </w:rPr>
            </w:pPr>
          </w:p>
          <w:p w:rsidR="007D4439" w:rsidRDefault="007D4439" w:rsidP="003A1F9D">
            <w:pPr>
              <w:spacing w:before="120" w:after="120"/>
              <w:rPr>
                <w:rFonts w:asciiTheme="minorHAnsi" w:hAnsiTheme="minorHAnsi"/>
                <w:szCs w:val="20"/>
              </w:rPr>
            </w:pPr>
          </w:p>
          <w:p w:rsidR="007D4439" w:rsidRDefault="007D4439" w:rsidP="003A1F9D">
            <w:pPr>
              <w:spacing w:before="120" w:after="120"/>
              <w:rPr>
                <w:rFonts w:asciiTheme="minorHAnsi" w:hAnsiTheme="minorHAnsi"/>
                <w:szCs w:val="20"/>
              </w:rPr>
            </w:pPr>
          </w:p>
          <w:p w:rsidR="007D4439" w:rsidRDefault="007D4439" w:rsidP="003A1F9D">
            <w:pPr>
              <w:spacing w:before="120" w:after="120"/>
              <w:rPr>
                <w:rFonts w:asciiTheme="minorHAnsi" w:hAnsiTheme="minorHAnsi"/>
                <w:szCs w:val="20"/>
              </w:rPr>
            </w:pPr>
          </w:p>
          <w:p w:rsidR="007D4439" w:rsidRDefault="007D4439" w:rsidP="003A1F9D">
            <w:pPr>
              <w:spacing w:before="120" w:after="120"/>
              <w:rPr>
                <w:rFonts w:asciiTheme="minorHAnsi" w:hAnsiTheme="minorHAnsi"/>
                <w:szCs w:val="20"/>
              </w:rPr>
            </w:pPr>
          </w:p>
          <w:p w:rsidR="007D4439" w:rsidRDefault="007D4439" w:rsidP="003A1F9D">
            <w:pPr>
              <w:spacing w:before="120" w:after="120"/>
              <w:rPr>
                <w:rFonts w:asciiTheme="minorHAnsi" w:hAnsiTheme="minorHAnsi"/>
                <w:szCs w:val="20"/>
              </w:rPr>
            </w:pPr>
          </w:p>
          <w:p w:rsidR="007D4439" w:rsidRDefault="007D4439" w:rsidP="003A1F9D">
            <w:pPr>
              <w:spacing w:before="120" w:after="120"/>
              <w:rPr>
                <w:rFonts w:asciiTheme="minorHAnsi" w:hAnsiTheme="minorHAnsi"/>
                <w:szCs w:val="20"/>
              </w:rPr>
            </w:pPr>
          </w:p>
          <w:p w:rsidR="007D4439" w:rsidRDefault="007D4439" w:rsidP="003A1F9D">
            <w:pPr>
              <w:spacing w:before="120" w:after="120"/>
              <w:rPr>
                <w:rFonts w:asciiTheme="minorHAnsi" w:hAnsiTheme="minorHAnsi"/>
                <w:szCs w:val="20"/>
              </w:rPr>
            </w:pPr>
          </w:p>
          <w:p w:rsidR="007D4439" w:rsidRDefault="007D4439" w:rsidP="003A1F9D">
            <w:pPr>
              <w:spacing w:before="120" w:after="120"/>
              <w:rPr>
                <w:rFonts w:asciiTheme="minorHAnsi" w:hAnsiTheme="minorHAnsi"/>
                <w:szCs w:val="20"/>
              </w:rPr>
            </w:pPr>
          </w:p>
          <w:p w:rsidR="007D4439" w:rsidRDefault="007D4439" w:rsidP="007D4439">
            <w:pPr>
              <w:spacing w:before="120" w:after="120"/>
              <w:rPr>
                <w:rFonts w:asciiTheme="minorHAnsi" w:hAnsiTheme="minorHAnsi"/>
                <w:szCs w:val="20"/>
              </w:rPr>
            </w:pPr>
            <w:r>
              <w:rPr>
                <w:rFonts w:asciiTheme="minorHAnsi" w:hAnsiTheme="minorHAnsi"/>
                <w:szCs w:val="20"/>
              </w:rPr>
              <w:t xml:space="preserve">Consistent criteria have been developed across both Kidney and Solid organ transplantation (other than kidney) for </w:t>
            </w:r>
            <w:r w:rsidR="00F72490">
              <w:rPr>
                <w:rFonts w:asciiTheme="minorHAnsi" w:hAnsiTheme="minorHAnsi"/>
                <w:szCs w:val="20"/>
              </w:rPr>
              <w:t xml:space="preserve">‘De-sensitisation of patients to increase the likelihood of transplantation’. </w:t>
            </w:r>
            <w:r>
              <w:rPr>
                <w:rFonts w:asciiTheme="minorHAnsi" w:hAnsiTheme="minorHAnsi"/>
                <w:szCs w:val="20"/>
              </w:rPr>
              <w:t xml:space="preserve"> Evidence items will capture the type(s) of HLA Ab, the MFI and testing platform.</w:t>
            </w:r>
          </w:p>
          <w:p w:rsidR="007D4439" w:rsidRDefault="007D4439" w:rsidP="007D4439">
            <w:pPr>
              <w:spacing w:before="120" w:after="120"/>
              <w:rPr>
                <w:rFonts w:asciiTheme="minorHAnsi" w:hAnsiTheme="minorHAnsi"/>
                <w:szCs w:val="20"/>
              </w:rPr>
            </w:pPr>
          </w:p>
          <w:p w:rsidR="00A82360" w:rsidRDefault="00A82360" w:rsidP="007D4439">
            <w:pPr>
              <w:spacing w:before="120" w:after="120"/>
              <w:rPr>
                <w:rFonts w:asciiTheme="minorHAnsi" w:hAnsiTheme="minorHAnsi"/>
                <w:szCs w:val="20"/>
              </w:rPr>
            </w:pPr>
          </w:p>
          <w:p w:rsidR="00A82360" w:rsidRDefault="00A82360" w:rsidP="007D4439">
            <w:pPr>
              <w:spacing w:before="120" w:after="120"/>
              <w:rPr>
                <w:rFonts w:asciiTheme="minorHAnsi" w:hAnsiTheme="minorHAnsi"/>
                <w:szCs w:val="20"/>
              </w:rPr>
            </w:pPr>
          </w:p>
          <w:p w:rsidR="007D4439" w:rsidRDefault="007D4439" w:rsidP="007D4439">
            <w:pPr>
              <w:spacing w:before="120" w:after="120"/>
              <w:rPr>
                <w:rFonts w:asciiTheme="minorHAnsi" w:hAnsiTheme="minorHAnsi"/>
                <w:szCs w:val="20"/>
              </w:rPr>
            </w:pPr>
          </w:p>
          <w:p w:rsidR="007D4439" w:rsidRDefault="007D4439" w:rsidP="007D4439">
            <w:pPr>
              <w:spacing w:before="120" w:after="120"/>
              <w:rPr>
                <w:rFonts w:asciiTheme="minorHAnsi" w:hAnsiTheme="minorHAnsi"/>
                <w:szCs w:val="20"/>
              </w:rPr>
            </w:pPr>
            <w:r>
              <w:rPr>
                <w:rFonts w:asciiTheme="minorHAnsi" w:hAnsiTheme="minorHAnsi"/>
                <w:szCs w:val="20"/>
              </w:rPr>
              <w:t xml:space="preserve">Evidence items </w:t>
            </w:r>
            <w:r w:rsidR="00A82360">
              <w:rPr>
                <w:rFonts w:asciiTheme="minorHAnsi" w:hAnsiTheme="minorHAnsi"/>
                <w:szCs w:val="20"/>
              </w:rPr>
              <w:t xml:space="preserve">for ‘ongoing active antibody mediated rejection’ </w:t>
            </w:r>
            <w:r>
              <w:rPr>
                <w:rFonts w:asciiTheme="minorHAnsi" w:hAnsiTheme="minorHAnsi"/>
                <w:szCs w:val="20"/>
              </w:rPr>
              <w:t xml:space="preserve">will include the date of organ transplant, key biopsy findings and confirmation that BANFF criteria are met. </w:t>
            </w:r>
          </w:p>
          <w:p w:rsidR="007D4439" w:rsidRPr="00C92149" w:rsidRDefault="007D4439" w:rsidP="003A1F9D">
            <w:pPr>
              <w:spacing w:before="120" w:after="120"/>
              <w:rPr>
                <w:rFonts w:asciiTheme="minorHAnsi" w:hAnsiTheme="minorHAnsi"/>
                <w:szCs w:val="20"/>
              </w:rPr>
            </w:pPr>
          </w:p>
        </w:tc>
      </w:tr>
      <w:tr w:rsidR="00021243" w:rsidRPr="00853117" w:rsidTr="003A7E5D">
        <w:tc>
          <w:tcPr>
            <w:tcW w:w="1560" w:type="dxa"/>
            <w:shd w:val="clear" w:color="auto" w:fill="D9D9D9" w:themeFill="background1" w:themeFillShade="D9"/>
          </w:tcPr>
          <w:p w:rsidR="00021243" w:rsidRPr="00447869" w:rsidRDefault="00021243" w:rsidP="00F91CA7">
            <w:pPr>
              <w:spacing w:before="120" w:after="120"/>
              <w:rPr>
                <w:rFonts w:asciiTheme="minorHAnsi" w:hAnsiTheme="minorHAnsi"/>
              </w:rPr>
            </w:pPr>
            <w:r w:rsidRPr="00447869">
              <w:rPr>
                <w:rFonts w:asciiTheme="minorHAnsi" w:hAnsiTheme="minorHAnsi"/>
                <w:b/>
              </w:rPr>
              <w:lastRenderedPageBreak/>
              <w:t>Review Criteria</w:t>
            </w:r>
          </w:p>
        </w:tc>
        <w:tc>
          <w:tcPr>
            <w:tcW w:w="3828" w:type="dxa"/>
          </w:tcPr>
          <w:p w:rsidR="003A7E5D" w:rsidRDefault="00282F66" w:rsidP="003A7E5D">
            <w:pPr>
              <w:spacing w:before="120" w:after="120"/>
              <w:rPr>
                <w:b/>
              </w:rPr>
            </w:pPr>
            <w:r>
              <w:rPr>
                <w:rFonts w:asciiTheme="minorHAnsi" w:hAnsiTheme="minorHAnsi"/>
              </w:rPr>
              <w:t xml:space="preserve"> </w:t>
            </w:r>
            <w:r w:rsidR="00D95517" w:rsidRPr="00D95517">
              <w:rPr>
                <w:rFonts w:asciiTheme="minorHAnsi" w:hAnsiTheme="minorHAnsi"/>
              </w:rPr>
              <w:t xml:space="preserve"> </w:t>
            </w:r>
            <w:r w:rsidR="003A7E5D" w:rsidRPr="00D95517">
              <w:rPr>
                <w:b/>
              </w:rPr>
              <w:t>No review is required for one-off dosing</w:t>
            </w:r>
          </w:p>
          <w:p w:rsidR="00021243" w:rsidRPr="00447869" w:rsidRDefault="00021243" w:rsidP="00BB56DB">
            <w:pPr>
              <w:pStyle w:val="Default"/>
              <w:spacing w:before="120" w:after="120"/>
              <w:rPr>
                <w:rFonts w:asciiTheme="minorHAnsi" w:hAnsiTheme="minorHAnsi"/>
              </w:rPr>
            </w:pPr>
          </w:p>
        </w:tc>
        <w:tc>
          <w:tcPr>
            <w:tcW w:w="4819" w:type="dxa"/>
            <w:gridSpan w:val="3"/>
          </w:tcPr>
          <w:p w:rsidR="00D95517" w:rsidRPr="00FA1C94" w:rsidRDefault="00282F66" w:rsidP="003A7E5D">
            <w:pPr>
              <w:spacing w:before="120" w:after="120"/>
              <w:rPr>
                <w:rFonts w:asciiTheme="minorHAnsi" w:hAnsiTheme="minorHAnsi"/>
                <w:b/>
              </w:rPr>
            </w:pPr>
            <w:r w:rsidRPr="00FA1C94">
              <w:rPr>
                <w:rFonts w:asciiTheme="minorHAnsi" w:hAnsiTheme="minorHAnsi"/>
                <w:b/>
              </w:rPr>
              <w:t xml:space="preserve"> </w:t>
            </w:r>
            <w:r w:rsidR="00CE1A81" w:rsidRPr="00FA1C94">
              <w:rPr>
                <w:rFonts w:asciiTheme="minorHAnsi" w:hAnsiTheme="minorHAnsi"/>
                <w:b/>
              </w:rPr>
              <w:t>Immediate pre-transplant where donor specific antibody/ies prevent transplantation (HLA or anti-blood group) in highly sensitised patients</w:t>
            </w:r>
          </w:p>
          <w:p w:rsidR="005B525F" w:rsidRPr="00FA1C94" w:rsidRDefault="005B525F" w:rsidP="005B525F">
            <w:pPr>
              <w:spacing w:before="120" w:after="120"/>
              <w:rPr>
                <w:rFonts w:asciiTheme="minorHAnsi" w:hAnsiTheme="minorHAnsi"/>
              </w:rPr>
            </w:pPr>
            <w:r w:rsidRPr="00FA1C94">
              <w:rPr>
                <w:rFonts w:asciiTheme="minorHAnsi" w:hAnsiTheme="minorHAnsi"/>
              </w:rPr>
              <w:t xml:space="preserve">Review is not mandated for this </w:t>
            </w:r>
            <w:r w:rsidR="00097B41" w:rsidRPr="00FA1C94">
              <w:rPr>
                <w:rFonts w:asciiTheme="minorHAnsi" w:hAnsiTheme="minorHAnsi"/>
              </w:rPr>
              <w:t>indication</w:t>
            </w:r>
            <w:r w:rsidRPr="00FA1C94">
              <w:rPr>
                <w:rFonts w:asciiTheme="minorHAnsi" w:hAnsiTheme="minorHAnsi"/>
              </w:rPr>
              <w:t xml:space="preserve"> however the following criteria may be useful in assessing the effectiveness of therapy.</w:t>
            </w:r>
          </w:p>
          <w:p w:rsidR="005B525F" w:rsidRPr="00FA1C94" w:rsidRDefault="005B525F" w:rsidP="005B525F">
            <w:pPr>
              <w:spacing w:before="120" w:after="120"/>
              <w:rPr>
                <w:rFonts w:asciiTheme="minorHAnsi" w:hAnsiTheme="minorHAnsi"/>
              </w:rPr>
            </w:pPr>
            <w:r w:rsidRPr="00FA1C94">
              <w:rPr>
                <w:rFonts w:asciiTheme="minorHAnsi" w:hAnsiTheme="minorHAnsi"/>
              </w:rPr>
              <w:t xml:space="preserve">Clinical effectiveness of Ig therapy may be demonstrated by: </w:t>
            </w:r>
          </w:p>
          <w:p w:rsidR="005B525F" w:rsidRPr="00FA1C94" w:rsidRDefault="005B525F" w:rsidP="0019300B">
            <w:pPr>
              <w:pStyle w:val="ListParagraph"/>
              <w:numPr>
                <w:ilvl w:val="0"/>
                <w:numId w:val="49"/>
              </w:numPr>
              <w:spacing w:before="120" w:after="120"/>
              <w:rPr>
                <w:rFonts w:asciiTheme="minorHAnsi" w:hAnsiTheme="minorHAnsi"/>
              </w:rPr>
            </w:pPr>
            <w:r w:rsidRPr="00FA1C94">
              <w:rPr>
                <w:rFonts w:asciiTheme="minorHAnsi" w:hAnsiTheme="minorHAnsi"/>
              </w:rPr>
              <w:t>Reduction in antibody level</w:t>
            </w:r>
          </w:p>
          <w:p w:rsidR="005B525F" w:rsidRPr="00FA1C94" w:rsidRDefault="005B525F" w:rsidP="00FA1C94">
            <w:pPr>
              <w:pStyle w:val="ListParagraph"/>
              <w:numPr>
                <w:ilvl w:val="0"/>
                <w:numId w:val="49"/>
              </w:numPr>
              <w:spacing w:before="120" w:after="120"/>
              <w:rPr>
                <w:rFonts w:asciiTheme="minorHAnsi" w:hAnsiTheme="minorHAnsi"/>
              </w:rPr>
            </w:pPr>
            <w:r w:rsidRPr="00FA1C94">
              <w:rPr>
                <w:rFonts w:asciiTheme="minorHAnsi" w:hAnsiTheme="minorHAnsi"/>
              </w:rPr>
              <w:lastRenderedPageBreak/>
              <w:t>Transplantation proceeds</w:t>
            </w:r>
          </w:p>
          <w:p w:rsidR="005B525F" w:rsidRPr="00FA1C94" w:rsidRDefault="005B525F" w:rsidP="00FA1C94">
            <w:pPr>
              <w:pStyle w:val="ListParagraph"/>
              <w:spacing w:before="120" w:after="120"/>
              <w:ind w:left="754"/>
              <w:rPr>
                <w:rFonts w:asciiTheme="minorHAnsi" w:hAnsiTheme="minorHAnsi"/>
              </w:rPr>
            </w:pPr>
          </w:p>
          <w:p w:rsidR="00CE1A81" w:rsidRPr="009604F1" w:rsidRDefault="00CE1A81" w:rsidP="003A7E5D">
            <w:pPr>
              <w:spacing w:before="120" w:after="120"/>
              <w:rPr>
                <w:rFonts w:asciiTheme="minorHAnsi" w:hAnsiTheme="minorHAnsi"/>
                <w:b/>
              </w:rPr>
            </w:pPr>
            <w:r w:rsidRPr="009604F1">
              <w:rPr>
                <w:rFonts w:asciiTheme="minorHAnsi" w:hAnsiTheme="minorHAnsi"/>
                <w:b/>
              </w:rPr>
              <w:t>Post-transplant - Acute antibody mediated rejection</w:t>
            </w:r>
          </w:p>
          <w:p w:rsidR="005B525F" w:rsidRPr="00FA1C94" w:rsidRDefault="005B525F" w:rsidP="005B525F">
            <w:pPr>
              <w:spacing w:before="120" w:after="120"/>
              <w:rPr>
                <w:rFonts w:asciiTheme="minorHAnsi" w:hAnsiTheme="minorHAnsi"/>
              </w:rPr>
            </w:pPr>
            <w:r w:rsidRPr="00FA1C94">
              <w:rPr>
                <w:rFonts w:asciiTheme="minorHAnsi" w:hAnsiTheme="minorHAnsi"/>
              </w:rPr>
              <w:t>Review is n</w:t>
            </w:r>
            <w:r w:rsidR="00097B41" w:rsidRPr="00FA1C94">
              <w:rPr>
                <w:rFonts w:asciiTheme="minorHAnsi" w:hAnsiTheme="minorHAnsi"/>
              </w:rPr>
              <w:t>ot mandated for this indica</w:t>
            </w:r>
            <w:r w:rsidRPr="00FA1C94">
              <w:rPr>
                <w:rFonts w:asciiTheme="minorHAnsi" w:hAnsiTheme="minorHAnsi"/>
              </w:rPr>
              <w:t>tion however the following criteria may be useful in assessing the effectiveness of therapy.</w:t>
            </w:r>
          </w:p>
          <w:p w:rsidR="005B525F" w:rsidRPr="00FA1C94" w:rsidRDefault="005B525F" w:rsidP="005B525F">
            <w:pPr>
              <w:spacing w:before="120" w:after="120"/>
              <w:rPr>
                <w:rFonts w:asciiTheme="minorHAnsi" w:hAnsiTheme="minorHAnsi"/>
              </w:rPr>
            </w:pPr>
            <w:r w:rsidRPr="00FA1C94">
              <w:rPr>
                <w:rFonts w:asciiTheme="minorHAnsi" w:hAnsiTheme="minorHAnsi"/>
              </w:rPr>
              <w:t xml:space="preserve">Clinical effectiveness of Ig therapy may be demonstrated by: </w:t>
            </w:r>
          </w:p>
          <w:p w:rsidR="005B525F" w:rsidRPr="00FA1C94" w:rsidRDefault="005B525F" w:rsidP="0019300B">
            <w:pPr>
              <w:pStyle w:val="ListParagraph"/>
              <w:numPr>
                <w:ilvl w:val="0"/>
                <w:numId w:val="49"/>
              </w:numPr>
              <w:spacing w:before="120" w:after="120"/>
              <w:rPr>
                <w:rFonts w:asciiTheme="minorHAnsi" w:hAnsiTheme="minorHAnsi"/>
              </w:rPr>
            </w:pPr>
            <w:r w:rsidRPr="00FA1C94">
              <w:rPr>
                <w:rFonts w:asciiTheme="minorHAnsi" w:hAnsiTheme="minorHAnsi"/>
              </w:rPr>
              <w:t>Reduction in antibody level</w:t>
            </w:r>
          </w:p>
          <w:p w:rsidR="005B525F" w:rsidRPr="00FA1C94" w:rsidRDefault="0019300B" w:rsidP="0019300B">
            <w:pPr>
              <w:pStyle w:val="ListParagraph"/>
              <w:numPr>
                <w:ilvl w:val="0"/>
                <w:numId w:val="49"/>
              </w:numPr>
              <w:spacing w:before="120" w:after="120"/>
              <w:rPr>
                <w:rFonts w:asciiTheme="minorHAnsi" w:hAnsiTheme="minorHAnsi"/>
              </w:rPr>
            </w:pPr>
            <w:r w:rsidRPr="00FA1C94">
              <w:rPr>
                <w:rFonts w:asciiTheme="minorHAnsi" w:hAnsiTheme="minorHAnsi"/>
              </w:rPr>
              <w:t>Reduction</w:t>
            </w:r>
            <w:r w:rsidR="005B525F" w:rsidRPr="00FA1C94">
              <w:rPr>
                <w:rFonts w:asciiTheme="minorHAnsi" w:hAnsiTheme="minorHAnsi"/>
              </w:rPr>
              <w:t xml:space="preserve"> in </w:t>
            </w:r>
            <w:r w:rsidRPr="00FA1C94">
              <w:rPr>
                <w:rFonts w:asciiTheme="minorHAnsi" w:hAnsiTheme="minorHAnsi"/>
              </w:rPr>
              <w:t xml:space="preserve">evidence of </w:t>
            </w:r>
            <w:r w:rsidR="00097B41" w:rsidRPr="00FA1C94">
              <w:rPr>
                <w:rFonts w:asciiTheme="minorHAnsi" w:hAnsiTheme="minorHAnsi"/>
              </w:rPr>
              <w:t xml:space="preserve">graft </w:t>
            </w:r>
            <w:r w:rsidRPr="00FA1C94">
              <w:rPr>
                <w:rFonts w:asciiTheme="minorHAnsi" w:hAnsiTheme="minorHAnsi"/>
              </w:rPr>
              <w:t xml:space="preserve">rejection </w:t>
            </w:r>
            <w:r w:rsidR="00097B41" w:rsidRPr="00FA1C94">
              <w:rPr>
                <w:rFonts w:asciiTheme="minorHAnsi" w:hAnsiTheme="minorHAnsi"/>
              </w:rPr>
              <w:t>o</w:t>
            </w:r>
            <w:r w:rsidRPr="00FA1C94">
              <w:rPr>
                <w:rFonts w:asciiTheme="minorHAnsi" w:hAnsiTheme="minorHAnsi"/>
              </w:rPr>
              <w:t xml:space="preserve">n </w:t>
            </w:r>
            <w:r w:rsidR="005B525F" w:rsidRPr="00FA1C94">
              <w:rPr>
                <w:rFonts w:asciiTheme="minorHAnsi" w:hAnsiTheme="minorHAnsi"/>
              </w:rPr>
              <w:t xml:space="preserve">biopsy </w:t>
            </w:r>
          </w:p>
          <w:p w:rsidR="005B525F" w:rsidRPr="00FA1C94" w:rsidRDefault="005B525F" w:rsidP="0019300B">
            <w:pPr>
              <w:pStyle w:val="ListParagraph"/>
              <w:numPr>
                <w:ilvl w:val="0"/>
                <w:numId w:val="49"/>
              </w:numPr>
              <w:spacing w:before="120" w:after="120"/>
              <w:rPr>
                <w:rFonts w:asciiTheme="minorHAnsi" w:hAnsiTheme="minorHAnsi"/>
              </w:rPr>
            </w:pPr>
            <w:r w:rsidRPr="00FA1C94">
              <w:rPr>
                <w:rFonts w:asciiTheme="minorHAnsi" w:hAnsiTheme="minorHAnsi"/>
              </w:rPr>
              <w:t>Improvement in graft function</w:t>
            </w:r>
          </w:p>
          <w:p w:rsidR="005B525F" w:rsidRPr="009604F1" w:rsidRDefault="005B525F" w:rsidP="003A7E5D">
            <w:pPr>
              <w:spacing w:before="120" w:after="120"/>
              <w:rPr>
                <w:rFonts w:asciiTheme="minorHAnsi" w:hAnsiTheme="minorHAnsi"/>
                <w:b/>
              </w:rPr>
            </w:pPr>
          </w:p>
          <w:p w:rsidR="00CE1A81" w:rsidRPr="00FA1C94" w:rsidRDefault="00CE1A81" w:rsidP="003A7E5D">
            <w:pPr>
              <w:spacing w:before="120" w:after="120"/>
              <w:rPr>
                <w:rFonts w:asciiTheme="minorHAnsi" w:hAnsiTheme="minorHAnsi"/>
                <w:b/>
              </w:rPr>
            </w:pPr>
            <w:r w:rsidRPr="009604F1">
              <w:rPr>
                <w:rFonts w:asciiTheme="minorHAnsi" w:hAnsiTheme="minorHAnsi"/>
                <w:b/>
              </w:rPr>
              <w:t>Treatment or prevention of graft rejection where convent</w:t>
            </w:r>
            <w:r w:rsidRPr="00FA1C94">
              <w:rPr>
                <w:rFonts w:asciiTheme="minorHAnsi" w:hAnsiTheme="minorHAnsi"/>
                <w:b/>
              </w:rPr>
              <w:t>ional immunosuppressive therapies is contraindicated or pose a threat to the graft or patient</w:t>
            </w:r>
          </w:p>
          <w:p w:rsidR="005B525F" w:rsidRPr="00FA1C94" w:rsidRDefault="005B525F" w:rsidP="005B525F">
            <w:pPr>
              <w:spacing w:before="120" w:after="120"/>
              <w:rPr>
                <w:rFonts w:asciiTheme="minorHAnsi" w:hAnsiTheme="minorHAnsi"/>
              </w:rPr>
            </w:pPr>
            <w:r w:rsidRPr="00FA1C94">
              <w:rPr>
                <w:rFonts w:asciiTheme="minorHAnsi" w:hAnsiTheme="minorHAnsi"/>
              </w:rPr>
              <w:t xml:space="preserve"> Review is n</w:t>
            </w:r>
            <w:r w:rsidR="00097B41" w:rsidRPr="00FA1C94">
              <w:rPr>
                <w:rFonts w:asciiTheme="minorHAnsi" w:hAnsiTheme="minorHAnsi"/>
              </w:rPr>
              <w:t>ot mandated for this indica</w:t>
            </w:r>
            <w:r w:rsidRPr="00FA1C94">
              <w:rPr>
                <w:rFonts w:asciiTheme="minorHAnsi" w:hAnsiTheme="minorHAnsi"/>
              </w:rPr>
              <w:t>tion however the following criteria may be useful in assessing the effectiveness of therapy.</w:t>
            </w:r>
          </w:p>
          <w:p w:rsidR="005B525F" w:rsidRPr="00FA1C94" w:rsidRDefault="005B525F" w:rsidP="005B525F">
            <w:pPr>
              <w:spacing w:before="120" w:after="120"/>
              <w:rPr>
                <w:rFonts w:asciiTheme="minorHAnsi" w:hAnsiTheme="minorHAnsi"/>
              </w:rPr>
            </w:pPr>
            <w:r w:rsidRPr="00FA1C94">
              <w:rPr>
                <w:rFonts w:asciiTheme="minorHAnsi" w:hAnsiTheme="minorHAnsi"/>
              </w:rPr>
              <w:t xml:space="preserve">Clinical effectiveness of Ig therapy may be demonstrated by: </w:t>
            </w:r>
          </w:p>
          <w:p w:rsidR="0019300B" w:rsidRPr="00FA1C94" w:rsidRDefault="0019300B" w:rsidP="0019300B">
            <w:pPr>
              <w:pStyle w:val="ListParagraph"/>
              <w:numPr>
                <w:ilvl w:val="0"/>
                <w:numId w:val="49"/>
              </w:numPr>
              <w:spacing w:before="120" w:after="120"/>
              <w:rPr>
                <w:rFonts w:asciiTheme="minorHAnsi" w:hAnsiTheme="minorHAnsi"/>
              </w:rPr>
            </w:pPr>
            <w:r w:rsidRPr="00FA1C94">
              <w:rPr>
                <w:rFonts w:asciiTheme="minorHAnsi" w:hAnsiTheme="minorHAnsi"/>
              </w:rPr>
              <w:t xml:space="preserve">Reduction in evidence of rejection </w:t>
            </w:r>
            <w:r w:rsidR="0077486F">
              <w:rPr>
                <w:rFonts w:asciiTheme="minorHAnsi" w:hAnsiTheme="minorHAnsi"/>
              </w:rPr>
              <w:t>o</w:t>
            </w:r>
            <w:r w:rsidRPr="00FA1C94">
              <w:rPr>
                <w:rFonts w:asciiTheme="minorHAnsi" w:hAnsiTheme="minorHAnsi"/>
              </w:rPr>
              <w:t xml:space="preserve">n biopsy </w:t>
            </w:r>
          </w:p>
          <w:p w:rsidR="005B525F" w:rsidRPr="00FA1C94" w:rsidRDefault="0019300B" w:rsidP="00FA1C94">
            <w:pPr>
              <w:pStyle w:val="ListParagraph"/>
              <w:numPr>
                <w:ilvl w:val="0"/>
                <w:numId w:val="49"/>
              </w:numPr>
              <w:spacing w:before="120" w:after="120"/>
              <w:rPr>
                <w:rFonts w:asciiTheme="minorHAnsi" w:hAnsiTheme="minorHAnsi"/>
              </w:rPr>
            </w:pPr>
            <w:r w:rsidRPr="00FA1C94">
              <w:rPr>
                <w:rFonts w:asciiTheme="minorHAnsi" w:hAnsiTheme="minorHAnsi"/>
              </w:rPr>
              <w:t>Improvement in graft function</w:t>
            </w:r>
          </w:p>
          <w:p w:rsidR="00CE1A81" w:rsidRPr="009604F1" w:rsidRDefault="00FB6772" w:rsidP="003A7E5D">
            <w:pPr>
              <w:spacing w:before="120" w:after="120"/>
              <w:rPr>
                <w:rFonts w:asciiTheme="minorHAnsi" w:hAnsiTheme="minorHAnsi"/>
                <w:b/>
              </w:rPr>
            </w:pPr>
            <w:r w:rsidRPr="009604F1">
              <w:rPr>
                <w:rFonts w:asciiTheme="minorHAnsi" w:hAnsiTheme="minorHAnsi"/>
                <w:b/>
              </w:rPr>
              <w:lastRenderedPageBreak/>
              <w:t>De</w:t>
            </w:r>
            <w:r w:rsidR="00CE1A81" w:rsidRPr="009604F1">
              <w:rPr>
                <w:rFonts w:asciiTheme="minorHAnsi" w:hAnsiTheme="minorHAnsi"/>
                <w:b/>
              </w:rPr>
              <w:t>-sensitisation of patients to increase the likelihood of transplantation</w:t>
            </w:r>
          </w:p>
          <w:p w:rsidR="00CE1A81" w:rsidRPr="00FA1C94" w:rsidRDefault="00CE1A81" w:rsidP="00CE1A81">
            <w:pPr>
              <w:spacing w:before="120" w:after="120"/>
              <w:rPr>
                <w:rFonts w:asciiTheme="minorHAnsi" w:hAnsiTheme="minorHAnsi"/>
              </w:rPr>
            </w:pPr>
            <w:r w:rsidRPr="00FA1C94">
              <w:rPr>
                <w:rFonts w:asciiTheme="minorHAnsi" w:hAnsiTheme="minorHAnsi"/>
              </w:rPr>
              <w:t xml:space="preserve">Review by a Transplantation Specialist is required within 2 months of treatment to determine whether the patient has responded. If no response, Ig therapy should be ceased. The maximum period of treatment is six months. </w:t>
            </w:r>
          </w:p>
          <w:p w:rsidR="00CE1A81" w:rsidRPr="00FA1C94" w:rsidRDefault="00CE1A81" w:rsidP="00CE1A81">
            <w:pPr>
              <w:spacing w:before="120" w:after="120"/>
              <w:rPr>
                <w:rFonts w:asciiTheme="minorHAnsi" w:hAnsiTheme="minorHAnsi"/>
              </w:rPr>
            </w:pPr>
          </w:p>
          <w:p w:rsidR="00CE1A81" w:rsidRPr="00FA1C94" w:rsidRDefault="00CE1A81" w:rsidP="00CE1A81">
            <w:pPr>
              <w:spacing w:before="120" w:after="120"/>
              <w:rPr>
                <w:rFonts w:asciiTheme="minorHAnsi" w:hAnsiTheme="minorHAnsi"/>
                <w:b/>
              </w:rPr>
            </w:pPr>
            <w:r w:rsidRPr="00FA1C94">
              <w:rPr>
                <w:rFonts w:asciiTheme="minorHAnsi" w:hAnsiTheme="minorHAnsi"/>
              </w:rPr>
              <w:t xml:space="preserve">Documentation of clinical effectiveness is necessary for continuation of </w:t>
            </w:r>
            <w:r w:rsidR="00F6525C" w:rsidRPr="00FA1C94">
              <w:rPr>
                <w:rFonts w:asciiTheme="minorHAnsi" w:hAnsiTheme="minorHAnsi"/>
              </w:rPr>
              <w:t>IVIg</w:t>
            </w:r>
            <w:r w:rsidRPr="00FA1C94">
              <w:rPr>
                <w:rFonts w:asciiTheme="minorHAnsi" w:hAnsiTheme="minorHAnsi"/>
              </w:rPr>
              <w:t xml:space="preserve"> therapy.</w:t>
            </w:r>
            <w:r w:rsidRPr="00FA1C94">
              <w:rPr>
                <w:rFonts w:asciiTheme="minorHAnsi" w:hAnsiTheme="minorHAnsi"/>
                <w:b/>
              </w:rPr>
              <w:t xml:space="preserve">  </w:t>
            </w:r>
          </w:p>
          <w:p w:rsidR="00CE1A81" w:rsidRPr="00FA1C94" w:rsidRDefault="00CE1A81" w:rsidP="00CE1A81">
            <w:pPr>
              <w:spacing w:before="120" w:after="120"/>
              <w:rPr>
                <w:rFonts w:asciiTheme="minorHAnsi" w:hAnsiTheme="minorHAnsi"/>
                <w:b/>
              </w:rPr>
            </w:pPr>
            <w:r w:rsidRPr="00FA1C94">
              <w:rPr>
                <w:rFonts w:asciiTheme="minorHAnsi" w:hAnsiTheme="minorHAnsi"/>
                <w:b/>
              </w:rPr>
              <w:t>On review of the initial authorisation period</w:t>
            </w:r>
          </w:p>
          <w:p w:rsidR="00CE1A81" w:rsidRPr="00FA1C94" w:rsidRDefault="00CE1A81" w:rsidP="00CE1A81">
            <w:pPr>
              <w:spacing w:before="120" w:after="120"/>
              <w:rPr>
                <w:rFonts w:asciiTheme="minorHAnsi" w:hAnsiTheme="minorHAnsi"/>
              </w:rPr>
            </w:pPr>
            <w:r w:rsidRPr="00FA1C94">
              <w:rPr>
                <w:rFonts w:asciiTheme="minorHAnsi" w:hAnsiTheme="minorHAnsi"/>
              </w:rPr>
              <w:t>Clinical effectiveness of Ig therapy can be demonstrated by:</w:t>
            </w:r>
          </w:p>
          <w:p w:rsidR="00CE1A81" w:rsidRPr="00FA1C94" w:rsidRDefault="00CE1A81" w:rsidP="0019300B">
            <w:pPr>
              <w:pStyle w:val="ListParagraph"/>
              <w:numPr>
                <w:ilvl w:val="0"/>
                <w:numId w:val="49"/>
              </w:numPr>
              <w:spacing w:before="120" w:after="120"/>
              <w:rPr>
                <w:rFonts w:asciiTheme="minorHAnsi" w:hAnsiTheme="minorHAnsi"/>
              </w:rPr>
            </w:pPr>
            <w:r w:rsidRPr="00FA1C94">
              <w:rPr>
                <w:rFonts w:asciiTheme="minorHAnsi" w:hAnsiTheme="minorHAnsi"/>
              </w:rPr>
              <w:t>Reduction in the level of HLA Antibody(ies) as demonstrated by a decrease in the MFI (or functional reactivity) compared to the qualifying assessment</w:t>
            </w:r>
          </w:p>
          <w:p w:rsidR="00CE1A81" w:rsidRPr="00FA1C94" w:rsidRDefault="00CE1A81" w:rsidP="00CE1A81">
            <w:pPr>
              <w:spacing w:before="120" w:after="120"/>
              <w:jc w:val="center"/>
              <w:rPr>
                <w:rFonts w:asciiTheme="minorHAnsi" w:hAnsiTheme="minorHAnsi"/>
              </w:rPr>
            </w:pPr>
            <w:r w:rsidRPr="00FA1C94">
              <w:rPr>
                <w:rFonts w:asciiTheme="minorHAnsi" w:hAnsiTheme="minorHAnsi"/>
              </w:rPr>
              <w:t>OR</w:t>
            </w:r>
          </w:p>
          <w:p w:rsidR="00CE1A81" w:rsidRPr="00FA1C94" w:rsidRDefault="00CE1A81" w:rsidP="0019300B">
            <w:pPr>
              <w:pStyle w:val="ListParagraph"/>
              <w:numPr>
                <w:ilvl w:val="0"/>
                <w:numId w:val="49"/>
              </w:numPr>
              <w:spacing w:before="120" w:after="120"/>
              <w:rPr>
                <w:rFonts w:asciiTheme="minorHAnsi" w:hAnsiTheme="minorHAnsi"/>
              </w:rPr>
            </w:pPr>
            <w:r w:rsidRPr="00FA1C94">
              <w:rPr>
                <w:rFonts w:asciiTheme="minorHAnsi" w:hAnsiTheme="minorHAnsi"/>
              </w:rPr>
              <w:t>A reduction in Non HLA Ab, if relevant</w:t>
            </w:r>
          </w:p>
          <w:p w:rsidR="00CE1A81" w:rsidRPr="00FA1C94" w:rsidRDefault="00CE1A81" w:rsidP="00CE1A81">
            <w:pPr>
              <w:spacing w:before="120" w:after="120"/>
              <w:rPr>
                <w:rFonts w:asciiTheme="minorHAnsi" w:hAnsiTheme="minorHAnsi"/>
              </w:rPr>
            </w:pPr>
            <w:r w:rsidRPr="00FA1C94">
              <w:rPr>
                <w:rFonts w:asciiTheme="minorHAnsi" w:hAnsiTheme="minorHAnsi"/>
              </w:rPr>
              <w:t>AND</w:t>
            </w:r>
          </w:p>
          <w:p w:rsidR="00CE1A81" w:rsidRPr="00FA1C94" w:rsidRDefault="00CE1A81" w:rsidP="0019300B">
            <w:pPr>
              <w:pStyle w:val="ListParagraph"/>
              <w:numPr>
                <w:ilvl w:val="0"/>
                <w:numId w:val="49"/>
              </w:numPr>
              <w:spacing w:before="120" w:after="120"/>
              <w:rPr>
                <w:rFonts w:asciiTheme="minorHAnsi" w:hAnsiTheme="minorHAnsi"/>
              </w:rPr>
            </w:pPr>
            <w:r w:rsidRPr="00FA1C94">
              <w:rPr>
                <w:rFonts w:asciiTheme="minorHAnsi" w:hAnsiTheme="minorHAnsi"/>
              </w:rPr>
              <w:t>Specific circumstances exist to justify treatment for a further course</w:t>
            </w:r>
          </w:p>
          <w:p w:rsidR="00CE1A81" w:rsidRPr="00FA1C94" w:rsidRDefault="00CE1A81" w:rsidP="00FB6772">
            <w:pPr>
              <w:spacing w:before="120" w:after="120"/>
              <w:jc w:val="center"/>
              <w:rPr>
                <w:rFonts w:asciiTheme="minorHAnsi" w:hAnsiTheme="minorHAnsi"/>
              </w:rPr>
            </w:pPr>
            <w:r w:rsidRPr="00FA1C94">
              <w:rPr>
                <w:rFonts w:asciiTheme="minorHAnsi" w:hAnsiTheme="minorHAnsi"/>
              </w:rPr>
              <w:t>OR</w:t>
            </w:r>
          </w:p>
          <w:p w:rsidR="00CE1A81" w:rsidRPr="00FA1C94" w:rsidRDefault="00CE1A81" w:rsidP="0019300B">
            <w:pPr>
              <w:pStyle w:val="ListParagraph"/>
              <w:numPr>
                <w:ilvl w:val="0"/>
                <w:numId w:val="49"/>
              </w:numPr>
              <w:spacing w:before="120" w:after="120"/>
              <w:rPr>
                <w:rFonts w:asciiTheme="minorHAnsi" w:hAnsiTheme="minorHAnsi"/>
              </w:rPr>
            </w:pPr>
            <w:r w:rsidRPr="00FA1C94">
              <w:rPr>
                <w:rFonts w:asciiTheme="minorHAnsi" w:hAnsiTheme="minorHAnsi"/>
              </w:rPr>
              <w:t>The patient has received an organ</w:t>
            </w:r>
          </w:p>
          <w:p w:rsidR="00CE1A81" w:rsidRPr="00FA1C94" w:rsidRDefault="00CE1A81" w:rsidP="00CE1A81">
            <w:pPr>
              <w:spacing w:before="120" w:after="120"/>
              <w:rPr>
                <w:rFonts w:asciiTheme="minorHAnsi" w:hAnsiTheme="minorHAnsi"/>
                <w:b/>
              </w:rPr>
            </w:pPr>
            <w:r w:rsidRPr="00FA1C94">
              <w:rPr>
                <w:rFonts w:asciiTheme="minorHAnsi" w:hAnsiTheme="minorHAnsi"/>
                <w:b/>
              </w:rPr>
              <w:t xml:space="preserve">Treatment of ongoing active antibody mediated </w:t>
            </w:r>
            <w:r w:rsidRPr="00FA1C94">
              <w:rPr>
                <w:rFonts w:asciiTheme="minorHAnsi" w:hAnsiTheme="minorHAnsi"/>
                <w:b/>
              </w:rPr>
              <w:lastRenderedPageBreak/>
              <w:t>rejection</w:t>
            </w:r>
          </w:p>
          <w:p w:rsidR="00CE1A81" w:rsidRPr="00FA1C94" w:rsidRDefault="00CE1A81" w:rsidP="00CE1A81">
            <w:pPr>
              <w:spacing w:before="120" w:after="120"/>
              <w:rPr>
                <w:rFonts w:asciiTheme="minorHAnsi" w:hAnsiTheme="minorHAnsi"/>
              </w:rPr>
            </w:pPr>
            <w:r w:rsidRPr="00FA1C94">
              <w:rPr>
                <w:rFonts w:asciiTheme="minorHAnsi" w:hAnsiTheme="minorHAnsi"/>
              </w:rPr>
              <w:t>Review by a Transplantation Specialist is required within 2 months of treatment to determine whether the patient has responded.  If no response, Ig therapy should be ceased. The maximum period of treatment is six months.</w:t>
            </w:r>
          </w:p>
          <w:p w:rsidR="00CE1A81" w:rsidRPr="00FA1C94" w:rsidRDefault="00CE1A81" w:rsidP="00CE1A81">
            <w:pPr>
              <w:spacing w:before="120" w:after="120"/>
              <w:rPr>
                <w:rFonts w:asciiTheme="minorHAnsi" w:hAnsiTheme="minorHAnsi"/>
              </w:rPr>
            </w:pPr>
            <w:r w:rsidRPr="00FA1C94">
              <w:rPr>
                <w:rFonts w:asciiTheme="minorHAnsi" w:hAnsiTheme="minorHAnsi"/>
              </w:rPr>
              <w:t xml:space="preserve">Documentation of clinical effectiveness is necessary for continuation of </w:t>
            </w:r>
            <w:r w:rsidR="00F6525C" w:rsidRPr="00FA1C94">
              <w:rPr>
                <w:rFonts w:asciiTheme="minorHAnsi" w:hAnsiTheme="minorHAnsi"/>
              </w:rPr>
              <w:t>IVIg</w:t>
            </w:r>
            <w:r w:rsidRPr="00FA1C94">
              <w:rPr>
                <w:rFonts w:asciiTheme="minorHAnsi" w:hAnsiTheme="minorHAnsi"/>
              </w:rPr>
              <w:t xml:space="preserve"> therapy.  </w:t>
            </w:r>
          </w:p>
          <w:p w:rsidR="00CE1A81" w:rsidRPr="00FA1C94" w:rsidRDefault="00CE1A81" w:rsidP="00CE1A81">
            <w:pPr>
              <w:rPr>
                <w:rFonts w:asciiTheme="minorHAnsi" w:hAnsiTheme="minorHAnsi"/>
                <w:b/>
              </w:rPr>
            </w:pPr>
            <w:r w:rsidRPr="00FA1C94">
              <w:rPr>
                <w:rFonts w:asciiTheme="minorHAnsi" w:hAnsiTheme="minorHAnsi"/>
                <w:b/>
              </w:rPr>
              <w:t>On review of the initial authorisation period</w:t>
            </w:r>
          </w:p>
          <w:p w:rsidR="00CE1A81" w:rsidRPr="00FA1C94" w:rsidRDefault="00CE1A81" w:rsidP="00CE1A81">
            <w:pPr>
              <w:spacing w:before="120" w:after="120"/>
              <w:rPr>
                <w:rFonts w:asciiTheme="minorHAnsi" w:hAnsiTheme="minorHAnsi"/>
              </w:rPr>
            </w:pPr>
            <w:r w:rsidRPr="00FA1C94">
              <w:rPr>
                <w:rFonts w:asciiTheme="minorHAnsi" w:hAnsiTheme="minorHAnsi"/>
              </w:rPr>
              <w:t xml:space="preserve">Clinical effectiveness of Ig therapy can be demonstrated by: </w:t>
            </w:r>
          </w:p>
          <w:p w:rsidR="006F7337" w:rsidRPr="00FA1C94" w:rsidRDefault="00CE1A81" w:rsidP="0019300B">
            <w:pPr>
              <w:pStyle w:val="ListParagraph"/>
              <w:numPr>
                <w:ilvl w:val="0"/>
                <w:numId w:val="49"/>
              </w:numPr>
              <w:spacing w:before="120" w:after="120"/>
              <w:rPr>
                <w:rFonts w:asciiTheme="minorHAnsi" w:hAnsiTheme="minorHAnsi"/>
              </w:rPr>
            </w:pPr>
            <w:r w:rsidRPr="00FA1C94">
              <w:rPr>
                <w:rFonts w:asciiTheme="minorHAnsi" w:hAnsiTheme="minorHAnsi"/>
              </w:rPr>
              <w:t>Improvement in biopsy evidence of rejection compared to the qualifying assessment</w:t>
            </w:r>
          </w:p>
          <w:p w:rsidR="006F7337" w:rsidRPr="00FA1C94" w:rsidRDefault="006F7337" w:rsidP="006F7337">
            <w:pPr>
              <w:spacing w:before="120" w:after="120"/>
              <w:rPr>
                <w:rFonts w:asciiTheme="minorHAnsi" w:hAnsiTheme="minorHAnsi"/>
              </w:rPr>
            </w:pPr>
            <w:r w:rsidRPr="00FA1C94">
              <w:rPr>
                <w:rFonts w:asciiTheme="minorHAnsi" w:hAnsiTheme="minorHAnsi"/>
              </w:rPr>
              <w:t>AND</w:t>
            </w:r>
          </w:p>
          <w:p w:rsidR="006F7337" w:rsidRPr="00FA1C94" w:rsidRDefault="006F7337" w:rsidP="006F7337">
            <w:pPr>
              <w:spacing w:before="120" w:after="120"/>
              <w:ind w:left="742" w:hanging="742"/>
              <w:rPr>
                <w:rFonts w:asciiTheme="minorHAnsi" w:hAnsiTheme="minorHAnsi"/>
              </w:rPr>
            </w:pPr>
            <w:r w:rsidRPr="00FA1C94">
              <w:rPr>
                <w:rFonts w:asciiTheme="minorHAnsi" w:hAnsiTheme="minorHAnsi"/>
              </w:rPr>
              <w:t>•</w:t>
            </w:r>
            <w:r w:rsidRPr="00FA1C94">
              <w:rPr>
                <w:rFonts w:asciiTheme="minorHAnsi" w:hAnsiTheme="minorHAnsi"/>
              </w:rPr>
              <w:tab/>
              <w:t>Clinical evidence of response to Ig therapy compared to the qualifying assessment</w:t>
            </w:r>
          </w:p>
        </w:tc>
        <w:tc>
          <w:tcPr>
            <w:tcW w:w="4394" w:type="dxa"/>
          </w:tcPr>
          <w:p w:rsidR="00CF7392" w:rsidRPr="00E721AB" w:rsidRDefault="0019300B" w:rsidP="00CF7392">
            <w:pPr>
              <w:spacing w:before="120" w:after="120"/>
              <w:rPr>
                <w:rFonts w:asciiTheme="minorHAnsi" w:hAnsiTheme="minorHAnsi"/>
              </w:rPr>
            </w:pPr>
            <w:r>
              <w:rPr>
                <w:rFonts w:asciiTheme="minorHAnsi" w:hAnsiTheme="minorHAnsi"/>
              </w:rPr>
              <w:lastRenderedPageBreak/>
              <w:t>O</w:t>
            </w:r>
            <w:r w:rsidR="00CF7392" w:rsidRPr="00E721AB">
              <w:rPr>
                <w:rFonts w:asciiTheme="minorHAnsi" w:hAnsiTheme="minorHAnsi"/>
              </w:rPr>
              <w:t xml:space="preserve">utcome measures for first three indications </w:t>
            </w:r>
            <w:r>
              <w:rPr>
                <w:rFonts w:asciiTheme="minorHAnsi" w:hAnsiTheme="minorHAnsi"/>
              </w:rPr>
              <w:t>have been developed</w:t>
            </w:r>
            <w:r w:rsidR="00CF7392" w:rsidRPr="00E721AB">
              <w:rPr>
                <w:rFonts w:asciiTheme="minorHAnsi" w:hAnsiTheme="minorHAnsi"/>
              </w:rPr>
              <w:t xml:space="preserve">. </w:t>
            </w:r>
          </w:p>
          <w:p w:rsidR="00CF7392" w:rsidRPr="00E721AB" w:rsidRDefault="00CF7392" w:rsidP="00CF7392">
            <w:pPr>
              <w:spacing w:before="120" w:after="120"/>
              <w:rPr>
                <w:rFonts w:asciiTheme="minorHAnsi" w:hAnsiTheme="minorHAnsi"/>
              </w:rPr>
            </w:pPr>
            <w:r w:rsidRPr="00E721AB">
              <w:rPr>
                <w:rFonts w:asciiTheme="minorHAnsi" w:hAnsiTheme="minorHAnsi"/>
              </w:rPr>
              <w:t xml:space="preserve"> </w:t>
            </w:r>
          </w:p>
          <w:p w:rsidR="00CF7392" w:rsidRPr="00E721AB" w:rsidRDefault="00CF7392" w:rsidP="00CF7392">
            <w:pPr>
              <w:spacing w:before="120" w:after="120"/>
              <w:rPr>
                <w:rFonts w:asciiTheme="minorHAnsi" w:hAnsiTheme="minorHAnsi"/>
              </w:rPr>
            </w:pPr>
          </w:p>
          <w:p w:rsidR="00CF7392" w:rsidRPr="00E721AB" w:rsidRDefault="00CF7392" w:rsidP="00CF7392">
            <w:pPr>
              <w:spacing w:before="120" w:after="120"/>
              <w:rPr>
                <w:rFonts w:asciiTheme="minorHAnsi" w:hAnsiTheme="minorHAnsi"/>
              </w:rPr>
            </w:pPr>
          </w:p>
          <w:p w:rsidR="00CF7392" w:rsidRPr="00E721AB" w:rsidRDefault="00CF7392" w:rsidP="00CF7392">
            <w:pPr>
              <w:spacing w:before="120" w:after="120"/>
              <w:rPr>
                <w:rFonts w:asciiTheme="minorHAnsi" w:hAnsiTheme="minorHAnsi"/>
              </w:rPr>
            </w:pPr>
          </w:p>
          <w:p w:rsidR="00CF7392" w:rsidRDefault="00CF7392" w:rsidP="00CF7392">
            <w:pPr>
              <w:spacing w:before="120" w:after="120"/>
              <w:rPr>
                <w:rFonts w:asciiTheme="minorHAnsi" w:hAnsiTheme="minorHAnsi"/>
              </w:rPr>
            </w:pPr>
          </w:p>
          <w:p w:rsidR="0019300B" w:rsidRDefault="0019300B" w:rsidP="00CF7392">
            <w:pPr>
              <w:spacing w:before="120" w:after="120"/>
              <w:rPr>
                <w:rFonts w:asciiTheme="minorHAnsi" w:hAnsiTheme="minorHAnsi"/>
              </w:rPr>
            </w:pPr>
          </w:p>
          <w:p w:rsidR="0019300B" w:rsidRDefault="0019300B" w:rsidP="00CF7392">
            <w:pPr>
              <w:spacing w:before="120" w:after="120"/>
              <w:rPr>
                <w:rFonts w:asciiTheme="minorHAnsi" w:hAnsiTheme="minorHAnsi"/>
              </w:rPr>
            </w:pPr>
          </w:p>
          <w:p w:rsidR="0019300B" w:rsidRDefault="0019300B" w:rsidP="00CF7392">
            <w:pPr>
              <w:spacing w:before="120" w:after="120"/>
              <w:rPr>
                <w:rFonts w:asciiTheme="minorHAnsi" w:hAnsiTheme="minorHAnsi"/>
              </w:rPr>
            </w:pPr>
          </w:p>
          <w:p w:rsidR="0019300B" w:rsidRDefault="0019300B" w:rsidP="00CF7392">
            <w:pPr>
              <w:spacing w:before="120" w:after="120"/>
              <w:rPr>
                <w:rFonts w:asciiTheme="minorHAnsi" w:hAnsiTheme="minorHAnsi"/>
              </w:rPr>
            </w:pPr>
          </w:p>
          <w:p w:rsidR="0019300B" w:rsidRDefault="0019300B" w:rsidP="00CF7392">
            <w:pPr>
              <w:spacing w:before="120" w:after="120"/>
              <w:rPr>
                <w:rFonts w:asciiTheme="minorHAnsi" w:hAnsiTheme="minorHAnsi"/>
              </w:rPr>
            </w:pPr>
          </w:p>
          <w:p w:rsidR="0019300B" w:rsidRDefault="0019300B" w:rsidP="00CF7392">
            <w:pPr>
              <w:spacing w:before="120" w:after="120"/>
              <w:rPr>
                <w:rFonts w:asciiTheme="minorHAnsi" w:hAnsiTheme="minorHAnsi"/>
              </w:rPr>
            </w:pPr>
          </w:p>
          <w:p w:rsidR="0019300B" w:rsidRDefault="0019300B" w:rsidP="00CF7392">
            <w:pPr>
              <w:spacing w:before="120" w:after="120"/>
              <w:rPr>
                <w:rFonts w:asciiTheme="minorHAnsi" w:hAnsiTheme="minorHAnsi"/>
              </w:rPr>
            </w:pPr>
          </w:p>
          <w:p w:rsidR="0019300B" w:rsidRDefault="0019300B" w:rsidP="00CF7392">
            <w:pPr>
              <w:spacing w:before="120" w:after="120"/>
              <w:rPr>
                <w:rFonts w:asciiTheme="minorHAnsi" w:hAnsiTheme="minorHAnsi"/>
              </w:rPr>
            </w:pPr>
          </w:p>
          <w:p w:rsidR="0019300B" w:rsidRDefault="0019300B" w:rsidP="00CF7392">
            <w:pPr>
              <w:spacing w:before="120" w:after="120"/>
              <w:rPr>
                <w:rFonts w:asciiTheme="minorHAnsi" w:hAnsiTheme="minorHAnsi"/>
              </w:rPr>
            </w:pPr>
          </w:p>
          <w:p w:rsidR="0019300B" w:rsidRDefault="0019300B" w:rsidP="00CF7392">
            <w:pPr>
              <w:spacing w:before="120" w:after="120"/>
              <w:rPr>
                <w:rFonts w:asciiTheme="minorHAnsi" w:hAnsiTheme="minorHAnsi"/>
              </w:rPr>
            </w:pPr>
          </w:p>
          <w:p w:rsidR="0019300B" w:rsidRDefault="0019300B" w:rsidP="00CF7392">
            <w:pPr>
              <w:spacing w:before="120" w:after="120"/>
              <w:rPr>
                <w:rFonts w:asciiTheme="minorHAnsi" w:hAnsiTheme="minorHAnsi"/>
              </w:rPr>
            </w:pPr>
          </w:p>
          <w:p w:rsidR="0019300B" w:rsidRDefault="0019300B" w:rsidP="00CF7392">
            <w:pPr>
              <w:spacing w:before="120" w:after="120"/>
              <w:rPr>
                <w:rFonts w:asciiTheme="minorHAnsi" w:hAnsiTheme="minorHAnsi"/>
              </w:rPr>
            </w:pPr>
          </w:p>
          <w:p w:rsidR="0019300B" w:rsidRDefault="0019300B" w:rsidP="00CF7392">
            <w:pPr>
              <w:spacing w:before="120" w:after="120"/>
              <w:rPr>
                <w:rFonts w:asciiTheme="minorHAnsi" w:hAnsiTheme="minorHAnsi"/>
              </w:rPr>
            </w:pPr>
          </w:p>
          <w:p w:rsidR="0019300B" w:rsidRDefault="0019300B" w:rsidP="00CF7392">
            <w:pPr>
              <w:spacing w:before="120" w:after="120"/>
              <w:rPr>
                <w:rFonts w:asciiTheme="minorHAnsi" w:hAnsiTheme="minorHAnsi"/>
              </w:rPr>
            </w:pPr>
          </w:p>
          <w:p w:rsidR="0019300B" w:rsidRDefault="0019300B" w:rsidP="00CF7392">
            <w:pPr>
              <w:spacing w:before="120" w:after="120"/>
              <w:rPr>
                <w:rFonts w:asciiTheme="minorHAnsi" w:hAnsiTheme="minorHAnsi"/>
              </w:rPr>
            </w:pPr>
          </w:p>
          <w:p w:rsidR="0019300B" w:rsidRDefault="0019300B" w:rsidP="00CF7392">
            <w:pPr>
              <w:spacing w:before="120" w:after="120"/>
              <w:rPr>
                <w:rFonts w:asciiTheme="minorHAnsi" w:hAnsiTheme="minorHAnsi"/>
              </w:rPr>
            </w:pPr>
          </w:p>
          <w:p w:rsidR="0019300B" w:rsidRDefault="0019300B" w:rsidP="00CF7392">
            <w:pPr>
              <w:spacing w:before="120" w:after="120"/>
              <w:rPr>
                <w:rFonts w:asciiTheme="minorHAnsi" w:hAnsiTheme="minorHAnsi"/>
              </w:rPr>
            </w:pPr>
          </w:p>
          <w:p w:rsidR="0019300B" w:rsidRDefault="0019300B" w:rsidP="00CF7392">
            <w:pPr>
              <w:spacing w:before="120" w:after="120"/>
              <w:rPr>
                <w:rFonts w:asciiTheme="minorHAnsi" w:hAnsiTheme="minorHAnsi"/>
              </w:rPr>
            </w:pPr>
          </w:p>
          <w:p w:rsidR="0019300B" w:rsidRDefault="0019300B" w:rsidP="00CF7392">
            <w:pPr>
              <w:spacing w:before="120" w:after="120"/>
              <w:rPr>
                <w:rFonts w:asciiTheme="minorHAnsi" w:hAnsiTheme="minorHAnsi"/>
              </w:rPr>
            </w:pPr>
          </w:p>
          <w:p w:rsidR="0019300B" w:rsidRDefault="0019300B" w:rsidP="00CF7392">
            <w:pPr>
              <w:spacing w:before="120" w:after="120"/>
              <w:rPr>
                <w:rFonts w:asciiTheme="minorHAnsi" w:hAnsiTheme="minorHAnsi"/>
              </w:rPr>
            </w:pPr>
          </w:p>
          <w:p w:rsidR="0019300B" w:rsidRDefault="0019300B" w:rsidP="00CF7392">
            <w:pPr>
              <w:spacing w:before="120" w:after="120"/>
              <w:rPr>
                <w:rFonts w:asciiTheme="minorHAnsi" w:hAnsiTheme="minorHAnsi"/>
              </w:rPr>
            </w:pPr>
          </w:p>
          <w:p w:rsidR="0019300B" w:rsidRDefault="0019300B" w:rsidP="00CF7392">
            <w:pPr>
              <w:spacing w:before="120" w:after="120"/>
              <w:rPr>
                <w:rFonts w:asciiTheme="minorHAnsi" w:hAnsiTheme="minorHAnsi"/>
              </w:rPr>
            </w:pPr>
          </w:p>
          <w:p w:rsidR="0019300B" w:rsidRPr="00E721AB" w:rsidRDefault="0019300B" w:rsidP="00CF7392">
            <w:pPr>
              <w:spacing w:before="120" w:after="120"/>
              <w:rPr>
                <w:rFonts w:asciiTheme="minorHAnsi" w:hAnsiTheme="minorHAnsi"/>
              </w:rPr>
            </w:pPr>
          </w:p>
          <w:p w:rsidR="00CF7392" w:rsidRPr="00E721AB" w:rsidRDefault="00CF7392" w:rsidP="00CF7392">
            <w:pPr>
              <w:spacing w:before="120" w:after="120"/>
              <w:rPr>
                <w:rFonts w:asciiTheme="minorHAnsi" w:hAnsiTheme="minorHAnsi"/>
              </w:rPr>
            </w:pPr>
            <w:r w:rsidRPr="00E721AB">
              <w:rPr>
                <w:rFonts w:asciiTheme="minorHAnsi" w:hAnsiTheme="minorHAnsi"/>
              </w:rPr>
              <w:t xml:space="preserve">Both indications </w:t>
            </w:r>
            <w:r w:rsidR="00F72490">
              <w:rPr>
                <w:rFonts w:asciiTheme="minorHAnsi" w:hAnsiTheme="minorHAnsi"/>
              </w:rPr>
              <w:t xml:space="preserve">that </w:t>
            </w:r>
            <w:r w:rsidR="00606785">
              <w:rPr>
                <w:rFonts w:asciiTheme="minorHAnsi" w:hAnsiTheme="minorHAnsi"/>
              </w:rPr>
              <w:t>allo</w:t>
            </w:r>
            <w:r w:rsidR="00F72490">
              <w:rPr>
                <w:rFonts w:asciiTheme="minorHAnsi" w:hAnsiTheme="minorHAnsi"/>
              </w:rPr>
              <w:t>w</w:t>
            </w:r>
            <w:r w:rsidR="00606785">
              <w:rPr>
                <w:rFonts w:asciiTheme="minorHAnsi" w:hAnsiTheme="minorHAnsi"/>
              </w:rPr>
              <w:t xml:space="preserve"> treatment</w:t>
            </w:r>
            <w:r w:rsidR="00F72490">
              <w:rPr>
                <w:rFonts w:asciiTheme="minorHAnsi" w:hAnsiTheme="minorHAnsi"/>
              </w:rPr>
              <w:t xml:space="preserve"> for up to six months</w:t>
            </w:r>
            <w:r w:rsidR="00606785">
              <w:rPr>
                <w:rFonts w:asciiTheme="minorHAnsi" w:hAnsiTheme="minorHAnsi"/>
              </w:rPr>
              <w:t xml:space="preserve"> </w:t>
            </w:r>
            <w:r w:rsidRPr="00E721AB">
              <w:rPr>
                <w:rFonts w:asciiTheme="minorHAnsi" w:hAnsiTheme="minorHAnsi"/>
              </w:rPr>
              <w:t xml:space="preserve">will require review to confirm that a clinical response to Ig therapy has been demonstrated </w:t>
            </w:r>
            <w:r>
              <w:rPr>
                <w:rFonts w:asciiTheme="minorHAnsi" w:hAnsiTheme="minorHAnsi"/>
              </w:rPr>
              <w:t xml:space="preserve">after two months treatment </w:t>
            </w:r>
            <w:r w:rsidRPr="00E721AB">
              <w:rPr>
                <w:rFonts w:asciiTheme="minorHAnsi" w:hAnsiTheme="minorHAnsi"/>
              </w:rPr>
              <w:t xml:space="preserve">prior to authorisation of the final four months of treatment. </w:t>
            </w:r>
            <w:r w:rsidR="00F72490">
              <w:rPr>
                <w:rFonts w:asciiTheme="minorHAnsi" w:hAnsiTheme="minorHAnsi"/>
              </w:rPr>
              <w:t xml:space="preserve"> The maximum treatment period is up to 6 months. </w:t>
            </w:r>
          </w:p>
          <w:p w:rsidR="00BD6C2D" w:rsidRDefault="00BD6C2D" w:rsidP="00021243">
            <w:pPr>
              <w:spacing w:before="120" w:after="120"/>
              <w:rPr>
                <w:szCs w:val="20"/>
              </w:rPr>
            </w:pPr>
          </w:p>
          <w:p w:rsidR="00CF7392" w:rsidRDefault="00CF7392" w:rsidP="00021243">
            <w:pPr>
              <w:spacing w:before="120" w:after="120"/>
              <w:rPr>
                <w:szCs w:val="20"/>
              </w:rPr>
            </w:pPr>
          </w:p>
          <w:p w:rsidR="00CF7392" w:rsidRDefault="00CF7392" w:rsidP="00021243">
            <w:pPr>
              <w:spacing w:before="120" w:after="120"/>
              <w:rPr>
                <w:szCs w:val="20"/>
              </w:rPr>
            </w:pPr>
          </w:p>
          <w:p w:rsidR="00CF7392" w:rsidRDefault="00CF7392" w:rsidP="00021243">
            <w:pPr>
              <w:spacing w:before="120" w:after="120"/>
              <w:rPr>
                <w:szCs w:val="20"/>
              </w:rPr>
            </w:pPr>
          </w:p>
          <w:p w:rsidR="00CF7392" w:rsidRDefault="00CF7392" w:rsidP="00021243">
            <w:pPr>
              <w:spacing w:before="120" w:after="120"/>
              <w:rPr>
                <w:szCs w:val="20"/>
              </w:rPr>
            </w:pPr>
          </w:p>
          <w:p w:rsidR="00CF7392" w:rsidRDefault="00CF7392" w:rsidP="00021243">
            <w:pPr>
              <w:spacing w:before="120" w:after="120"/>
              <w:rPr>
                <w:szCs w:val="20"/>
              </w:rPr>
            </w:pPr>
          </w:p>
          <w:p w:rsidR="0019300B" w:rsidRDefault="0019300B" w:rsidP="00021243">
            <w:pPr>
              <w:spacing w:before="120" w:after="120"/>
              <w:rPr>
                <w:szCs w:val="20"/>
              </w:rPr>
            </w:pPr>
          </w:p>
          <w:p w:rsidR="0019300B" w:rsidRDefault="0019300B" w:rsidP="00021243">
            <w:pPr>
              <w:spacing w:before="120" w:after="120"/>
              <w:rPr>
                <w:szCs w:val="20"/>
              </w:rPr>
            </w:pPr>
          </w:p>
          <w:p w:rsidR="0019300B" w:rsidRDefault="0019300B" w:rsidP="00021243">
            <w:pPr>
              <w:spacing w:before="120" w:after="120"/>
              <w:rPr>
                <w:szCs w:val="20"/>
              </w:rPr>
            </w:pPr>
          </w:p>
          <w:p w:rsidR="0019300B" w:rsidRDefault="0019300B" w:rsidP="00021243">
            <w:pPr>
              <w:spacing w:before="120" w:after="120"/>
              <w:rPr>
                <w:szCs w:val="20"/>
              </w:rPr>
            </w:pPr>
          </w:p>
          <w:p w:rsidR="0019300B" w:rsidRDefault="0019300B" w:rsidP="00021243">
            <w:pPr>
              <w:spacing w:before="120" w:after="120"/>
              <w:rPr>
                <w:szCs w:val="20"/>
              </w:rPr>
            </w:pPr>
          </w:p>
          <w:p w:rsidR="0019300B" w:rsidRDefault="0019300B" w:rsidP="00021243">
            <w:pPr>
              <w:spacing w:before="120" w:after="120"/>
              <w:rPr>
                <w:szCs w:val="20"/>
              </w:rPr>
            </w:pPr>
          </w:p>
          <w:p w:rsidR="00CF7392" w:rsidRDefault="00CF7392" w:rsidP="00021243">
            <w:pPr>
              <w:spacing w:before="120" w:after="120"/>
              <w:rPr>
                <w:szCs w:val="20"/>
              </w:rPr>
            </w:pPr>
          </w:p>
          <w:p w:rsidR="00CF7392" w:rsidRPr="00996B7F" w:rsidRDefault="00CF7392" w:rsidP="00CF7392">
            <w:pPr>
              <w:spacing w:before="120" w:after="120"/>
              <w:rPr>
                <w:rFonts w:asciiTheme="minorHAnsi" w:hAnsiTheme="minorHAnsi"/>
              </w:rPr>
            </w:pPr>
            <w:r w:rsidRPr="00996B7F">
              <w:rPr>
                <w:rFonts w:asciiTheme="minorHAnsi" w:hAnsiTheme="minorHAnsi"/>
              </w:rPr>
              <w:t xml:space="preserve">In some instances, the antibody level itself may not change but there may be evidence of </w:t>
            </w:r>
            <w:r w:rsidRPr="00996B7F">
              <w:rPr>
                <w:rFonts w:asciiTheme="minorHAnsi" w:hAnsiTheme="minorHAnsi"/>
              </w:rPr>
              <w:lastRenderedPageBreak/>
              <w:t xml:space="preserve">reduced reactivity such as demonstrated by flow cross match, dilutional studies or other means. </w:t>
            </w:r>
            <w:r>
              <w:rPr>
                <w:rFonts w:asciiTheme="minorHAnsi" w:hAnsiTheme="minorHAnsi"/>
              </w:rPr>
              <w:t xml:space="preserve">The assessment method and response will be captured. </w:t>
            </w:r>
          </w:p>
          <w:p w:rsidR="00CF7392" w:rsidRPr="00C92149" w:rsidRDefault="00CF7392" w:rsidP="00021243">
            <w:pPr>
              <w:spacing w:before="120" w:after="120"/>
              <w:rPr>
                <w:szCs w:val="20"/>
              </w:rPr>
            </w:pPr>
          </w:p>
          <w:p w:rsidR="00BD6C2D" w:rsidRDefault="00BD6C2D" w:rsidP="00021243">
            <w:pPr>
              <w:spacing w:before="120" w:after="120"/>
              <w:rPr>
                <w:rFonts w:asciiTheme="minorHAnsi" w:hAnsiTheme="minorHAnsi"/>
                <w:szCs w:val="20"/>
              </w:rPr>
            </w:pPr>
          </w:p>
          <w:p w:rsidR="00CF7392" w:rsidRPr="00996B7F" w:rsidRDefault="00CF7392" w:rsidP="00CF7392">
            <w:pPr>
              <w:rPr>
                <w:rFonts w:asciiTheme="minorHAnsi" w:hAnsiTheme="minorHAnsi"/>
              </w:rPr>
            </w:pPr>
            <w:r w:rsidRPr="00E721AB">
              <w:rPr>
                <w:rFonts w:asciiTheme="minorHAnsi" w:hAnsiTheme="minorHAnsi"/>
              </w:rPr>
              <w:t>Relevant clinical improvements may include Improvement in creatinine level</w:t>
            </w:r>
            <w:r>
              <w:rPr>
                <w:rFonts w:asciiTheme="minorHAnsi" w:hAnsiTheme="minorHAnsi"/>
              </w:rPr>
              <w:t>, n</w:t>
            </w:r>
            <w:r w:rsidRPr="00E721AB">
              <w:rPr>
                <w:rFonts w:asciiTheme="minorHAnsi" w:hAnsiTheme="minorHAnsi"/>
              </w:rPr>
              <w:t>on- progressive rise in creatinine level</w:t>
            </w:r>
            <w:r>
              <w:rPr>
                <w:rFonts w:asciiTheme="minorHAnsi" w:hAnsiTheme="minorHAnsi"/>
              </w:rPr>
              <w:t xml:space="preserve">; a falling </w:t>
            </w:r>
            <w:r w:rsidRPr="00E721AB">
              <w:rPr>
                <w:rFonts w:asciiTheme="minorHAnsi" w:hAnsiTheme="minorHAnsi"/>
              </w:rPr>
              <w:t>D</w:t>
            </w:r>
            <w:r>
              <w:rPr>
                <w:rFonts w:asciiTheme="minorHAnsi" w:hAnsiTheme="minorHAnsi"/>
              </w:rPr>
              <w:t xml:space="preserve">onor </w:t>
            </w:r>
            <w:r w:rsidRPr="00E721AB">
              <w:rPr>
                <w:rFonts w:asciiTheme="minorHAnsi" w:hAnsiTheme="minorHAnsi"/>
              </w:rPr>
              <w:t>S</w:t>
            </w:r>
            <w:r>
              <w:rPr>
                <w:rFonts w:asciiTheme="minorHAnsi" w:hAnsiTheme="minorHAnsi"/>
              </w:rPr>
              <w:t xml:space="preserve">pecific </w:t>
            </w:r>
            <w:r w:rsidRPr="00E721AB">
              <w:rPr>
                <w:rFonts w:asciiTheme="minorHAnsi" w:hAnsiTheme="minorHAnsi"/>
              </w:rPr>
              <w:t>A</w:t>
            </w:r>
            <w:r>
              <w:rPr>
                <w:rFonts w:asciiTheme="minorHAnsi" w:hAnsiTheme="minorHAnsi"/>
              </w:rPr>
              <w:t>ntibody level, improvement i</w:t>
            </w:r>
            <w:r w:rsidRPr="00E721AB">
              <w:rPr>
                <w:rFonts w:asciiTheme="minorHAnsi" w:hAnsiTheme="minorHAnsi"/>
              </w:rPr>
              <w:t xml:space="preserve">n biopsy </w:t>
            </w:r>
            <w:r>
              <w:rPr>
                <w:rFonts w:asciiTheme="minorHAnsi" w:hAnsiTheme="minorHAnsi"/>
              </w:rPr>
              <w:t>or d</w:t>
            </w:r>
            <w:r w:rsidRPr="00E721AB">
              <w:rPr>
                <w:rFonts w:asciiTheme="minorHAnsi" w:hAnsiTheme="minorHAnsi"/>
              </w:rPr>
              <w:t xml:space="preserve">ecreased </w:t>
            </w:r>
            <w:r>
              <w:rPr>
                <w:rFonts w:asciiTheme="minorHAnsi" w:hAnsiTheme="minorHAnsi"/>
              </w:rPr>
              <w:t xml:space="preserve">level of </w:t>
            </w:r>
            <w:r w:rsidRPr="00E721AB">
              <w:rPr>
                <w:rFonts w:asciiTheme="minorHAnsi" w:hAnsiTheme="minorHAnsi"/>
              </w:rPr>
              <w:t>proteinuria</w:t>
            </w:r>
            <w:r>
              <w:rPr>
                <w:rFonts w:asciiTheme="minorHAnsi" w:hAnsiTheme="minorHAnsi"/>
              </w:rPr>
              <w:t xml:space="preserve">. </w:t>
            </w:r>
            <w:r w:rsidRPr="00E721AB">
              <w:rPr>
                <w:rFonts w:asciiTheme="minorHAnsi" w:hAnsiTheme="minorHAnsi"/>
              </w:rPr>
              <w:t xml:space="preserve"> </w:t>
            </w:r>
          </w:p>
          <w:p w:rsidR="00CF7392" w:rsidRPr="00C92149" w:rsidRDefault="00CF7392" w:rsidP="00021243">
            <w:pPr>
              <w:spacing w:before="120" w:after="120"/>
              <w:rPr>
                <w:rFonts w:asciiTheme="minorHAnsi" w:hAnsiTheme="minorHAnsi"/>
                <w:szCs w:val="20"/>
              </w:rPr>
            </w:pPr>
          </w:p>
        </w:tc>
      </w:tr>
      <w:tr w:rsidR="00021243" w:rsidRPr="00853117" w:rsidTr="003A7E5D">
        <w:tc>
          <w:tcPr>
            <w:tcW w:w="1560" w:type="dxa"/>
            <w:shd w:val="clear" w:color="auto" w:fill="D9D9D9" w:themeFill="background1" w:themeFillShade="D9"/>
          </w:tcPr>
          <w:p w:rsidR="00021243" w:rsidRPr="00447869" w:rsidRDefault="00021243" w:rsidP="00F91CA7">
            <w:pPr>
              <w:spacing w:before="120" w:after="120"/>
              <w:rPr>
                <w:rFonts w:asciiTheme="minorHAnsi" w:hAnsiTheme="minorHAnsi"/>
              </w:rPr>
            </w:pPr>
            <w:r w:rsidRPr="00447869">
              <w:rPr>
                <w:rFonts w:asciiTheme="minorHAnsi" w:hAnsiTheme="minorHAnsi"/>
                <w:b/>
              </w:rPr>
              <w:lastRenderedPageBreak/>
              <w:t>Dose</w:t>
            </w:r>
          </w:p>
        </w:tc>
        <w:tc>
          <w:tcPr>
            <w:tcW w:w="3828" w:type="dxa"/>
          </w:tcPr>
          <w:p w:rsidR="003A7E5D" w:rsidRPr="00E47E4E" w:rsidRDefault="00021243" w:rsidP="003A7E5D">
            <w:pPr>
              <w:spacing w:after="225" w:line="360" w:lineRule="atLeast"/>
              <w:rPr>
                <w:rFonts w:asciiTheme="minorHAnsi" w:eastAsia="Times New Roman" w:hAnsiTheme="minorHAnsi" w:cstheme="minorHAnsi"/>
                <w:color w:val="000000"/>
                <w:sz w:val="24"/>
                <w:szCs w:val="24"/>
              </w:rPr>
            </w:pPr>
            <w:r w:rsidRPr="00E47E4E">
              <w:rPr>
                <w:rFonts w:asciiTheme="minorHAnsi" w:eastAsia="Times New Roman" w:hAnsiTheme="minorHAnsi" w:cstheme="minorHAnsi"/>
                <w:color w:val="000000"/>
                <w:sz w:val="24"/>
                <w:szCs w:val="24"/>
              </w:rPr>
              <w:t xml:space="preserve"> </w:t>
            </w:r>
            <w:r w:rsidR="00F6525C">
              <w:rPr>
                <w:rFonts w:asciiTheme="minorHAnsi" w:eastAsia="Times New Roman" w:hAnsiTheme="minorHAnsi" w:cstheme="minorHAnsi"/>
                <w:b/>
                <w:color w:val="000000"/>
                <w:sz w:val="24"/>
                <w:szCs w:val="24"/>
              </w:rPr>
              <w:t>IVIg</w:t>
            </w:r>
            <w:r w:rsidR="003A7E5D" w:rsidRPr="00BB56DB">
              <w:rPr>
                <w:rFonts w:asciiTheme="minorHAnsi" w:eastAsia="Times New Roman" w:hAnsiTheme="minorHAnsi" w:cstheme="minorHAnsi"/>
                <w:b/>
                <w:color w:val="000000"/>
                <w:sz w:val="24"/>
                <w:szCs w:val="24"/>
              </w:rPr>
              <w:t xml:space="preserve"> with plasma exchange</w:t>
            </w:r>
            <w:r w:rsidR="003A7E5D" w:rsidRPr="00E47E4E">
              <w:rPr>
                <w:rFonts w:asciiTheme="minorHAnsi" w:eastAsia="Times New Roman" w:hAnsiTheme="minorHAnsi" w:cstheme="minorHAnsi"/>
                <w:color w:val="000000"/>
                <w:sz w:val="24"/>
                <w:szCs w:val="24"/>
              </w:rPr>
              <w:t xml:space="preserve"> 0.1 to 0.5 g/kg after each exchange (Total maximum dose of 2.5g/Kg divided across 5 doses) </w:t>
            </w:r>
          </w:p>
          <w:p w:rsidR="003A7E5D" w:rsidRPr="00E47E4E" w:rsidRDefault="003A7E5D" w:rsidP="003A7E5D">
            <w:pPr>
              <w:rPr>
                <w:rFonts w:asciiTheme="minorHAnsi" w:eastAsia="Times New Roman" w:hAnsiTheme="minorHAnsi" w:cstheme="minorHAnsi"/>
                <w:color w:val="000000"/>
                <w:sz w:val="24"/>
                <w:szCs w:val="24"/>
              </w:rPr>
            </w:pPr>
          </w:p>
          <w:p w:rsidR="003A7E5D" w:rsidRPr="00E47E4E" w:rsidRDefault="00F6525C" w:rsidP="003A7E5D">
            <w:pPr>
              <w:rPr>
                <w:rFonts w:asciiTheme="minorHAnsi" w:eastAsia="Times New Roman" w:hAnsiTheme="minorHAnsi" w:cstheme="minorHAnsi"/>
                <w:color w:val="000000"/>
                <w:sz w:val="24"/>
                <w:szCs w:val="24"/>
              </w:rPr>
            </w:pPr>
            <w:r>
              <w:rPr>
                <w:rFonts w:asciiTheme="minorHAnsi" w:eastAsia="Times New Roman" w:hAnsiTheme="minorHAnsi" w:cstheme="minorHAnsi"/>
                <w:b/>
                <w:color w:val="000000"/>
                <w:sz w:val="24"/>
                <w:szCs w:val="24"/>
              </w:rPr>
              <w:t>IVIg</w:t>
            </w:r>
            <w:r w:rsidR="003A7E5D" w:rsidRPr="0091257A">
              <w:rPr>
                <w:rFonts w:asciiTheme="minorHAnsi" w:eastAsia="Times New Roman" w:hAnsiTheme="minorHAnsi" w:cstheme="minorHAnsi"/>
                <w:b/>
                <w:color w:val="000000"/>
                <w:sz w:val="24"/>
                <w:szCs w:val="24"/>
              </w:rPr>
              <w:t xml:space="preserve"> without plasma exchange (single dose)</w:t>
            </w:r>
            <w:r w:rsidR="003A7E5D" w:rsidRPr="00E47E4E">
              <w:rPr>
                <w:rFonts w:asciiTheme="minorHAnsi" w:eastAsia="Times New Roman" w:hAnsiTheme="minorHAnsi" w:cstheme="minorHAnsi"/>
                <w:color w:val="000000"/>
                <w:sz w:val="24"/>
                <w:szCs w:val="24"/>
              </w:rPr>
              <w:t xml:space="preserve"> Up to 2 g/kg to a maximum of 140 g as a single dose. </w:t>
            </w:r>
          </w:p>
          <w:p w:rsidR="003A7E5D" w:rsidRPr="00E47E4E" w:rsidRDefault="003A7E5D" w:rsidP="003A7E5D">
            <w:pPr>
              <w:rPr>
                <w:rFonts w:asciiTheme="minorHAnsi" w:eastAsia="Times New Roman" w:hAnsiTheme="minorHAnsi" w:cstheme="minorHAnsi"/>
                <w:color w:val="000000"/>
                <w:sz w:val="24"/>
                <w:szCs w:val="24"/>
              </w:rPr>
            </w:pPr>
          </w:p>
          <w:p w:rsidR="003A7E5D" w:rsidRPr="00E47E4E" w:rsidRDefault="00F6525C" w:rsidP="003A7E5D">
            <w:pPr>
              <w:rPr>
                <w:rFonts w:asciiTheme="minorHAnsi" w:eastAsia="Times New Roman" w:hAnsiTheme="minorHAnsi" w:cstheme="minorHAnsi"/>
                <w:color w:val="000000"/>
                <w:sz w:val="24"/>
                <w:szCs w:val="24"/>
              </w:rPr>
            </w:pPr>
            <w:r>
              <w:rPr>
                <w:rFonts w:asciiTheme="minorHAnsi" w:eastAsia="Times New Roman" w:hAnsiTheme="minorHAnsi" w:cstheme="minorHAnsi"/>
                <w:b/>
                <w:color w:val="000000"/>
                <w:sz w:val="24"/>
                <w:szCs w:val="24"/>
              </w:rPr>
              <w:t>IVIg</w:t>
            </w:r>
            <w:r w:rsidR="003A7E5D" w:rsidRPr="0091257A">
              <w:rPr>
                <w:rFonts w:asciiTheme="minorHAnsi" w:eastAsia="Times New Roman" w:hAnsiTheme="minorHAnsi" w:cstheme="minorHAnsi"/>
                <w:b/>
                <w:color w:val="000000"/>
                <w:sz w:val="24"/>
                <w:szCs w:val="24"/>
              </w:rPr>
              <w:t xml:space="preserve"> without plasma exchange (divided dose)</w:t>
            </w:r>
            <w:r w:rsidR="003A7E5D" w:rsidRPr="00E47E4E">
              <w:rPr>
                <w:rFonts w:asciiTheme="minorHAnsi" w:eastAsia="Times New Roman" w:hAnsiTheme="minorHAnsi" w:cstheme="minorHAnsi"/>
                <w:color w:val="000000"/>
                <w:sz w:val="24"/>
                <w:szCs w:val="24"/>
              </w:rPr>
              <w:t xml:space="preserve"> 2 to 3.5g/kg in a divided dose </w:t>
            </w:r>
            <w:r w:rsidR="003A7E5D" w:rsidRPr="00E47E4E">
              <w:rPr>
                <w:rFonts w:asciiTheme="minorHAnsi" w:eastAsia="Times New Roman" w:hAnsiTheme="minorHAnsi" w:cstheme="minorHAnsi"/>
                <w:color w:val="000000"/>
                <w:sz w:val="24"/>
                <w:szCs w:val="24"/>
              </w:rPr>
              <w:tab/>
            </w:r>
            <w:r w:rsidR="003A7E5D" w:rsidRPr="00E47E4E">
              <w:rPr>
                <w:rFonts w:asciiTheme="minorHAnsi" w:eastAsia="Times New Roman" w:hAnsiTheme="minorHAnsi" w:cstheme="minorHAnsi"/>
                <w:color w:val="000000"/>
                <w:sz w:val="24"/>
                <w:szCs w:val="24"/>
              </w:rPr>
              <w:tab/>
            </w:r>
            <w:r w:rsidR="003A7E5D" w:rsidRPr="00E47E4E">
              <w:rPr>
                <w:rFonts w:asciiTheme="minorHAnsi" w:eastAsia="Times New Roman" w:hAnsiTheme="minorHAnsi" w:cstheme="minorHAnsi"/>
                <w:color w:val="000000"/>
                <w:sz w:val="24"/>
                <w:szCs w:val="24"/>
              </w:rPr>
              <w:tab/>
            </w:r>
            <w:r w:rsidR="003A7E5D" w:rsidRPr="00E47E4E">
              <w:rPr>
                <w:rFonts w:asciiTheme="minorHAnsi" w:eastAsia="Times New Roman" w:hAnsiTheme="minorHAnsi" w:cstheme="minorHAnsi"/>
                <w:color w:val="000000"/>
                <w:sz w:val="24"/>
                <w:szCs w:val="24"/>
              </w:rPr>
              <w:tab/>
            </w:r>
          </w:p>
          <w:p w:rsidR="003A7E5D" w:rsidRPr="00254E23" w:rsidRDefault="003A7E5D" w:rsidP="003A7E5D">
            <w:pPr>
              <w:spacing w:after="225" w:line="276" w:lineRule="auto"/>
              <w:rPr>
                <w:rFonts w:asciiTheme="minorHAnsi" w:eastAsia="Times New Roman" w:hAnsiTheme="minorHAnsi" w:cstheme="minorHAnsi"/>
                <w:color w:val="000000"/>
                <w:sz w:val="24"/>
                <w:szCs w:val="24"/>
              </w:rPr>
            </w:pPr>
            <w:r w:rsidRPr="00254E23">
              <w:rPr>
                <w:rFonts w:asciiTheme="minorHAnsi" w:eastAsia="Times New Roman" w:hAnsiTheme="minorHAnsi" w:cstheme="minorHAnsi"/>
                <w:color w:val="000000"/>
                <w:sz w:val="24"/>
                <w:szCs w:val="24"/>
              </w:rPr>
              <w:t>The aim should be to use the lowest dose possible that achieves the appropriate clinical outcome for each patient.</w:t>
            </w:r>
          </w:p>
          <w:p w:rsidR="003A7E5D" w:rsidRPr="00254E23" w:rsidRDefault="003A7E5D" w:rsidP="003A7E5D">
            <w:pPr>
              <w:spacing w:after="225" w:line="276" w:lineRule="auto"/>
              <w:rPr>
                <w:rFonts w:asciiTheme="minorHAnsi" w:eastAsia="Times New Roman" w:hAnsiTheme="minorHAnsi" w:cstheme="minorHAnsi"/>
                <w:color w:val="000000"/>
                <w:sz w:val="24"/>
                <w:szCs w:val="24"/>
              </w:rPr>
            </w:pPr>
            <w:r w:rsidRPr="00254E23">
              <w:rPr>
                <w:rFonts w:asciiTheme="minorHAnsi" w:eastAsia="Times New Roman" w:hAnsiTheme="minorHAnsi" w:cstheme="minorHAnsi"/>
                <w:color w:val="000000"/>
                <w:sz w:val="24"/>
                <w:szCs w:val="24"/>
              </w:rPr>
              <w:t xml:space="preserve">Dosing above 1 g/kg per day is contraindicated for some </w:t>
            </w:r>
            <w:r w:rsidR="00F6525C">
              <w:rPr>
                <w:rFonts w:asciiTheme="minorHAnsi" w:eastAsia="Times New Roman" w:hAnsiTheme="minorHAnsi" w:cstheme="minorHAnsi"/>
                <w:color w:val="000000"/>
                <w:sz w:val="24"/>
                <w:szCs w:val="24"/>
              </w:rPr>
              <w:t>IVIg</w:t>
            </w:r>
            <w:r w:rsidRPr="00254E23">
              <w:rPr>
                <w:rFonts w:asciiTheme="minorHAnsi" w:eastAsia="Times New Roman" w:hAnsiTheme="minorHAnsi" w:cstheme="minorHAnsi"/>
                <w:color w:val="000000"/>
                <w:sz w:val="24"/>
                <w:szCs w:val="24"/>
              </w:rPr>
              <w:t xml:space="preserve"> products.</w:t>
            </w:r>
          </w:p>
          <w:p w:rsidR="00021243" w:rsidRDefault="003A7E5D" w:rsidP="003A7E5D">
            <w:pPr>
              <w:spacing w:before="120" w:after="120"/>
              <w:rPr>
                <w:rFonts w:asciiTheme="minorHAnsi" w:eastAsia="Times New Roman" w:hAnsiTheme="minorHAnsi" w:cstheme="minorHAnsi"/>
                <w:b/>
                <w:color w:val="000000"/>
                <w:sz w:val="24"/>
                <w:szCs w:val="24"/>
              </w:rPr>
            </w:pPr>
            <w:r w:rsidRPr="0091257A">
              <w:rPr>
                <w:rFonts w:asciiTheme="minorHAnsi" w:eastAsia="Times New Roman" w:hAnsiTheme="minorHAnsi" w:cstheme="minorHAnsi"/>
                <w:b/>
                <w:color w:val="000000"/>
                <w:sz w:val="24"/>
                <w:szCs w:val="24"/>
              </w:rPr>
              <w:t>Refer to the current product information sheet for further information.</w:t>
            </w:r>
          </w:p>
          <w:p w:rsidR="0091257A" w:rsidRPr="0091257A" w:rsidRDefault="0091257A" w:rsidP="003A7E5D">
            <w:pPr>
              <w:spacing w:before="120" w:after="120"/>
              <w:rPr>
                <w:rFonts w:asciiTheme="minorHAnsi" w:eastAsia="Times New Roman" w:hAnsiTheme="minorHAnsi" w:cstheme="minorHAnsi"/>
                <w:b/>
                <w:color w:val="000000"/>
                <w:sz w:val="24"/>
                <w:szCs w:val="24"/>
              </w:rPr>
            </w:pPr>
          </w:p>
        </w:tc>
        <w:tc>
          <w:tcPr>
            <w:tcW w:w="4819" w:type="dxa"/>
            <w:gridSpan w:val="3"/>
          </w:tcPr>
          <w:p w:rsidR="00D6615A" w:rsidRPr="009604F1" w:rsidRDefault="00D6615A" w:rsidP="00D6615A">
            <w:pPr>
              <w:spacing w:before="120" w:after="120"/>
              <w:rPr>
                <w:rFonts w:asciiTheme="minorHAnsi" w:hAnsiTheme="minorHAnsi"/>
                <w:b/>
              </w:rPr>
            </w:pPr>
            <w:r w:rsidRPr="009604F1">
              <w:rPr>
                <w:rFonts w:asciiTheme="minorHAnsi" w:hAnsiTheme="minorHAnsi"/>
                <w:b/>
              </w:rPr>
              <w:lastRenderedPageBreak/>
              <w:t>Immediate pre -transplant where donor specific antibody/ies prevent transplantation (HLA or anti-blood group) in highly sensitised patients</w:t>
            </w:r>
          </w:p>
          <w:p w:rsidR="009604F1" w:rsidRPr="009604F1" w:rsidRDefault="009604F1" w:rsidP="009604F1">
            <w:pPr>
              <w:spacing w:before="120" w:after="120"/>
              <w:rPr>
                <w:rFonts w:asciiTheme="minorHAnsi" w:hAnsiTheme="minorHAnsi"/>
              </w:rPr>
            </w:pPr>
            <w:r w:rsidRPr="009604F1">
              <w:rPr>
                <w:rFonts w:asciiTheme="minorHAnsi" w:hAnsiTheme="minorHAnsi"/>
                <w:b/>
              </w:rPr>
              <w:t xml:space="preserve">IVIg with plasma exchange </w:t>
            </w:r>
            <w:r w:rsidRPr="009604F1">
              <w:rPr>
                <w:rFonts w:asciiTheme="minorHAnsi" w:hAnsiTheme="minorHAnsi"/>
              </w:rPr>
              <w:t>0.1 to 0.5 g/kg after each exchange (Total maximum dose of 2.5g/Kg )</w:t>
            </w:r>
          </w:p>
          <w:p w:rsidR="00097B41" w:rsidRPr="009604F1" w:rsidRDefault="00097B41" w:rsidP="00D6615A">
            <w:pPr>
              <w:spacing w:before="120" w:after="120"/>
              <w:rPr>
                <w:rFonts w:asciiTheme="minorHAnsi" w:hAnsiTheme="minorHAnsi"/>
              </w:rPr>
            </w:pPr>
            <w:r w:rsidRPr="009604F1">
              <w:rPr>
                <w:rFonts w:asciiTheme="minorHAnsi" w:hAnsiTheme="minorHAnsi"/>
                <w:b/>
              </w:rPr>
              <w:t xml:space="preserve">IVIg without plasma exchange (single dose) </w:t>
            </w:r>
            <w:r w:rsidRPr="009604F1">
              <w:rPr>
                <w:rFonts w:asciiTheme="minorHAnsi" w:hAnsiTheme="minorHAnsi"/>
              </w:rPr>
              <w:t>Up to</w:t>
            </w:r>
            <w:r w:rsidRPr="009604F1">
              <w:rPr>
                <w:rFonts w:asciiTheme="minorHAnsi" w:hAnsiTheme="minorHAnsi"/>
                <w:b/>
              </w:rPr>
              <w:t xml:space="preserve"> </w:t>
            </w:r>
            <w:r w:rsidRPr="009604F1">
              <w:rPr>
                <w:rFonts w:asciiTheme="minorHAnsi" w:hAnsiTheme="minorHAnsi"/>
              </w:rPr>
              <w:t>2 g/kg to a maximum of 140 g as a single dose.</w:t>
            </w:r>
          </w:p>
          <w:p w:rsidR="00097B41" w:rsidRDefault="00097B41" w:rsidP="00D6615A">
            <w:pPr>
              <w:spacing w:before="120" w:after="120"/>
              <w:rPr>
                <w:rFonts w:asciiTheme="minorHAnsi" w:hAnsiTheme="minorHAnsi"/>
              </w:rPr>
            </w:pPr>
            <w:r w:rsidRPr="009604F1">
              <w:rPr>
                <w:rFonts w:asciiTheme="minorHAnsi" w:hAnsiTheme="minorHAnsi"/>
                <w:b/>
              </w:rPr>
              <w:t xml:space="preserve">IVIg without plasma exchange (divided dose) </w:t>
            </w:r>
            <w:r w:rsidRPr="009604F1">
              <w:rPr>
                <w:rFonts w:asciiTheme="minorHAnsi" w:hAnsiTheme="minorHAnsi"/>
              </w:rPr>
              <w:t xml:space="preserve">2 to </w:t>
            </w:r>
            <w:r w:rsidRPr="009604F1">
              <w:rPr>
                <w:rFonts w:asciiTheme="minorHAnsi" w:hAnsiTheme="minorHAnsi"/>
              </w:rPr>
              <w:lastRenderedPageBreak/>
              <w:t>3.5g/kg in a divided dose</w:t>
            </w:r>
          </w:p>
          <w:p w:rsidR="00B431DA" w:rsidRPr="009604F1" w:rsidRDefault="00B431DA" w:rsidP="00B431DA">
            <w:pPr>
              <w:spacing w:after="225" w:line="276" w:lineRule="auto"/>
              <w:rPr>
                <w:rFonts w:asciiTheme="minorHAnsi" w:eastAsia="Times New Roman" w:hAnsiTheme="minorHAnsi" w:cstheme="minorHAnsi"/>
                <w:color w:val="000000"/>
              </w:rPr>
            </w:pPr>
            <w:r w:rsidRPr="009604F1">
              <w:rPr>
                <w:rFonts w:asciiTheme="minorHAnsi" w:eastAsia="Times New Roman" w:hAnsiTheme="minorHAnsi" w:cstheme="minorHAnsi"/>
                <w:color w:val="000000"/>
              </w:rPr>
              <w:t>The aim should be to use the lowest dose possible that achieves the appropriate clinical outcome for each patient</w:t>
            </w:r>
          </w:p>
          <w:p w:rsidR="00B431DA" w:rsidRPr="0033695E" w:rsidRDefault="00B431DA" w:rsidP="0033695E">
            <w:pPr>
              <w:spacing w:after="225" w:line="276" w:lineRule="auto"/>
              <w:rPr>
                <w:rFonts w:asciiTheme="minorHAnsi" w:eastAsia="Times New Roman" w:hAnsiTheme="minorHAnsi" w:cstheme="minorHAnsi"/>
                <w:b/>
                <w:color w:val="000000"/>
              </w:rPr>
            </w:pPr>
            <w:r w:rsidRPr="009604F1">
              <w:rPr>
                <w:rFonts w:asciiTheme="minorHAnsi" w:eastAsia="Times New Roman" w:hAnsiTheme="minorHAnsi" w:cstheme="minorHAnsi"/>
                <w:b/>
                <w:color w:val="000000"/>
              </w:rPr>
              <w:t>Refer to the current product information sheet for further information on dose, administration and contraindications.</w:t>
            </w:r>
          </w:p>
          <w:p w:rsidR="00097B41" w:rsidRPr="009604F1" w:rsidRDefault="00097B41" w:rsidP="00D6615A">
            <w:pPr>
              <w:spacing w:before="120" w:after="120"/>
              <w:rPr>
                <w:rFonts w:asciiTheme="minorHAnsi" w:hAnsiTheme="minorHAnsi"/>
                <w:b/>
              </w:rPr>
            </w:pPr>
          </w:p>
          <w:p w:rsidR="00D6615A" w:rsidRPr="009604F1" w:rsidRDefault="00D6615A" w:rsidP="00D6615A">
            <w:pPr>
              <w:spacing w:before="120" w:after="120"/>
              <w:rPr>
                <w:rFonts w:asciiTheme="minorHAnsi" w:hAnsiTheme="minorHAnsi"/>
                <w:b/>
              </w:rPr>
            </w:pPr>
            <w:r w:rsidRPr="009604F1">
              <w:rPr>
                <w:rFonts w:asciiTheme="minorHAnsi" w:hAnsiTheme="minorHAnsi"/>
                <w:b/>
              </w:rPr>
              <w:t>Post-transplant - acute anti-body mediated rejection</w:t>
            </w:r>
          </w:p>
          <w:p w:rsidR="009604F1" w:rsidRPr="009604F1" w:rsidRDefault="009604F1" w:rsidP="009604F1">
            <w:pPr>
              <w:spacing w:before="120" w:after="120"/>
              <w:rPr>
                <w:rFonts w:asciiTheme="minorHAnsi" w:hAnsiTheme="minorHAnsi"/>
              </w:rPr>
            </w:pPr>
            <w:r w:rsidRPr="009604F1">
              <w:rPr>
                <w:rFonts w:asciiTheme="minorHAnsi" w:hAnsiTheme="minorHAnsi"/>
                <w:b/>
              </w:rPr>
              <w:t xml:space="preserve">IVIg with plasma exchange </w:t>
            </w:r>
            <w:r w:rsidRPr="009604F1">
              <w:rPr>
                <w:rFonts w:asciiTheme="minorHAnsi" w:hAnsiTheme="minorHAnsi"/>
              </w:rPr>
              <w:t>0.1 to 0.5 g/kg after each exchange (Total maximum dose of 2.5g/Kg )</w:t>
            </w:r>
          </w:p>
          <w:p w:rsidR="009604F1" w:rsidRPr="009604F1" w:rsidRDefault="009604F1" w:rsidP="009604F1">
            <w:pPr>
              <w:spacing w:before="120" w:after="120"/>
              <w:rPr>
                <w:rFonts w:asciiTheme="minorHAnsi" w:hAnsiTheme="minorHAnsi"/>
              </w:rPr>
            </w:pPr>
            <w:r w:rsidRPr="009604F1">
              <w:rPr>
                <w:rFonts w:asciiTheme="minorHAnsi" w:hAnsiTheme="minorHAnsi"/>
                <w:b/>
              </w:rPr>
              <w:t xml:space="preserve">IVIg without plasma exchange (single dose) </w:t>
            </w:r>
            <w:r w:rsidRPr="009604F1">
              <w:rPr>
                <w:rFonts w:asciiTheme="minorHAnsi" w:hAnsiTheme="minorHAnsi"/>
              </w:rPr>
              <w:t>Up to</w:t>
            </w:r>
            <w:r w:rsidRPr="009604F1">
              <w:rPr>
                <w:rFonts w:asciiTheme="minorHAnsi" w:hAnsiTheme="minorHAnsi"/>
                <w:b/>
              </w:rPr>
              <w:t xml:space="preserve"> </w:t>
            </w:r>
            <w:r w:rsidRPr="009604F1">
              <w:rPr>
                <w:rFonts w:asciiTheme="minorHAnsi" w:hAnsiTheme="minorHAnsi"/>
              </w:rPr>
              <w:t>2 g/kg to a maximum of 140 g as a single dose.</w:t>
            </w:r>
          </w:p>
          <w:p w:rsidR="009604F1" w:rsidRDefault="009604F1" w:rsidP="009604F1">
            <w:pPr>
              <w:spacing w:before="120" w:after="120"/>
              <w:rPr>
                <w:rFonts w:asciiTheme="minorHAnsi" w:hAnsiTheme="minorHAnsi"/>
              </w:rPr>
            </w:pPr>
            <w:r w:rsidRPr="009604F1">
              <w:rPr>
                <w:rFonts w:asciiTheme="minorHAnsi" w:hAnsiTheme="minorHAnsi"/>
                <w:b/>
              </w:rPr>
              <w:t xml:space="preserve">IVIg without plasma exchange (divided dose) </w:t>
            </w:r>
            <w:r w:rsidRPr="009604F1">
              <w:rPr>
                <w:rFonts w:asciiTheme="minorHAnsi" w:hAnsiTheme="minorHAnsi"/>
              </w:rPr>
              <w:t>2 to 3.5g/kg in a divided dose</w:t>
            </w:r>
          </w:p>
          <w:p w:rsidR="00B431DA" w:rsidRDefault="00B431DA" w:rsidP="009604F1">
            <w:pPr>
              <w:spacing w:before="120" w:after="120"/>
              <w:rPr>
                <w:rFonts w:asciiTheme="minorHAnsi" w:hAnsiTheme="minorHAnsi"/>
              </w:rPr>
            </w:pPr>
          </w:p>
          <w:p w:rsidR="00B431DA" w:rsidRPr="009604F1" w:rsidRDefault="00B431DA" w:rsidP="00B431DA">
            <w:pPr>
              <w:spacing w:after="225" w:line="276" w:lineRule="auto"/>
              <w:rPr>
                <w:rFonts w:asciiTheme="minorHAnsi" w:eastAsia="Times New Roman" w:hAnsiTheme="minorHAnsi" w:cstheme="minorHAnsi"/>
                <w:color w:val="000000"/>
              </w:rPr>
            </w:pPr>
            <w:r w:rsidRPr="009604F1">
              <w:rPr>
                <w:rFonts w:asciiTheme="minorHAnsi" w:eastAsia="Times New Roman" w:hAnsiTheme="minorHAnsi" w:cstheme="minorHAnsi"/>
                <w:color w:val="000000"/>
              </w:rPr>
              <w:t>The aim should be to use the lowest dose possible that achieves the appropriate clinical outcome for each patient</w:t>
            </w:r>
          </w:p>
          <w:p w:rsidR="00B431DA" w:rsidRPr="0033695E" w:rsidRDefault="00B431DA" w:rsidP="0033695E">
            <w:pPr>
              <w:spacing w:after="225" w:line="276" w:lineRule="auto"/>
              <w:rPr>
                <w:rFonts w:asciiTheme="minorHAnsi" w:eastAsia="Times New Roman" w:hAnsiTheme="minorHAnsi" w:cstheme="minorHAnsi"/>
                <w:b/>
                <w:color w:val="000000"/>
              </w:rPr>
            </w:pPr>
            <w:r w:rsidRPr="009604F1">
              <w:rPr>
                <w:rFonts w:asciiTheme="minorHAnsi" w:eastAsia="Times New Roman" w:hAnsiTheme="minorHAnsi" w:cstheme="minorHAnsi"/>
                <w:b/>
                <w:color w:val="000000"/>
              </w:rPr>
              <w:t>Refer to the current product information sheet for further information on dose, administration and contraindications.</w:t>
            </w:r>
          </w:p>
          <w:p w:rsidR="00097B41" w:rsidRPr="009604F1" w:rsidRDefault="00097B41" w:rsidP="00D6615A">
            <w:pPr>
              <w:spacing w:before="120" w:after="120"/>
              <w:rPr>
                <w:rFonts w:asciiTheme="minorHAnsi" w:hAnsiTheme="minorHAnsi"/>
                <w:b/>
              </w:rPr>
            </w:pPr>
          </w:p>
          <w:p w:rsidR="00D6615A" w:rsidRPr="009604F1" w:rsidRDefault="00D6615A" w:rsidP="00D6615A">
            <w:pPr>
              <w:spacing w:before="120" w:after="120"/>
              <w:rPr>
                <w:rFonts w:asciiTheme="minorHAnsi" w:hAnsiTheme="minorHAnsi"/>
                <w:b/>
              </w:rPr>
            </w:pPr>
            <w:r w:rsidRPr="009604F1">
              <w:rPr>
                <w:rFonts w:asciiTheme="minorHAnsi" w:hAnsiTheme="minorHAnsi"/>
                <w:b/>
              </w:rPr>
              <w:t>Treatment or prevention of graft rejection where conventional immunosuppressive therapies is contraindicated or pose a threat to the graft or patient</w:t>
            </w:r>
          </w:p>
          <w:p w:rsidR="00D6615A" w:rsidRPr="009604F1" w:rsidRDefault="00F6525C" w:rsidP="0033695E">
            <w:pPr>
              <w:spacing w:after="120"/>
              <w:rPr>
                <w:rFonts w:asciiTheme="minorHAnsi" w:hAnsiTheme="minorHAnsi"/>
                <w:b/>
              </w:rPr>
            </w:pPr>
            <w:r w:rsidRPr="009604F1">
              <w:rPr>
                <w:rFonts w:asciiTheme="minorHAnsi" w:hAnsiTheme="minorHAnsi"/>
                <w:b/>
              </w:rPr>
              <w:t>IVIg</w:t>
            </w:r>
            <w:r w:rsidR="00D6615A" w:rsidRPr="009604F1">
              <w:rPr>
                <w:rFonts w:asciiTheme="minorHAnsi" w:hAnsiTheme="minorHAnsi"/>
                <w:b/>
              </w:rPr>
              <w:t xml:space="preserve"> with plasma exchange</w:t>
            </w:r>
            <w:r w:rsidR="005D1CA5" w:rsidRPr="009604F1">
              <w:rPr>
                <w:rFonts w:asciiTheme="minorHAnsi" w:hAnsiTheme="minorHAnsi"/>
                <w:b/>
              </w:rPr>
              <w:t>:</w:t>
            </w:r>
            <w:r w:rsidR="00D6615A" w:rsidRPr="009604F1">
              <w:rPr>
                <w:rFonts w:asciiTheme="minorHAnsi" w:hAnsiTheme="minorHAnsi"/>
                <w:b/>
              </w:rPr>
              <w:t xml:space="preserve"> </w:t>
            </w:r>
            <w:r w:rsidR="00D6615A" w:rsidRPr="009604F1">
              <w:rPr>
                <w:rFonts w:asciiTheme="minorHAnsi" w:hAnsiTheme="minorHAnsi"/>
              </w:rPr>
              <w:t xml:space="preserve">0.1 to 0.5 g/kg after each exchange (Total maximum dose of 2.5g/Kg divided across 5 doses) </w:t>
            </w:r>
          </w:p>
          <w:p w:rsidR="00D6615A" w:rsidRPr="009604F1" w:rsidRDefault="00F6525C" w:rsidP="0033695E">
            <w:pPr>
              <w:spacing w:after="120"/>
              <w:rPr>
                <w:rFonts w:asciiTheme="minorHAnsi" w:hAnsiTheme="minorHAnsi"/>
                <w:b/>
              </w:rPr>
            </w:pPr>
            <w:r w:rsidRPr="009604F1">
              <w:rPr>
                <w:rFonts w:asciiTheme="minorHAnsi" w:hAnsiTheme="minorHAnsi"/>
                <w:b/>
              </w:rPr>
              <w:t>IVIg</w:t>
            </w:r>
            <w:r w:rsidR="00D6615A" w:rsidRPr="009604F1">
              <w:rPr>
                <w:rFonts w:asciiTheme="minorHAnsi" w:hAnsiTheme="minorHAnsi"/>
                <w:b/>
              </w:rPr>
              <w:t xml:space="preserve"> without plasma exchange (single dose)</w:t>
            </w:r>
            <w:r w:rsidR="005D1CA5" w:rsidRPr="009604F1">
              <w:rPr>
                <w:rFonts w:asciiTheme="minorHAnsi" w:hAnsiTheme="minorHAnsi"/>
                <w:b/>
              </w:rPr>
              <w:t>:</w:t>
            </w:r>
            <w:r w:rsidR="00D6615A" w:rsidRPr="009604F1">
              <w:rPr>
                <w:rFonts w:asciiTheme="minorHAnsi" w:hAnsiTheme="minorHAnsi"/>
                <w:b/>
              </w:rPr>
              <w:t xml:space="preserve"> </w:t>
            </w:r>
            <w:r w:rsidR="00D6615A" w:rsidRPr="009604F1">
              <w:rPr>
                <w:rFonts w:asciiTheme="minorHAnsi" w:hAnsiTheme="minorHAnsi"/>
              </w:rPr>
              <w:t>Up to</w:t>
            </w:r>
            <w:r w:rsidR="00D6615A" w:rsidRPr="009604F1">
              <w:rPr>
                <w:rFonts w:asciiTheme="minorHAnsi" w:hAnsiTheme="minorHAnsi"/>
                <w:b/>
              </w:rPr>
              <w:t xml:space="preserve"> </w:t>
            </w:r>
            <w:r w:rsidR="00D6615A" w:rsidRPr="009604F1">
              <w:rPr>
                <w:rFonts w:asciiTheme="minorHAnsi" w:hAnsiTheme="minorHAnsi"/>
              </w:rPr>
              <w:t xml:space="preserve">2 g/kg to a maximum of 140 g as a single dose. </w:t>
            </w:r>
          </w:p>
          <w:p w:rsidR="00D6615A" w:rsidRPr="009604F1" w:rsidRDefault="00F6525C" w:rsidP="0033695E">
            <w:pPr>
              <w:spacing w:after="120"/>
              <w:rPr>
                <w:rFonts w:asciiTheme="minorHAnsi" w:hAnsiTheme="minorHAnsi"/>
                <w:b/>
              </w:rPr>
            </w:pPr>
            <w:r w:rsidRPr="009604F1">
              <w:rPr>
                <w:rFonts w:asciiTheme="minorHAnsi" w:hAnsiTheme="minorHAnsi"/>
                <w:b/>
              </w:rPr>
              <w:t>IVIg</w:t>
            </w:r>
            <w:r w:rsidR="00D6615A" w:rsidRPr="009604F1">
              <w:rPr>
                <w:rFonts w:asciiTheme="minorHAnsi" w:hAnsiTheme="minorHAnsi"/>
                <w:b/>
              </w:rPr>
              <w:t xml:space="preserve"> without plasma exchange (divided dose)</w:t>
            </w:r>
            <w:r w:rsidR="005D1CA5" w:rsidRPr="009604F1">
              <w:rPr>
                <w:rFonts w:asciiTheme="minorHAnsi" w:hAnsiTheme="minorHAnsi"/>
                <w:b/>
              </w:rPr>
              <w:t>:</w:t>
            </w:r>
            <w:r w:rsidR="00D6615A" w:rsidRPr="009604F1">
              <w:rPr>
                <w:rFonts w:asciiTheme="minorHAnsi" w:hAnsiTheme="minorHAnsi"/>
                <w:b/>
              </w:rPr>
              <w:t xml:space="preserve"> </w:t>
            </w:r>
            <w:r w:rsidR="00D6615A" w:rsidRPr="009604F1">
              <w:rPr>
                <w:rFonts w:asciiTheme="minorHAnsi" w:hAnsiTheme="minorHAnsi"/>
              </w:rPr>
              <w:t xml:space="preserve">2 to 3.5g/kg in a divided dose </w:t>
            </w:r>
            <w:r w:rsidR="00D6615A" w:rsidRPr="009604F1">
              <w:rPr>
                <w:rFonts w:asciiTheme="minorHAnsi" w:hAnsiTheme="minorHAnsi"/>
              </w:rPr>
              <w:tab/>
            </w:r>
            <w:r w:rsidR="00D6615A" w:rsidRPr="009604F1">
              <w:rPr>
                <w:rFonts w:asciiTheme="minorHAnsi" w:hAnsiTheme="minorHAnsi"/>
              </w:rPr>
              <w:tab/>
            </w:r>
            <w:r w:rsidR="00D6615A" w:rsidRPr="009604F1">
              <w:rPr>
                <w:rFonts w:asciiTheme="minorHAnsi" w:hAnsiTheme="minorHAnsi"/>
              </w:rPr>
              <w:tab/>
            </w:r>
            <w:r w:rsidR="00D6615A" w:rsidRPr="009604F1">
              <w:rPr>
                <w:rFonts w:asciiTheme="minorHAnsi" w:hAnsiTheme="minorHAnsi"/>
              </w:rPr>
              <w:tab/>
            </w:r>
          </w:p>
          <w:p w:rsidR="00D6615A" w:rsidRPr="009604F1" w:rsidRDefault="00D6615A" w:rsidP="00D6615A">
            <w:pPr>
              <w:spacing w:after="225" w:line="276" w:lineRule="auto"/>
              <w:rPr>
                <w:rFonts w:asciiTheme="minorHAnsi" w:eastAsia="Times New Roman" w:hAnsiTheme="minorHAnsi" w:cstheme="minorHAnsi"/>
                <w:color w:val="000000"/>
              </w:rPr>
            </w:pPr>
            <w:r w:rsidRPr="009604F1">
              <w:rPr>
                <w:rFonts w:asciiTheme="minorHAnsi" w:eastAsia="Times New Roman" w:hAnsiTheme="minorHAnsi" w:cstheme="minorHAnsi"/>
                <w:color w:val="000000"/>
              </w:rPr>
              <w:t>The aim should be to use the lowest dose possible that achieves the appropriate clinical outcome for each patient.</w:t>
            </w:r>
          </w:p>
          <w:p w:rsidR="007066DA" w:rsidRPr="009604F1" w:rsidRDefault="00D6615A" w:rsidP="00D6615A">
            <w:pPr>
              <w:spacing w:before="120" w:after="120"/>
              <w:rPr>
                <w:rFonts w:asciiTheme="minorHAnsi" w:eastAsia="Times New Roman" w:hAnsiTheme="minorHAnsi" w:cstheme="minorHAnsi"/>
                <w:b/>
                <w:color w:val="000000"/>
              </w:rPr>
            </w:pPr>
            <w:r w:rsidRPr="009604F1">
              <w:rPr>
                <w:rFonts w:asciiTheme="minorHAnsi" w:eastAsia="Times New Roman" w:hAnsiTheme="minorHAnsi" w:cstheme="minorHAnsi"/>
                <w:b/>
                <w:color w:val="000000"/>
              </w:rPr>
              <w:t>Refer to the current product information sheet for further information</w:t>
            </w:r>
            <w:r w:rsidR="001244A7" w:rsidRPr="009604F1">
              <w:rPr>
                <w:rFonts w:asciiTheme="minorHAnsi" w:eastAsia="Times New Roman" w:hAnsiTheme="minorHAnsi" w:cstheme="minorHAnsi"/>
                <w:b/>
                <w:color w:val="000000"/>
              </w:rPr>
              <w:t xml:space="preserve"> on dose, administration and contraindications</w:t>
            </w:r>
          </w:p>
          <w:p w:rsidR="007066DA" w:rsidRPr="009604F1" w:rsidRDefault="007066DA" w:rsidP="00D6615A">
            <w:pPr>
              <w:spacing w:before="120" w:after="120"/>
              <w:rPr>
                <w:rFonts w:asciiTheme="minorHAnsi" w:eastAsia="Times New Roman" w:hAnsiTheme="minorHAnsi" w:cstheme="minorHAnsi"/>
                <w:b/>
                <w:color w:val="000000"/>
              </w:rPr>
            </w:pPr>
          </w:p>
          <w:p w:rsidR="00D6615A" w:rsidRPr="009604F1" w:rsidRDefault="00D6615A" w:rsidP="00D6615A">
            <w:pPr>
              <w:spacing w:before="120" w:after="120"/>
              <w:rPr>
                <w:rFonts w:asciiTheme="minorHAnsi" w:hAnsiTheme="minorHAnsi"/>
                <w:b/>
              </w:rPr>
            </w:pPr>
            <w:r w:rsidRPr="009604F1">
              <w:rPr>
                <w:rFonts w:asciiTheme="minorHAnsi" w:hAnsiTheme="minorHAnsi"/>
                <w:b/>
              </w:rPr>
              <w:t xml:space="preserve">De-sensitisation of patients to increase the likelihood of transplantation </w:t>
            </w:r>
          </w:p>
          <w:p w:rsidR="00B431DA" w:rsidRPr="009604F1" w:rsidRDefault="00F6525C" w:rsidP="00D6615A">
            <w:pPr>
              <w:spacing w:before="120" w:after="120"/>
              <w:rPr>
                <w:rFonts w:asciiTheme="minorHAnsi" w:hAnsiTheme="minorHAnsi"/>
              </w:rPr>
            </w:pPr>
            <w:r w:rsidRPr="009604F1">
              <w:rPr>
                <w:rFonts w:asciiTheme="minorHAnsi" w:hAnsiTheme="minorHAnsi"/>
                <w:b/>
              </w:rPr>
              <w:t>IVIg</w:t>
            </w:r>
            <w:r w:rsidR="00D6615A" w:rsidRPr="009604F1">
              <w:rPr>
                <w:rFonts w:asciiTheme="minorHAnsi" w:hAnsiTheme="minorHAnsi"/>
                <w:b/>
              </w:rPr>
              <w:t xml:space="preserve"> with plasma exchange</w:t>
            </w:r>
            <w:r w:rsidR="005D1CA5" w:rsidRPr="009604F1">
              <w:rPr>
                <w:rFonts w:asciiTheme="minorHAnsi" w:hAnsiTheme="minorHAnsi"/>
                <w:b/>
              </w:rPr>
              <w:t>:</w:t>
            </w:r>
            <w:r w:rsidR="00D6615A" w:rsidRPr="009604F1">
              <w:rPr>
                <w:rFonts w:asciiTheme="minorHAnsi" w:hAnsiTheme="minorHAnsi"/>
              </w:rPr>
              <w:t xml:space="preserve"> 0.1 to 0.5 g/kg after each exchange (Total maximum dose of 2.0g/Kg across divided doses, monthly)</w:t>
            </w:r>
          </w:p>
          <w:p w:rsidR="00D6615A" w:rsidRPr="009604F1" w:rsidRDefault="00D6615A" w:rsidP="00D6615A">
            <w:pPr>
              <w:spacing w:after="225" w:line="276" w:lineRule="auto"/>
              <w:rPr>
                <w:rFonts w:asciiTheme="minorHAnsi" w:eastAsia="Times New Roman" w:hAnsiTheme="minorHAnsi" w:cstheme="minorHAnsi"/>
                <w:color w:val="000000"/>
              </w:rPr>
            </w:pPr>
            <w:r w:rsidRPr="009604F1">
              <w:rPr>
                <w:rFonts w:asciiTheme="minorHAnsi" w:eastAsia="Times New Roman" w:hAnsiTheme="minorHAnsi" w:cstheme="minorHAnsi"/>
                <w:color w:val="000000"/>
              </w:rPr>
              <w:t>The aim should be to use the lowest dose possible that achieves the appropriate clinical outcome for each patient</w:t>
            </w:r>
          </w:p>
          <w:p w:rsidR="00D6615A" w:rsidRPr="009604F1" w:rsidRDefault="00D6615A" w:rsidP="00D6615A">
            <w:pPr>
              <w:spacing w:after="225" w:line="276" w:lineRule="auto"/>
              <w:rPr>
                <w:rFonts w:asciiTheme="minorHAnsi" w:eastAsia="Times New Roman" w:hAnsiTheme="minorHAnsi" w:cstheme="minorHAnsi"/>
                <w:b/>
                <w:color w:val="000000"/>
              </w:rPr>
            </w:pPr>
            <w:r w:rsidRPr="009604F1">
              <w:rPr>
                <w:rFonts w:asciiTheme="minorHAnsi" w:eastAsia="Times New Roman" w:hAnsiTheme="minorHAnsi" w:cstheme="minorHAnsi"/>
                <w:b/>
                <w:color w:val="000000"/>
              </w:rPr>
              <w:t>Refer to the current product information sheet for further information</w:t>
            </w:r>
            <w:r w:rsidR="005D1CA5" w:rsidRPr="009604F1">
              <w:rPr>
                <w:rFonts w:asciiTheme="minorHAnsi" w:eastAsia="Times New Roman" w:hAnsiTheme="minorHAnsi" w:cstheme="minorHAnsi"/>
                <w:b/>
                <w:color w:val="000000"/>
              </w:rPr>
              <w:t xml:space="preserve"> on dose, administration and contraindications</w:t>
            </w:r>
            <w:r w:rsidRPr="009604F1">
              <w:rPr>
                <w:rFonts w:asciiTheme="minorHAnsi" w:eastAsia="Times New Roman" w:hAnsiTheme="minorHAnsi" w:cstheme="minorHAnsi"/>
                <w:b/>
                <w:color w:val="000000"/>
              </w:rPr>
              <w:t>.</w:t>
            </w:r>
          </w:p>
          <w:p w:rsidR="00B878A0" w:rsidRDefault="00B878A0" w:rsidP="00D6615A">
            <w:pPr>
              <w:rPr>
                <w:rFonts w:asciiTheme="minorHAnsi" w:hAnsiTheme="minorHAnsi" w:cs="Lucida Grande"/>
                <w:b/>
                <w:color w:val="000000"/>
              </w:rPr>
            </w:pPr>
          </w:p>
          <w:p w:rsidR="00D6615A" w:rsidRPr="009604F1" w:rsidRDefault="00D6615A" w:rsidP="00D6615A">
            <w:pPr>
              <w:rPr>
                <w:rFonts w:asciiTheme="minorHAnsi" w:eastAsia="MS Mincho" w:hAnsiTheme="minorHAnsi" w:cs="Lucida Grande"/>
                <w:b/>
                <w:color w:val="000000"/>
              </w:rPr>
            </w:pPr>
            <w:r w:rsidRPr="009604F1">
              <w:rPr>
                <w:rFonts w:asciiTheme="minorHAnsi" w:hAnsiTheme="minorHAnsi" w:cs="Lucida Grande"/>
                <w:b/>
                <w:color w:val="000000"/>
              </w:rPr>
              <w:t xml:space="preserve">Treatment of ongoing active antibody mediated rejection </w:t>
            </w:r>
          </w:p>
          <w:p w:rsidR="00D6615A" w:rsidRPr="009604F1" w:rsidRDefault="00F6525C" w:rsidP="00D6615A">
            <w:pPr>
              <w:spacing w:before="120" w:after="120"/>
              <w:rPr>
                <w:rFonts w:asciiTheme="minorHAnsi" w:hAnsiTheme="minorHAnsi"/>
              </w:rPr>
            </w:pPr>
            <w:r w:rsidRPr="009604F1">
              <w:rPr>
                <w:rFonts w:asciiTheme="minorHAnsi" w:hAnsiTheme="minorHAnsi"/>
                <w:b/>
              </w:rPr>
              <w:t>IVIg</w:t>
            </w:r>
            <w:r w:rsidR="00D6615A" w:rsidRPr="009604F1">
              <w:rPr>
                <w:rFonts w:asciiTheme="minorHAnsi" w:hAnsiTheme="minorHAnsi"/>
                <w:b/>
              </w:rPr>
              <w:t xml:space="preserve"> with plasma exchange</w:t>
            </w:r>
            <w:r w:rsidR="005D1CA5" w:rsidRPr="009604F1">
              <w:rPr>
                <w:rFonts w:asciiTheme="minorHAnsi" w:hAnsiTheme="minorHAnsi"/>
                <w:b/>
              </w:rPr>
              <w:t>:</w:t>
            </w:r>
            <w:r w:rsidR="00D6615A" w:rsidRPr="009604F1">
              <w:rPr>
                <w:rFonts w:asciiTheme="minorHAnsi" w:hAnsiTheme="minorHAnsi"/>
              </w:rPr>
              <w:t xml:space="preserve"> 0.1 to 0.5 g/kg after each exchange (Total maximum dose of 2.0g/Kg across divided doses, monthly)</w:t>
            </w:r>
          </w:p>
          <w:p w:rsidR="00D6615A" w:rsidRPr="009604F1" w:rsidRDefault="00D6615A" w:rsidP="00D6615A">
            <w:pPr>
              <w:spacing w:after="225" w:line="276" w:lineRule="auto"/>
              <w:rPr>
                <w:rFonts w:asciiTheme="minorHAnsi" w:eastAsia="Times New Roman" w:hAnsiTheme="minorHAnsi" w:cstheme="minorHAnsi"/>
                <w:color w:val="000000"/>
              </w:rPr>
            </w:pPr>
            <w:r w:rsidRPr="009604F1">
              <w:rPr>
                <w:rFonts w:asciiTheme="minorHAnsi" w:eastAsia="Times New Roman" w:hAnsiTheme="minorHAnsi" w:cstheme="minorHAnsi"/>
                <w:color w:val="000000"/>
              </w:rPr>
              <w:t>The aim should be to use the lowest dose possible that achieves the appropriate clinical outcome for each patient</w:t>
            </w:r>
          </w:p>
          <w:p w:rsidR="001244A7" w:rsidRPr="009604F1" w:rsidRDefault="00D6615A" w:rsidP="005D1CA5">
            <w:pPr>
              <w:spacing w:after="225" w:line="276" w:lineRule="auto"/>
              <w:rPr>
                <w:rFonts w:asciiTheme="minorHAnsi" w:eastAsia="Times New Roman" w:hAnsiTheme="minorHAnsi" w:cstheme="minorHAnsi"/>
                <w:b/>
                <w:color w:val="000000"/>
              </w:rPr>
            </w:pPr>
            <w:r w:rsidRPr="009604F1">
              <w:rPr>
                <w:rFonts w:asciiTheme="minorHAnsi" w:eastAsia="Times New Roman" w:hAnsiTheme="minorHAnsi" w:cstheme="minorHAnsi"/>
                <w:b/>
                <w:color w:val="000000"/>
              </w:rPr>
              <w:t>Refer to the current product information sheet for further information</w:t>
            </w:r>
            <w:r w:rsidR="001244A7" w:rsidRPr="009604F1">
              <w:rPr>
                <w:rFonts w:asciiTheme="minorHAnsi" w:eastAsia="Times New Roman" w:hAnsiTheme="minorHAnsi" w:cstheme="minorHAnsi"/>
                <w:b/>
                <w:color w:val="000000"/>
              </w:rPr>
              <w:t xml:space="preserve"> on dose, administration and contraindications</w:t>
            </w:r>
            <w:r w:rsidRPr="009604F1">
              <w:rPr>
                <w:rFonts w:asciiTheme="minorHAnsi" w:eastAsia="Times New Roman" w:hAnsiTheme="minorHAnsi" w:cstheme="minorHAnsi"/>
                <w:b/>
                <w:color w:val="000000"/>
              </w:rPr>
              <w:t>.</w:t>
            </w:r>
          </w:p>
        </w:tc>
        <w:tc>
          <w:tcPr>
            <w:tcW w:w="4394" w:type="dxa"/>
          </w:tcPr>
          <w:p w:rsidR="00021243" w:rsidRDefault="00D6615A" w:rsidP="00880ECB">
            <w:pPr>
              <w:spacing w:before="120" w:after="120"/>
              <w:rPr>
                <w:rFonts w:asciiTheme="minorHAnsi" w:hAnsiTheme="minorHAnsi"/>
                <w:szCs w:val="20"/>
              </w:rPr>
            </w:pPr>
            <w:r w:rsidRPr="00D6615A">
              <w:rPr>
                <w:rFonts w:asciiTheme="minorHAnsi" w:hAnsiTheme="minorHAnsi"/>
                <w:szCs w:val="20"/>
              </w:rPr>
              <w:lastRenderedPageBreak/>
              <w:t>Dosing is unchanged for the first three indications.</w:t>
            </w:r>
          </w:p>
          <w:p w:rsidR="00D6615A" w:rsidRDefault="00D6615A" w:rsidP="00880ECB">
            <w:pPr>
              <w:spacing w:before="120" w:after="120"/>
              <w:rPr>
                <w:rFonts w:asciiTheme="minorHAnsi" w:hAnsiTheme="minorHAnsi"/>
                <w:szCs w:val="20"/>
              </w:rPr>
            </w:pPr>
          </w:p>
          <w:p w:rsidR="00D6615A" w:rsidRDefault="00D6615A" w:rsidP="00880ECB">
            <w:pPr>
              <w:spacing w:before="120" w:after="120"/>
              <w:rPr>
                <w:rFonts w:asciiTheme="minorHAnsi" w:hAnsiTheme="minorHAnsi"/>
                <w:szCs w:val="20"/>
              </w:rPr>
            </w:pPr>
          </w:p>
          <w:p w:rsidR="00D6615A" w:rsidRDefault="00D6615A" w:rsidP="00880ECB">
            <w:pPr>
              <w:spacing w:before="120" w:after="120"/>
              <w:rPr>
                <w:rFonts w:asciiTheme="minorHAnsi" w:hAnsiTheme="minorHAnsi"/>
                <w:szCs w:val="20"/>
              </w:rPr>
            </w:pPr>
          </w:p>
          <w:p w:rsidR="00D6615A" w:rsidRDefault="00D6615A" w:rsidP="00880ECB">
            <w:pPr>
              <w:spacing w:before="120" w:after="120"/>
              <w:rPr>
                <w:rFonts w:asciiTheme="minorHAnsi" w:hAnsiTheme="minorHAnsi"/>
                <w:szCs w:val="20"/>
              </w:rPr>
            </w:pPr>
          </w:p>
          <w:p w:rsidR="00D6615A" w:rsidRDefault="00D6615A" w:rsidP="00880ECB">
            <w:pPr>
              <w:spacing w:before="120" w:after="120"/>
              <w:rPr>
                <w:rFonts w:asciiTheme="minorHAnsi" w:hAnsiTheme="minorHAnsi"/>
                <w:szCs w:val="20"/>
              </w:rPr>
            </w:pPr>
          </w:p>
          <w:p w:rsidR="00D6615A" w:rsidRDefault="00D6615A" w:rsidP="00880ECB">
            <w:pPr>
              <w:spacing w:before="120" w:after="120"/>
              <w:rPr>
                <w:rFonts w:asciiTheme="minorHAnsi" w:hAnsiTheme="minorHAnsi"/>
                <w:szCs w:val="20"/>
              </w:rPr>
            </w:pPr>
          </w:p>
          <w:p w:rsidR="00D6615A" w:rsidRDefault="00D6615A" w:rsidP="00880ECB">
            <w:pPr>
              <w:spacing w:before="120" w:after="120"/>
              <w:rPr>
                <w:rFonts w:asciiTheme="minorHAnsi" w:hAnsiTheme="minorHAnsi"/>
                <w:szCs w:val="20"/>
              </w:rPr>
            </w:pPr>
          </w:p>
          <w:p w:rsidR="00D6615A" w:rsidRDefault="00D6615A" w:rsidP="00880ECB">
            <w:pPr>
              <w:spacing w:before="120" w:after="120"/>
              <w:rPr>
                <w:rFonts w:asciiTheme="minorHAnsi" w:hAnsiTheme="minorHAnsi"/>
                <w:szCs w:val="20"/>
              </w:rPr>
            </w:pPr>
          </w:p>
          <w:p w:rsidR="00D6615A" w:rsidRDefault="00D6615A" w:rsidP="00880ECB">
            <w:pPr>
              <w:spacing w:before="120" w:after="120"/>
              <w:rPr>
                <w:rFonts w:asciiTheme="minorHAnsi" w:hAnsiTheme="minorHAnsi"/>
                <w:szCs w:val="20"/>
              </w:rPr>
            </w:pPr>
          </w:p>
          <w:p w:rsidR="00D6615A" w:rsidRDefault="00D6615A" w:rsidP="00880ECB">
            <w:pPr>
              <w:spacing w:before="120" w:after="120"/>
              <w:rPr>
                <w:rFonts w:asciiTheme="minorHAnsi" w:hAnsiTheme="minorHAnsi"/>
                <w:szCs w:val="20"/>
              </w:rPr>
            </w:pPr>
          </w:p>
          <w:p w:rsidR="00D6615A" w:rsidRDefault="00D6615A" w:rsidP="00880ECB">
            <w:pPr>
              <w:spacing w:before="120" w:after="120"/>
              <w:rPr>
                <w:rFonts w:asciiTheme="minorHAnsi" w:hAnsiTheme="minorHAnsi"/>
                <w:szCs w:val="20"/>
              </w:rPr>
            </w:pPr>
          </w:p>
          <w:p w:rsidR="00D6615A" w:rsidRDefault="00D6615A" w:rsidP="00880ECB">
            <w:pPr>
              <w:spacing w:before="120" w:after="120"/>
              <w:rPr>
                <w:rFonts w:asciiTheme="minorHAnsi" w:hAnsiTheme="minorHAnsi"/>
                <w:szCs w:val="20"/>
              </w:rPr>
            </w:pPr>
          </w:p>
          <w:p w:rsidR="00D6615A" w:rsidRDefault="00D6615A" w:rsidP="00880ECB">
            <w:pPr>
              <w:spacing w:before="120" w:after="120"/>
              <w:rPr>
                <w:rFonts w:asciiTheme="minorHAnsi" w:hAnsiTheme="minorHAnsi"/>
                <w:szCs w:val="20"/>
              </w:rPr>
            </w:pPr>
          </w:p>
          <w:p w:rsidR="00D6615A" w:rsidRDefault="00D6615A" w:rsidP="00D6615A">
            <w:pPr>
              <w:spacing w:before="120" w:after="120"/>
              <w:rPr>
                <w:rFonts w:asciiTheme="minorHAnsi" w:hAnsiTheme="minorHAnsi"/>
              </w:rPr>
            </w:pPr>
            <w:r w:rsidRPr="00E721AB">
              <w:rPr>
                <w:rFonts w:asciiTheme="minorHAnsi" w:hAnsiTheme="minorHAnsi"/>
              </w:rPr>
              <w:t xml:space="preserve">Dosing controls have been developed </w:t>
            </w:r>
            <w:r>
              <w:rPr>
                <w:rFonts w:asciiTheme="minorHAnsi" w:hAnsiTheme="minorHAnsi"/>
              </w:rPr>
              <w:t xml:space="preserve">by </w:t>
            </w:r>
            <w:r w:rsidR="005D1CA5">
              <w:rPr>
                <w:rFonts w:asciiTheme="minorHAnsi" w:hAnsiTheme="minorHAnsi"/>
              </w:rPr>
              <w:t xml:space="preserve">Specialist Working Group </w:t>
            </w:r>
          </w:p>
          <w:p w:rsidR="00D6615A" w:rsidRDefault="00D6615A" w:rsidP="00880ECB">
            <w:pPr>
              <w:spacing w:before="120" w:after="120"/>
              <w:rPr>
                <w:rFonts w:asciiTheme="minorHAnsi" w:hAnsiTheme="minorHAnsi"/>
                <w:szCs w:val="20"/>
              </w:rPr>
            </w:pPr>
          </w:p>
          <w:p w:rsidR="00D6615A" w:rsidRDefault="00D6615A" w:rsidP="00880ECB">
            <w:pPr>
              <w:spacing w:before="120" w:after="120"/>
              <w:rPr>
                <w:rFonts w:asciiTheme="minorHAnsi" w:hAnsiTheme="minorHAnsi"/>
                <w:szCs w:val="20"/>
              </w:rPr>
            </w:pPr>
          </w:p>
          <w:p w:rsidR="00D6615A" w:rsidRDefault="00D6615A" w:rsidP="00880ECB">
            <w:pPr>
              <w:spacing w:before="120" w:after="120"/>
              <w:rPr>
                <w:rFonts w:asciiTheme="minorHAnsi" w:hAnsiTheme="minorHAnsi"/>
                <w:szCs w:val="20"/>
              </w:rPr>
            </w:pPr>
          </w:p>
          <w:p w:rsidR="00D6615A" w:rsidRDefault="00D6615A" w:rsidP="00880ECB">
            <w:pPr>
              <w:spacing w:before="120" w:after="120"/>
              <w:rPr>
                <w:rFonts w:asciiTheme="minorHAnsi" w:hAnsiTheme="minorHAnsi"/>
                <w:szCs w:val="20"/>
              </w:rPr>
            </w:pPr>
          </w:p>
          <w:p w:rsidR="00D6615A" w:rsidRDefault="00D6615A" w:rsidP="00880ECB">
            <w:pPr>
              <w:spacing w:before="120" w:after="120"/>
              <w:rPr>
                <w:rFonts w:asciiTheme="minorHAnsi" w:hAnsiTheme="minorHAnsi"/>
                <w:szCs w:val="20"/>
              </w:rPr>
            </w:pPr>
          </w:p>
          <w:p w:rsidR="00D6615A" w:rsidRDefault="00D6615A" w:rsidP="00880ECB">
            <w:pPr>
              <w:spacing w:before="120" w:after="120"/>
              <w:rPr>
                <w:rFonts w:asciiTheme="minorHAnsi" w:hAnsiTheme="minorHAnsi"/>
                <w:szCs w:val="20"/>
              </w:rPr>
            </w:pPr>
          </w:p>
          <w:p w:rsidR="00D6615A" w:rsidRDefault="00D6615A" w:rsidP="00880ECB">
            <w:pPr>
              <w:spacing w:before="120" w:after="120"/>
              <w:rPr>
                <w:rFonts w:asciiTheme="minorHAnsi" w:hAnsiTheme="minorHAnsi"/>
                <w:szCs w:val="20"/>
              </w:rPr>
            </w:pPr>
          </w:p>
          <w:p w:rsidR="00D6615A" w:rsidRDefault="00D6615A" w:rsidP="00880ECB">
            <w:pPr>
              <w:spacing w:before="120" w:after="120"/>
              <w:rPr>
                <w:rFonts w:asciiTheme="minorHAnsi" w:hAnsiTheme="minorHAnsi"/>
                <w:szCs w:val="20"/>
              </w:rPr>
            </w:pPr>
          </w:p>
          <w:p w:rsidR="00D6615A" w:rsidRDefault="00D6615A" w:rsidP="00880ECB">
            <w:pPr>
              <w:spacing w:before="120" w:after="120"/>
              <w:rPr>
                <w:rFonts w:asciiTheme="minorHAnsi" w:hAnsiTheme="minorHAnsi"/>
                <w:szCs w:val="20"/>
              </w:rPr>
            </w:pPr>
          </w:p>
          <w:p w:rsidR="00D6615A" w:rsidRDefault="00D6615A" w:rsidP="00880ECB">
            <w:pPr>
              <w:spacing w:before="120" w:after="120"/>
              <w:rPr>
                <w:rFonts w:asciiTheme="minorHAnsi" w:hAnsiTheme="minorHAnsi"/>
                <w:szCs w:val="20"/>
              </w:rPr>
            </w:pPr>
          </w:p>
          <w:p w:rsidR="00D6615A" w:rsidRPr="00E721AB" w:rsidRDefault="00D6615A" w:rsidP="00D6615A">
            <w:pPr>
              <w:spacing w:before="120" w:after="120"/>
              <w:rPr>
                <w:rFonts w:asciiTheme="minorHAnsi" w:hAnsiTheme="minorHAnsi"/>
              </w:rPr>
            </w:pPr>
            <w:r>
              <w:t xml:space="preserve">The </w:t>
            </w:r>
            <w:r w:rsidR="005D1CA5">
              <w:t xml:space="preserve">Specialist Working Group </w:t>
            </w:r>
            <w:r>
              <w:t xml:space="preserve">advised that </w:t>
            </w:r>
            <w:r w:rsidRPr="00E721AB">
              <w:t>there was no evidence to support treatment for A</w:t>
            </w:r>
            <w:r>
              <w:t>nti</w:t>
            </w:r>
            <w:r w:rsidRPr="00E721AB">
              <w:t>b</w:t>
            </w:r>
            <w:r>
              <w:t>ody</w:t>
            </w:r>
            <w:r w:rsidRPr="00E721AB">
              <w:t xml:space="preserve"> mediated rejection without </w:t>
            </w:r>
            <w:r w:rsidRPr="00E721AB">
              <w:lastRenderedPageBreak/>
              <w:t xml:space="preserve">plasma exchange and that low dose treatment </w:t>
            </w:r>
            <w:r>
              <w:t xml:space="preserve">without plasma exchange </w:t>
            </w:r>
            <w:r w:rsidRPr="00E721AB">
              <w:t>is likely to be for chronic rejection which is not supported by evidence</w:t>
            </w:r>
            <w:r>
              <w:t xml:space="preserve">. </w:t>
            </w:r>
          </w:p>
          <w:p w:rsidR="00D6615A" w:rsidRDefault="00D6615A" w:rsidP="00880ECB">
            <w:pPr>
              <w:spacing w:before="120" w:after="120"/>
              <w:rPr>
                <w:rFonts w:asciiTheme="minorHAnsi" w:hAnsiTheme="minorHAnsi"/>
                <w:szCs w:val="20"/>
              </w:rPr>
            </w:pPr>
          </w:p>
          <w:p w:rsidR="00D6615A" w:rsidRDefault="00D6615A" w:rsidP="00880ECB">
            <w:pPr>
              <w:spacing w:before="120" w:after="120"/>
              <w:rPr>
                <w:rFonts w:asciiTheme="minorHAnsi" w:hAnsiTheme="minorHAnsi"/>
                <w:szCs w:val="20"/>
              </w:rPr>
            </w:pPr>
          </w:p>
          <w:p w:rsidR="00D6615A" w:rsidRDefault="00D6615A" w:rsidP="00880ECB">
            <w:pPr>
              <w:spacing w:before="120" w:after="120"/>
              <w:rPr>
                <w:rFonts w:asciiTheme="minorHAnsi" w:hAnsiTheme="minorHAnsi"/>
                <w:szCs w:val="20"/>
              </w:rPr>
            </w:pPr>
          </w:p>
          <w:p w:rsidR="00D6615A" w:rsidRDefault="00D6615A" w:rsidP="00880ECB">
            <w:pPr>
              <w:spacing w:before="120" w:after="120"/>
              <w:rPr>
                <w:rFonts w:asciiTheme="minorHAnsi" w:hAnsiTheme="minorHAnsi"/>
                <w:szCs w:val="20"/>
              </w:rPr>
            </w:pPr>
          </w:p>
          <w:p w:rsidR="00D6615A" w:rsidRDefault="00D6615A" w:rsidP="00880ECB">
            <w:pPr>
              <w:spacing w:before="120" w:after="120"/>
              <w:rPr>
                <w:rFonts w:asciiTheme="minorHAnsi" w:hAnsiTheme="minorHAnsi"/>
                <w:szCs w:val="20"/>
              </w:rPr>
            </w:pPr>
          </w:p>
          <w:p w:rsidR="00D6615A" w:rsidRPr="00C92149" w:rsidRDefault="00D6615A" w:rsidP="00880ECB">
            <w:pPr>
              <w:spacing w:before="120" w:after="120"/>
              <w:rPr>
                <w:rFonts w:asciiTheme="minorHAnsi" w:hAnsiTheme="minorHAnsi"/>
                <w:szCs w:val="20"/>
              </w:rPr>
            </w:pPr>
          </w:p>
        </w:tc>
      </w:tr>
    </w:tbl>
    <w:p w:rsidR="00447869" w:rsidRDefault="00447869" w:rsidP="00447869">
      <w:pPr>
        <w:spacing w:before="120" w:after="120"/>
        <w:rPr>
          <w:rFonts w:asciiTheme="minorHAnsi" w:hAnsiTheme="minorHAnsi"/>
        </w:rPr>
        <w:sectPr w:rsidR="00447869" w:rsidSect="00447869">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4A0" w:firstRow="1" w:lastRow="0" w:firstColumn="1" w:lastColumn="0" w:noHBand="0" w:noVBand="1"/>
      </w:tblPr>
      <w:tblGrid>
        <w:gridCol w:w="15250"/>
      </w:tblGrid>
      <w:tr w:rsidR="008612AB" w:rsidRPr="00021243" w:rsidTr="008612AB">
        <w:tc>
          <w:tcPr>
            <w:tcW w:w="14601" w:type="dxa"/>
            <w:shd w:val="clear" w:color="auto" w:fill="B8CCE4" w:themeFill="accent1" w:themeFillTint="66"/>
          </w:tcPr>
          <w:p w:rsidR="00A80A19" w:rsidRDefault="00F42816" w:rsidP="009F1DFC">
            <w:pPr>
              <w:spacing w:before="120" w:after="120"/>
              <w:jc w:val="center"/>
              <w:rPr>
                <w:rFonts w:asciiTheme="minorHAnsi" w:hAnsiTheme="minorHAnsi"/>
                <w:b/>
              </w:rPr>
            </w:pPr>
            <w:r>
              <w:rPr>
                <w:rFonts w:asciiTheme="minorHAnsi" w:hAnsiTheme="minorHAnsi"/>
                <w:b/>
              </w:rPr>
              <w:t>References</w:t>
            </w:r>
          </w:p>
          <w:p w:rsidR="00901F76" w:rsidRPr="00021243" w:rsidRDefault="00901F76" w:rsidP="00D6615A">
            <w:pPr>
              <w:spacing w:before="120" w:after="120"/>
              <w:jc w:val="center"/>
              <w:rPr>
                <w:rFonts w:asciiTheme="minorHAnsi" w:hAnsiTheme="minorHAnsi"/>
                <w:b/>
              </w:rPr>
            </w:pPr>
            <w:r>
              <w:rPr>
                <w:rFonts w:asciiTheme="minorHAnsi" w:hAnsiTheme="minorHAnsi"/>
                <w:b/>
              </w:rPr>
              <w:t>(</w:t>
            </w:r>
            <w:r w:rsidR="000639A1">
              <w:rPr>
                <w:rFonts w:asciiTheme="minorHAnsi" w:hAnsiTheme="minorHAnsi"/>
                <w:b/>
              </w:rPr>
              <w:t xml:space="preserve">most </w:t>
            </w:r>
            <w:r>
              <w:rPr>
                <w:rFonts w:asciiTheme="minorHAnsi" w:hAnsiTheme="minorHAnsi"/>
                <w:b/>
              </w:rPr>
              <w:t>recent update</w:t>
            </w:r>
            <w:r w:rsidR="000639A1">
              <w:rPr>
                <w:rFonts w:asciiTheme="minorHAnsi" w:hAnsiTheme="minorHAnsi"/>
                <w:b/>
              </w:rPr>
              <w:t xml:space="preserve">: </w:t>
            </w:r>
            <w:r w:rsidR="00D6615A">
              <w:rPr>
                <w:rFonts w:asciiTheme="minorHAnsi" w:hAnsiTheme="minorHAnsi"/>
                <w:b/>
              </w:rPr>
              <w:t>August 2016</w:t>
            </w:r>
            <w:r>
              <w:rPr>
                <w:rFonts w:asciiTheme="minorHAnsi" w:hAnsiTheme="minorHAnsi"/>
                <w:b/>
              </w:rPr>
              <w:t>)</w:t>
            </w:r>
          </w:p>
        </w:tc>
      </w:tr>
      <w:tr w:rsidR="008612AB" w:rsidRPr="00255740" w:rsidTr="008612AB">
        <w:tc>
          <w:tcPr>
            <w:tcW w:w="14601" w:type="dxa"/>
          </w:tcPr>
          <w:p w:rsidR="00D95517" w:rsidRDefault="00F91CA7" w:rsidP="00D95517">
            <w:pPr>
              <w:pStyle w:val="heading"/>
              <w:spacing w:before="0" w:beforeAutospacing="0" w:after="0" w:afterAutospacing="0" w:line="360" w:lineRule="atLeast"/>
              <w:contextualSpacing/>
              <w:rPr>
                <w:rFonts w:asciiTheme="minorHAnsi" w:hAnsiTheme="minorHAnsi"/>
                <w:sz w:val="22"/>
                <w:szCs w:val="22"/>
                <w:lang w:val="en"/>
              </w:rPr>
            </w:pPr>
            <w:r>
              <w:rPr>
                <w:rFonts w:asciiTheme="minorHAnsi" w:hAnsiTheme="minorHAnsi"/>
                <w:sz w:val="22"/>
                <w:szCs w:val="22"/>
                <w:lang w:val="en"/>
              </w:rPr>
              <w:t>Ahsan N</w:t>
            </w:r>
            <w:r w:rsidR="00E47E4E">
              <w:rPr>
                <w:rFonts w:asciiTheme="minorHAnsi" w:hAnsiTheme="minorHAnsi"/>
                <w:sz w:val="22"/>
                <w:szCs w:val="22"/>
                <w:lang w:val="en"/>
              </w:rPr>
              <w:t xml:space="preserve"> and</w:t>
            </w:r>
            <w:r>
              <w:rPr>
                <w:rFonts w:asciiTheme="minorHAnsi" w:hAnsiTheme="minorHAnsi"/>
                <w:sz w:val="22"/>
                <w:szCs w:val="22"/>
                <w:lang w:val="en"/>
              </w:rPr>
              <w:t xml:space="preserve"> Shah</w:t>
            </w:r>
            <w:r w:rsidR="00D95517" w:rsidRPr="00E47E4E">
              <w:rPr>
                <w:rFonts w:asciiTheme="minorHAnsi" w:hAnsiTheme="minorHAnsi"/>
                <w:sz w:val="22"/>
                <w:szCs w:val="22"/>
                <w:lang w:val="en"/>
              </w:rPr>
              <w:t xml:space="preserve"> KV </w:t>
            </w:r>
            <w:r w:rsidR="00E47E4E">
              <w:rPr>
                <w:rFonts w:asciiTheme="minorHAnsi" w:hAnsiTheme="minorHAnsi"/>
                <w:sz w:val="22"/>
                <w:szCs w:val="22"/>
                <w:lang w:val="en"/>
              </w:rPr>
              <w:t>(</w:t>
            </w:r>
            <w:r w:rsidR="00D95517" w:rsidRPr="00E47E4E">
              <w:rPr>
                <w:rFonts w:asciiTheme="minorHAnsi" w:hAnsiTheme="minorHAnsi"/>
                <w:sz w:val="22"/>
                <w:szCs w:val="22"/>
                <w:lang w:val="en"/>
              </w:rPr>
              <w:t>2002</w:t>
            </w:r>
            <w:r>
              <w:rPr>
                <w:rFonts w:asciiTheme="minorHAnsi" w:hAnsiTheme="minorHAnsi"/>
                <w:sz w:val="22"/>
                <w:szCs w:val="22"/>
                <w:lang w:val="en"/>
              </w:rPr>
              <w:t>)</w:t>
            </w:r>
            <w:r w:rsidR="00E47E4E">
              <w:rPr>
                <w:rFonts w:asciiTheme="minorHAnsi" w:hAnsiTheme="minorHAnsi"/>
                <w:sz w:val="22"/>
                <w:szCs w:val="22"/>
                <w:lang w:val="en"/>
              </w:rPr>
              <w:t xml:space="preserve"> Polyomaviruses: an overview. </w:t>
            </w:r>
            <w:r w:rsidR="00D95517" w:rsidRPr="00E47E4E">
              <w:rPr>
                <w:rStyle w:val="Emphasis"/>
                <w:rFonts w:asciiTheme="minorHAnsi" w:hAnsiTheme="minorHAnsi"/>
                <w:sz w:val="22"/>
                <w:szCs w:val="22"/>
                <w:lang w:val="en"/>
              </w:rPr>
              <w:t>Graft</w:t>
            </w:r>
            <w:r>
              <w:rPr>
                <w:rFonts w:asciiTheme="minorHAnsi" w:hAnsiTheme="minorHAnsi"/>
                <w:sz w:val="22"/>
                <w:szCs w:val="22"/>
                <w:lang w:val="en"/>
              </w:rPr>
              <w:t>, 5:</w:t>
            </w:r>
            <w:r w:rsidR="00D95517" w:rsidRPr="00E47E4E">
              <w:rPr>
                <w:rFonts w:asciiTheme="minorHAnsi" w:hAnsiTheme="minorHAnsi"/>
                <w:sz w:val="22"/>
                <w:szCs w:val="22"/>
                <w:lang w:val="en"/>
              </w:rPr>
              <w:t>S9–18.</w:t>
            </w:r>
          </w:p>
          <w:p w:rsidR="00F91CA7" w:rsidRPr="003976A8" w:rsidRDefault="007B2A4C" w:rsidP="00D95517">
            <w:pPr>
              <w:pStyle w:val="heading"/>
              <w:spacing w:before="0" w:beforeAutospacing="0" w:after="0" w:afterAutospacing="0" w:line="360" w:lineRule="atLeast"/>
              <w:contextualSpacing/>
              <w:rPr>
                <w:rFonts w:asciiTheme="minorHAnsi" w:hAnsiTheme="minorHAnsi"/>
                <w:color w:val="808080" w:themeColor="background1" w:themeShade="80"/>
                <w:sz w:val="22"/>
                <w:szCs w:val="22"/>
                <w:lang w:val="en"/>
              </w:rPr>
            </w:pPr>
            <w:hyperlink r:id="rId15" w:history="1">
              <w:r w:rsidR="003976A8" w:rsidRPr="003976A8">
                <w:rPr>
                  <w:rStyle w:val="Hyperlink"/>
                  <w:rFonts w:asciiTheme="minorHAnsi" w:hAnsiTheme="minorHAnsi"/>
                  <w:color w:val="808080" w:themeColor="background1" w:themeShade="80"/>
                  <w:sz w:val="22"/>
                  <w:szCs w:val="22"/>
                  <w:lang w:val="en"/>
                </w:rPr>
                <w:t>https://www.researchgate.net/publication/247903519_Polyomaviruses_An_Overview</w:t>
              </w:r>
            </w:hyperlink>
          </w:p>
          <w:p w:rsidR="00BE7F4F" w:rsidRDefault="00BE7F4F" w:rsidP="00D95517">
            <w:pPr>
              <w:pStyle w:val="NormalWeb"/>
              <w:spacing w:before="0" w:beforeAutospacing="0" w:after="0" w:afterAutospacing="0" w:line="360" w:lineRule="atLeast"/>
              <w:contextualSpacing/>
              <w:rPr>
                <w:rFonts w:asciiTheme="minorHAnsi" w:hAnsiTheme="minorHAnsi"/>
                <w:color w:val="000000"/>
                <w:sz w:val="22"/>
                <w:szCs w:val="22"/>
                <w:lang w:val="en"/>
              </w:rPr>
            </w:pPr>
          </w:p>
          <w:p w:rsidR="00F91CA7" w:rsidRPr="003976A8" w:rsidRDefault="00D95517" w:rsidP="00D95517">
            <w:pPr>
              <w:pStyle w:val="NormalWeb"/>
              <w:spacing w:before="0" w:beforeAutospacing="0" w:after="0" w:afterAutospacing="0" w:line="360" w:lineRule="atLeast"/>
              <w:contextualSpacing/>
              <w:rPr>
                <w:rFonts w:asciiTheme="minorHAnsi" w:hAnsiTheme="minorHAnsi"/>
                <w:color w:val="808080" w:themeColor="background1" w:themeShade="80"/>
                <w:sz w:val="22"/>
                <w:szCs w:val="22"/>
                <w:lang w:val="en"/>
              </w:rPr>
            </w:pPr>
            <w:r w:rsidRPr="00E47E4E">
              <w:rPr>
                <w:rFonts w:asciiTheme="minorHAnsi" w:hAnsiTheme="minorHAnsi"/>
                <w:color w:val="000000"/>
                <w:sz w:val="22"/>
                <w:szCs w:val="22"/>
                <w:lang w:val="en"/>
              </w:rPr>
              <w:t xml:space="preserve">Biotext </w:t>
            </w:r>
            <w:r w:rsidR="005E33CF">
              <w:rPr>
                <w:rFonts w:asciiTheme="minorHAnsi" w:hAnsiTheme="minorHAnsi"/>
                <w:color w:val="000000"/>
                <w:sz w:val="22"/>
                <w:szCs w:val="22"/>
                <w:lang w:val="en"/>
              </w:rPr>
              <w:t>(</w:t>
            </w:r>
            <w:r w:rsidRPr="00E47E4E">
              <w:rPr>
                <w:rFonts w:asciiTheme="minorHAnsi" w:hAnsiTheme="minorHAnsi"/>
                <w:color w:val="000000"/>
                <w:sz w:val="22"/>
                <w:szCs w:val="22"/>
                <w:lang w:val="en"/>
              </w:rPr>
              <w:t>2004</w:t>
            </w:r>
            <w:r w:rsidR="00F91CA7">
              <w:rPr>
                <w:rFonts w:asciiTheme="minorHAnsi" w:hAnsiTheme="minorHAnsi"/>
                <w:color w:val="000000"/>
                <w:sz w:val="22"/>
                <w:szCs w:val="22"/>
                <w:lang w:val="en"/>
              </w:rPr>
              <w:t xml:space="preserve">) </w:t>
            </w:r>
            <w:r w:rsidRPr="00E47E4E">
              <w:rPr>
                <w:rFonts w:asciiTheme="minorHAnsi" w:hAnsiTheme="minorHAnsi"/>
                <w:color w:val="000000"/>
                <w:sz w:val="22"/>
                <w:szCs w:val="22"/>
                <w:lang w:val="en"/>
              </w:rPr>
              <w:t>Summar</w:t>
            </w:r>
            <w:r w:rsidR="00F91CA7">
              <w:rPr>
                <w:rFonts w:asciiTheme="minorHAnsi" w:hAnsiTheme="minorHAnsi"/>
                <w:color w:val="000000"/>
                <w:sz w:val="22"/>
                <w:szCs w:val="22"/>
                <w:lang w:val="en"/>
              </w:rPr>
              <w:t xml:space="preserve">y data on conditions and papers </w:t>
            </w:r>
            <w:r w:rsidRPr="00E47E4E">
              <w:rPr>
                <w:rFonts w:asciiTheme="minorHAnsi" w:hAnsiTheme="minorHAnsi"/>
                <w:color w:val="000000"/>
                <w:sz w:val="22"/>
                <w:szCs w:val="22"/>
                <w:lang w:val="en"/>
              </w:rPr>
              <w:t>in</w:t>
            </w:r>
            <w:r w:rsidRPr="00E47E4E">
              <w:rPr>
                <w:rStyle w:val="Emphasis"/>
                <w:rFonts w:asciiTheme="minorHAnsi" w:hAnsiTheme="minorHAnsi"/>
                <w:color w:val="000000"/>
                <w:sz w:val="22"/>
                <w:szCs w:val="22"/>
                <w:lang w:val="en"/>
              </w:rPr>
              <w:t xml:space="preserve"> A systematic literature review and report on the efficacy of intravenous immunoglobulin therapy and its risks</w:t>
            </w:r>
            <w:r w:rsidRPr="00E47E4E">
              <w:rPr>
                <w:rFonts w:asciiTheme="minorHAnsi" w:hAnsiTheme="minorHAnsi"/>
                <w:color w:val="000000"/>
                <w:sz w:val="22"/>
                <w:szCs w:val="22"/>
                <w:lang w:val="en"/>
              </w:rPr>
              <w:t>, commissioned by the National Blood Authority on behalf of</w:t>
            </w:r>
            <w:r w:rsidR="00F91CA7">
              <w:rPr>
                <w:rFonts w:asciiTheme="minorHAnsi" w:hAnsiTheme="minorHAnsi"/>
                <w:color w:val="000000"/>
                <w:sz w:val="22"/>
                <w:szCs w:val="22"/>
                <w:lang w:val="en"/>
              </w:rPr>
              <w:t xml:space="preserve"> all Australian Governments:</w:t>
            </w:r>
            <w:r w:rsidRPr="00E47E4E">
              <w:rPr>
                <w:rFonts w:asciiTheme="minorHAnsi" w:hAnsiTheme="minorHAnsi"/>
                <w:color w:val="000000"/>
                <w:sz w:val="22"/>
                <w:szCs w:val="22"/>
                <w:lang w:val="en"/>
              </w:rPr>
              <w:t xml:space="preserve"> 86–</w:t>
            </w:r>
            <w:r w:rsidR="00927196">
              <w:rPr>
                <w:rFonts w:asciiTheme="minorHAnsi" w:hAnsiTheme="minorHAnsi"/>
                <w:color w:val="000000"/>
                <w:sz w:val="22"/>
                <w:szCs w:val="22"/>
                <w:lang w:val="en"/>
              </w:rPr>
              <w:t>8</w:t>
            </w:r>
            <w:r w:rsidRPr="00E47E4E">
              <w:rPr>
                <w:rFonts w:asciiTheme="minorHAnsi" w:hAnsiTheme="minorHAnsi"/>
                <w:color w:val="000000"/>
                <w:sz w:val="22"/>
                <w:szCs w:val="22"/>
                <w:lang w:val="en"/>
              </w:rPr>
              <w:t xml:space="preserve">7. Available from: </w:t>
            </w:r>
            <w:hyperlink r:id="rId16" w:history="1">
              <w:r w:rsidR="00F91CA7" w:rsidRPr="003976A8">
                <w:rPr>
                  <w:rStyle w:val="Hyperlink"/>
                  <w:rFonts w:asciiTheme="minorHAnsi" w:eastAsia="HYGothic-Extra" w:hAnsiTheme="minorHAnsi"/>
                  <w:color w:val="808080" w:themeColor="background1" w:themeShade="80"/>
                  <w:sz w:val="22"/>
                  <w:szCs w:val="22"/>
                  <w:lang w:val="en"/>
                </w:rPr>
                <w:t>http://www.nba.gov.au/pubs/pdf/report-lit-rev.pdf</w:t>
              </w:r>
            </w:hyperlink>
            <w:r w:rsidRPr="003976A8">
              <w:rPr>
                <w:rFonts w:asciiTheme="minorHAnsi" w:hAnsiTheme="minorHAnsi"/>
                <w:color w:val="808080" w:themeColor="background1" w:themeShade="80"/>
                <w:sz w:val="22"/>
                <w:szCs w:val="22"/>
                <w:lang w:val="en"/>
              </w:rPr>
              <w:t>.</w:t>
            </w:r>
          </w:p>
          <w:p w:rsidR="00BE7F4F" w:rsidRDefault="00BE7F4F" w:rsidP="00D95517">
            <w:pPr>
              <w:pStyle w:val="NormalWeb"/>
              <w:spacing w:before="0" w:beforeAutospacing="0" w:after="0" w:afterAutospacing="0" w:line="360" w:lineRule="atLeast"/>
              <w:contextualSpacing/>
              <w:rPr>
                <w:rFonts w:asciiTheme="minorHAnsi" w:hAnsiTheme="minorHAnsi"/>
                <w:color w:val="000000"/>
                <w:sz w:val="22"/>
                <w:szCs w:val="22"/>
                <w:lang w:val="en"/>
              </w:rPr>
            </w:pPr>
          </w:p>
          <w:p w:rsidR="00D95517" w:rsidRDefault="00F91CA7" w:rsidP="00D95517">
            <w:pPr>
              <w:pStyle w:val="NormalWeb"/>
              <w:spacing w:before="0" w:beforeAutospacing="0" w:after="0" w:afterAutospacing="0" w:line="360" w:lineRule="atLeast"/>
              <w:contextualSpacing/>
              <w:rPr>
                <w:rFonts w:asciiTheme="minorHAnsi" w:hAnsiTheme="minorHAnsi"/>
                <w:color w:val="000000"/>
                <w:sz w:val="22"/>
                <w:szCs w:val="22"/>
                <w:lang w:val="en"/>
              </w:rPr>
            </w:pPr>
            <w:r>
              <w:rPr>
                <w:rFonts w:asciiTheme="minorHAnsi" w:hAnsiTheme="minorHAnsi"/>
                <w:color w:val="000000"/>
                <w:sz w:val="22"/>
                <w:szCs w:val="22"/>
                <w:lang w:val="en"/>
              </w:rPr>
              <w:t>Casadei</w:t>
            </w:r>
            <w:r w:rsidR="00D95517" w:rsidRPr="00E47E4E">
              <w:rPr>
                <w:rFonts w:asciiTheme="minorHAnsi" w:hAnsiTheme="minorHAnsi"/>
                <w:color w:val="000000"/>
                <w:sz w:val="22"/>
                <w:szCs w:val="22"/>
                <w:lang w:val="en"/>
              </w:rPr>
              <w:t xml:space="preserve"> DH</w:t>
            </w:r>
            <w:r>
              <w:rPr>
                <w:rFonts w:asciiTheme="minorHAnsi" w:hAnsiTheme="minorHAnsi"/>
                <w:color w:val="000000"/>
                <w:sz w:val="22"/>
                <w:szCs w:val="22"/>
                <w:lang w:val="en"/>
              </w:rPr>
              <w:t>, del C Rial</w:t>
            </w:r>
            <w:r w:rsidR="00D95517" w:rsidRPr="00E47E4E">
              <w:rPr>
                <w:rFonts w:asciiTheme="minorHAnsi" w:hAnsiTheme="minorHAnsi"/>
                <w:color w:val="000000"/>
                <w:sz w:val="22"/>
                <w:szCs w:val="22"/>
                <w:lang w:val="en"/>
              </w:rPr>
              <w:t xml:space="preserve"> M</w:t>
            </w:r>
            <w:r>
              <w:rPr>
                <w:rFonts w:asciiTheme="minorHAnsi" w:hAnsiTheme="minorHAnsi"/>
                <w:color w:val="000000"/>
                <w:sz w:val="22"/>
                <w:szCs w:val="22"/>
                <w:lang w:val="en"/>
              </w:rPr>
              <w:t>, Opelz</w:t>
            </w:r>
            <w:r w:rsidR="00D95517" w:rsidRPr="00E47E4E">
              <w:rPr>
                <w:rFonts w:asciiTheme="minorHAnsi" w:hAnsiTheme="minorHAnsi"/>
                <w:color w:val="000000"/>
                <w:sz w:val="22"/>
                <w:szCs w:val="22"/>
                <w:lang w:val="en"/>
              </w:rPr>
              <w:t xml:space="preserve"> G, </w:t>
            </w:r>
            <w:r>
              <w:rPr>
                <w:rFonts w:asciiTheme="minorHAnsi" w:hAnsiTheme="minorHAnsi"/>
                <w:color w:val="000000"/>
                <w:sz w:val="22"/>
                <w:szCs w:val="22"/>
                <w:lang w:val="en"/>
              </w:rPr>
              <w:t>Golberg JC, Argento JA, Greco G</w:t>
            </w:r>
            <w:r w:rsidR="00927196">
              <w:rPr>
                <w:rFonts w:asciiTheme="minorHAnsi" w:hAnsiTheme="minorHAnsi"/>
                <w:color w:val="000000"/>
                <w:sz w:val="22"/>
                <w:szCs w:val="22"/>
                <w:lang w:val="en"/>
              </w:rPr>
              <w:t>,</w:t>
            </w:r>
            <w:r>
              <w:rPr>
                <w:rFonts w:asciiTheme="minorHAnsi" w:hAnsiTheme="minorHAnsi"/>
                <w:color w:val="000000"/>
                <w:sz w:val="22"/>
                <w:szCs w:val="22"/>
                <w:lang w:val="en"/>
              </w:rPr>
              <w:t xml:space="preserve"> et al</w:t>
            </w:r>
            <w:r w:rsidR="00927196">
              <w:rPr>
                <w:rFonts w:asciiTheme="minorHAnsi" w:hAnsiTheme="minorHAnsi"/>
                <w:color w:val="000000"/>
                <w:sz w:val="22"/>
                <w:szCs w:val="22"/>
                <w:lang w:val="en"/>
              </w:rPr>
              <w:t xml:space="preserve"> </w:t>
            </w:r>
            <w:r>
              <w:rPr>
                <w:rFonts w:asciiTheme="minorHAnsi" w:hAnsiTheme="minorHAnsi"/>
                <w:color w:val="000000"/>
                <w:sz w:val="22"/>
                <w:szCs w:val="22"/>
                <w:lang w:val="en"/>
              </w:rPr>
              <w:t>(2001)</w:t>
            </w:r>
            <w:r w:rsidR="00927196">
              <w:rPr>
                <w:rFonts w:asciiTheme="minorHAnsi" w:hAnsiTheme="minorHAnsi"/>
                <w:color w:val="000000"/>
                <w:sz w:val="22"/>
                <w:szCs w:val="22"/>
                <w:lang w:val="en"/>
              </w:rPr>
              <w:t xml:space="preserve"> </w:t>
            </w:r>
            <w:r w:rsidR="00D95517" w:rsidRPr="00E47E4E">
              <w:rPr>
                <w:rFonts w:asciiTheme="minorHAnsi" w:hAnsiTheme="minorHAnsi"/>
                <w:color w:val="000000"/>
                <w:sz w:val="22"/>
                <w:szCs w:val="22"/>
                <w:lang w:val="en"/>
              </w:rPr>
              <w:t xml:space="preserve">A randomised and prospective study comparing treatment with high-dose intravenous immunoglobulin with monoclonal antibodies for rescue of kidney grafts with steroid-resistant </w:t>
            </w:r>
            <w:r w:rsidR="00927196">
              <w:rPr>
                <w:rFonts w:asciiTheme="minorHAnsi" w:hAnsiTheme="minorHAnsi"/>
                <w:color w:val="000000"/>
                <w:sz w:val="22"/>
                <w:szCs w:val="22"/>
                <w:lang w:val="en"/>
              </w:rPr>
              <w:t xml:space="preserve">rejection. </w:t>
            </w:r>
            <w:r w:rsidR="00D95517" w:rsidRPr="00E47E4E">
              <w:rPr>
                <w:rStyle w:val="Emphasis"/>
                <w:rFonts w:asciiTheme="minorHAnsi" w:hAnsiTheme="minorHAnsi"/>
                <w:color w:val="000000"/>
                <w:sz w:val="22"/>
                <w:szCs w:val="22"/>
                <w:lang w:val="en"/>
              </w:rPr>
              <w:t>Transplantation</w:t>
            </w:r>
            <w:r w:rsidR="00D95517" w:rsidRPr="00E47E4E">
              <w:rPr>
                <w:rFonts w:asciiTheme="minorHAnsi" w:hAnsiTheme="minorHAnsi"/>
                <w:color w:val="000000"/>
                <w:sz w:val="22"/>
                <w:szCs w:val="22"/>
                <w:lang w:val="en"/>
              </w:rPr>
              <w:t>, 71</w:t>
            </w:r>
            <w:proofErr w:type="gramStart"/>
            <w:r w:rsidR="00927196">
              <w:rPr>
                <w:rFonts w:asciiTheme="minorHAnsi" w:hAnsiTheme="minorHAnsi"/>
                <w:color w:val="000000"/>
                <w:sz w:val="22"/>
                <w:szCs w:val="22"/>
                <w:lang w:val="en"/>
              </w:rPr>
              <w:t>(</w:t>
            </w:r>
            <w:r w:rsidR="00D95517" w:rsidRPr="00E47E4E">
              <w:rPr>
                <w:rFonts w:asciiTheme="minorHAnsi" w:hAnsiTheme="minorHAnsi"/>
                <w:color w:val="000000"/>
                <w:sz w:val="22"/>
                <w:szCs w:val="22"/>
                <w:lang w:val="en"/>
              </w:rPr>
              <w:t xml:space="preserve"> 1</w:t>
            </w:r>
            <w:proofErr w:type="gramEnd"/>
            <w:r w:rsidR="00927196">
              <w:rPr>
                <w:rFonts w:asciiTheme="minorHAnsi" w:hAnsiTheme="minorHAnsi"/>
                <w:color w:val="000000"/>
                <w:sz w:val="22"/>
                <w:szCs w:val="22"/>
                <w:lang w:val="en"/>
              </w:rPr>
              <w:t>)</w:t>
            </w:r>
            <w:r>
              <w:rPr>
                <w:rFonts w:asciiTheme="minorHAnsi" w:hAnsiTheme="minorHAnsi"/>
                <w:color w:val="000000"/>
                <w:sz w:val="22"/>
                <w:szCs w:val="22"/>
                <w:lang w:val="en"/>
              </w:rPr>
              <w:t>:</w:t>
            </w:r>
            <w:r w:rsidR="00D95517" w:rsidRPr="00E47E4E">
              <w:rPr>
                <w:rFonts w:asciiTheme="minorHAnsi" w:hAnsiTheme="minorHAnsi"/>
                <w:color w:val="000000"/>
                <w:sz w:val="22"/>
                <w:szCs w:val="22"/>
                <w:lang w:val="en"/>
              </w:rPr>
              <w:t>53–</w:t>
            </w:r>
            <w:r w:rsidR="00927196">
              <w:rPr>
                <w:rFonts w:asciiTheme="minorHAnsi" w:hAnsiTheme="minorHAnsi"/>
                <w:color w:val="000000"/>
                <w:sz w:val="22"/>
                <w:szCs w:val="22"/>
                <w:lang w:val="en"/>
              </w:rPr>
              <w:t>5</w:t>
            </w:r>
            <w:r w:rsidR="00D95517" w:rsidRPr="00E47E4E">
              <w:rPr>
                <w:rFonts w:asciiTheme="minorHAnsi" w:hAnsiTheme="minorHAnsi"/>
                <w:color w:val="000000"/>
                <w:sz w:val="22"/>
                <w:szCs w:val="22"/>
                <w:lang w:val="en"/>
              </w:rPr>
              <w:t>8.</w:t>
            </w:r>
          </w:p>
          <w:p w:rsidR="00F91CA7" w:rsidRPr="00F91CA7" w:rsidRDefault="007B2A4C" w:rsidP="00D95517">
            <w:pPr>
              <w:pStyle w:val="NormalWeb"/>
              <w:spacing w:before="0" w:beforeAutospacing="0" w:after="0" w:afterAutospacing="0" w:line="360" w:lineRule="atLeast"/>
              <w:contextualSpacing/>
              <w:rPr>
                <w:rFonts w:asciiTheme="minorHAnsi" w:hAnsiTheme="minorHAnsi"/>
                <w:color w:val="808080" w:themeColor="background1" w:themeShade="80"/>
                <w:sz w:val="22"/>
                <w:szCs w:val="22"/>
                <w:lang w:val="en"/>
              </w:rPr>
            </w:pPr>
            <w:hyperlink r:id="rId17" w:history="1">
              <w:r w:rsidR="00F91CA7" w:rsidRPr="00F91CA7">
                <w:rPr>
                  <w:rStyle w:val="Hyperlink"/>
                  <w:rFonts w:asciiTheme="minorHAnsi" w:hAnsiTheme="minorHAnsi"/>
                  <w:color w:val="808080" w:themeColor="background1" w:themeShade="80"/>
                  <w:sz w:val="22"/>
                  <w:szCs w:val="22"/>
                  <w:lang w:val="en"/>
                </w:rPr>
                <w:t>https://www.ncbi.nlm.nih.gov/pubmed/11211195</w:t>
              </w:r>
            </w:hyperlink>
          </w:p>
          <w:p w:rsidR="00F91CA7" w:rsidRDefault="00F91CA7" w:rsidP="00D95517">
            <w:pPr>
              <w:pStyle w:val="NormalWeb"/>
              <w:spacing w:before="0" w:beforeAutospacing="0" w:after="0" w:afterAutospacing="0" w:line="360" w:lineRule="atLeast"/>
              <w:contextualSpacing/>
              <w:rPr>
                <w:rFonts w:asciiTheme="minorHAnsi" w:hAnsiTheme="minorHAnsi"/>
                <w:color w:val="000000"/>
                <w:sz w:val="22"/>
                <w:szCs w:val="22"/>
                <w:lang w:val="en"/>
              </w:rPr>
            </w:pPr>
          </w:p>
          <w:p w:rsidR="00633754" w:rsidRDefault="00633754" w:rsidP="00633754">
            <w:pPr>
              <w:spacing w:line="360" w:lineRule="atLeast"/>
              <w:contextualSpacing/>
              <w:rPr>
                <w:rFonts w:asciiTheme="minorHAnsi" w:eastAsia="Times New Roman" w:hAnsiTheme="minorHAnsi" w:cs="Times New Roman"/>
                <w:color w:val="000000"/>
                <w:sz w:val="24"/>
                <w:szCs w:val="24"/>
                <w:lang w:eastAsia="en-AU"/>
              </w:rPr>
            </w:pPr>
            <w:r w:rsidRPr="00B733A0">
              <w:rPr>
                <w:rFonts w:asciiTheme="minorHAnsi" w:eastAsia="Times New Roman" w:hAnsiTheme="minorHAnsi" w:cs="Times New Roman"/>
                <w:color w:val="000000"/>
                <w:sz w:val="24"/>
                <w:szCs w:val="24"/>
                <w:lang w:eastAsia="en-AU"/>
              </w:rPr>
              <w:t xml:space="preserve">Choi J, Jung J, Shin S, Kim Y &amp; Han, D (2016) The early outcomes of bortezomib therapy in patients with late antibody mediated rejection in renal transplantation. </w:t>
            </w:r>
            <w:r w:rsidRPr="00B733A0">
              <w:rPr>
                <w:rFonts w:asciiTheme="minorHAnsi" w:eastAsia="Times New Roman" w:hAnsiTheme="minorHAnsi" w:cs="Times New Roman"/>
                <w:i/>
                <w:color w:val="000000"/>
                <w:sz w:val="24"/>
                <w:szCs w:val="24"/>
                <w:lang w:eastAsia="en-AU"/>
              </w:rPr>
              <w:t>American Journal of Transplantation</w:t>
            </w:r>
            <w:r w:rsidRPr="00B733A0">
              <w:rPr>
                <w:rFonts w:asciiTheme="minorHAnsi" w:eastAsia="Times New Roman" w:hAnsiTheme="minorHAnsi" w:cs="Times New Roman"/>
                <w:color w:val="000000"/>
                <w:sz w:val="24"/>
                <w:szCs w:val="24"/>
                <w:lang w:eastAsia="en-AU"/>
              </w:rPr>
              <w:t>. Poster Abstracts. Am</w:t>
            </w:r>
            <w:r>
              <w:rPr>
                <w:rFonts w:asciiTheme="minorHAnsi" w:eastAsia="Times New Roman" w:hAnsiTheme="minorHAnsi" w:cs="Times New Roman"/>
                <w:color w:val="000000"/>
                <w:sz w:val="24"/>
                <w:szCs w:val="24"/>
                <w:lang w:eastAsia="en-AU"/>
              </w:rPr>
              <w:t>erican</w:t>
            </w:r>
            <w:r w:rsidRPr="00B733A0">
              <w:rPr>
                <w:rFonts w:asciiTheme="minorHAnsi" w:eastAsia="Times New Roman" w:hAnsiTheme="minorHAnsi" w:cs="Times New Roman"/>
                <w:color w:val="000000"/>
                <w:sz w:val="24"/>
                <w:szCs w:val="24"/>
                <w:lang w:eastAsia="en-AU"/>
              </w:rPr>
              <w:t xml:space="preserve"> J</w:t>
            </w:r>
            <w:r>
              <w:rPr>
                <w:rFonts w:asciiTheme="minorHAnsi" w:eastAsia="Times New Roman" w:hAnsiTheme="minorHAnsi" w:cs="Times New Roman"/>
                <w:color w:val="000000"/>
                <w:sz w:val="24"/>
                <w:szCs w:val="24"/>
                <w:lang w:eastAsia="en-AU"/>
              </w:rPr>
              <w:t>ournal of</w:t>
            </w:r>
            <w:r w:rsidRPr="00B733A0">
              <w:rPr>
                <w:rFonts w:asciiTheme="minorHAnsi" w:eastAsia="Times New Roman" w:hAnsiTheme="minorHAnsi" w:cs="Times New Roman"/>
                <w:color w:val="000000"/>
                <w:sz w:val="24"/>
                <w:szCs w:val="24"/>
                <w:lang w:eastAsia="en-AU"/>
              </w:rPr>
              <w:t xml:space="preserve"> Transplant</w:t>
            </w:r>
            <w:r>
              <w:rPr>
                <w:rFonts w:asciiTheme="minorHAnsi" w:eastAsia="Times New Roman" w:hAnsiTheme="minorHAnsi" w:cs="Times New Roman"/>
                <w:color w:val="000000"/>
                <w:sz w:val="24"/>
                <w:szCs w:val="24"/>
                <w:lang w:eastAsia="en-AU"/>
              </w:rPr>
              <w:t>ation</w:t>
            </w:r>
            <w:r w:rsidRPr="00B733A0">
              <w:rPr>
                <w:rFonts w:asciiTheme="minorHAnsi" w:eastAsia="Times New Roman" w:hAnsiTheme="minorHAnsi" w:cs="Times New Roman"/>
                <w:color w:val="000000"/>
                <w:sz w:val="24"/>
                <w:szCs w:val="24"/>
                <w:lang w:eastAsia="en-AU"/>
              </w:rPr>
              <w:t>, 16: 405–798.</w:t>
            </w:r>
          </w:p>
          <w:p w:rsidR="00633754" w:rsidRPr="00B733A0" w:rsidRDefault="007B2A4C" w:rsidP="00633754">
            <w:pPr>
              <w:spacing w:line="360" w:lineRule="atLeast"/>
              <w:contextualSpacing/>
              <w:rPr>
                <w:rFonts w:asciiTheme="minorHAnsi" w:eastAsiaTheme="minorHAnsi" w:hAnsiTheme="minorHAnsi" w:cs="Times New Roman"/>
                <w:color w:val="808080" w:themeColor="background1" w:themeShade="80"/>
                <w:lang w:val="en"/>
              </w:rPr>
            </w:pPr>
            <w:hyperlink r:id="rId18" w:history="1">
              <w:r w:rsidR="00633754" w:rsidRPr="00B733A0">
                <w:rPr>
                  <w:rStyle w:val="Hyperlink"/>
                  <w:rFonts w:asciiTheme="minorHAnsi" w:eastAsiaTheme="minorHAnsi" w:hAnsiTheme="minorHAnsi" w:cs="Times New Roman"/>
                  <w:color w:val="808080" w:themeColor="background1" w:themeShade="80"/>
                  <w:lang w:val="en"/>
                </w:rPr>
                <w:t>http://onlinelibrary.wiley.com/doi/10.1111/ajt.13898/full</w:t>
              </w:r>
            </w:hyperlink>
          </w:p>
          <w:p w:rsidR="00A27A0A" w:rsidRPr="00E47E4E" w:rsidRDefault="00A27A0A" w:rsidP="00D95517">
            <w:pPr>
              <w:pStyle w:val="NormalWeb"/>
              <w:spacing w:before="0" w:beforeAutospacing="0" w:after="0" w:afterAutospacing="0" w:line="360" w:lineRule="atLeast"/>
              <w:contextualSpacing/>
              <w:rPr>
                <w:rFonts w:asciiTheme="minorHAnsi" w:hAnsiTheme="minorHAnsi"/>
                <w:color w:val="000000"/>
                <w:sz w:val="22"/>
                <w:szCs w:val="22"/>
                <w:lang w:val="en"/>
              </w:rPr>
            </w:pPr>
          </w:p>
          <w:p w:rsidR="00D95517" w:rsidRDefault="00F91CA7" w:rsidP="00D95517">
            <w:pPr>
              <w:pStyle w:val="NormalWeb"/>
              <w:spacing w:before="0" w:beforeAutospacing="0" w:after="0" w:afterAutospacing="0" w:line="360" w:lineRule="atLeast"/>
              <w:contextualSpacing/>
              <w:rPr>
                <w:rFonts w:asciiTheme="minorHAnsi" w:hAnsiTheme="minorHAnsi"/>
                <w:color w:val="000000"/>
                <w:sz w:val="22"/>
                <w:szCs w:val="22"/>
                <w:lang w:val="en"/>
              </w:rPr>
            </w:pPr>
            <w:r>
              <w:rPr>
                <w:rFonts w:asciiTheme="minorHAnsi" w:hAnsiTheme="minorHAnsi"/>
                <w:color w:val="000000"/>
                <w:sz w:val="22"/>
                <w:szCs w:val="22"/>
                <w:lang w:val="en"/>
              </w:rPr>
              <w:t>Conti</w:t>
            </w:r>
            <w:r w:rsidR="00D95517" w:rsidRPr="00E47E4E">
              <w:rPr>
                <w:rFonts w:asciiTheme="minorHAnsi" w:hAnsiTheme="minorHAnsi"/>
                <w:color w:val="000000"/>
                <w:sz w:val="22"/>
                <w:szCs w:val="22"/>
                <w:lang w:val="en"/>
              </w:rPr>
              <w:t xml:space="preserve"> DJ</w:t>
            </w:r>
            <w:r>
              <w:rPr>
                <w:rFonts w:asciiTheme="minorHAnsi" w:hAnsiTheme="minorHAnsi"/>
                <w:color w:val="000000"/>
                <w:sz w:val="22"/>
                <w:szCs w:val="22"/>
                <w:lang w:val="en"/>
              </w:rPr>
              <w:t>, Freed</w:t>
            </w:r>
            <w:r w:rsidR="00D95517" w:rsidRPr="00E47E4E">
              <w:rPr>
                <w:rFonts w:asciiTheme="minorHAnsi" w:hAnsiTheme="minorHAnsi"/>
                <w:color w:val="000000"/>
                <w:sz w:val="22"/>
                <w:szCs w:val="22"/>
                <w:lang w:val="en"/>
              </w:rPr>
              <w:t xml:space="preserve"> BM</w:t>
            </w:r>
            <w:r>
              <w:rPr>
                <w:rFonts w:asciiTheme="minorHAnsi" w:hAnsiTheme="minorHAnsi"/>
                <w:color w:val="000000"/>
                <w:sz w:val="22"/>
                <w:szCs w:val="22"/>
                <w:lang w:val="en"/>
              </w:rPr>
              <w:t>, Gruber</w:t>
            </w:r>
            <w:r w:rsidR="00D95517" w:rsidRPr="00E47E4E">
              <w:rPr>
                <w:rFonts w:asciiTheme="minorHAnsi" w:hAnsiTheme="minorHAnsi"/>
                <w:color w:val="000000"/>
                <w:sz w:val="22"/>
                <w:szCs w:val="22"/>
                <w:lang w:val="en"/>
              </w:rPr>
              <w:t xml:space="preserve"> SA</w:t>
            </w:r>
            <w:r>
              <w:rPr>
                <w:rFonts w:asciiTheme="minorHAnsi" w:hAnsiTheme="minorHAnsi"/>
                <w:color w:val="000000"/>
                <w:sz w:val="22"/>
                <w:szCs w:val="22"/>
                <w:lang w:val="en"/>
              </w:rPr>
              <w:t xml:space="preserve"> and Lempert N (1994)</w:t>
            </w:r>
            <w:r w:rsidR="00927196">
              <w:rPr>
                <w:rFonts w:asciiTheme="minorHAnsi" w:hAnsiTheme="minorHAnsi"/>
                <w:color w:val="000000"/>
                <w:sz w:val="22"/>
                <w:szCs w:val="22"/>
                <w:lang w:val="en"/>
              </w:rPr>
              <w:t xml:space="preserve"> </w:t>
            </w:r>
            <w:r w:rsidR="00D95517" w:rsidRPr="00E47E4E">
              <w:rPr>
                <w:rFonts w:asciiTheme="minorHAnsi" w:hAnsiTheme="minorHAnsi"/>
                <w:color w:val="000000"/>
                <w:sz w:val="22"/>
                <w:szCs w:val="22"/>
                <w:lang w:val="en"/>
              </w:rPr>
              <w:t xml:space="preserve">Prophylaxis of primary cytomegalovirus disease in renal transplant recipients. A trial of </w:t>
            </w:r>
            <w:r w:rsidR="00927196">
              <w:rPr>
                <w:rFonts w:asciiTheme="minorHAnsi" w:hAnsiTheme="minorHAnsi"/>
                <w:color w:val="000000"/>
                <w:sz w:val="22"/>
                <w:szCs w:val="22"/>
                <w:lang w:val="en"/>
              </w:rPr>
              <w:t>gancyclovir vs. immunoglobulin.</w:t>
            </w:r>
            <w:r w:rsidR="00D95517" w:rsidRPr="00E47E4E">
              <w:rPr>
                <w:rFonts w:asciiTheme="minorHAnsi" w:hAnsiTheme="minorHAnsi"/>
                <w:color w:val="000000"/>
                <w:sz w:val="22"/>
                <w:szCs w:val="22"/>
                <w:lang w:val="en"/>
              </w:rPr>
              <w:t xml:space="preserve"> </w:t>
            </w:r>
            <w:r w:rsidR="00D95517" w:rsidRPr="00E47E4E">
              <w:rPr>
                <w:rStyle w:val="Emphasis"/>
                <w:rFonts w:asciiTheme="minorHAnsi" w:hAnsiTheme="minorHAnsi"/>
                <w:color w:val="000000"/>
                <w:sz w:val="22"/>
                <w:szCs w:val="22"/>
                <w:lang w:val="en"/>
              </w:rPr>
              <w:t>Archives of Surgery</w:t>
            </w:r>
            <w:r w:rsidR="00D95517" w:rsidRPr="00E47E4E">
              <w:rPr>
                <w:rFonts w:asciiTheme="minorHAnsi" w:hAnsiTheme="minorHAnsi"/>
                <w:color w:val="000000"/>
                <w:sz w:val="22"/>
                <w:szCs w:val="22"/>
                <w:lang w:val="en"/>
              </w:rPr>
              <w:t xml:space="preserve">, </w:t>
            </w:r>
            <w:r w:rsidR="00927196">
              <w:rPr>
                <w:rFonts w:asciiTheme="minorHAnsi" w:hAnsiTheme="minorHAnsi"/>
                <w:color w:val="000000"/>
                <w:sz w:val="22"/>
                <w:szCs w:val="22"/>
                <w:lang w:val="en"/>
              </w:rPr>
              <w:t>129(</w:t>
            </w:r>
            <w:r w:rsidR="00D95517" w:rsidRPr="00E47E4E">
              <w:rPr>
                <w:rFonts w:asciiTheme="minorHAnsi" w:hAnsiTheme="minorHAnsi"/>
                <w:color w:val="000000"/>
                <w:sz w:val="22"/>
                <w:szCs w:val="22"/>
                <w:lang w:val="en"/>
              </w:rPr>
              <w:t>4</w:t>
            </w:r>
            <w:r>
              <w:rPr>
                <w:rFonts w:asciiTheme="minorHAnsi" w:hAnsiTheme="minorHAnsi"/>
                <w:color w:val="000000"/>
                <w:sz w:val="22"/>
                <w:szCs w:val="22"/>
                <w:lang w:val="en"/>
              </w:rPr>
              <w:t>):</w:t>
            </w:r>
            <w:r w:rsidR="00D95517" w:rsidRPr="00E47E4E">
              <w:rPr>
                <w:rFonts w:asciiTheme="minorHAnsi" w:hAnsiTheme="minorHAnsi"/>
                <w:color w:val="000000"/>
                <w:sz w:val="22"/>
                <w:szCs w:val="22"/>
                <w:lang w:val="en"/>
              </w:rPr>
              <w:t xml:space="preserve"> 443–</w:t>
            </w:r>
            <w:r w:rsidR="00927196">
              <w:rPr>
                <w:rFonts w:asciiTheme="minorHAnsi" w:hAnsiTheme="minorHAnsi"/>
                <w:color w:val="000000"/>
                <w:sz w:val="22"/>
                <w:szCs w:val="22"/>
                <w:lang w:val="en"/>
              </w:rPr>
              <w:t>44</w:t>
            </w:r>
            <w:r w:rsidR="00D95517" w:rsidRPr="00E47E4E">
              <w:rPr>
                <w:rFonts w:asciiTheme="minorHAnsi" w:hAnsiTheme="minorHAnsi"/>
                <w:color w:val="000000"/>
                <w:sz w:val="22"/>
                <w:szCs w:val="22"/>
                <w:lang w:val="en"/>
              </w:rPr>
              <w:t>7.</w:t>
            </w:r>
          </w:p>
          <w:p w:rsidR="00F91CA7" w:rsidRPr="00F91CA7" w:rsidRDefault="007B2A4C" w:rsidP="00D95517">
            <w:pPr>
              <w:pStyle w:val="NormalWeb"/>
              <w:spacing w:before="0" w:beforeAutospacing="0" w:after="0" w:afterAutospacing="0" w:line="360" w:lineRule="atLeast"/>
              <w:contextualSpacing/>
              <w:rPr>
                <w:rFonts w:asciiTheme="minorHAnsi" w:hAnsiTheme="minorHAnsi"/>
                <w:color w:val="808080" w:themeColor="background1" w:themeShade="80"/>
                <w:sz w:val="22"/>
                <w:szCs w:val="22"/>
                <w:lang w:val="en"/>
              </w:rPr>
            </w:pPr>
            <w:hyperlink r:id="rId19" w:history="1">
              <w:r w:rsidR="00F91CA7" w:rsidRPr="00F91CA7">
                <w:rPr>
                  <w:rStyle w:val="Hyperlink"/>
                  <w:rFonts w:asciiTheme="minorHAnsi" w:hAnsiTheme="minorHAnsi"/>
                  <w:color w:val="808080" w:themeColor="background1" w:themeShade="80"/>
                  <w:sz w:val="22"/>
                  <w:szCs w:val="22"/>
                  <w:lang w:val="en"/>
                </w:rPr>
                <w:t>https://www.ncbi.nlm.nih.gov/pubmed/8154971</w:t>
              </w:r>
            </w:hyperlink>
          </w:p>
          <w:p w:rsidR="00F91CA7" w:rsidRDefault="00F91CA7" w:rsidP="00D95517">
            <w:pPr>
              <w:pStyle w:val="NormalWeb"/>
              <w:spacing w:before="0" w:beforeAutospacing="0" w:after="0" w:afterAutospacing="0" w:line="360" w:lineRule="atLeast"/>
              <w:contextualSpacing/>
              <w:rPr>
                <w:rFonts w:asciiTheme="minorHAnsi" w:hAnsiTheme="minorHAnsi"/>
                <w:color w:val="000000"/>
                <w:sz w:val="22"/>
                <w:szCs w:val="22"/>
                <w:lang w:val="en"/>
              </w:rPr>
            </w:pPr>
          </w:p>
          <w:p w:rsidR="004229B2" w:rsidRPr="00FF49BE" w:rsidRDefault="004229B2" w:rsidP="004229B2">
            <w:pPr>
              <w:shd w:val="clear" w:color="auto" w:fill="FFFFFF"/>
              <w:rPr>
                <w:rFonts w:asciiTheme="minorHAnsi" w:hAnsiTheme="minorHAnsi"/>
                <w:color w:val="000000"/>
              </w:rPr>
            </w:pPr>
            <w:r w:rsidRPr="004229B2">
              <w:rPr>
                <w:rFonts w:asciiTheme="minorHAnsi" w:hAnsiTheme="minorHAnsi"/>
                <w:color w:val="000000"/>
              </w:rPr>
              <w:t xml:space="preserve">Cooper JE, Gralla </w:t>
            </w:r>
            <w:r>
              <w:rPr>
                <w:rFonts w:asciiTheme="minorHAnsi" w:hAnsiTheme="minorHAnsi"/>
                <w:color w:val="000000"/>
              </w:rPr>
              <w:t>J, Klem P, Chan L &amp; Wiseman AC (</w:t>
            </w:r>
            <w:r w:rsidRPr="004229B2">
              <w:rPr>
                <w:rFonts w:asciiTheme="minorHAnsi" w:hAnsiTheme="minorHAnsi"/>
                <w:color w:val="000000"/>
              </w:rPr>
              <w:t>2014</w:t>
            </w:r>
            <w:r>
              <w:rPr>
                <w:rFonts w:asciiTheme="minorHAnsi" w:hAnsiTheme="minorHAnsi"/>
                <w:color w:val="000000"/>
              </w:rPr>
              <w:t xml:space="preserve">) </w:t>
            </w:r>
            <w:r w:rsidRPr="004229B2">
              <w:rPr>
                <w:rFonts w:asciiTheme="minorHAnsi" w:hAnsiTheme="minorHAnsi"/>
                <w:color w:val="000000"/>
              </w:rPr>
              <w:t>High dose intravenous immunoglobulin therapy for donor-specific antibodies in kidney transplant recipients with acute a</w:t>
            </w:r>
            <w:r>
              <w:rPr>
                <w:rFonts w:asciiTheme="minorHAnsi" w:hAnsiTheme="minorHAnsi"/>
                <w:color w:val="000000"/>
              </w:rPr>
              <w:t xml:space="preserve">nd chronic graft dysfunction. </w:t>
            </w:r>
            <w:r w:rsidRPr="004229B2">
              <w:rPr>
                <w:rFonts w:asciiTheme="minorHAnsi" w:hAnsiTheme="minorHAnsi"/>
                <w:i/>
                <w:color w:val="000000"/>
              </w:rPr>
              <w:t>Transplantation</w:t>
            </w:r>
            <w:r>
              <w:rPr>
                <w:rFonts w:asciiTheme="minorHAnsi" w:hAnsiTheme="minorHAnsi"/>
                <w:color w:val="000000"/>
              </w:rPr>
              <w:t>,</w:t>
            </w:r>
            <w:r w:rsidRPr="004229B2">
              <w:rPr>
                <w:rFonts w:asciiTheme="minorHAnsi" w:hAnsiTheme="minorHAnsi"/>
                <w:color w:val="000000"/>
              </w:rPr>
              <w:t xml:space="preserve"> 97(12):1253-9.</w:t>
            </w:r>
            <w:r w:rsidRPr="00FF49BE">
              <w:rPr>
                <w:rFonts w:asciiTheme="minorHAnsi" w:hAnsiTheme="minorHAnsi"/>
                <w:color w:val="000000"/>
              </w:rPr>
              <w:t xml:space="preserve"> </w:t>
            </w:r>
          </w:p>
          <w:p w:rsidR="004229B2" w:rsidRPr="004229B2" w:rsidRDefault="007B2A4C" w:rsidP="00D95517">
            <w:pPr>
              <w:pStyle w:val="NormalWeb"/>
              <w:spacing w:before="0" w:beforeAutospacing="0" w:after="0" w:afterAutospacing="0" w:line="360" w:lineRule="atLeast"/>
              <w:contextualSpacing/>
              <w:rPr>
                <w:rFonts w:asciiTheme="minorHAnsi" w:hAnsiTheme="minorHAnsi"/>
                <w:color w:val="808080" w:themeColor="background1" w:themeShade="80"/>
                <w:sz w:val="22"/>
                <w:szCs w:val="22"/>
              </w:rPr>
            </w:pPr>
            <w:hyperlink r:id="rId20" w:history="1">
              <w:r w:rsidR="004229B2" w:rsidRPr="004229B2">
                <w:rPr>
                  <w:rStyle w:val="Hyperlink"/>
                  <w:rFonts w:asciiTheme="minorHAnsi" w:hAnsiTheme="minorHAnsi"/>
                  <w:color w:val="808080" w:themeColor="background1" w:themeShade="80"/>
                  <w:sz w:val="22"/>
                  <w:szCs w:val="22"/>
                </w:rPr>
                <w:t>https://www.ncbi.nlm.nih.gov/pubmed/24937199</w:t>
              </w:r>
            </w:hyperlink>
          </w:p>
          <w:p w:rsidR="004229B2" w:rsidRPr="004229B2" w:rsidRDefault="004229B2" w:rsidP="00D95517">
            <w:pPr>
              <w:pStyle w:val="NormalWeb"/>
              <w:spacing w:before="0" w:beforeAutospacing="0" w:after="0" w:afterAutospacing="0" w:line="360" w:lineRule="atLeast"/>
              <w:contextualSpacing/>
              <w:rPr>
                <w:rFonts w:asciiTheme="minorHAnsi" w:hAnsiTheme="minorHAnsi"/>
                <w:color w:val="000000"/>
                <w:sz w:val="22"/>
                <w:szCs w:val="22"/>
              </w:rPr>
            </w:pPr>
          </w:p>
          <w:p w:rsidR="00927196" w:rsidRDefault="00F91CA7" w:rsidP="00D95517">
            <w:pPr>
              <w:pStyle w:val="NormalWeb"/>
              <w:spacing w:before="0" w:beforeAutospacing="0" w:after="0" w:afterAutospacing="0" w:line="360" w:lineRule="atLeast"/>
              <w:contextualSpacing/>
              <w:rPr>
                <w:rFonts w:asciiTheme="minorHAnsi" w:hAnsiTheme="minorHAnsi"/>
                <w:color w:val="000000"/>
                <w:sz w:val="22"/>
                <w:szCs w:val="22"/>
                <w:lang w:val="en"/>
              </w:rPr>
            </w:pPr>
            <w:r>
              <w:rPr>
                <w:rFonts w:asciiTheme="minorHAnsi" w:hAnsiTheme="minorHAnsi"/>
                <w:color w:val="000000"/>
                <w:sz w:val="22"/>
                <w:szCs w:val="22"/>
                <w:lang w:val="en"/>
              </w:rPr>
              <w:t>Djamali</w:t>
            </w:r>
            <w:r w:rsidR="00D95517" w:rsidRPr="00E47E4E">
              <w:rPr>
                <w:rFonts w:asciiTheme="minorHAnsi" w:hAnsiTheme="minorHAnsi"/>
                <w:color w:val="000000"/>
                <w:sz w:val="22"/>
                <w:szCs w:val="22"/>
                <w:lang w:val="en"/>
              </w:rPr>
              <w:t xml:space="preserve"> A</w:t>
            </w:r>
            <w:r>
              <w:rPr>
                <w:rFonts w:asciiTheme="minorHAnsi" w:hAnsiTheme="minorHAnsi"/>
                <w:color w:val="000000"/>
                <w:sz w:val="22"/>
                <w:szCs w:val="22"/>
                <w:lang w:val="en"/>
              </w:rPr>
              <w:t>, Kaufman</w:t>
            </w:r>
            <w:r w:rsidR="00D95517" w:rsidRPr="00E47E4E">
              <w:rPr>
                <w:rFonts w:asciiTheme="minorHAnsi" w:hAnsiTheme="minorHAnsi"/>
                <w:color w:val="000000"/>
                <w:sz w:val="22"/>
                <w:szCs w:val="22"/>
                <w:lang w:val="en"/>
              </w:rPr>
              <w:t xml:space="preserve"> DB,</w:t>
            </w:r>
            <w:r>
              <w:rPr>
                <w:rFonts w:asciiTheme="minorHAnsi" w:hAnsiTheme="minorHAnsi"/>
                <w:color w:val="000000"/>
                <w:sz w:val="22"/>
                <w:szCs w:val="22"/>
                <w:lang w:val="en"/>
              </w:rPr>
              <w:t xml:space="preserve"> Ellis TM, Zhong W, Matas A</w:t>
            </w:r>
            <w:r w:rsidR="00884868">
              <w:rPr>
                <w:rFonts w:asciiTheme="minorHAnsi" w:hAnsiTheme="minorHAnsi"/>
                <w:color w:val="000000"/>
                <w:sz w:val="22"/>
                <w:szCs w:val="22"/>
                <w:lang w:val="en"/>
              </w:rPr>
              <w:t xml:space="preserve"> and Sa</w:t>
            </w:r>
            <w:r>
              <w:rPr>
                <w:rFonts w:asciiTheme="minorHAnsi" w:hAnsiTheme="minorHAnsi"/>
                <w:color w:val="000000"/>
                <w:sz w:val="22"/>
                <w:szCs w:val="22"/>
                <w:lang w:val="en"/>
              </w:rPr>
              <w:t>maniego M</w:t>
            </w:r>
            <w:r w:rsidR="00884868">
              <w:rPr>
                <w:rFonts w:asciiTheme="minorHAnsi" w:hAnsiTheme="minorHAnsi"/>
                <w:color w:val="000000"/>
                <w:sz w:val="22"/>
                <w:szCs w:val="22"/>
                <w:lang w:val="en"/>
              </w:rPr>
              <w:t xml:space="preserve"> (</w:t>
            </w:r>
            <w:r w:rsidR="00D95517" w:rsidRPr="00E47E4E">
              <w:rPr>
                <w:rFonts w:asciiTheme="minorHAnsi" w:hAnsiTheme="minorHAnsi"/>
                <w:color w:val="000000"/>
                <w:sz w:val="22"/>
                <w:szCs w:val="22"/>
                <w:lang w:val="en"/>
              </w:rPr>
              <w:t>2014</w:t>
            </w:r>
            <w:r>
              <w:rPr>
                <w:rFonts w:asciiTheme="minorHAnsi" w:hAnsiTheme="minorHAnsi"/>
                <w:color w:val="000000"/>
                <w:sz w:val="22"/>
                <w:szCs w:val="22"/>
                <w:lang w:val="en"/>
              </w:rPr>
              <w:t>)</w:t>
            </w:r>
            <w:r w:rsidR="00D95517" w:rsidRPr="00E47E4E">
              <w:rPr>
                <w:rFonts w:asciiTheme="minorHAnsi" w:hAnsiTheme="minorHAnsi"/>
                <w:color w:val="000000"/>
                <w:sz w:val="22"/>
                <w:szCs w:val="22"/>
                <w:lang w:val="en"/>
              </w:rPr>
              <w:t xml:space="preserve"> Diagnosis and management of</w:t>
            </w:r>
            <w:r>
              <w:rPr>
                <w:rFonts w:asciiTheme="minorHAnsi" w:hAnsiTheme="minorHAnsi"/>
                <w:color w:val="000000"/>
                <w:sz w:val="22"/>
                <w:szCs w:val="22"/>
                <w:lang w:val="en"/>
              </w:rPr>
              <w:t xml:space="preserve"> a</w:t>
            </w:r>
            <w:r w:rsidR="00884868">
              <w:rPr>
                <w:rFonts w:asciiTheme="minorHAnsi" w:hAnsiTheme="minorHAnsi"/>
                <w:color w:val="000000"/>
                <w:sz w:val="22"/>
                <w:szCs w:val="22"/>
                <w:lang w:val="en"/>
              </w:rPr>
              <w:t>nti-body mediated rejection: c</w:t>
            </w:r>
            <w:r w:rsidR="00D95517" w:rsidRPr="00E47E4E">
              <w:rPr>
                <w:rFonts w:asciiTheme="minorHAnsi" w:hAnsiTheme="minorHAnsi"/>
                <w:color w:val="000000"/>
                <w:sz w:val="22"/>
                <w:szCs w:val="22"/>
                <w:lang w:val="en"/>
              </w:rPr>
              <w:t>urrent status and novel approaches</w:t>
            </w:r>
            <w:r w:rsidR="00884868">
              <w:rPr>
                <w:rFonts w:asciiTheme="minorHAnsi" w:hAnsiTheme="minorHAnsi"/>
                <w:color w:val="000000"/>
                <w:sz w:val="22"/>
                <w:szCs w:val="22"/>
                <w:lang w:val="en"/>
              </w:rPr>
              <w:t xml:space="preserve">. </w:t>
            </w:r>
            <w:r w:rsidR="00D95517" w:rsidRPr="00E47E4E">
              <w:rPr>
                <w:rFonts w:asciiTheme="minorHAnsi" w:hAnsiTheme="minorHAnsi"/>
                <w:color w:val="000000"/>
                <w:sz w:val="22"/>
                <w:szCs w:val="22"/>
                <w:lang w:val="en"/>
              </w:rPr>
              <w:t xml:space="preserve"> </w:t>
            </w:r>
            <w:r w:rsidR="00D95517" w:rsidRPr="00884868">
              <w:rPr>
                <w:rFonts w:asciiTheme="minorHAnsi" w:hAnsiTheme="minorHAnsi"/>
                <w:i/>
                <w:color w:val="000000"/>
                <w:sz w:val="22"/>
                <w:szCs w:val="22"/>
                <w:lang w:val="en"/>
              </w:rPr>
              <w:t>American Journal of Transplantation</w:t>
            </w:r>
            <w:r w:rsidR="00884868">
              <w:rPr>
                <w:rFonts w:asciiTheme="minorHAnsi" w:hAnsiTheme="minorHAnsi"/>
                <w:color w:val="000000"/>
                <w:sz w:val="22"/>
                <w:szCs w:val="22"/>
                <w:lang w:val="en"/>
              </w:rPr>
              <w:t xml:space="preserve">, </w:t>
            </w:r>
            <w:r>
              <w:rPr>
                <w:rFonts w:asciiTheme="minorHAnsi" w:hAnsiTheme="minorHAnsi"/>
                <w:color w:val="000000"/>
                <w:sz w:val="22"/>
                <w:szCs w:val="22"/>
                <w:lang w:val="en"/>
              </w:rPr>
              <w:t>14:</w:t>
            </w:r>
            <w:r w:rsidR="00D95517" w:rsidRPr="00E47E4E">
              <w:rPr>
                <w:rFonts w:asciiTheme="minorHAnsi" w:hAnsiTheme="minorHAnsi"/>
                <w:color w:val="000000"/>
                <w:sz w:val="22"/>
                <w:szCs w:val="22"/>
                <w:lang w:val="en"/>
              </w:rPr>
              <w:t>255-271</w:t>
            </w:r>
            <w:r w:rsidR="00884868">
              <w:rPr>
                <w:rFonts w:asciiTheme="minorHAnsi" w:hAnsiTheme="minorHAnsi"/>
                <w:color w:val="000000"/>
                <w:sz w:val="22"/>
                <w:szCs w:val="22"/>
                <w:lang w:val="en"/>
              </w:rPr>
              <w:t>.</w:t>
            </w:r>
          </w:p>
          <w:p w:rsidR="00F91CA7" w:rsidRPr="00F91CA7" w:rsidRDefault="007B2A4C" w:rsidP="00D95517">
            <w:pPr>
              <w:pStyle w:val="NormalWeb"/>
              <w:spacing w:before="0" w:beforeAutospacing="0" w:after="0" w:afterAutospacing="0" w:line="360" w:lineRule="atLeast"/>
              <w:contextualSpacing/>
              <w:rPr>
                <w:rFonts w:asciiTheme="minorHAnsi" w:hAnsiTheme="minorHAnsi"/>
                <w:color w:val="808080" w:themeColor="background1" w:themeShade="80"/>
                <w:sz w:val="22"/>
                <w:szCs w:val="22"/>
                <w:lang w:val="en"/>
              </w:rPr>
            </w:pPr>
            <w:hyperlink r:id="rId21" w:history="1">
              <w:r w:rsidR="00F91CA7" w:rsidRPr="00F91CA7">
                <w:rPr>
                  <w:rStyle w:val="Hyperlink"/>
                  <w:rFonts w:asciiTheme="minorHAnsi" w:hAnsiTheme="minorHAnsi"/>
                  <w:color w:val="808080" w:themeColor="background1" w:themeShade="80"/>
                  <w:sz w:val="22"/>
                  <w:szCs w:val="22"/>
                  <w:lang w:val="en"/>
                </w:rPr>
                <w:t>https://www.ncbi.nlm.nih.gov/pubmed/24401076</w:t>
              </w:r>
            </w:hyperlink>
          </w:p>
          <w:p w:rsidR="00F91CA7" w:rsidRDefault="00F91CA7" w:rsidP="00D95517">
            <w:pPr>
              <w:pStyle w:val="NormalWeb"/>
              <w:spacing w:before="0" w:beforeAutospacing="0" w:after="0" w:afterAutospacing="0" w:line="360" w:lineRule="atLeast"/>
              <w:contextualSpacing/>
              <w:rPr>
                <w:rFonts w:asciiTheme="minorHAnsi" w:hAnsiTheme="minorHAnsi"/>
                <w:color w:val="000000"/>
                <w:sz w:val="22"/>
                <w:szCs w:val="22"/>
                <w:lang w:val="en"/>
              </w:rPr>
            </w:pPr>
          </w:p>
          <w:p w:rsidR="0048434B" w:rsidRDefault="00A27A0A" w:rsidP="00D95517">
            <w:pPr>
              <w:pStyle w:val="NormalWeb"/>
              <w:spacing w:before="0" w:beforeAutospacing="0" w:after="0" w:afterAutospacing="0" w:line="360" w:lineRule="atLeast"/>
              <w:contextualSpacing/>
              <w:rPr>
                <w:rFonts w:asciiTheme="minorHAnsi" w:eastAsia="Times New Roman" w:hAnsiTheme="minorHAnsi"/>
                <w:color w:val="000000"/>
                <w:sz w:val="22"/>
                <w:szCs w:val="22"/>
                <w:lang w:eastAsia="en-AU"/>
              </w:rPr>
            </w:pPr>
            <w:r w:rsidRPr="0048434B">
              <w:rPr>
                <w:rFonts w:asciiTheme="minorHAnsi" w:eastAsia="Times New Roman" w:hAnsiTheme="minorHAnsi"/>
                <w:color w:val="000000"/>
                <w:sz w:val="22"/>
                <w:szCs w:val="22"/>
                <w:lang w:eastAsia="en-AU"/>
              </w:rPr>
              <w:t>Einecke</w:t>
            </w:r>
            <w:r w:rsidR="0048434B">
              <w:rPr>
                <w:rFonts w:asciiTheme="minorHAnsi" w:eastAsia="Times New Roman" w:hAnsiTheme="minorHAnsi"/>
                <w:color w:val="000000"/>
                <w:sz w:val="22"/>
                <w:szCs w:val="22"/>
                <w:lang w:eastAsia="en-AU"/>
              </w:rPr>
              <w:t xml:space="preserve"> G</w:t>
            </w:r>
            <w:r w:rsidRPr="0048434B">
              <w:rPr>
                <w:rFonts w:asciiTheme="minorHAnsi" w:eastAsia="Times New Roman" w:hAnsiTheme="minorHAnsi"/>
                <w:color w:val="000000"/>
                <w:sz w:val="22"/>
                <w:szCs w:val="22"/>
                <w:lang w:eastAsia="en-AU"/>
              </w:rPr>
              <w:t>, Bräsen</w:t>
            </w:r>
            <w:r w:rsidR="0048434B">
              <w:rPr>
                <w:rFonts w:asciiTheme="minorHAnsi" w:eastAsia="Times New Roman" w:hAnsiTheme="minorHAnsi"/>
                <w:color w:val="000000"/>
                <w:sz w:val="22"/>
                <w:szCs w:val="22"/>
                <w:lang w:eastAsia="en-AU"/>
              </w:rPr>
              <w:t xml:space="preserve"> J</w:t>
            </w:r>
            <w:r w:rsidRPr="0048434B">
              <w:rPr>
                <w:rFonts w:asciiTheme="minorHAnsi" w:eastAsia="Times New Roman" w:hAnsiTheme="minorHAnsi"/>
                <w:color w:val="000000"/>
                <w:sz w:val="22"/>
                <w:szCs w:val="22"/>
                <w:lang w:eastAsia="en-AU"/>
              </w:rPr>
              <w:t>, Schwarz</w:t>
            </w:r>
            <w:r w:rsidR="0048434B">
              <w:rPr>
                <w:rFonts w:asciiTheme="minorHAnsi" w:eastAsia="Times New Roman" w:hAnsiTheme="minorHAnsi"/>
                <w:color w:val="000000"/>
                <w:sz w:val="22"/>
                <w:szCs w:val="22"/>
                <w:lang w:eastAsia="en-AU"/>
              </w:rPr>
              <w:t xml:space="preserve"> A and </w:t>
            </w:r>
            <w:r w:rsidRPr="0048434B">
              <w:rPr>
                <w:rFonts w:asciiTheme="minorHAnsi" w:eastAsia="Times New Roman" w:hAnsiTheme="minorHAnsi"/>
                <w:color w:val="000000"/>
                <w:sz w:val="22"/>
                <w:szCs w:val="22"/>
                <w:lang w:eastAsia="en-AU"/>
              </w:rPr>
              <w:t>Haller</w:t>
            </w:r>
            <w:r w:rsidR="0048434B">
              <w:rPr>
                <w:rFonts w:asciiTheme="minorHAnsi" w:eastAsia="Times New Roman" w:hAnsiTheme="minorHAnsi"/>
                <w:color w:val="000000"/>
                <w:sz w:val="22"/>
                <w:szCs w:val="22"/>
                <w:lang w:eastAsia="en-AU"/>
              </w:rPr>
              <w:t xml:space="preserve"> H (2016)</w:t>
            </w:r>
            <w:r w:rsidRPr="0048434B">
              <w:rPr>
                <w:rFonts w:asciiTheme="minorHAnsi" w:eastAsia="Times New Roman" w:hAnsiTheme="minorHAnsi"/>
                <w:color w:val="000000"/>
                <w:sz w:val="22"/>
                <w:szCs w:val="22"/>
                <w:lang w:eastAsia="en-AU"/>
              </w:rPr>
              <w:t xml:space="preserve"> Treatment of Late Antibody-Mediated Rejection: Observations from Clinical Practice. American Journal of Transplantation. </w:t>
            </w:r>
            <w:r w:rsidR="0048434B" w:rsidRPr="0048434B">
              <w:rPr>
                <w:rFonts w:asciiTheme="minorHAnsi" w:eastAsia="Times New Roman" w:hAnsiTheme="minorHAnsi"/>
                <w:color w:val="000000"/>
                <w:sz w:val="22"/>
                <w:szCs w:val="22"/>
                <w:lang w:eastAsia="en-AU"/>
              </w:rPr>
              <w:t xml:space="preserve">Poster Abstracts. </w:t>
            </w:r>
            <w:r w:rsidR="0048434B" w:rsidRPr="0048434B">
              <w:rPr>
                <w:rFonts w:asciiTheme="minorHAnsi" w:eastAsia="Times New Roman" w:hAnsiTheme="minorHAnsi"/>
                <w:i/>
                <w:color w:val="000000"/>
                <w:sz w:val="22"/>
                <w:szCs w:val="22"/>
                <w:lang w:eastAsia="en-AU"/>
              </w:rPr>
              <w:t>American Journal of Transplantation</w:t>
            </w:r>
            <w:r w:rsidR="0048434B" w:rsidRPr="0048434B">
              <w:rPr>
                <w:rFonts w:asciiTheme="minorHAnsi" w:eastAsia="Times New Roman" w:hAnsiTheme="minorHAnsi"/>
                <w:color w:val="000000"/>
                <w:sz w:val="22"/>
                <w:szCs w:val="22"/>
                <w:lang w:eastAsia="en-AU"/>
              </w:rPr>
              <w:t xml:space="preserve">, 16: </w:t>
            </w:r>
            <w:r w:rsidR="0048434B">
              <w:rPr>
                <w:rFonts w:asciiTheme="minorHAnsi" w:eastAsia="Times New Roman" w:hAnsiTheme="minorHAnsi"/>
                <w:color w:val="000000"/>
                <w:sz w:val="22"/>
                <w:szCs w:val="22"/>
                <w:lang w:eastAsia="en-AU"/>
              </w:rPr>
              <w:t>609</w:t>
            </w:r>
            <w:r w:rsidR="0048434B" w:rsidRPr="0048434B">
              <w:rPr>
                <w:rFonts w:asciiTheme="minorHAnsi" w:eastAsia="Times New Roman" w:hAnsiTheme="minorHAnsi"/>
                <w:color w:val="000000"/>
                <w:sz w:val="22"/>
                <w:szCs w:val="22"/>
                <w:lang w:eastAsia="en-AU"/>
              </w:rPr>
              <w:t>.</w:t>
            </w:r>
          </w:p>
          <w:p w:rsidR="0048434B" w:rsidRDefault="007B2A4C" w:rsidP="00D95517">
            <w:pPr>
              <w:pStyle w:val="NormalWeb"/>
              <w:spacing w:before="0" w:beforeAutospacing="0" w:after="0" w:afterAutospacing="0" w:line="360" w:lineRule="atLeast"/>
              <w:contextualSpacing/>
              <w:rPr>
                <w:rFonts w:asciiTheme="minorHAnsi" w:hAnsiTheme="minorHAnsi"/>
                <w:color w:val="000000"/>
                <w:sz w:val="22"/>
                <w:szCs w:val="22"/>
                <w:lang w:val="en"/>
              </w:rPr>
            </w:pPr>
            <w:hyperlink r:id="rId22" w:history="1">
              <w:r w:rsidR="0048434B" w:rsidRPr="0048434B">
                <w:rPr>
                  <w:rStyle w:val="Hyperlink"/>
                  <w:rFonts w:asciiTheme="minorHAnsi" w:hAnsiTheme="minorHAnsi"/>
                  <w:color w:val="808080" w:themeColor="background1" w:themeShade="80"/>
                  <w:sz w:val="22"/>
                  <w:szCs w:val="22"/>
                  <w:lang w:val="en"/>
                </w:rPr>
                <w:t>http://onlinelibrary.wiley.com/doi/10.1111/ajt.13898/full</w:t>
              </w:r>
            </w:hyperlink>
          </w:p>
          <w:p w:rsidR="0048434B" w:rsidRDefault="0048434B" w:rsidP="00D95517">
            <w:pPr>
              <w:pStyle w:val="NormalWeb"/>
              <w:spacing w:before="0" w:beforeAutospacing="0" w:after="0" w:afterAutospacing="0" w:line="360" w:lineRule="atLeast"/>
              <w:contextualSpacing/>
              <w:rPr>
                <w:rFonts w:asciiTheme="minorHAnsi" w:hAnsiTheme="minorHAnsi"/>
                <w:color w:val="000000"/>
                <w:sz w:val="22"/>
                <w:szCs w:val="22"/>
                <w:lang w:val="en"/>
              </w:rPr>
            </w:pPr>
          </w:p>
          <w:p w:rsidR="00D95517" w:rsidRDefault="00F91CA7" w:rsidP="00D95517">
            <w:pPr>
              <w:pStyle w:val="NormalWeb"/>
              <w:spacing w:before="0" w:beforeAutospacing="0" w:after="0" w:afterAutospacing="0" w:line="360" w:lineRule="atLeast"/>
              <w:contextualSpacing/>
              <w:rPr>
                <w:rFonts w:asciiTheme="minorHAnsi" w:hAnsiTheme="minorHAnsi"/>
                <w:color w:val="000000"/>
                <w:sz w:val="22"/>
                <w:szCs w:val="22"/>
                <w:lang w:val="en"/>
              </w:rPr>
            </w:pPr>
            <w:r>
              <w:rPr>
                <w:rFonts w:asciiTheme="minorHAnsi" w:hAnsiTheme="minorHAnsi"/>
                <w:color w:val="000000"/>
                <w:sz w:val="22"/>
                <w:szCs w:val="22"/>
                <w:lang w:val="en"/>
              </w:rPr>
              <w:t>Frommer</w:t>
            </w:r>
            <w:r w:rsidR="00D95517" w:rsidRPr="00E47E4E">
              <w:rPr>
                <w:rFonts w:asciiTheme="minorHAnsi" w:hAnsiTheme="minorHAnsi"/>
                <w:color w:val="000000"/>
                <w:sz w:val="22"/>
                <w:szCs w:val="22"/>
                <w:lang w:val="en"/>
              </w:rPr>
              <w:t xml:space="preserve"> </w:t>
            </w:r>
            <w:proofErr w:type="gramStart"/>
            <w:r w:rsidR="00D95517" w:rsidRPr="00E47E4E">
              <w:rPr>
                <w:rFonts w:asciiTheme="minorHAnsi" w:hAnsiTheme="minorHAnsi"/>
                <w:color w:val="000000"/>
                <w:sz w:val="22"/>
                <w:szCs w:val="22"/>
                <w:lang w:val="en"/>
              </w:rPr>
              <w:t>M</w:t>
            </w:r>
            <w:r w:rsidR="00884868">
              <w:rPr>
                <w:rFonts w:asciiTheme="minorHAnsi" w:hAnsiTheme="minorHAnsi"/>
                <w:color w:val="000000"/>
                <w:sz w:val="22"/>
                <w:szCs w:val="22"/>
                <w:lang w:val="en"/>
              </w:rPr>
              <w:t xml:space="preserve">  and</w:t>
            </w:r>
            <w:proofErr w:type="gramEnd"/>
            <w:r>
              <w:rPr>
                <w:rFonts w:asciiTheme="minorHAnsi" w:hAnsiTheme="minorHAnsi"/>
                <w:color w:val="000000"/>
                <w:sz w:val="22"/>
                <w:szCs w:val="22"/>
                <w:lang w:val="en"/>
              </w:rPr>
              <w:t xml:space="preserve"> Madronio</w:t>
            </w:r>
            <w:r w:rsidR="00D95517" w:rsidRPr="00E47E4E">
              <w:rPr>
                <w:rFonts w:asciiTheme="minorHAnsi" w:hAnsiTheme="minorHAnsi"/>
                <w:color w:val="000000"/>
                <w:sz w:val="22"/>
                <w:szCs w:val="22"/>
                <w:lang w:val="en"/>
              </w:rPr>
              <w:t xml:space="preserve"> C</w:t>
            </w:r>
            <w:r>
              <w:rPr>
                <w:rFonts w:asciiTheme="minorHAnsi" w:hAnsiTheme="minorHAnsi"/>
                <w:color w:val="000000"/>
                <w:sz w:val="22"/>
                <w:szCs w:val="22"/>
                <w:lang w:val="en"/>
              </w:rPr>
              <w:t xml:space="preserve"> (2006)</w:t>
            </w:r>
            <w:r w:rsidR="00D95517" w:rsidRPr="00E47E4E">
              <w:rPr>
                <w:rFonts w:asciiTheme="minorHAnsi" w:hAnsiTheme="minorHAnsi"/>
                <w:color w:val="000000"/>
                <w:sz w:val="22"/>
                <w:szCs w:val="22"/>
                <w:lang w:val="en"/>
              </w:rPr>
              <w:t xml:space="preserve"> The use of intravenous immunoglobulin in Australia. </w:t>
            </w:r>
            <w:r w:rsidR="00D95517" w:rsidRPr="00E47E4E">
              <w:rPr>
                <w:rStyle w:val="Emphasis"/>
                <w:rFonts w:asciiTheme="minorHAnsi" w:hAnsiTheme="minorHAnsi"/>
                <w:color w:val="000000"/>
                <w:sz w:val="22"/>
                <w:szCs w:val="22"/>
                <w:lang w:val="en"/>
              </w:rPr>
              <w:t>A report for the National Blood Authority</w:t>
            </w:r>
            <w:r w:rsidR="00D95517" w:rsidRPr="00884868">
              <w:rPr>
                <w:rFonts w:asciiTheme="minorHAnsi" w:hAnsiTheme="minorHAnsi"/>
                <w:i/>
                <w:color w:val="000000"/>
                <w:sz w:val="22"/>
                <w:szCs w:val="22"/>
                <w:lang w:val="en"/>
              </w:rPr>
              <w:t>, Part B: systematic literature review</w:t>
            </w:r>
            <w:r w:rsidR="00884868">
              <w:rPr>
                <w:rFonts w:asciiTheme="minorHAnsi" w:hAnsiTheme="minorHAnsi"/>
                <w:color w:val="000000"/>
                <w:sz w:val="22"/>
                <w:szCs w:val="22"/>
                <w:lang w:val="en"/>
              </w:rPr>
              <w:t xml:space="preserve">. </w:t>
            </w:r>
            <w:r w:rsidR="00D95517" w:rsidRPr="00E47E4E">
              <w:rPr>
                <w:rFonts w:asciiTheme="minorHAnsi" w:hAnsiTheme="minorHAnsi"/>
                <w:color w:val="000000"/>
                <w:sz w:val="22"/>
                <w:szCs w:val="22"/>
                <w:lang w:val="en"/>
              </w:rPr>
              <w:t>Sydney Health Projects Group, Un</w:t>
            </w:r>
            <w:r>
              <w:rPr>
                <w:rFonts w:asciiTheme="minorHAnsi" w:hAnsiTheme="minorHAnsi"/>
                <w:color w:val="000000"/>
                <w:sz w:val="22"/>
                <w:szCs w:val="22"/>
                <w:lang w:val="en"/>
              </w:rPr>
              <w:t>iversity of Sydney, Sydney</w:t>
            </w:r>
            <w:proofErr w:type="gramStart"/>
            <w:r>
              <w:rPr>
                <w:rFonts w:asciiTheme="minorHAnsi" w:hAnsiTheme="minorHAnsi"/>
                <w:color w:val="000000"/>
                <w:sz w:val="22"/>
                <w:szCs w:val="22"/>
                <w:lang w:val="en"/>
              </w:rPr>
              <w:t>:</w:t>
            </w:r>
            <w:r w:rsidR="00D95517" w:rsidRPr="00E47E4E">
              <w:rPr>
                <w:rFonts w:asciiTheme="minorHAnsi" w:hAnsiTheme="minorHAnsi"/>
                <w:color w:val="000000"/>
                <w:sz w:val="22"/>
                <w:szCs w:val="22"/>
                <w:lang w:val="en"/>
              </w:rPr>
              <w:t>18</w:t>
            </w:r>
            <w:proofErr w:type="gramEnd"/>
            <w:r w:rsidR="00D95517" w:rsidRPr="00E47E4E">
              <w:rPr>
                <w:rFonts w:asciiTheme="minorHAnsi" w:hAnsiTheme="minorHAnsi"/>
                <w:color w:val="000000"/>
                <w:sz w:val="22"/>
                <w:szCs w:val="22"/>
                <w:lang w:val="en"/>
              </w:rPr>
              <w:t>–20.</w:t>
            </w:r>
          </w:p>
          <w:p w:rsidR="00F91CA7" w:rsidRDefault="007B2A4C" w:rsidP="00D95517">
            <w:pPr>
              <w:pStyle w:val="NormalWeb"/>
              <w:spacing w:before="0" w:beforeAutospacing="0" w:after="0" w:afterAutospacing="0" w:line="360" w:lineRule="atLeast"/>
              <w:contextualSpacing/>
              <w:rPr>
                <w:rFonts w:asciiTheme="minorHAnsi" w:hAnsiTheme="minorHAnsi"/>
                <w:color w:val="000000"/>
                <w:sz w:val="22"/>
                <w:szCs w:val="22"/>
                <w:lang w:val="en"/>
              </w:rPr>
            </w:pPr>
            <w:hyperlink r:id="rId23" w:history="1">
              <w:r w:rsidR="00F91CA7" w:rsidRPr="00F91CA7">
                <w:rPr>
                  <w:rStyle w:val="Hyperlink"/>
                  <w:rFonts w:asciiTheme="minorHAnsi" w:hAnsiTheme="minorHAnsi"/>
                  <w:color w:val="808080" w:themeColor="background1" w:themeShade="80"/>
                  <w:sz w:val="22"/>
                  <w:szCs w:val="22"/>
                  <w:lang w:val="en"/>
                </w:rPr>
                <w:t>https://www.blood.gov.au/pubs/</w:t>
              </w:r>
              <w:r w:rsidR="00F6525C">
                <w:rPr>
                  <w:rStyle w:val="Hyperlink"/>
                  <w:rFonts w:asciiTheme="minorHAnsi" w:hAnsiTheme="minorHAnsi"/>
                  <w:color w:val="808080" w:themeColor="background1" w:themeShade="80"/>
                  <w:sz w:val="22"/>
                  <w:szCs w:val="22"/>
                  <w:lang w:val="en"/>
                </w:rPr>
                <w:t>IVIg</w:t>
              </w:r>
              <w:r w:rsidR="00F91CA7" w:rsidRPr="00F91CA7">
                <w:rPr>
                  <w:rStyle w:val="Hyperlink"/>
                  <w:rFonts w:asciiTheme="minorHAnsi" w:hAnsiTheme="minorHAnsi"/>
                  <w:color w:val="808080" w:themeColor="background1" w:themeShade="80"/>
                  <w:sz w:val="22"/>
                  <w:szCs w:val="22"/>
                  <w:lang w:val="en"/>
                </w:rPr>
                <w:t>/conditions-for-which-</w:t>
              </w:r>
              <w:r w:rsidR="00F6525C">
                <w:rPr>
                  <w:rStyle w:val="Hyperlink"/>
                  <w:rFonts w:asciiTheme="minorHAnsi" w:hAnsiTheme="minorHAnsi"/>
                  <w:color w:val="808080" w:themeColor="background1" w:themeShade="80"/>
                  <w:sz w:val="22"/>
                  <w:szCs w:val="22"/>
                  <w:lang w:val="en"/>
                </w:rPr>
                <w:t>IVIg</w:t>
              </w:r>
              <w:r w:rsidR="00F91CA7" w:rsidRPr="00F91CA7">
                <w:rPr>
                  <w:rStyle w:val="Hyperlink"/>
                  <w:rFonts w:asciiTheme="minorHAnsi" w:hAnsiTheme="minorHAnsi"/>
                  <w:color w:val="808080" w:themeColor="background1" w:themeShade="80"/>
                  <w:sz w:val="22"/>
                  <w:szCs w:val="22"/>
                  <w:lang w:val="en"/>
                </w:rPr>
                <w:t>-has-an-established-therapeutic-role.html</w:t>
              </w:r>
            </w:hyperlink>
          </w:p>
          <w:p w:rsidR="00F91CA7" w:rsidRDefault="00F91CA7" w:rsidP="00D95517">
            <w:pPr>
              <w:pStyle w:val="NormalWeb"/>
              <w:spacing w:before="0" w:beforeAutospacing="0" w:after="0" w:afterAutospacing="0" w:line="360" w:lineRule="atLeast"/>
              <w:contextualSpacing/>
              <w:rPr>
                <w:rFonts w:asciiTheme="minorHAnsi" w:hAnsiTheme="minorHAnsi"/>
                <w:color w:val="000000"/>
                <w:sz w:val="22"/>
                <w:szCs w:val="22"/>
                <w:lang w:val="en"/>
              </w:rPr>
            </w:pPr>
          </w:p>
          <w:p w:rsidR="004229B2" w:rsidRPr="008E2EFF" w:rsidRDefault="004229B2" w:rsidP="004229B2">
            <w:pPr>
              <w:spacing w:line="360" w:lineRule="atLeast"/>
              <w:contextualSpacing/>
              <w:rPr>
                <w:rFonts w:asciiTheme="minorHAnsi" w:eastAsiaTheme="minorHAnsi" w:hAnsiTheme="minorHAnsi" w:cs="Times New Roman"/>
                <w:color w:val="000000"/>
                <w:lang w:val="en"/>
              </w:rPr>
            </w:pPr>
            <w:r w:rsidRPr="004229B2">
              <w:rPr>
                <w:rFonts w:asciiTheme="minorHAnsi" w:hAnsiTheme="minorHAnsi"/>
                <w:color w:val="000000"/>
              </w:rPr>
              <w:t>Gupta G, Abu Jawdeh BD, Racusen LC, B</w:t>
            </w:r>
            <w:r>
              <w:rPr>
                <w:rFonts w:asciiTheme="minorHAnsi" w:hAnsiTheme="minorHAnsi"/>
                <w:color w:val="000000"/>
              </w:rPr>
              <w:t xml:space="preserve">hasin B, ARend LJ et al (2014) </w:t>
            </w:r>
            <w:r w:rsidRPr="004229B2">
              <w:rPr>
                <w:rFonts w:asciiTheme="minorHAnsi" w:hAnsiTheme="minorHAnsi"/>
                <w:color w:val="000000"/>
              </w:rPr>
              <w:t>Late antibody-mediated rejection in renal allografts: outcome after conv</w:t>
            </w:r>
            <w:r>
              <w:rPr>
                <w:rFonts w:asciiTheme="minorHAnsi" w:hAnsiTheme="minorHAnsi"/>
                <w:color w:val="000000"/>
              </w:rPr>
              <w:t xml:space="preserve">entional and novel therapies. </w:t>
            </w:r>
            <w:r w:rsidRPr="004229B2">
              <w:rPr>
                <w:rFonts w:asciiTheme="minorHAnsi" w:hAnsiTheme="minorHAnsi"/>
                <w:i/>
                <w:color w:val="000000"/>
              </w:rPr>
              <w:t>Transplantation</w:t>
            </w:r>
            <w:r w:rsidRPr="004229B2">
              <w:rPr>
                <w:rFonts w:asciiTheme="minorHAnsi" w:hAnsiTheme="minorHAnsi"/>
                <w:color w:val="000000"/>
              </w:rPr>
              <w:t>,  vol 97(12):1240-6</w:t>
            </w:r>
          </w:p>
          <w:p w:rsidR="004229B2" w:rsidRPr="004229B2" w:rsidRDefault="007B2A4C" w:rsidP="00D95517">
            <w:pPr>
              <w:pStyle w:val="NormalWeb"/>
              <w:spacing w:before="0" w:beforeAutospacing="0" w:after="0" w:afterAutospacing="0" w:line="360" w:lineRule="atLeast"/>
              <w:contextualSpacing/>
              <w:rPr>
                <w:rFonts w:asciiTheme="minorHAnsi" w:hAnsiTheme="minorHAnsi"/>
                <w:color w:val="808080" w:themeColor="background1" w:themeShade="80"/>
                <w:sz w:val="22"/>
                <w:szCs w:val="22"/>
                <w:lang w:val="en"/>
              </w:rPr>
            </w:pPr>
            <w:hyperlink r:id="rId24" w:history="1">
              <w:r w:rsidR="004229B2" w:rsidRPr="004229B2">
                <w:rPr>
                  <w:rStyle w:val="Hyperlink"/>
                  <w:rFonts w:asciiTheme="minorHAnsi" w:hAnsiTheme="minorHAnsi"/>
                  <w:color w:val="808080" w:themeColor="background1" w:themeShade="80"/>
                  <w:sz w:val="22"/>
                  <w:szCs w:val="22"/>
                  <w:lang w:val="en"/>
                </w:rPr>
                <w:t>https://www.ncbi.nlm.nih.gov/pubmed/24937198</w:t>
              </w:r>
            </w:hyperlink>
          </w:p>
          <w:p w:rsidR="004229B2" w:rsidRPr="00E47E4E" w:rsidRDefault="004229B2" w:rsidP="00D95517">
            <w:pPr>
              <w:pStyle w:val="NormalWeb"/>
              <w:spacing w:before="0" w:beforeAutospacing="0" w:after="0" w:afterAutospacing="0" w:line="360" w:lineRule="atLeast"/>
              <w:contextualSpacing/>
              <w:rPr>
                <w:rFonts w:asciiTheme="minorHAnsi" w:hAnsiTheme="minorHAnsi"/>
                <w:color w:val="000000"/>
                <w:sz w:val="22"/>
                <w:szCs w:val="22"/>
                <w:lang w:val="en"/>
              </w:rPr>
            </w:pPr>
          </w:p>
          <w:p w:rsidR="005E33CF" w:rsidRDefault="00F91CA7" w:rsidP="00D95517">
            <w:pPr>
              <w:pStyle w:val="NormalWeb"/>
              <w:spacing w:before="0" w:beforeAutospacing="0" w:after="0" w:afterAutospacing="0" w:line="360" w:lineRule="atLeast"/>
              <w:contextualSpacing/>
              <w:rPr>
                <w:rFonts w:asciiTheme="minorHAnsi" w:hAnsiTheme="minorHAnsi"/>
                <w:color w:val="000000"/>
                <w:sz w:val="22"/>
                <w:szCs w:val="22"/>
              </w:rPr>
            </w:pPr>
            <w:r w:rsidRPr="00F91CA7">
              <w:rPr>
                <w:rFonts w:asciiTheme="minorHAnsi" w:hAnsiTheme="minorHAnsi"/>
                <w:color w:val="000000"/>
                <w:sz w:val="22"/>
                <w:szCs w:val="22"/>
              </w:rPr>
              <w:t>Haas M, Sis B, Racusen LC, Solez K, Glotz</w:t>
            </w:r>
            <w:r w:rsidR="005E33CF" w:rsidRPr="00F91CA7">
              <w:rPr>
                <w:rFonts w:asciiTheme="minorHAnsi" w:hAnsiTheme="minorHAnsi"/>
                <w:color w:val="000000"/>
                <w:sz w:val="22"/>
                <w:szCs w:val="22"/>
              </w:rPr>
              <w:t xml:space="preserve"> </w:t>
            </w:r>
            <w:r w:rsidRPr="00F91CA7">
              <w:rPr>
                <w:rFonts w:asciiTheme="minorHAnsi" w:hAnsiTheme="minorHAnsi"/>
                <w:color w:val="000000"/>
                <w:sz w:val="22"/>
                <w:szCs w:val="22"/>
              </w:rPr>
              <w:t>D, Colvin RB</w:t>
            </w:r>
            <w:r w:rsidR="005E33CF" w:rsidRPr="00F91CA7">
              <w:rPr>
                <w:rFonts w:asciiTheme="minorHAnsi" w:hAnsiTheme="minorHAnsi"/>
                <w:color w:val="000000"/>
                <w:sz w:val="22"/>
                <w:szCs w:val="22"/>
              </w:rPr>
              <w:t xml:space="preserve">, </w:t>
            </w:r>
            <w:r w:rsidRPr="00F91CA7">
              <w:rPr>
                <w:rFonts w:asciiTheme="minorHAnsi" w:hAnsiTheme="minorHAnsi"/>
                <w:color w:val="000000"/>
                <w:sz w:val="22"/>
                <w:szCs w:val="22"/>
              </w:rPr>
              <w:t>et al (2014)</w:t>
            </w:r>
            <w:r w:rsidR="005E33CF" w:rsidRPr="00F91CA7">
              <w:rPr>
                <w:rFonts w:asciiTheme="minorHAnsi" w:hAnsiTheme="minorHAnsi"/>
                <w:color w:val="000000"/>
                <w:sz w:val="22"/>
                <w:szCs w:val="22"/>
              </w:rPr>
              <w:t xml:space="preserve"> </w:t>
            </w:r>
            <w:r w:rsidR="005E33CF">
              <w:rPr>
                <w:rFonts w:asciiTheme="minorHAnsi" w:hAnsiTheme="minorHAnsi"/>
                <w:color w:val="000000"/>
                <w:sz w:val="22"/>
                <w:szCs w:val="22"/>
              </w:rPr>
              <w:t>Banff 2013 meeting r</w:t>
            </w:r>
            <w:r w:rsidR="005E33CF" w:rsidRPr="00E47E4E">
              <w:rPr>
                <w:rFonts w:asciiTheme="minorHAnsi" w:hAnsiTheme="minorHAnsi"/>
                <w:color w:val="000000"/>
                <w:sz w:val="22"/>
                <w:szCs w:val="22"/>
              </w:rPr>
              <w:t>eport</w:t>
            </w:r>
            <w:r w:rsidR="005E33CF">
              <w:rPr>
                <w:rFonts w:asciiTheme="minorHAnsi" w:hAnsiTheme="minorHAnsi"/>
                <w:color w:val="000000"/>
                <w:sz w:val="22"/>
                <w:szCs w:val="22"/>
              </w:rPr>
              <w:t>:</w:t>
            </w:r>
            <w:r w:rsidR="005E33CF">
              <w:t xml:space="preserve"> </w:t>
            </w:r>
            <w:r w:rsidR="005E33CF" w:rsidRPr="005E33CF">
              <w:rPr>
                <w:rFonts w:asciiTheme="minorHAnsi" w:hAnsiTheme="minorHAnsi"/>
                <w:color w:val="000000"/>
                <w:sz w:val="22"/>
                <w:szCs w:val="22"/>
              </w:rPr>
              <w:t>inclusion of c4d-negative antibody-mediated rejection and antibody-associated arterial lesions.</w:t>
            </w:r>
            <w:r w:rsidR="005E33CF">
              <w:rPr>
                <w:rFonts w:asciiTheme="minorHAnsi" w:hAnsiTheme="minorHAnsi"/>
                <w:color w:val="000000"/>
                <w:sz w:val="22"/>
                <w:szCs w:val="22"/>
              </w:rPr>
              <w:t xml:space="preserve"> </w:t>
            </w:r>
            <w:r w:rsidR="005E33CF" w:rsidRPr="005E33CF">
              <w:rPr>
                <w:rFonts w:asciiTheme="minorHAnsi" w:hAnsiTheme="minorHAnsi"/>
                <w:i/>
                <w:color w:val="000000"/>
                <w:sz w:val="22"/>
                <w:szCs w:val="22"/>
              </w:rPr>
              <w:t>American Journal of Transplantation</w:t>
            </w:r>
            <w:r w:rsidR="005E33CF" w:rsidRPr="00E47E4E">
              <w:rPr>
                <w:rFonts w:asciiTheme="minorHAnsi" w:hAnsiTheme="minorHAnsi"/>
                <w:color w:val="000000"/>
                <w:sz w:val="22"/>
                <w:szCs w:val="22"/>
              </w:rPr>
              <w:t>, 14</w:t>
            </w:r>
            <w:r w:rsidR="005E33CF">
              <w:rPr>
                <w:rFonts w:asciiTheme="minorHAnsi" w:hAnsiTheme="minorHAnsi"/>
                <w:color w:val="000000"/>
                <w:sz w:val="22"/>
                <w:szCs w:val="22"/>
              </w:rPr>
              <w:t>(2)</w:t>
            </w:r>
            <w:r>
              <w:rPr>
                <w:rFonts w:asciiTheme="minorHAnsi" w:hAnsiTheme="minorHAnsi"/>
                <w:color w:val="000000"/>
                <w:sz w:val="22"/>
                <w:szCs w:val="22"/>
              </w:rPr>
              <w:t>:</w:t>
            </w:r>
            <w:r w:rsidR="005E33CF" w:rsidRPr="00E47E4E">
              <w:rPr>
                <w:rFonts w:asciiTheme="minorHAnsi" w:hAnsiTheme="minorHAnsi"/>
                <w:color w:val="000000"/>
                <w:sz w:val="22"/>
                <w:szCs w:val="22"/>
              </w:rPr>
              <w:t>272-283</w:t>
            </w:r>
            <w:r w:rsidR="005E33CF">
              <w:rPr>
                <w:rFonts w:asciiTheme="minorHAnsi" w:hAnsiTheme="minorHAnsi"/>
                <w:color w:val="000000"/>
                <w:sz w:val="22"/>
                <w:szCs w:val="22"/>
              </w:rPr>
              <w:t>.</w:t>
            </w:r>
            <w:r w:rsidR="005E33CF" w:rsidRPr="00E47E4E">
              <w:rPr>
                <w:rFonts w:asciiTheme="minorHAnsi" w:hAnsiTheme="minorHAnsi"/>
                <w:color w:val="000000"/>
                <w:sz w:val="22"/>
                <w:szCs w:val="22"/>
              </w:rPr>
              <w:t xml:space="preserve"> </w:t>
            </w:r>
          </w:p>
          <w:p w:rsidR="00F91CA7" w:rsidRPr="00F91CA7" w:rsidRDefault="007B2A4C" w:rsidP="00D95517">
            <w:pPr>
              <w:pStyle w:val="NormalWeb"/>
              <w:spacing w:before="0" w:beforeAutospacing="0" w:after="0" w:afterAutospacing="0" w:line="360" w:lineRule="atLeast"/>
              <w:contextualSpacing/>
              <w:rPr>
                <w:rFonts w:asciiTheme="minorHAnsi" w:hAnsiTheme="minorHAnsi"/>
                <w:color w:val="808080" w:themeColor="background1" w:themeShade="80"/>
                <w:sz w:val="22"/>
                <w:szCs w:val="22"/>
                <w:lang w:val="en"/>
              </w:rPr>
            </w:pPr>
            <w:hyperlink r:id="rId25" w:history="1">
              <w:r w:rsidR="00F91CA7" w:rsidRPr="00F91CA7">
                <w:rPr>
                  <w:rStyle w:val="Hyperlink"/>
                  <w:rFonts w:asciiTheme="minorHAnsi" w:hAnsiTheme="minorHAnsi"/>
                  <w:color w:val="808080" w:themeColor="background1" w:themeShade="80"/>
                  <w:sz w:val="22"/>
                  <w:szCs w:val="22"/>
                  <w:lang w:val="en"/>
                </w:rPr>
                <w:t>https://www.ncbi.nlm.nih.gov/pubmed/24472190</w:t>
              </w:r>
            </w:hyperlink>
          </w:p>
          <w:p w:rsidR="00F91CA7" w:rsidRDefault="00F91CA7" w:rsidP="00D95517">
            <w:pPr>
              <w:pStyle w:val="NormalWeb"/>
              <w:spacing w:before="0" w:beforeAutospacing="0" w:after="0" w:afterAutospacing="0" w:line="360" w:lineRule="atLeast"/>
              <w:contextualSpacing/>
              <w:rPr>
                <w:rFonts w:asciiTheme="minorHAnsi" w:hAnsiTheme="minorHAnsi"/>
                <w:color w:val="000000"/>
                <w:sz w:val="22"/>
                <w:szCs w:val="22"/>
                <w:lang w:val="en"/>
              </w:rPr>
            </w:pPr>
          </w:p>
          <w:p w:rsidR="00D95517" w:rsidRDefault="00F91CA7" w:rsidP="00D95517">
            <w:pPr>
              <w:pStyle w:val="NormalWeb"/>
              <w:spacing w:before="0" w:beforeAutospacing="0" w:after="0" w:afterAutospacing="0" w:line="360" w:lineRule="atLeast"/>
              <w:contextualSpacing/>
              <w:rPr>
                <w:rFonts w:asciiTheme="minorHAnsi" w:hAnsiTheme="minorHAnsi"/>
                <w:color w:val="000000"/>
                <w:sz w:val="22"/>
                <w:szCs w:val="22"/>
                <w:lang w:val="en"/>
              </w:rPr>
            </w:pPr>
            <w:r>
              <w:rPr>
                <w:rFonts w:asciiTheme="minorHAnsi" w:hAnsiTheme="minorHAnsi"/>
                <w:color w:val="000000"/>
                <w:sz w:val="22"/>
                <w:szCs w:val="22"/>
                <w:lang w:val="en"/>
              </w:rPr>
              <w:t>Jordan SC, Tyan D, Stablein</w:t>
            </w:r>
            <w:r w:rsidR="00D95517" w:rsidRPr="00E47E4E">
              <w:rPr>
                <w:rFonts w:asciiTheme="minorHAnsi" w:hAnsiTheme="minorHAnsi"/>
                <w:color w:val="000000"/>
                <w:sz w:val="22"/>
                <w:szCs w:val="22"/>
                <w:lang w:val="en"/>
              </w:rPr>
              <w:t xml:space="preserve"> D, et al </w:t>
            </w:r>
            <w:r>
              <w:rPr>
                <w:rFonts w:asciiTheme="minorHAnsi" w:hAnsiTheme="minorHAnsi"/>
                <w:color w:val="000000"/>
                <w:sz w:val="22"/>
                <w:szCs w:val="22"/>
                <w:lang w:val="en"/>
              </w:rPr>
              <w:t>(</w:t>
            </w:r>
            <w:r w:rsidR="00D95517" w:rsidRPr="00E47E4E">
              <w:rPr>
                <w:rFonts w:asciiTheme="minorHAnsi" w:hAnsiTheme="minorHAnsi"/>
                <w:color w:val="000000"/>
                <w:sz w:val="22"/>
                <w:szCs w:val="22"/>
                <w:lang w:val="en"/>
              </w:rPr>
              <w:t>2004</w:t>
            </w:r>
            <w:r>
              <w:rPr>
                <w:rFonts w:asciiTheme="minorHAnsi" w:hAnsiTheme="minorHAnsi"/>
                <w:color w:val="000000"/>
                <w:sz w:val="22"/>
                <w:szCs w:val="22"/>
                <w:lang w:val="en"/>
              </w:rPr>
              <w:t xml:space="preserve">) </w:t>
            </w:r>
            <w:r w:rsidR="00D95517" w:rsidRPr="00E47E4E">
              <w:rPr>
                <w:rFonts w:asciiTheme="minorHAnsi" w:hAnsiTheme="minorHAnsi"/>
                <w:color w:val="000000"/>
                <w:sz w:val="22"/>
                <w:szCs w:val="22"/>
                <w:lang w:val="en"/>
              </w:rPr>
              <w:t>Evaluation of intravenous immunoglobulin as an agent to lower allosensitisation and improve transplantation in highly sensitized adult patients with end-stage renal disease:</w:t>
            </w:r>
            <w:r>
              <w:rPr>
                <w:rFonts w:asciiTheme="minorHAnsi" w:hAnsiTheme="minorHAnsi"/>
                <w:color w:val="000000"/>
                <w:sz w:val="22"/>
                <w:szCs w:val="22"/>
                <w:lang w:val="en"/>
              </w:rPr>
              <w:t xml:space="preserve"> report of the NIH IG02 trial. </w:t>
            </w:r>
            <w:r w:rsidR="00D95517" w:rsidRPr="00E47E4E">
              <w:rPr>
                <w:rStyle w:val="Emphasis"/>
                <w:rFonts w:asciiTheme="minorHAnsi" w:hAnsiTheme="minorHAnsi"/>
                <w:color w:val="000000"/>
                <w:sz w:val="22"/>
                <w:szCs w:val="22"/>
                <w:lang w:val="en"/>
              </w:rPr>
              <w:t>Journal of the American Society of Nephrology</w:t>
            </w:r>
            <w:r w:rsidR="00D95517" w:rsidRPr="00E47E4E">
              <w:rPr>
                <w:rFonts w:asciiTheme="minorHAnsi" w:hAnsiTheme="minorHAnsi"/>
                <w:color w:val="000000"/>
                <w:sz w:val="22"/>
                <w:szCs w:val="22"/>
                <w:lang w:val="en"/>
              </w:rPr>
              <w:t xml:space="preserve">, </w:t>
            </w:r>
            <w:r>
              <w:rPr>
                <w:rFonts w:asciiTheme="minorHAnsi" w:hAnsiTheme="minorHAnsi"/>
                <w:color w:val="000000"/>
                <w:sz w:val="22"/>
                <w:szCs w:val="22"/>
                <w:lang w:val="en"/>
              </w:rPr>
              <w:t>15(</w:t>
            </w:r>
            <w:r w:rsidR="00D95517" w:rsidRPr="00E47E4E">
              <w:rPr>
                <w:rFonts w:asciiTheme="minorHAnsi" w:hAnsiTheme="minorHAnsi"/>
                <w:color w:val="000000"/>
                <w:sz w:val="22"/>
                <w:szCs w:val="22"/>
                <w:lang w:val="en"/>
              </w:rPr>
              <w:t>12</w:t>
            </w:r>
            <w:r>
              <w:rPr>
                <w:rFonts w:asciiTheme="minorHAnsi" w:hAnsiTheme="minorHAnsi"/>
                <w:color w:val="000000"/>
                <w:sz w:val="22"/>
                <w:szCs w:val="22"/>
                <w:lang w:val="en"/>
              </w:rPr>
              <w:t>):</w:t>
            </w:r>
            <w:r w:rsidR="00D95517" w:rsidRPr="00E47E4E">
              <w:rPr>
                <w:rFonts w:asciiTheme="minorHAnsi" w:hAnsiTheme="minorHAnsi"/>
                <w:color w:val="000000"/>
                <w:sz w:val="22"/>
                <w:szCs w:val="22"/>
                <w:lang w:val="en"/>
              </w:rPr>
              <w:t>3256–62.</w:t>
            </w:r>
          </w:p>
          <w:p w:rsidR="00F91CA7" w:rsidRPr="00F91CA7" w:rsidRDefault="007B2A4C" w:rsidP="00D95517">
            <w:pPr>
              <w:pStyle w:val="NormalWeb"/>
              <w:spacing w:before="0" w:beforeAutospacing="0" w:after="0" w:afterAutospacing="0" w:line="360" w:lineRule="atLeast"/>
              <w:contextualSpacing/>
              <w:rPr>
                <w:rFonts w:asciiTheme="minorHAnsi" w:hAnsiTheme="minorHAnsi"/>
                <w:color w:val="808080" w:themeColor="background1" w:themeShade="80"/>
                <w:sz w:val="22"/>
                <w:szCs w:val="22"/>
                <w:lang w:val="en"/>
              </w:rPr>
            </w:pPr>
            <w:hyperlink r:id="rId26" w:history="1">
              <w:r w:rsidR="00F91CA7" w:rsidRPr="00F91CA7">
                <w:rPr>
                  <w:rStyle w:val="Hyperlink"/>
                  <w:rFonts w:asciiTheme="minorHAnsi" w:hAnsiTheme="minorHAnsi"/>
                  <w:color w:val="808080" w:themeColor="background1" w:themeShade="80"/>
                  <w:sz w:val="22"/>
                  <w:szCs w:val="22"/>
                  <w:lang w:val="en"/>
                </w:rPr>
                <w:t>https://www.ncbi.nlm.nih.gov/pubmed/15579530</w:t>
              </w:r>
            </w:hyperlink>
          </w:p>
          <w:p w:rsidR="00F91CA7" w:rsidRPr="00E47E4E" w:rsidRDefault="00F91CA7" w:rsidP="00D95517">
            <w:pPr>
              <w:pStyle w:val="NormalWeb"/>
              <w:spacing w:before="0" w:beforeAutospacing="0" w:after="0" w:afterAutospacing="0" w:line="360" w:lineRule="atLeast"/>
              <w:contextualSpacing/>
              <w:rPr>
                <w:rFonts w:asciiTheme="minorHAnsi" w:hAnsiTheme="minorHAnsi"/>
                <w:color w:val="000000"/>
                <w:sz w:val="22"/>
                <w:szCs w:val="22"/>
                <w:lang w:val="en"/>
              </w:rPr>
            </w:pPr>
          </w:p>
          <w:p w:rsidR="00D95517" w:rsidRDefault="00456E66" w:rsidP="00D95517">
            <w:pPr>
              <w:pStyle w:val="NormalWeb"/>
              <w:spacing w:before="0" w:beforeAutospacing="0" w:after="0" w:afterAutospacing="0" w:line="360" w:lineRule="atLeast"/>
              <w:contextualSpacing/>
              <w:rPr>
                <w:rFonts w:asciiTheme="minorHAnsi" w:hAnsiTheme="minorHAnsi"/>
                <w:color w:val="000000"/>
                <w:sz w:val="22"/>
                <w:szCs w:val="22"/>
                <w:lang w:val="en"/>
              </w:rPr>
            </w:pPr>
            <w:r>
              <w:rPr>
                <w:rFonts w:asciiTheme="minorHAnsi" w:hAnsiTheme="minorHAnsi"/>
                <w:color w:val="000000"/>
                <w:sz w:val="22"/>
                <w:szCs w:val="22"/>
                <w:lang w:val="en"/>
              </w:rPr>
              <w:t>Jordan SC, Vo A, Bunnapradist S,</w:t>
            </w:r>
            <w:r w:rsidR="00D95517" w:rsidRPr="00E47E4E">
              <w:rPr>
                <w:rFonts w:asciiTheme="minorHAnsi" w:hAnsiTheme="minorHAnsi"/>
                <w:color w:val="000000"/>
                <w:sz w:val="22"/>
                <w:szCs w:val="22"/>
                <w:lang w:val="en"/>
              </w:rPr>
              <w:t xml:space="preserve"> et al </w:t>
            </w:r>
            <w:r>
              <w:rPr>
                <w:rFonts w:asciiTheme="minorHAnsi" w:hAnsiTheme="minorHAnsi"/>
                <w:color w:val="000000"/>
                <w:sz w:val="22"/>
                <w:szCs w:val="22"/>
                <w:lang w:val="en"/>
              </w:rPr>
              <w:t>(</w:t>
            </w:r>
            <w:r w:rsidR="00D95517" w:rsidRPr="00E47E4E">
              <w:rPr>
                <w:rFonts w:asciiTheme="minorHAnsi" w:hAnsiTheme="minorHAnsi"/>
                <w:color w:val="000000"/>
                <w:sz w:val="22"/>
                <w:szCs w:val="22"/>
                <w:lang w:val="en"/>
              </w:rPr>
              <w:t>2003</w:t>
            </w:r>
            <w:r>
              <w:rPr>
                <w:rFonts w:asciiTheme="minorHAnsi" w:hAnsiTheme="minorHAnsi"/>
                <w:color w:val="000000"/>
                <w:sz w:val="22"/>
                <w:szCs w:val="22"/>
                <w:lang w:val="en"/>
              </w:rPr>
              <w:t xml:space="preserve">) </w:t>
            </w:r>
            <w:r w:rsidR="00D95517" w:rsidRPr="00E47E4E">
              <w:rPr>
                <w:rFonts w:asciiTheme="minorHAnsi" w:hAnsiTheme="minorHAnsi"/>
                <w:color w:val="000000"/>
                <w:sz w:val="22"/>
                <w:szCs w:val="22"/>
                <w:lang w:val="en"/>
              </w:rPr>
              <w:t>Intravenous immune globulin treatment inhibits cross match positivity and allows for successful transplantation of incompatible organs in livi</w:t>
            </w:r>
            <w:r>
              <w:rPr>
                <w:rFonts w:asciiTheme="minorHAnsi" w:hAnsiTheme="minorHAnsi"/>
                <w:color w:val="000000"/>
                <w:sz w:val="22"/>
                <w:szCs w:val="22"/>
                <w:lang w:val="en"/>
              </w:rPr>
              <w:t>ng-donor and cadaver recipients.</w:t>
            </w:r>
            <w:r w:rsidR="00D95517" w:rsidRPr="00E47E4E">
              <w:rPr>
                <w:rFonts w:asciiTheme="minorHAnsi" w:hAnsiTheme="minorHAnsi"/>
                <w:color w:val="000000"/>
                <w:sz w:val="22"/>
                <w:szCs w:val="22"/>
                <w:lang w:val="en"/>
              </w:rPr>
              <w:t xml:space="preserve"> </w:t>
            </w:r>
            <w:r w:rsidR="00D95517" w:rsidRPr="00E47E4E">
              <w:rPr>
                <w:rStyle w:val="Emphasis"/>
                <w:rFonts w:asciiTheme="minorHAnsi" w:hAnsiTheme="minorHAnsi"/>
                <w:color w:val="000000"/>
                <w:sz w:val="22"/>
                <w:szCs w:val="22"/>
                <w:lang w:val="en"/>
              </w:rPr>
              <w:t>Transplantation</w:t>
            </w:r>
            <w:r w:rsidR="00D95517" w:rsidRPr="00E47E4E">
              <w:rPr>
                <w:rFonts w:asciiTheme="minorHAnsi" w:hAnsiTheme="minorHAnsi"/>
                <w:color w:val="000000"/>
                <w:sz w:val="22"/>
                <w:szCs w:val="22"/>
                <w:lang w:val="en"/>
              </w:rPr>
              <w:t xml:space="preserve">, </w:t>
            </w:r>
            <w:r>
              <w:rPr>
                <w:rFonts w:asciiTheme="minorHAnsi" w:hAnsiTheme="minorHAnsi"/>
                <w:color w:val="000000"/>
                <w:sz w:val="22"/>
                <w:szCs w:val="22"/>
                <w:lang w:val="en"/>
              </w:rPr>
              <w:t>76(</w:t>
            </w:r>
            <w:r w:rsidR="00D95517" w:rsidRPr="00E47E4E">
              <w:rPr>
                <w:rFonts w:asciiTheme="minorHAnsi" w:hAnsiTheme="minorHAnsi"/>
                <w:color w:val="000000"/>
                <w:sz w:val="22"/>
                <w:szCs w:val="22"/>
                <w:lang w:val="en"/>
              </w:rPr>
              <w:t>4</w:t>
            </w:r>
            <w:r>
              <w:rPr>
                <w:rFonts w:asciiTheme="minorHAnsi" w:hAnsiTheme="minorHAnsi"/>
                <w:color w:val="000000"/>
                <w:sz w:val="22"/>
                <w:szCs w:val="22"/>
                <w:lang w:val="en"/>
              </w:rPr>
              <w:t>):</w:t>
            </w:r>
            <w:r w:rsidR="00D95517" w:rsidRPr="00E47E4E">
              <w:rPr>
                <w:rFonts w:asciiTheme="minorHAnsi" w:hAnsiTheme="minorHAnsi"/>
                <w:color w:val="000000"/>
                <w:sz w:val="22"/>
                <w:szCs w:val="22"/>
                <w:lang w:val="en"/>
              </w:rPr>
              <w:t>631–6.</w:t>
            </w:r>
          </w:p>
          <w:p w:rsidR="00456E66" w:rsidRPr="00456E66" w:rsidRDefault="007B2A4C" w:rsidP="00D95517">
            <w:pPr>
              <w:pStyle w:val="NormalWeb"/>
              <w:spacing w:before="0" w:beforeAutospacing="0" w:after="0" w:afterAutospacing="0" w:line="360" w:lineRule="atLeast"/>
              <w:contextualSpacing/>
              <w:rPr>
                <w:rFonts w:asciiTheme="minorHAnsi" w:hAnsiTheme="minorHAnsi"/>
                <w:color w:val="808080" w:themeColor="background1" w:themeShade="80"/>
                <w:sz w:val="22"/>
                <w:szCs w:val="22"/>
                <w:lang w:val="en"/>
              </w:rPr>
            </w:pPr>
            <w:hyperlink r:id="rId27" w:history="1">
              <w:r w:rsidR="00456E66" w:rsidRPr="00456E66">
                <w:rPr>
                  <w:rStyle w:val="Hyperlink"/>
                  <w:rFonts w:asciiTheme="minorHAnsi" w:hAnsiTheme="minorHAnsi"/>
                  <w:color w:val="808080" w:themeColor="background1" w:themeShade="80"/>
                  <w:sz w:val="22"/>
                  <w:szCs w:val="22"/>
                  <w:lang w:val="en"/>
                </w:rPr>
                <w:t>https://www.ncbi.nlm.nih.gov/pubmed/12973100</w:t>
              </w:r>
            </w:hyperlink>
          </w:p>
          <w:p w:rsidR="00456E66" w:rsidRPr="00E47E4E" w:rsidRDefault="00456E66" w:rsidP="00D95517">
            <w:pPr>
              <w:pStyle w:val="NormalWeb"/>
              <w:spacing w:before="0" w:beforeAutospacing="0" w:after="0" w:afterAutospacing="0" w:line="360" w:lineRule="atLeast"/>
              <w:contextualSpacing/>
              <w:rPr>
                <w:rFonts w:asciiTheme="minorHAnsi" w:hAnsiTheme="minorHAnsi"/>
                <w:color w:val="000000"/>
                <w:sz w:val="22"/>
                <w:szCs w:val="22"/>
                <w:lang w:val="en"/>
              </w:rPr>
            </w:pPr>
          </w:p>
          <w:p w:rsidR="00D95517" w:rsidRDefault="00456E66" w:rsidP="00D95517">
            <w:pPr>
              <w:pStyle w:val="NormalWeb"/>
              <w:spacing w:before="0" w:beforeAutospacing="0" w:after="0" w:afterAutospacing="0" w:line="360" w:lineRule="atLeast"/>
              <w:contextualSpacing/>
              <w:rPr>
                <w:rFonts w:asciiTheme="minorHAnsi" w:hAnsiTheme="minorHAnsi"/>
                <w:color w:val="000000"/>
                <w:sz w:val="22"/>
                <w:szCs w:val="22"/>
                <w:lang w:val="en"/>
              </w:rPr>
            </w:pPr>
            <w:r>
              <w:rPr>
                <w:rFonts w:asciiTheme="minorHAnsi" w:hAnsiTheme="minorHAnsi"/>
                <w:color w:val="000000"/>
                <w:sz w:val="22"/>
                <w:szCs w:val="22"/>
                <w:lang w:val="en"/>
              </w:rPr>
              <w:t>Jordan SC, Vo AA, Tyan</w:t>
            </w:r>
            <w:r w:rsidR="00D95517" w:rsidRPr="00E47E4E">
              <w:rPr>
                <w:rFonts w:asciiTheme="minorHAnsi" w:hAnsiTheme="minorHAnsi"/>
                <w:color w:val="000000"/>
                <w:sz w:val="22"/>
                <w:szCs w:val="22"/>
                <w:lang w:val="en"/>
              </w:rPr>
              <w:t xml:space="preserve"> D, et al </w:t>
            </w:r>
            <w:r>
              <w:rPr>
                <w:rFonts w:asciiTheme="minorHAnsi" w:hAnsiTheme="minorHAnsi"/>
                <w:color w:val="000000"/>
                <w:sz w:val="22"/>
                <w:szCs w:val="22"/>
                <w:lang w:val="en"/>
              </w:rPr>
              <w:t>(</w:t>
            </w:r>
            <w:r w:rsidR="00D95517" w:rsidRPr="00E47E4E">
              <w:rPr>
                <w:rFonts w:asciiTheme="minorHAnsi" w:hAnsiTheme="minorHAnsi"/>
                <w:color w:val="000000"/>
                <w:sz w:val="22"/>
                <w:szCs w:val="22"/>
                <w:lang w:val="en"/>
              </w:rPr>
              <w:t>2005</w:t>
            </w:r>
            <w:r>
              <w:rPr>
                <w:rFonts w:asciiTheme="minorHAnsi" w:hAnsiTheme="minorHAnsi"/>
                <w:color w:val="000000"/>
                <w:sz w:val="22"/>
                <w:szCs w:val="22"/>
                <w:lang w:val="en"/>
              </w:rPr>
              <w:t xml:space="preserve">) </w:t>
            </w:r>
            <w:r w:rsidR="00D95517" w:rsidRPr="00E47E4E">
              <w:rPr>
                <w:rFonts w:asciiTheme="minorHAnsi" w:hAnsiTheme="minorHAnsi"/>
                <w:color w:val="000000"/>
                <w:sz w:val="22"/>
                <w:szCs w:val="22"/>
                <w:lang w:val="en"/>
              </w:rPr>
              <w:t>Current approaches to treatment of antibody-mediated rejection</w:t>
            </w:r>
            <w:r>
              <w:rPr>
                <w:rFonts w:asciiTheme="minorHAnsi" w:hAnsiTheme="minorHAnsi"/>
                <w:color w:val="000000"/>
                <w:sz w:val="22"/>
                <w:szCs w:val="22"/>
                <w:lang w:val="en"/>
              </w:rPr>
              <w:t xml:space="preserve">. </w:t>
            </w:r>
            <w:r w:rsidR="00D95517" w:rsidRPr="00E47E4E">
              <w:rPr>
                <w:rStyle w:val="Emphasis"/>
                <w:rFonts w:asciiTheme="minorHAnsi" w:hAnsiTheme="minorHAnsi"/>
                <w:color w:val="000000"/>
                <w:sz w:val="22"/>
                <w:szCs w:val="22"/>
                <w:lang w:val="en"/>
              </w:rPr>
              <w:t>Pediatric Transplantation</w:t>
            </w:r>
            <w:r>
              <w:rPr>
                <w:rFonts w:asciiTheme="minorHAnsi" w:hAnsiTheme="minorHAnsi"/>
                <w:color w:val="000000"/>
                <w:sz w:val="22"/>
                <w:szCs w:val="22"/>
                <w:lang w:val="en"/>
              </w:rPr>
              <w:t>, 9(</w:t>
            </w:r>
            <w:r w:rsidR="00D95517" w:rsidRPr="00E47E4E">
              <w:rPr>
                <w:rFonts w:asciiTheme="minorHAnsi" w:hAnsiTheme="minorHAnsi"/>
                <w:color w:val="000000"/>
                <w:sz w:val="22"/>
                <w:szCs w:val="22"/>
                <w:lang w:val="en"/>
              </w:rPr>
              <w:t>3</w:t>
            </w:r>
            <w:r>
              <w:rPr>
                <w:rFonts w:asciiTheme="minorHAnsi" w:hAnsiTheme="minorHAnsi"/>
                <w:color w:val="000000"/>
                <w:sz w:val="22"/>
                <w:szCs w:val="22"/>
                <w:lang w:val="en"/>
              </w:rPr>
              <w:t>):</w:t>
            </w:r>
            <w:r w:rsidR="00D95517" w:rsidRPr="00E47E4E">
              <w:rPr>
                <w:rFonts w:asciiTheme="minorHAnsi" w:hAnsiTheme="minorHAnsi"/>
                <w:color w:val="000000"/>
                <w:sz w:val="22"/>
                <w:szCs w:val="22"/>
                <w:lang w:val="en"/>
              </w:rPr>
              <w:t>408–15.</w:t>
            </w:r>
          </w:p>
          <w:p w:rsidR="00456E66" w:rsidRPr="00456E66" w:rsidRDefault="007B2A4C" w:rsidP="00D95517">
            <w:pPr>
              <w:pStyle w:val="NormalWeb"/>
              <w:spacing w:before="0" w:beforeAutospacing="0" w:after="0" w:afterAutospacing="0" w:line="360" w:lineRule="atLeast"/>
              <w:contextualSpacing/>
              <w:rPr>
                <w:rFonts w:asciiTheme="minorHAnsi" w:hAnsiTheme="minorHAnsi"/>
                <w:color w:val="808080" w:themeColor="background1" w:themeShade="80"/>
                <w:sz w:val="22"/>
                <w:szCs w:val="22"/>
                <w:lang w:val="en"/>
              </w:rPr>
            </w:pPr>
            <w:hyperlink r:id="rId28" w:history="1">
              <w:r w:rsidR="00456E66" w:rsidRPr="00456E66">
                <w:rPr>
                  <w:rStyle w:val="Hyperlink"/>
                  <w:rFonts w:asciiTheme="minorHAnsi" w:hAnsiTheme="minorHAnsi"/>
                  <w:color w:val="808080" w:themeColor="background1" w:themeShade="80"/>
                  <w:sz w:val="22"/>
                  <w:szCs w:val="22"/>
                  <w:lang w:val="en"/>
                </w:rPr>
                <w:t>https://www.ncbi.nlm.nih.gov/pubmed/24401076</w:t>
              </w:r>
            </w:hyperlink>
          </w:p>
          <w:p w:rsidR="00456E66" w:rsidRDefault="00456E66" w:rsidP="00D95517">
            <w:pPr>
              <w:pStyle w:val="NormalWeb"/>
              <w:spacing w:before="0" w:beforeAutospacing="0" w:after="0" w:afterAutospacing="0" w:line="360" w:lineRule="atLeast"/>
              <w:contextualSpacing/>
              <w:rPr>
                <w:rFonts w:asciiTheme="minorHAnsi" w:hAnsiTheme="minorHAnsi"/>
                <w:color w:val="000000"/>
                <w:sz w:val="22"/>
                <w:szCs w:val="22"/>
                <w:lang w:val="en"/>
              </w:rPr>
            </w:pPr>
          </w:p>
          <w:p w:rsidR="00A27A0A" w:rsidRDefault="0048434B" w:rsidP="00D95517">
            <w:pPr>
              <w:pStyle w:val="NormalWeb"/>
              <w:spacing w:before="0" w:beforeAutospacing="0" w:after="0" w:afterAutospacing="0" w:line="360" w:lineRule="atLeast"/>
              <w:contextualSpacing/>
              <w:rPr>
                <w:rFonts w:asciiTheme="minorHAnsi" w:eastAsia="Times New Roman" w:hAnsiTheme="minorHAnsi"/>
                <w:color w:val="000000"/>
                <w:sz w:val="22"/>
                <w:szCs w:val="22"/>
                <w:lang w:eastAsia="en-AU"/>
              </w:rPr>
            </w:pPr>
            <w:r>
              <w:rPr>
                <w:rFonts w:asciiTheme="minorHAnsi" w:eastAsia="Times New Roman" w:hAnsiTheme="minorHAnsi"/>
                <w:color w:val="000000"/>
                <w:sz w:val="22"/>
                <w:szCs w:val="22"/>
                <w:lang w:eastAsia="en-AU"/>
              </w:rPr>
              <w:t>Lee CY, Lin WC, Wu MS et al (2016)</w:t>
            </w:r>
            <w:r w:rsidR="00A27A0A" w:rsidRPr="0048434B">
              <w:rPr>
                <w:rFonts w:asciiTheme="minorHAnsi" w:eastAsia="Times New Roman" w:hAnsiTheme="minorHAnsi"/>
                <w:color w:val="000000"/>
                <w:sz w:val="22"/>
                <w:szCs w:val="22"/>
                <w:lang w:eastAsia="en-AU"/>
              </w:rPr>
              <w:t xml:space="preserve"> Repeated cycles of high-dose intravenous immunoglobulin and plasmapheresis for treatment of late antibody-mediated rejection of renal transplants. </w:t>
            </w:r>
            <w:r w:rsidR="00A27A0A" w:rsidRPr="0048434B">
              <w:rPr>
                <w:rFonts w:asciiTheme="minorHAnsi" w:eastAsia="Times New Roman" w:hAnsiTheme="minorHAnsi"/>
                <w:i/>
                <w:color w:val="000000"/>
                <w:sz w:val="22"/>
                <w:szCs w:val="22"/>
                <w:lang w:eastAsia="en-AU"/>
              </w:rPr>
              <w:t xml:space="preserve">Journal of the Formosan </w:t>
            </w:r>
            <w:r w:rsidRPr="0048434B">
              <w:rPr>
                <w:rFonts w:asciiTheme="minorHAnsi" w:eastAsia="Times New Roman" w:hAnsiTheme="minorHAnsi"/>
                <w:i/>
                <w:color w:val="000000"/>
                <w:sz w:val="22"/>
                <w:szCs w:val="22"/>
                <w:lang w:eastAsia="en-AU"/>
              </w:rPr>
              <w:t>Medical Association</w:t>
            </w:r>
            <w:r>
              <w:rPr>
                <w:rFonts w:asciiTheme="minorHAnsi" w:eastAsia="Times New Roman" w:hAnsiTheme="minorHAnsi"/>
                <w:color w:val="000000"/>
                <w:sz w:val="22"/>
                <w:szCs w:val="22"/>
                <w:lang w:eastAsia="en-AU"/>
              </w:rPr>
              <w:t xml:space="preserve">, </w:t>
            </w:r>
            <w:r w:rsidR="00A27A0A" w:rsidRPr="0048434B">
              <w:rPr>
                <w:rFonts w:asciiTheme="minorHAnsi" w:eastAsia="Times New Roman" w:hAnsiTheme="minorHAnsi"/>
                <w:color w:val="000000"/>
                <w:sz w:val="22"/>
                <w:szCs w:val="22"/>
                <w:lang w:eastAsia="en-AU"/>
              </w:rPr>
              <w:t>115</w:t>
            </w:r>
            <w:r>
              <w:rPr>
                <w:rFonts w:asciiTheme="minorHAnsi" w:eastAsia="Times New Roman" w:hAnsiTheme="minorHAnsi"/>
                <w:color w:val="000000"/>
                <w:sz w:val="22"/>
                <w:szCs w:val="22"/>
                <w:lang w:eastAsia="en-AU"/>
              </w:rPr>
              <w:t>:</w:t>
            </w:r>
            <w:r w:rsidR="00A27A0A" w:rsidRPr="0048434B">
              <w:rPr>
                <w:rFonts w:asciiTheme="minorHAnsi" w:eastAsia="Times New Roman" w:hAnsiTheme="minorHAnsi"/>
                <w:color w:val="000000"/>
                <w:sz w:val="22"/>
                <w:szCs w:val="22"/>
                <w:lang w:eastAsia="en-AU"/>
              </w:rPr>
              <w:t>845-852</w:t>
            </w:r>
            <w:r>
              <w:rPr>
                <w:rFonts w:asciiTheme="minorHAnsi" w:eastAsia="Times New Roman" w:hAnsiTheme="minorHAnsi"/>
                <w:color w:val="000000"/>
                <w:sz w:val="22"/>
                <w:szCs w:val="22"/>
                <w:lang w:eastAsia="en-AU"/>
              </w:rPr>
              <w:t>.</w:t>
            </w:r>
          </w:p>
          <w:p w:rsidR="00A27A0A" w:rsidRPr="0048434B" w:rsidRDefault="007B2A4C" w:rsidP="00D95517">
            <w:pPr>
              <w:pStyle w:val="NormalWeb"/>
              <w:spacing w:before="0" w:beforeAutospacing="0" w:after="0" w:afterAutospacing="0" w:line="360" w:lineRule="atLeast"/>
              <w:contextualSpacing/>
              <w:rPr>
                <w:rFonts w:asciiTheme="minorHAnsi" w:hAnsiTheme="minorHAnsi"/>
                <w:color w:val="808080" w:themeColor="background1" w:themeShade="80"/>
                <w:sz w:val="22"/>
                <w:szCs w:val="22"/>
                <w:lang w:val="en"/>
              </w:rPr>
            </w:pPr>
            <w:hyperlink r:id="rId29" w:history="1">
              <w:r w:rsidR="0048434B" w:rsidRPr="0048434B">
                <w:rPr>
                  <w:rStyle w:val="Hyperlink"/>
                  <w:rFonts w:asciiTheme="minorHAnsi" w:hAnsiTheme="minorHAnsi"/>
                  <w:color w:val="808080" w:themeColor="background1" w:themeShade="80"/>
                  <w:sz w:val="22"/>
                  <w:szCs w:val="22"/>
                  <w:lang w:val="en"/>
                </w:rPr>
                <w:t>https://www.ncbi.nlm.nih.gov/pubmed/27542515</w:t>
              </w:r>
            </w:hyperlink>
          </w:p>
          <w:p w:rsidR="0048434B" w:rsidRPr="00A27A0A" w:rsidRDefault="0048434B" w:rsidP="00D95517">
            <w:pPr>
              <w:pStyle w:val="NormalWeb"/>
              <w:spacing w:before="0" w:beforeAutospacing="0" w:after="0" w:afterAutospacing="0" w:line="360" w:lineRule="atLeast"/>
              <w:contextualSpacing/>
              <w:rPr>
                <w:rFonts w:asciiTheme="minorHAnsi" w:hAnsiTheme="minorHAnsi"/>
                <w:color w:val="000000"/>
                <w:sz w:val="22"/>
                <w:szCs w:val="22"/>
                <w:lang w:val="en"/>
              </w:rPr>
            </w:pPr>
          </w:p>
          <w:p w:rsidR="00D95517" w:rsidRDefault="00456E66" w:rsidP="00D95517">
            <w:pPr>
              <w:pStyle w:val="NormalWeb"/>
              <w:spacing w:before="0" w:beforeAutospacing="0" w:after="0" w:afterAutospacing="0" w:line="360" w:lineRule="atLeast"/>
              <w:contextualSpacing/>
              <w:rPr>
                <w:rFonts w:asciiTheme="minorHAnsi" w:hAnsiTheme="minorHAnsi"/>
                <w:color w:val="000000"/>
                <w:sz w:val="22"/>
                <w:szCs w:val="22"/>
                <w:lang w:val="en"/>
              </w:rPr>
            </w:pPr>
            <w:r>
              <w:rPr>
                <w:rFonts w:asciiTheme="minorHAnsi" w:hAnsiTheme="minorHAnsi"/>
                <w:color w:val="000000"/>
                <w:sz w:val="22"/>
                <w:szCs w:val="22"/>
                <w:lang w:val="en"/>
              </w:rPr>
              <w:t>Lian</w:t>
            </w:r>
            <w:r w:rsidR="00D95517" w:rsidRPr="00E47E4E">
              <w:rPr>
                <w:rFonts w:asciiTheme="minorHAnsi" w:hAnsiTheme="minorHAnsi"/>
                <w:color w:val="000000"/>
                <w:sz w:val="22"/>
                <w:szCs w:val="22"/>
                <w:lang w:val="en"/>
              </w:rPr>
              <w:t xml:space="preserve"> M, </w:t>
            </w:r>
            <w:r>
              <w:rPr>
                <w:rFonts w:asciiTheme="minorHAnsi" w:hAnsiTheme="minorHAnsi"/>
                <w:color w:val="000000"/>
                <w:sz w:val="22"/>
                <w:szCs w:val="22"/>
                <w:lang w:val="en"/>
              </w:rPr>
              <w:t>Chan W, Slavin</w:t>
            </w:r>
            <w:r w:rsidR="00D95517" w:rsidRPr="00E47E4E">
              <w:rPr>
                <w:rFonts w:asciiTheme="minorHAnsi" w:hAnsiTheme="minorHAnsi"/>
                <w:color w:val="000000"/>
                <w:sz w:val="22"/>
                <w:szCs w:val="22"/>
                <w:lang w:val="en"/>
              </w:rPr>
              <w:t xml:space="preserve"> M, et al </w:t>
            </w:r>
            <w:r>
              <w:rPr>
                <w:rFonts w:asciiTheme="minorHAnsi" w:hAnsiTheme="minorHAnsi"/>
                <w:color w:val="000000"/>
                <w:sz w:val="22"/>
                <w:szCs w:val="22"/>
                <w:lang w:val="en"/>
              </w:rPr>
              <w:t>(</w:t>
            </w:r>
            <w:r w:rsidR="00D95517" w:rsidRPr="00E47E4E">
              <w:rPr>
                <w:rFonts w:asciiTheme="minorHAnsi" w:hAnsiTheme="minorHAnsi"/>
                <w:color w:val="000000"/>
                <w:sz w:val="22"/>
                <w:szCs w:val="22"/>
                <w:lang w:val="en"/>
              </w:rPr>
              <w:t>2006</w:t>
            </w:r>
            <w:r>
              <w:rPr>
                <w:rFonts w:asciiTheme="minorHAnsi" w:hAnsiTheme="minorHAnsi"/>
                <w:color w:val="000000"/>
                <w:sz w:val="22"/>
                <w:szCs w:val="22"/>
                <w:lang w:val="en"/>
              </w:rPr>
              <w:t xml:space="preserve">) </w:t>
            </w:r>
            <w:r w:rsidR="00D95517" w:rsidRPr="00E47E4E">
              <w:rPr>
                <w:rFonts w:asciiTheme="minorHAnsi" w:hAnsiTheme="minorHAnsi"/>
                <w:color w:val="000000"/>
                <w:sz w:val="22"/>
                <w:szCs w:val="22"/>
                <w:lang w:val="en"/>
              </w:rPr>
              <w:t>Miliary tuberculosis in a Caucasian male transplant recipient and the role of intravenous immunoglobulin as an i</w:t>
            </w:r>
            <w:r>
              <w:rPr>
                <w:rFonts w:asciiTheme="minorHAnsi" w:hAnsiTheme="minorHAnsi"/>
                <w:color w:val="000000"/>
                <w:sz w:val="22"/>
                <w:szCs w:val="22"/>
                <w:lang w:val="en"/>
              </w:rPr>
              <w:t xml:space="preserve">mmunosuppressive sparing agent. </w:t>
            </w:r>
            <w:r w:rsidR="00D95517" w:rsidRPr="00E47E4E">
              <w:rPr>
                <w:rStyle w:val="Emphasis"/>
                <w:rFonts w:asciiTheme="minorHAnsi" w:hAnsiTheme="minorHAnsi"/>
                <w:color w:val="000000"/>
                <w:sz w:val="22"/>
                <w:szCs w:val="22"/>
                <w:lang w:val="en"/>
              </w:rPr>
              <w:t>Nephrology (Carlton)</w:t>
            </w:r>
            <w:r w:rsidR="00D95517" w:rsidRPr="00E47E4E">
              <w:rPr>
                <w:rFonts w:asciiTheme="minorHAnsi" w:hAnsiTheme="minorHAnsi"/>
                <w:color w:val="000000"/>
                <w:sz w:val="22"/>
                <w:szCs w:val="22"/>
                <w:lang w:val="en"/>
              </w:rPr>
              <w:t xml:space="preserve">, </w:t>
            </w:r>
            <w:r>
              <w:rPr>
                <w:rFonts w:asciiTheme="minorHAnsi" w:hAnsiTheme="minorHAnsi"/>
                <w:color w:val="000000"/>
                <w:sz w:val="22"/>
                <w:szCs w:val="22"/>
                <w:lang w:val="en"/>
              </w:rPr>
              <w:t>11(</w:t>
            </w:r>
            <w:r w:rsidR="00D95517" w:rsidRPr="00E47E4E">
              <w:rPr>
                <w:rFonts w:asciiTheme="minorHAnsi" w:hAnsiTheme="minorHAnsi"/>
                <w:color w:val="000000"/>
                <w:sz w:val="22"/>
                <w:szCs w:val="22"/>
                <w:lang w:val="en"/>
              </w:rPr>
              <w:t>2</w:t>
            </w:r>
            <w:r>
              <w:rPr>
                <w:rFonts w:asciiTheme="minorHAnsi" w:hAnsiTheme="minorHAnsi"/>
                <w:color w:val="000000"/>
                <w:sz w:val="22"/>
                <w:szCs w:val="22"/>
                <w:lang w:val="en"/>
              </w:rPr>
              <w:t>):</w:t>
            </w:r>
            <w:r w:rsidR="00D95517" w:rsidRPr="00E47E4E">
              <w:rPr>
                <w:rFonts w:asciiTheme="minorHAnsi" w:hAnsiTheme="minorHAnsi"/>
                <w:color w:val="000000"/>
                <w:sz w:val="22"/>
                <w:szCs w:val="22"/>
                <w:lang w:val="en"/>
              </w:rPr>
              <w:t>156–8.</w:t>
            </w:r>
          </w:p>
          <w:p w:rsidR="00456E66" w:rsidRPr="00456E66" w:rsidRDefault="007B2A4C" w:rsidP="00D95517">
            <w:pPr>
              <w:pStyle w:val="NormalWeb"/>
              <w:spacing w:before="0" w:beforeAutospacing="0" w:after="0" w:afterAutospacing="0" w:line="360" w:lineRule="atLeast"/>
              <w:contextualSpacing/>
              <w:rPr>
                <w:rFonts w:asciiTheme="minorHAnsi" w:hAnsiTheme="minorHAnsi"/>
                <w:color w:val="808080" w:themeColor="background1" w:themeShade="80"/>
                <w:sz w:val="22"/>
                <w:szCs w:val="22"/>
                <w:lang w:val="en"/>
              </w:rPr>
            </w:pPr>
            <w:hyperlink r:id="rId30" w:history="1">
              <w:r w:rsidR="00456E66" w:rsidRPr="00456E66">
                <w:rPr>
                  <w:rStyle w:val="Hyperlink"/>
                  <w:rFonts w:asciiTheme="minorHAnsi" w:hAnsiTheme="minorHAnsi"/>
                  <w:color w:val="808080" w:themeColor="background1" w:themeShade="80"/>
                  <w:sz w:val="22"/>
                  <w:szCs w:val="22"/>
                  <w:lang w:val="en"/>
                </w:rPr>
                <w:t>https://www.ncbi.nlm.nih.gov/pubmed/16669980</w:t>
              </w:r>
            </w:hyperlink>
          </w:p>
          <w:p w:rsidR="00456E66" w:rsidRPr="00E47E4E" w:rsidRDefault="00456E66" w:rsidP="00D95517">
            <w:pPr>
              <w:pStyle w:val="NormalWeb"/>
              <w:spacing w:before="0" w:beforeAutospacing="0" w:after="0" w:afterAutospacing="0" w:line="360" w:lineRule="atLeast"/>
              <w:contextualSpacing/>
              <w:rPr>
                <w:rFonts w:asciiTheme="minorHAnsi" w:hAnsiTheme="minorHAnsi"/>
                <w:color w:val="000000"/>
                <w:sz w:val="22"/>
                <w:szCs w:val="22"/>
                <w:lang w:val="en"/>
              </w:rPr>
            </w:pPr>
          </w:p>
          <w:p w:rsidR="00D95517" w:rsidRDefault="00456E66" w:rsidP="00D95517">
            <w:pPr>
              <w:pStyle w:val="NormalWeb"/>
              <w:spacing w:before="0" w:beforeAutospacing="0" w:after="0" w:afterAutospacing="0" w:line="360" w:lineRule="atLeast"/>
              <w:contextualSpacing/>
              <w:rPr>
                <w:rFonts w:asciiTheme="minorHAnsi" w:hAnsiTheme="minorHAnsi"/>
                <w:color w:val="000000"/>
                <w:sz w:val="22"/>
                <w:szCs w:val="22"/>
                <w:lang w:val="en"/>
              </w:rPr>
            </w:pPr>
            <w:r>
              <w:rPr>
                <w:rFonts w:asciiTheme="minorHAnsi" w:hAnsiTheme="minorHAnsi"/>
                <w:color w:val="000000"/>
                <w:sz w:val="22"/>
                <w:szCs w:val="22"/>
                <w:lang w:val="en"/>
              </w:rPr>
              <w:t>Luke PP, Scantlebury</w:t>
            </w:r>
            <w:r w:rsidR="00D95517" w:rsidRPr="00E47E4E">
              <w:rPr>
                <w:rFonts w:asciiTheme="minorHAnsi" w:hAnsiTheme="minorHAnsi"/>
                <w:color w:val="000000"/>
                <w:sz w:val="22"/>
                <w:szCs w:val="22"/>
                <w:lang w:val="en"/>
              </w:rPr>
              <w:t xml:space="preserve"> VP, Jo</w:t>
            </w:r>
            <w:r>
              <w:rPr>
                <w:rFonts w:asciiTheme="minorHAnsi" w:hAnsiTheme="minorHAnsi"/>
                <w:color w:val="000000"/>
                <w:sz w:val="22"/>
                <w:szCs w:val="22"/>
                <w:lang w:val="en"/>
              </w:rPr>
              <w:t>rdan</w:t>
            </w:r>
            <w:r w:rsidR="00D95517" w:rsidRPr="00E47E4E">
              <w:rPr>
                <w:rFonts w:asciiTheme="minorHAnsi" w:hAnsiTheme="minorHAnsi"/>
                <w:color w:val="000000"/>
                <w:sz w:val="22"/>
                <w:szCs w:val="22"/>
                <w:lang w:val="en"/>
              </w:rPr>
              <w:t xml:space="preserve"> ML, et al </w:t>
            </w:r>
            <w:r>
              <w:rPr>
                <w:rFonts w:asciiTheme="minorHAnsi" w:hAnsiTheme="minorHAnsi"/>
                <w:color w:val="000000"/>
                <w:sz w:val="22"/>
                <w:szCs w:val="22"/>
                <w:lang w:val="en"/>
              </w:rPr>
              <w:t>(</w:t>
            </w:r>
            <w:r w:rsidR="00D95517" w:rsidRPr="00E47E4E">
              <w:rPr>
                <w:rFonts w:asciiTheme="minorHAnsi" w:hAnsiTheme="minorHAnsi"/>
                <w:color w:val="000000"/>
                <w:sz w:val="22"/>
                <w:szCs w:val="22"/>
                <w:lang w:val="en"/>
              </w:rPr>
              <w:t>2001</w:t>
            </w:r>
            <w:r>
              <w:rPr>
                <w:rFonts w:asciiTheme="minorHAnsi" w:hAnsiTheme="minorHAnsi"/>
                <w:color w:val="000000"/>
                <w:sz w:val="22"/>
                <w:szCs w:val="22"/>
                <w:lang w:val="en"/>
              </w:rPr>
              <w:t xml:space="preserve">) </w:t>
            </w:r>
            <w:r w:rsidR="00D95517" w:rsidRPr="00E47E4E">
              <w:rPr>
                <w:rFonts w:asciiTheme="minorHAnsi" w:hAnsiTheme="minorHAnsi"/>
                <w:color w:val="000000"/>
                <w:sz w:val="22"/>
                <w:szCs w:val="22"/>
                <w:lang w:val="en"/>
              </w:rPr>
              <w:t>Reversal of steroid- and anti-lymphocyte antibody-resistant rejection using intravenous immunoglobulin (</w:t>
            </w:r>
            <w:r w:rsidR="00F6525C">
              <w:rPr>
                <w:rFonts w:asciiTheme="minorHAnsi" w:hAnsiTheme="minorHAnsi"/>
                <w:color w:val="000000"/>
                <w:sz w:val="22"/>
                <w:szCs w:val="22"/>
                <w:lang w:val="en"/>
              </w:rPr>
              <w:t>IVIg</w:t>
            </w:r>
            <w:r w:rsidR="00D95517" w:rsidRPr="00E47E4E">
              <w:rPr>
                <w:rFonts w:asciiTheme="minorHAnsi" w:hAnsiTheme="minorHAnsi"/>
                <w:color w:val="000000"/>
                <w:sz w:val="22"/>
                <w:szCs w:val="22"/>
                <w:lang w:val="en"/>
              </w:rPr>
              <w:t xml:space="preserve">) </w:t>
            </w:r>
            <w:r>
              <w:rPr>
                <w:rFonts w:asciiTheme="minorHAnsi" w:hAnsiTheme="minorHAnsi"/>
                <w:color w:val="000000"/>
                <w:sz w:val="22"/>
                <w:szCs w:val="22"/>
                <w:lang w:val="en"/>
              </w:rPr>
              <w:t>in renal transplant recipients.</w:t>
            </w:r>
            <w:r w:rsidR="00D95517" w:rsidRPr="00E47E4E">
              <w:rPr>
                <w:rFonts w:asciiTheme="minorHAnsi" w:hAnsiTheme="minorHAnsi"/>
                <w:color w:val="000000"/>
                <w:sz w:val="22"/>
                <w:szCs w:val="22"/>
                <w:lang w:val="en"/>
              </w:rPr>
              <w:t xml:space="preserve"> </w:t>
            </w:r>
            <w:r w:rsidR="00D95517" w:rsidRPr="00E47E4E">
              <w:rPr>
                <w:rStyle w:val="Emphasis"/>
                <w:rFonts w:asciiTheme="minorHAnsi" w:hAnsiTheme="minorHAnsi"/>
                <w:color w:val="000000"/>
                <w:sz w:val="22"/>
                <w:szCs w:val="22"/>
                <w:lang w:val="en"/>
              </w:rPr>
              <w:t>Transplantation</w:t>
            </w:r>
            <w:r w:rsidR="00D95517" w:rsidRPr="00E47E4E">
              <w:rPr>
                <w:rFonts w:asciiTheme="minorHAnsi" w:hAnsiTheme="minorHAnsi"/>
                <w:color w:val="000000"/>
                <w:sz w:val="22"/>
                <w:szCs w:val="22"/>
                <w:lang w:val="en"/>
              </w:rPr>
              <w:t xml:space="preserve">, </w:t>
            </w:r>
            <w:r>
              <w:rPr>
                <w:rFonts w:asciiTheme="minorHAnsi" w:hAnsiTheme="minorHAnsi"/>
                <w:color w:val="000000"/>
                <w:sz w:val="22"/>
                <w:szCs w:val="22"/>
                <w:lang w:val="en"/>
              </w:rPr>
              <w:t>72(</w:t>
            </w:r>
            <w:r w:rsidR="00D95517" w:rsidRPr="00E47E4E">
              <w:rPr>
                <w:rFonts w:asciiTheme="minorHAnsi" w:hAnsiTheme="minorHAnsi"/>
                <w:color w:val="000000"/>
                <w:sz w:val="22"/>
                <w:szCs w:val="22"/>
                <w:lang w:val="en"/>
              </w:rPr>
              <w:t>3</w:t>
            </w:r>
            <w:r>
              <w:rPr>
                <w:rFonts w:asciiTheme="minorHAnsi" w:hAnsiTheme="minorHAnsi"/>
                <w:color w:val="000000"/>
                <w:sz w:val="22"/>
                <w:szCs w:val="22"/>
                <w:lang w:val="en"/>
              </w:rPr>
              <w:t>):</w:t>
            </w:r>
            <w:r w:rsidR="00D95517" w:rsidRPr="00E47E4E">
              <w:rPr>
                <w:rFonts w:asciiTheme="minorHAnsi" w:hAnsiTheme="minorHAnsi"/>
                <w:color w:val="000000"/>
                <w:sz w:val="22"/>
                <w:szCs w:val="22"/>
                <w:lang w:val="en"/>
              </w:rPr>
              <w:t>419–22.</w:t>
            </w:r>
          </w:p>
          <w:p w:rsidR="00456E66" w:rsidRPr="00456E66" w:rsidRDefault="007B2A4C" w:rsidP="00D95517">
            <w:pPr>
              <w:pStyle w:val="NormalWeb"/>
              <w:spacing w:before="0" w:beforeAutospacing="0" w:after="0" w:afterAutospacing="0" w:line="360" w:lineRule="atLeast"/>
              <w:contextualSpacing/>
              <w:rPr>
                <w:rFonts w:asciiTheme="minorHAnsi" w:hAnsiTheme="minorHAnsi"/>
                <w:color w:val="808080" w:themeColor="background1" w:themeShade="80"/>
                <w:sz w:val="22"/>
                <w:szCs w:val="22"/>
                <w:lang w:val="en"/>
              </w:rPr>
            </w:pPr>
            <w:hyperlink r:id="rId31" w:history="1">
              <w:r w:rsidR="00456E66" w:rsidRPr="00456E66">
                <w:rPr>
                  <w:rStyle w:val="Hyperlink"/>
                  <w:rFonts w:asciiTheme="minorHAnsi" w:hAnsiTheme="minorHAnsi"/>
                  <w:color w:val="808080" w:themeColor="background1" w:themeShade="80"/>
                  <w:sz w:val="22"/>
                  <w:szCs w:val="22"/>
                  <w:lang w:val="en"/>
                </w:rPr>
                <w:t>https://www.ncbi.nlm.nih.gov/pubmed/11502969</w:t>
              </w:r>
            </w:hyperlink>
          </w:p>
          <w:p w:rsidR="00456E66" w:rsidRPr="00E47E4E" w:rsidRDefault="00456E66" w:rsidP="00D95517">
            <w:pPr>
              <w:pStyle w:val="NormalWeb"/>
              <w:spacing w:before="0" w:beforeAutospacing="0" w:after="0" w:afterAutospacing="0" w:line="360" w:lineRule="atLeast"/>
              <w:contextualSpacing/>
              <w:rPr>
                <w:rFonts w:asciiTheme="minorHAnsi" w:hAnsiTheme="minorHAnsi"/>
                <w:color w:val="000000"/>
                <w:sz w:val="22"/>
                <w:szCs w:val="22"/>
                <w:lang w:val="en"/>
              </w:rPr>
            </w:pPr>
          </w:p>
          <w:p w:rsidR="00D95517" w:rsidRDefault="00456E66" w:rsidP="00D95517">
            <w:pPr>
              <w:pStyle w:val="NormalWeb"/>
              <w:spacing w:before="0" w:beforeAutospacing="0" w:after="0" w:afterAutospacing="0" w:line="360" w:lineRule="atLeast"/>
              <w:contextualSpacing/>
              <w:rPr>
                <w:rFonts w:asciiTheme="minorHAnsi" w:hAnsiTheme="minorHAnsi"/>
                <w:color w:val="000000"/>
                <w:sz w:val="22"/>
                <w:szCs w:val="22"/>
                <w:lang w:val="en"/>
              </w:rPr>
            </w:pPr>
            <w:r>
              <w:rPr>
                <w:rFonts w:asciiTheme="minorHAnsi" w:hAnsiTheme="minorHAnsi"/>
                <w:color w:val="000000"/>
                <w:sz w:val="22"/>
                <w:szCs w:val="22"/>
                <w:lang w:val="en"/>
              </w:rPr>
              <w:t>Moger V, Ravishankar M, Sakhuja</w:t>
            </w:r>
            <w:r w:rsidR="00D95517" w:rsidRPr="00E47E4E">
              <w:rPr>
                <w:rFonts w:asciiTheme="minorHAnsi" w:hAnsiTheme="minorHAnsi"/>
                <w:color w:val="000000"/>
                <w:sz w:val="22"/>
                <w:szCs w:val="22"/>
                <w:lang w:val="en"/>
              </w:rPr>
              <w:t xml:space="preserve"> V, et al </w:t>
            </w:r>
            <w:r>
              <w:rPr>
                <w:rFonts w:asciiTheme="minorHAnsi" w:hAnsiTheme="minorHAnsi"/>
                <w:color w:val="000000"/>
                <w:sz w:val="22"/>
                <w:szCs w:val="22"/>
                <w:lang w:val="en"/>
              </w:rPr>
              <w:t>(</w:t>
            </w:r>
            <w:r w:rsidR="00D95517" w:rsidRPr="00E47E4E">
              <w:rPr>
                <w:rFonts w:asciiTheme="minorHAnsi" w:hAnsiTheme="minorHAnsi"/>
                <w:color w:val="000000"/>
                <w:sz w:val="22"/>
                <w:szCs w:val="22"/>
                <w:lang w:val="en"/>
              </w:rPr>
              <w:t>2004</w:t>
            </w:r>
            <w:r>
              <w:rPr>
                <w:rFonts w:asciiTheme="minorHAnsi" w:hAnsiTheme="minorHAnsi"/>
                <w:color w:val="000000"/>
                <w:sz w:val="22"/>
                <w:szCs w:val="22"/>
                <w:lang w:val="en"/>
              </w:rPr>
              <w:t xml:space="preserve">) </w:t>
            </w:r>
            <w:r w:rsidR="00D95517" w:rsidRPr="00E47E4E">
              <w:rPr>
                <w:rFonts w:asciiTheme="minorHAnsi" w:hAnsiTheme="minorHAnsi"/>
                <w:color w:val="000000"/>
                <w:sz w:val="22"/>
                <w:szCs w:val="22"/>
                <w:lang w:val="en"/>
              </w:rPr>
              <w:t>Intravenous immunoglobulin: a safe option for treatment of steroid-resistant rejectio</w:t>
            </w:r>
            <w:r>
              <w:rPr>
                <w:rFonts w:asciiTheme="minorHAnsi" w:hAnsiTheme="minorHAnsi"/>
                <w:color w:val="000000"/>
                <w:sz w:val="22"/>
                <w:szCs w:val="22"/>
                <w:lang w:val="en"/>
              </w:rPr>
              <w:t>n in the presence of infection.</w:t>
            </w:r>
            <w:r w:rsidR="00D95517" w:rsidRPr="00E47E4E">
              <w:rPr>
                <w:rFonts w:asciiTheme="minorHAnsi" w:hAnsiTheme="minorHAnsi"/>
                <w:color w:val="000000"/>
                <w:sz w:val="22"/>
                <w:szCs w:val="22"/>
                <w:lang w:val="en"/>
              </w:rPr>
              <w:t xml:space="preserve"> </w:t>
            </w:r>
            <w:r w:rsidR="00D95517" w:rsidRPr="00E47E4E">
              <w:rPr>
                <w:rStyle w:val="Emphasis"/>
                <w:rFonts w:asciiTheme="minorHAnsi" w:hAnsiTheme="minorHAnsi"/>
                <w:color w:val="000000"/>
                <w:sz w:val="22"/>
                <w:szCs w:val="22"/>
                <w:lang w:val="en"/>
              </w:rPr>
              <w:t>Transplantation</w:t>
            </w:r>
            <w:r w:rsidR="00D95517" w:rsidRPr="00E47E4E">
              <w:rPr>
                <w:rFonts w:asciiTheme="minorHAnsi" w:hAnsiTheme="minorHAnsi"/>
                <w:color w:val="000000"/>
                <w:sz w:val="22"/>
                <w:szCs w:val="22"/>
                <w:lang w:val="en"/>
              </w:rPr>
              <w:t xml:space="preserve">, </w:t>
            </w:r>
            <w:r>
              <w:rPr>
                <w:rFonts w:asciiTheme="minorHAnsi" w:hAnsiTheme="minorHAnsi"/>
                <w:color w:val="000000"/>
                <w:sz w:val="22"/>
                <w:szCs w:val="22"/>
                <w:lang w:val="en"/>
              </w:rPr>
              <w:t>77(</w:t>
            </w:r>
            <w:r w:rsidR="00D95517" w:rsidRPr="00E47E4E">
              <w:rPr>
                <w:rFonts w:asciiTheme="minorHAnsi" w:hAnsiTheme="minorHAnsi"/>
                <w:color w:val="000000"/>
                <w:sz w:val="22"/>
                <w:szCs w:val="22"/>
                <w:lang w:val="en"/>
              </w:rPr>
              <w:t>9</w:t>
            </w:r>
            <w:r>
              <w:rPr>
                <w:rFonts w:asciiTheme="minorHAnsi" w:hAnsiTheme="minorHAnsi"/>
                <w:color w:val="000000"/>
                <w:sz w:val="22"/>
                <w:szCs w:val="22"/>
                <w:lang w:val="en"/>
              </w:rPr>
              <w:t>):</w:t>
            </w:r>
            <w:r w:rsidR="00D95517" w:rsidRPr="00E47E4E">
              <w:rPr>
                <w:rFonts w:asciiTheme="minorHAnsi" w:hAnsiTheme="minorHAnsi"/>
                <w:color w:val="000000"/>
                <w:sz w:val="22"/>
                <w:szCs w:val="22"/>
                <w:lang w:val="en"/>
              </w:rPr>
              <w:t>1455–6.</w:t>
            </w:r>
          </w:p>
          <w:p w:rsidR="00456E66" w:rsidRDefault="007B2A4C" w:rsidP="00D95517">
            <w:pPr>
              <w:pStyle w:val="NormalWeb"/>
              <w:spacing w:before="0" w:beforeAutospacing="0" w:after="0" w:afterAutospacing="0" w:line="360" w:lineRule="atLeast"/>
              <w:contextualSpacing/>
              <w:rPr>
                <w:rFonts w:asciiTheme="minorHAnsi" w:hAnsiTheme="minorHAnsi"/>
                <w:color w:val="000000"/>
                <w:sz w:val="22"/>
                <w:szCs w:val="22"/>
                <w:lang w:val="en"/>
              </w:rPr>
            </w:pPr>
            <w:hyperlink r:id="rId32" w:history="1">
              <w:r w:rsidR="00456E66" w:rsidRPr="00456E66">
                <w:rPr>
                  <w:rStyle w:val="Hyperlink"/>
                  <w:rFonts w:asciiTheme="minorHAnsi" w:hAnsiTheme="minorHAnsi"/>
                  <w:color w:val="808080" w:themeColor="background1" w:themeShade="80"/>
                  <w:sz w:val="22"/>
                  <w:szCs w:val="22"/>
                  <w:lang w:val="en"/>
                </w:rPr>
                <w:t>https://www.ncbi.nlm.nih.gov/pubmed/15167606</w:t>
              </w:r>
            </w:hyperlink>
          </w:p>
          <w:p w:rsidR="00456E66" w:rsidRDefault="00456E66" w:rsidP="00D95517">
            <w:pPr>
              <w:pStyle w:val="NormalWeb"/>
              <w:spacing w:before="0" w:beforeAutospacing="0" w:after="0" w:afterAutospacing="0" w:line="360" w:lineRule="atLeast"/>
              <w:contextualSpacing/>
              <w:rPr>
                <w:rFonts w:asciiTheme="minorHAnsi" w:hAnsiTheme="minorHAnsi"/>
                <w:color w:val="000000"/>
                <w:sz w:val="22"/>
                <w:szCs w:val="22"/>
                <w:lang w:val="en"/>
              </w:rPr>
            </w:pPr>
          </w:p>
          <w:p w:rsidR="004229B2" w:rsidRDefault="004229B2" w:rsidP="00D95517">
            <w:pPr>
              <w:pStyle w:val="NormalWeb"/>
              <w:spacing w:before="0" w:beforeAutospacing="0" w:after="0" w:afterAutospacing="0" w:line="360" w:lineRule="atLeast"/>
              <w:contextualSpacing/>
              <w:rPr>
                <w:rFonts w:asciiTheme="minorHAnsi" w:hAnsiTheme="minorHAnsi"/>
                <w:color w:val="000000"/>
                <w:sz w:val="22"/>
                <w:szCs w:val="22"/>
                <w:lang w:val="en"/>
              </w:rPr>
            </w:pPr>
            <w:r>
              <w:rPr>
                <w:rFonts w:asciiTheme="minorHAnsi" w:hAnsiTheme="minorHAnsi"/>
                <w:color w:val="000000"/>
                <w:sz w:val="22"/>
                <w:szCs w:val="22"/>
                <w:lang w:val="en"/>
              </w:rPr>
              <w:t>Montgomery R et al (</w:t>
            </w:r>
            <w:r w:rsidRPr="004229B2">
              <w:rPr>
                <w:rFonts w:asciiTheme="minorHAnsi" w:hAnsiTheme="minorHAnsi"/>
                <w:color w:val="000000"/>
                <w:sz w:val="22"/>
                <w:szCs w:val="22"/>
                <w:lang w:val="en"/>
              </w:rPr>
              <w:t>2011</w:t>
            </w:r>
            <w:r>
              <w:rPr>
                <w:rFonts w:asciiTheme="minorHAnsi" w:hAnsiTheme="minorHAnsi"/>
                <w:color w:val="000000"/>
                <w:sz w:val="22"/>
                <w:szCs w:val="22"/>
                <w:lang w:val="en"/>
              </w:rPr>
              <w:t>)</w:t>
            </w:r>
            <w:r w:rsidRPr="004229B2">
              <w:rPr>
                <w:rFonts w:asciiTheme="minorHAnsi" w:hAnsiTheme="minorHAnsi"/>
                <w:color w:val="000000"/>
                <w:sz w:val="22"/>
                <w:szCs w:val="22"/>
                <w:lang w:val="en"/>
              </w:rPr>
              <w:t xml:space="preserve"> Desensitization in HLA-incompatible kidney recipients and survival. </w:t>
            </w:r>
            <w:r w:rsidRPr="004229B2">
              <w:rPr>
                <w:rFonts w:asciiTheme="minorHAnsi" w:hAnsiTheme="minorHAnsi"/>
                <w:i/>
                <w:color w:val="000000"/>
                <w:sz w:val="22"/>
                <w:szCs w:val="22"/>
                <w:lang w:val="en"/>
              </w:rPr>
              <w:t>New England Journal of Medicine</w:t>
            </w:r>
            <w:r>
              <w:rPr>
                <w:rFonts w:asciiTheme="minorHAnsi" w:hAnsiTheme="minorHAnsi"/>
                <w:color w:val="000000"/>
                <w:sz w:val="22"/>
                <w:szCs w:val="22"/>
                <w:lang w:val="en"/>
              </w:rPr>
              <w:t>, 365:318–326</w:t>
            </w:r>
            <w:r w:rsidRPr="004229B2">
              <w:rPr>
                <w:rFonts w:asciiTheme="minorHAnsi" w:hAnsiTheme="minorHAnsi"/>
                <w:color w:val="000000"/>
                <w:sz w:val="22"/>
                <w:szCs w:val="22"/>
                <w:lang w:val="en"/>
              </w:rPr>
              <w:t>.</w:t>
            </w:r>
          </w:p>
          <w:p w:rsidR="004229B2" w:rsidRDefault="007B2A4C" w:rsidP="00D95517">
            <w:pPr>
              <w:pStyle w:val="NormalWeb"/>
              <w:spacing w:before="0" w:beforeAutospacing="0" w:after="0" w:afterAutospacing="0" w:line="360" w:lineRule="atLeast"/>
              <w:contextualSpacing/>
              <w:rPr>
                <w:rStyle w:val="Hyperlink"/>
                <w:rFonts w:asciiTheme="minorHAnsi" w:hAnsiTheme="minorHAnsi"/>
                <w:color w:val="808080" w:themeColor="background1" w:themeShade="80"/>
                <w:sz w:val="22"/>
                <w:szCs w:val="22"/>
                <w:lang w:val="en"/>
              </w:rPr>
            </w:pPr>
            <w:hyperlink r:id="rId33" w:history="1">
              <w:r w:rsidR="004229B2" w:rsidRPr="004229B2">
                <w:rPr>
                  <w:rStyle w:val="Hyperlink"/>
                  <w:rFonts w:asciiTheme="minorHAnsi" w:hAnsiTheme="minorHAnsi"/>
                  <w:color w:val="808080" w:themeColor="background1" w:themeShade="80"/>
                  <w:sz w:val="22"/>
                  <w:szCs w:val="22"/>
                  <w:lang w:val="en"/>
                </w:rPr>
                <w:t>https://www.ncbi.nlm.nih.gov/pubmed/21793744</w:t>
              </w:r>
            </w:hyperlink>
          </w:p>
          <w:p w:rsidR="00A27A0A" w:rsidRPr="004229B2" w:rsidRDefault="00A27A0A" w:rsidP="00D95517">
            <w:pPr>
              <w:pStyle w:val="NormalWeb"/>
              <w:spacing w:before="0" w:beforeAutospacing="0" w:after="0" w:afterAutospacing="0" w:line="360" w:lineRule="atLeast"/>
              <w:contextualSpacing/>
              <w:rPr>
                <w:rFonts w:asciiTheme="minorHAnsi" w:hAnsiTheme="minorHAnsi"/>
                <w:color w:val="808080" w:themeColor="background1" w:themeShade="80"/>
                <w:sz w:val="22"/>
                <w:szCs w:val="22"/>
                <w:lang w:val="en"/>
              </w:rPr>
            </w:pPr>
          </w:p>
          <w:p w:rsidR="004229B2" w:rsidRDefault="00A27A0A" w:rsidP="00D95517">
            <w:pPr>
              <w:pStyle w:val="NormalWeb"/>
              <w:spacing w:before="0" w:beforeAutospacing="0" w:after="0" w:afterAutospacing="0" w:line="360" w:lineRule="atLeast"/>
              <w:contextualSpacing/>
              <w:rPr>
                <w:rFonts w:asciiTheme="minorHAnsi" w:eastAsia="Times New Roman" w:hAnsiTheme="minorHAnsi"/>
                <w:color w:val="000000"/>
                <w:sz w:val="22"/>
                <w:szCs w:val="22"/>
                <w:lang w:eastAsia="en-AU"/>
              </w:rPr>
            </w:pPr>
            <w:r w:rsidRPr="0048434B">
              <w:rPr>
                <w:rFonts w:asciiTheme="minorHAnsi" w:eastAsia="Times New Roman" w:hAnsiTheme="minorHAnsi"/>
                <w:color w:val="000000"/>
                <w:sz w:val="22"/>
                <w:szCs w:val="22"/>
                <w:lang w:eastAsia="en-AU"/>
              </w:rPr>
              <w:t>Montgomery R, Orandi B, Racusen L, Jackson A, Garonzik-Wang J, Shah T et al.</w:t>
            </w:r>
            <w:r w:rsidR="0048434B">
              <w:rPr>
                <w:rFonts w:asciiTheme="minorHAnsi" w:eastAsia="Times New Roman" w:hAnsiTheme="minorHAnsi"/>
                <w:color w:val="000000"/>
                <w:sz w:val="22"/>
                <w:szCs w:val="22"/>
                <w:lang w:eastAsia="en-AU"/>
              </w:rPr>
              <w:t xml:space="preserve"> (2016)</w:t>
            </w:r>
            <w:r w:rsidRPr="0048434B">
              <w:rPr>
                <w:rFonts w:asciiTheme="minorHAnsi" w:eastAsia="Times New Roman" w:hAnsiTheme="minorHAnsi"/>
                <w:color w:val="000000"/>
                <w:sz w:val="22"/>
                <w:szCs w:val="22"/>
                <w:lang w:eastAsia="en-AU"/>
              </w:rPr>
              <w:t xml:space="preserve"> Plasma-Derived C1 Esterase Inhibitor for Acute Antibody-Mediated Rejection Following Kidney Transplantation: Results of a Randomized Double-Blind Placebo-Controlled Pilot Study. American Journal of T</w:t>
            </w:r>
            <w:r w:rsidR="0048434B">
              <w:rPr>
                <w:rFonts w:asciiTheme="minorHAnsi" w:eastAsia="Times New Roman" w:hAnsiTheme="minorHAnsi"/>
                <w:color w:val="000000"/>
                <w:sz w:val="22"/>
                <w:szCs w:val="22"/>
                <w:lang w:eastAsia="en-AU"/>
              </w:rPr>
              <w:t xml:space="preserve">ransplantation, </w:t>
            </w:r>
            <w:r w:rsidRPr="0048434B">
              <w:rPr>
                <w:rFonts w:asciiTheme="minorHAnsi" w:eastAsia="Times New Roman" w:hAnsiTheme="minorHAnsi"/>
                <w:color w:val="000000"/>
                <w:sz w:val="22"/>
                <w:szCs w:val="22"/>
                <w:lang w:eastAsia="en-AU"/>
              </w:rPr>
              <w:t>16(12):3468-3478</w:t>
            </w:r>
            <w:r w:rsidR="0048434B">
              <w:rPr>
                <w:rFonts w:asciiTheme="minorHAnsi" w:eastAsia="Times New Roman" w:hAnsiTheme="minorHAnsi"/>
                <w:color w:val="000000"/>
                <w:sz w:val="22"/>
                <w:szCs w:val="22"/>
                <w:lang w:eastAsia="en-AU"/>
              </w:rPr>
              <w:t>.</w:t>
            </w:r>
          </w:p>
          <w:p w:rsidR="00A27A0A" w:rsidRPr="0048434B" w:rsidRDefault="007B2A4C" w:rsidP="00D95517">
            <w:pPr>
              <w:pStyle w:val="NormalWeb"/>
              <w:spacing w:before="0" w:beforeAutospacing="0" w:after="0" w:afterAutospacing="0" w:line="360" w:lineRule="atLeast"/>
              <w:contextualSpacing/>
              <w:rPr>
                <w:rFonts w:asciiTheme="minorHAnsi" w:hAnsiTheme="minorHAnsi"/>
                <w:color w:val="808080" w:themeColor="background1" w:themeShade="80"/>
                <w:sz w:val="22"/>
                <w:szCs w:val="22"/>
                <w:lang w:val="en"/>
              </w:rPr>
            </w:pPr>
            <w:hyperlink r:id="rId34" w:history="1">
              <w:r w:rsidR="0048434B" w:rsidRPr="0048434B">
                <w:rPr>
                  <w:rStyle w:val="Hyperlink"/>
                  <w:rFonts w:asciiTheme="minorHAnsi" w:hAnsiTheme="minorHAnsi"/>
                  <w:color w:val="808080" w:themeColor="background1" w:themeShade="80"/>
                  <w:sz w:val="22"/>
                  <w:szCs w:val="22"/>
                  <w:lang w:val="en"/>
                </w:rPr>
                <w:t>https://www.ncbi.nlm.nih.gov/pubmed/27184779</w:t>
              </w:r>
            </w:hyperlink>
          </w:p>
          <w:p w:rsidR="0048434B" w:rsidRPr="00A27A0A" w:rsidRDefault="0048434B" w:rsidP="00D95517">
            <w:pPr>
              <w:pStyle w:val="NormalWeb"/>
              <w:spacing w:before="0" w:beforeAutospacing="0" w:after="0" w:afterAutospacing="0" w:line="360" w:lineRule="atLeast"/>
              <w:contextualSpacing/>
              <w:rPr>
                <w:rFonts w:asciiTheme="minorHAnsi" w:hAnsiTheme="minorHAnsi"/>
                <w:color w:val="000000"/>
                <w:sz w:val="22"/>
                <w:szCs w:val="22"/>
                <w:lang w:val="en"/>
              </w:rPr>
            </w:pPr>
          </w:p>
          <w:p w:rsidR="00D95517" w:rsidRDefault="00456E66" w:rsidP="00D95517">
            <w:pPr>
              <w:pStyle w:val="NormalWeb"/>
              <w:spacing w:before="0" w:beforeAutospacing="0" w:after="0" w:afterAutospacing="0" w:line="360" w:lineRule="atLeast"/>
              <w:contextualSpacing/>
              <w:rPr>
                <w:rFonts w:asciiTheme="minorHAnsi" w:hAnsiTheme="minorHAnsi"/>
                <w:color w:val="000000"/>
                <w:sz w:val="22"/>
                <w:szCs w:val="22"/>
                <w:lang w:val="en"/>
              </w:rPr>
            </w:pPr>
            <w:r>
              <w:rPr>
                <w:rFonts w:asciiTheme="minorHAnsi" w:hAnsiTheme="minorHAnsi"/>
                <w:color w:val="000000"/>
                <w:sz w:val="22"/>
                <w:szCs w:val="22"/>
                <w:lang w:val="en"/>
              </w:rPr>
              <w:t>Orange JS, Hossny EM, Weiler</w:t>
            </w:r>
            <w:r w:rsidR="00D95517" w:rsidRPr="00E47E4E">
              <w:rPr>
                <w:rFonts w:asciiTheme="minorHAnsi" w:hAnsiTheme="minorHAnsi"/>
                <w:color w:val="000000"/>
                <w:sz w:val="22"/>
                <w:szCs w:val="22"/>
                <w:lang w:val="en"/>
              </w:rPr>
              <w:t xml:space="preserve"> CR, et al </w:t>
            </w:r>
            <w:r>
              <w:rPr>
                <w:rFonts w:asciiTheme="minorHAnsi" w:hAnsiTheme="minorHAnsi"/>
                <w:color w:val="000000"/>
                <w:sz w:val="22"/>
                <w:szCs w:val="22"/>
                <w:lang w:val="en"/>
              </w:rPr>
              <w:t>(</w:t>
            </w:r>
            <w:r w:rsidR="00D95517" w:rsidRPr="00E47E4E">
              <w:rPr>
                <w:rFonts w:asciiTheme="minorHAnsi" w:hAnsiTheme="minorHAnsi"/>
                <w:color w:val="000000"/>
                <w:sz w:val="22"/>
                <w:szCs w:val="22"/>
                <w:lang w:val="en"/>
              </w:rPr>
              <w:t>2006</w:t>
            </w:r>
            <w:r>
              <w:rPr>
                <w:rFonts w:asciiTheme="minorHAnsi" w:hAnsiTheme="minorHAnsi"/>
                <w:color w:val="000000"/>
                <w:sz w:val="22"/>
                <w:szCs w:val="22"/>
                <w:lang w:val="en"/>
              </w:rPr>
              <w:t xml:space="preserve">) </w:t>
            </w:r>
            <w:r w:rsidR="00D95517" w:rsidRPr="00E47E4E">
              <w:rPr>
                <w:rFonts w:asciiTheme="minorHAnsi" w:hAnsiTheme="minorHAnsi"/>
                <w:color w:val="000000"/>
                <w:sz w:val="22"/>
                <w:szCs w:val="22"/>
                <w:lang w:val="en"/>
              </w:rPr>
              <w:t>Use of intravenous immunoglobulin in human disease: A review of primary evidence by members of the Primary Immunodeficiency Committee of the American Academy of A</w:t>
            </w:r>
            <w:r>
              <w:rPr>
                <w:rFonts w:asciiTheme="minorHAnsi" w:hAnsiTheme="minorHAnsi"/>
                <w:color w:val="000000"/>
                <w:sz w:val="22"/>
                <w:szCs w:val="22"/>
                <w:lang w:val="en"/>
              </w:rPr>
              <w:t xml:space="preserve">llergy, Asthma and Immunology. </w:t>
            </w:r>
            <w:r w:rsidR="00D95517" w:rsidRPr="00E47E4E">
              <w:rPr>
                <w:rStyle w:val="Emphasis"/>
                <w:rFonts w:asciiTheme="minorHAnsi" w:hAnsiTheme="minorHAnsi"/>
                <w:color w:val="000000"/>
                <w:sz w:val="22"/>
                <w:szCs w:val="22"/>
                <w:lang w:val="en"/>
              </w:rPr>
              <w:t>Journal of Allergy and Clinical Immunology</w:t>
            </w:r>
            <w:r w:rsidR="00D95517" w:rsidRPr="00E47E4E">
              <w:rPr>
                <w:rFonts w:asciiTheme="minorHAnsi" w:hAnsiTheme="minorHAnsi"/>
                <w:color w:val="000000"/>
                <w:sz w:val="22"/>
                <w:szCs w:val="22"/>
                <w:lang w:val="en"/>
              </w:rPr>
              <w:t xml:space="preserve">, </w:t>
            </w:r>
            <w:r>
              <w:rPr>
                <w:rFonts w:asciiTheme="minorHAnsi" w:hAnsiTheme="minorHAnsi"/>
                <w:color w:val="000000"/>
                <w:sz w:val="22"/>
                <w:szCs w:val="22"/>
                <w:lang w:val="en"/>
              </w:rPr>
              <w:t>117(</w:t>
            </w:r>
            <w:r w:rsidR="00D95517" w:rsidRPr="00E47E4E">
              <w:rPr>
                <w:rFonts w:asciiTheme="minorHAnsi" w:hAnsiTheme="minorHAnsi"/>
                <w:color w:val="000000"/>
                <w:sz w:val="22"/>
                <w:szCs w:val="22"/>
                <w:lang w:val="en"/>
              </w:rPr>
              <w:t>4</w:t>
            </w:r>
            <w:r>
              <w:rPr>
                <w:rFonts w:asciiTheme="minorHAnsi" w:hAnsiTheme="minorHAnsi"/>
                <w:color w:val="000000"/>
                <w:sz w:val="22"/>
                <w:szCs w:val="22"/>
                <w:lang w:val="en"/>
              </w:rPr>
              <w:t>):</w:t>
            </w:r>
            <w:r w:rsidR="00D95517" w:rsidRPr="00E47E4E">
              <w:rPr>
                <w:rFonts w:asciiTheme="minorHAnsi" w:hAnsiTheme="minorHAnsi"/>
                <w:color w:val="000000"/>
                <w:sz w:val="22"/>
                <w:szCs w:val="22"/>
                <w:lang w:val="en"/>
              </w:rPr>
              <w:t>525–53.</w:t>
            </w:r>
          </w:p>
          <w:p w:rsidR="00456E66" w:rsidRDefault="007B2A4C" w:rsidP="00D95517">
            <w:pPr>
              <w:pStyle w:val="NormalWeb"/>
              <w:spacing w:before="0" w:beforeAutospacing="0" w:after="0" w:afterAutospacing="0" w:line="360" w:lineRule="atLeast"/>
              <w:contextualSpacing/>
              <w:rPr>
                <w:rFonts w:asciiTheme="minorHAnsi" w:hAnsiTheme="minorHAnsi"/>
                <w:color w:val="000000"/>
                <w:sz w:val="22"/>
                <w:szCs w:val="22"/>
                <w:lang w:val="en"/>
              </w:rPr>
            </w:pPr>
            <w:hyperlink r:id="rId35" w:history="1">
              <w:r w:rsidR="00456E66" w:rsidRPr="00456E66">
                <w:rPr>
                  <w:rStyle w:val="Hyperlink"/>
                  <w:rFonts w:asciiTheme="minorHAnsi" w:hAnsiTheme="minorHAnsi"/>
                  <w:color w:val="808080" w:themeColor="background1" w:themeShade="80"/>
                  <w:sz w:val="22"/>
                  <w:szCs w:val="22"/>
                  <w:lang w:val="en"/>
                </w:rPr>
                <w:t>https://www.ncbi.nlm.nih.gov/pubmed/16580469</w:t>
              </w:r>
            </w:hyperlink>
          </w:p>
          <w:p w:rsidR="00456E66" w:rsidRPr="00E47E4E" w:rsidRDefault="00456E66" w:rsidP="00D95517">
            <w:pPr>
              <w:pStyle w:val="NormalWeb"/>
              <w:spacing w:before="0" w:beforeAutospacing="0" w:after="0" w:afterAutospacing="0" w:line="360" w:lineRule="atLeast"/>
              <w:contextualSpacing/>
              <w:rPr>
                <w:rFonts w:asciiTheme="minorHAnsi" w:hAnsiTheme="minorHAnsi"/>
                <w:color w:val="000000"/>
                <w:sz w:val="22"/>
                <w:szCs w:val="22"/>
                <w:lang w:val="en"/>
              </w:rPr>
            </w:pPr>
          </w:p>
          <w:p w:rsidR="00D95517" w:rsidRDefault="00456E66" w:rsidP="00D95517">
            <w:pPr>
              <w:pStyle w:val="NormalWeb"/>
              <w:spacing w:before="0" w:beforeAutospacing="0" w:after="0" w:afterAutospacing="0" w:line="360" w:lineRule="atLeast"/>
              <w:contextualSpacing/>
              <w:rPr>
                <w:rFonts w:asciiTheme="minorHAnsi" w:hAnsiTheme="minorHAnsi"/>
                <w:color w:val="000000"/>
                <w:sz w:val="22"/>
                <w:szCs w:val="22"/>
                <w:lang w:val="en"/>
              </w:rPr>
            </w:pPr>
            <w:r>
              <w:rPr>
                <w:rFonts w:asciiTheme="minorHAnsi" w:hAnsiTheme="minorHAnsi"/>
                <w:color w:val="000000"/>
                <w:sz w:val="22"/>
                <w:szCs w:val="22"/>
                <w:lang w:val="en"/>
              </w:rPr>
              <w:t>Peraldi MN, Akposso</w:t>
            </w:r>
            <w:r w:rsidR="00D95517" w:rsidRPr="00E47E4E">
              <w:rPr>
                <w:rFonts w:asciiTheme="minorHAnsi" w:hAnsiTheme="minorHAnsi"/>
                <w:color w:val="000000"/>
                <w:sz w:val="22"/>
                <w:szCs w:val="22"/>
                <w:lang w:val="en"/>
              </w:rPr>
              <w:t xml:space="preserve"> K, </w:t>
            </w:r>
            <w:r>
              <w:rPr>
                <w:rFonts w:asciiTheme="minorHAnsi" w:hAnsiTheme="minorHAnsi"/>
                <w:color w:val="000000"/>
                <w:sz w:val="22"/>
                <w:szCs w:val="22"/>
                <w:lang w:val="en"/>
              </w:rPr>
              <w:t>Haymann</w:t>
            </w:r>
            <w:r w:rsidR="00D95517" w:rsidRPr="00E47E4E">
              <w:rPr>
                <w:rFonts w:asciiTheme="minorHAnsi" w:hAnsiTheme="minorHAnsi"/>
                <w:color w:val="000000"/>
                <w:sz w:val="22"/>
                <w:szCs w:val="22"/>
                <w:lang w:val="en"/>
              </w:rPr>
              <w:t xml:space="preserve"> JP, et al </w:t>
            </w:r>
            <w:r>
              <w:rPr>
                <w:rFonts w:asciiTheme="minorHAnsi" w:hAnsiTheme="minorHAnsi"/>
                <w:color w:val="000000"/>
                <w:sz w:val="22"/>
                <w:szCs w:val="22"/>
                <w:lang w:val="en"/>
              </w:rPr>
              <w:t>(</w:t>
            </w:r>
            <w:r w:rsidR="00D95517" w:rsidRPr="00E47E4E">
              <w:rPr>
                <w:rFonts w:asciiTheme="minorHAnsi" w:hAnsiTheme="minorHAnsi"/>
                <w:color w:val="000000"/>
                <w:sz w:val="22"/>
                <w:szCs w:val="22"/>
                <w:lang w:val="en"/>
              </w:rPr>
              <w:t>1996</w:t>
            </w:r>
            <w:r>
              <w:rPr>
                <w:rFonts w:asciiTheme="minorHAnsi" w:hAnsiTheme="minorHAnsi"/>
                <w:color w:val="000000"/>
                <w:sz w:val="22"/>
                <w:szCs w:val="22"/>
                <w:lang w:val="en"/>
              </w:rPr>
              <w:t xml:space="preserve">) </w:t>
            </w:r>
            <w:r w:rsidR="00D95517" w:rsidRPr="00E47E4E">
              <w:rPr>
                <w:rFonts w:asciiTheme="minorHAnsi" w:hAnsiTheme="minorHAnsi"/>
                <w:color w:val="000000"/>
                <w:sz w:val="22"/>
                <w:szCs w:val="22"/>
                <w:lang w:val="en"/>
              </w:rPr>
              <w:t>Long-term benefit of intravenous immunoglobulins in cadav</w:t>
            </w:r>
            <w:r>
              <w:rPr>
                <w:rFonts w:asciiTheme="minorHAnsi" w:hAnsiTheme="minorHAnsi"/>
                <w:color w:val="000000"/>
                <w:sz w:val="22"/>
                <w:szCs w:val="22"/>
                <w:lang w:val="en"/>
              </w:rPr>
              <w:t xml:space="preserve">eric kidney retransplantation. </w:t>
            </w:r>
            <w:r w:rsidR="00D95517" w:rsidRPr="00E47E4E">
              <w:rPr>
                <w:rStyle w:val="Emphasis"/>
                <w:rFonts w:asciiTheme="minorHAnsi" w:hAnsiTheme="minorHAnsi"/>
                <w:color w:val="000000"/>
                <w:sz w:val="22"/>
                <w:szCs w:val="22"/>
                <w:lang w:val="en"/>
              </w:rPr>
              <w:t>Transplantation</w:t>
            </w:r>
            <w:r w:rsidR="00D95517" w:rsidRPr="00E47E4E">
              <w:rPr>
                <w:rFonts w:asciiTheme="minorHAnsi" w:hAnsiTheme="minorHAnsi"/>
                <w:color w:val="000000"/>
                <w:sz w:val="22"/>
                <w:szCs w:val="22"/>
                <w:lang w:val="en"/>
              </w:rPr>
              <w:t xml:space="preserve">, </w:t>
            </w:r>
            <w:r w:rsidR="00940B4D">
              <w:rPr>
                <w:rFonts w:asciiTheme="minorHAnsi" w:hAnsiTheme="minorHAnsi"/>
                <w:color w:val="000000"/>
                <w:sz w:val="22"/>
                <w:szCs w:val="22"/>
                <w:lang w:val="en"/>
              </w:rPr>
              <w:t>62(</w:t>
            </w:r>
            <w:r w:rsidR="00D95517" w:rsidRPr="00E47E4E">
              <w:rPr>
                <w:rFonts w:asciiTheme="minorHAnsi" w:hAnsiTheme="minorHAnsi"/>
                <w:color w:val="000000"/>
                <w:sz w:val="22"/>
                <w:szCs w:val="22"/>
                <w:lang w:val="en"/>
              </w:rPr>
              <w:t>11</w:t>
            </w:r>
            <w:r w:rsidR="00940B4D">
              <w:rPr>
                <w:rFonts w:asciiTheme="minorHAnsi" w:hAnsiTheme="minorHAnsi"/>
                <w:color w:val="000000"/>
                <w:sz w:val="22"/>
                <w:szCs w:val="22"/>
                <w:lang w:val="en"/>
              </w:rPr>
              <w:t>):</w:t>
            </w:r>
            <w:r w:rsidR="00D95517" w:rsidRPr="00E47E4E">
              <w:rPr>
                <w:rFonts w:asciiTheme="minorHAnsi" w:hAnsiTheme="minorHAnsi"/>
                <w:color w:val="000000"/>
                <w:sz w:val="22"/>
                <w:szCs w:val="22"/>
                <w:lang w:val="en"/>
              </w:rPr>
              <w:t>1670–3.</w:t>
            </w:r>
          </w:p>
          <w:p w:rsidR="00940B4D" w:rsidRPr="00940B4D" w:rsidRDefault="007B2A4C" w:rsidP="00D95517">
            <w:pPr>
              <w:pStyle w:val="NormalWeb"/>
              <w:spacing w:before="0" w:beforeAutospacing="0" w:after="0" w:afterAutospacing="0" w:line="360" w:lineRule="atLeast"/>
              <w:contextualSpacing/>
              <w:rPr>
                <w:rFonts w:asciiTheme="minorHAnsi" w:hAnsiTheme="minorHAnsi"/>
                <w:color w:val="808080" w:themeColor="background1" w:themeShade="80"/>
                <w:sz w:val="22"/>
                <w:szCs w:val="22"/>
                <w:lang w:val="en"/>
              </w:rPr>
            </w:pPr>
            <w:hyperlink r:id="rId36" w:history="1">
              <w:r w:rsidR="00940B4D" w:rsidRPr="00940B4D">
                <w:rPr>
                  <w:rStyle w:val="Hyperlink"/>
                  <w:rFonts w:asciiTheme="minorHAnsi" w:hAnsiTheme="minorHAnsi"/>
                  <w:color w:val="808080" w:themeColor="background1" w:themeShade="80"/>
                  <w:sz w:val="22"/>
                  <w:szCs w:val="22"/>
                  <w:lang w:val="en"/>
                </w:rPr>
                <w:t>https://www.ncbi.nlm.nih.gov/pubmed/8970626</w:t>
              </w:r>
            </w:hyperlink>
          </w:p>
          <w:p w:rsidR="00940B4D" w:rsidRPr="00E47E4E" w:rsidRDefault="00940B4D" w:rsidP="00D95517">
            <w:pPr>
              <w:pStyle w:val="NormalWeb"/>
              <w:spacing w:before="0" w:beforeAutospacing="0" w:after="0" w:afterAutospacing="0" w:line="360" w:lineRule="atLeast"/>
              <w:contextualSpacing/>
              <w:rPr>
                <w:rFonts w:asciiTheme="minorHAnsi" w:hAnsiTheme="minorHAnsi"/>
                <w:color w:val="000000"/>
                <w:sz w:val="22"/>
                <w:szCs w:val="22"/>
                <w:lang w:val="en"/>
              </w:rPr>
            </w:pPr>
          </w:p>
          <w:p w:rsidR="00D95517" w:rsidRDefault="00940B4D" w:rsidP="00D95517">
            <w:pPr>
              <w:pStyle w:val="NormalWeb"/>
              <w:spacing w:before="0" w:beforeAutospacing="0" w:after="0" w:afterAutospacing="0" w:line="360" w:lineRule="atLeast"/>
              <w:contextualSpacing/>
              <w:rPr>
                <w:rFonts w:asciiTheme="minorHAnsi" w:hAnsiTheme="minorHAnsi"/>
                <w:color w:val="000000"/>
                <w:sz w:val="22"/>
                <w:szCs w:val="22"/>
                <w:lang w:val="en"/>
              </w:rPr>
            </w:pPr>
            <w:r>
              <w:rPr>
                <w:rFonts w:asciiTheme="minorHAnsi" w:hAnsiTheme="minorHAnsi"/>
                <w:color w:val="000000"/>
                <w:sz w:val="22"/>
                <w:szCs w:val="22"/>
                <w:lang w:val="en"/>
              </w:rPr>
              <w:t>Puliyanda D, Radha RK, Amet</w:t>
            </w:r>
            <w:r w:rsidR="00D95517" w:rsidRPr="00E47E4E">
              <w:rPr>
                <w:rFonts w:asciiTheme="minorHAnsi" w:hAnsiTheme="minorHAnsi"/>
                <w:color w:val="000000"/>
                <w:sz w:val="22"/>
                <w:szCs w:val="22"/>
                <w:lang w:val="en"/>
              </w:rPr>
              <w:t xml:space="preserve"> N, et al </w:t>
            </w:r>
            <w:r>
              <w:rPr>
                <w:rFonts w:asciiTheme="minorHAnsi" w:hAnsiTheme="minorHAnsi"/>
                <w:color w:val="000000"/>
                <w:sz w:val="22"/>
                <w:szCs w:val="22"/>
                <w:lang w:val="en"/>
              </w:rPr>
              <w:t>(</w:t>
            </w:r>
            <w:r w:rsidR="00D95517" w:rsidRPr="00E47E4E">
              <w:rPr>
                <w:rFonts w:asciiTheme="minorHAnsi" w:hAnsiTheme="minorHAnsi"/>
                <w:color w:val="000000"/>
                <w:sz w:val="22"/>
                <w:szCs w:val="22"/>
                <w:lang w:val="en"/>
              </w:rPr>
              <w:t>2003</w:t>
            </w:r>
            <w:r>
              <w:rPr>
                <w:rFonts w:asciiTheme="minorHAnsi" w:hAnsiTheme="minorHAnsi"/>
                <w:color w:val="000000"/>
                <w:sz w:val="22"/>
                <w:szCs w:val="22"/>
                <w:lang w:val="en"/>
              </w:rPr>
              <w:t xml:space="preserve">) </w:t>
            </w:r>
            <w:r w:rsidR="00F6525C">
              <w:rPr>
                <w:rFonts w:asciiTheme="minorHAnsi" w:hAnsiTheme="minorHAnsi"/>
                <w:color w:val="000000"/>
                <w:sz w:val="22"/>
                <w:szCs w:val="22"/>
                <w:lang w:val="en"/>
              </w:rPr>
              <w:t>IVIg</w:t>
            </w:r>
            <w:r w:rsidR="00D95517" w:rsidRPr="00E47E4E">
              <w:rPr>
                <w:rFonts w:asciiTheme="minorHAnsi" w:hAnsiTheme="minorHAnsi"/>
                <w:color w:val="000000"/>
                <w:sz w:val="22"/>
                <w:szCs w:val="22"/>
                <w:lang w:val="en"/>
              </w:rPr>
              <w:t xml:space="preserve"> contains antibodies reactive with polyoma BK virus and may represent a therapeu</w:t>
            </w:r>
            <w:r>
              <w:rPr>
                <w:rFonts w:asciiTheme="minorHAnsi" w:hAnsiTheme="minorHAnsi"/>
                <w:color w:val="000000"/>
                <w:sz w:val="22"/>
                <w:szCs w:val="22"/>
                <w:lang w:val="en"/>
              </w:rPr>
              <w:t xml:space="preserve">tic option for BK nephropathy. </w:t>
            </w:r>
            <w:r w:rsidR="00D95517" w:rsidRPr="00E47E4E">
              <w:rPr>
                <w:rStyle w:val="Emphasis"/>
                <w:rFonts w:asciiTheme="minorHAnsi" w:hAnsiTheme="minorHAnsi"/>
                <w:color w:val="000000"/>
                <w:sz w:val="22"/>
                <w:szCs w:val="22"/>
                <w:lang w:val="en"/>
              </w:rPr>
              <w:t>American Journal of Transplantation</w:t>
            </w:r>
            <w:r w:rsidR="00D95517" w:rsidRPr="00E47E4E">
              <w:rPr>
                <w:rFonts w:asciiTheme="minorHAnsi" w:hAnsiTheme="minorHAnsi"/>
                <w:color w:val="000000"/>
                <w:sz w:val="22"/>
                <w:szCs w:val="22"/>
                <w:lang w:val="en"/>
              </w:rPr>
              <w:t xml:space="preserve">, </w:t>
            </w:r>
            <w:r>
              <w:rPr>
                <w:rFonts w:asciiTheme="minorHAnsi" w:hAnsiTheme="minorHAnsi"/>
                <w:color w:val="000000"/>
                <w:sz w:val="22"/>
                <w:szCs w:val="22"/>
                <w:lang w:val="en"/>
              </w:rPr>
              <w:t>3(</w:t>
            </w:r>
            <w:r w:rsidR="00D95517" w:rsidRPr="00E47E4E">
              <w:rPr>
                <w:rFonts w:asciiTheme="minorHAnsi" w:hAnsiTheme="minorHAnsi"/>
                <w:color w:val="000000"/>
                <w:sz w:val="22"/>
                <w:szCs w:val="22"/>
                <w:lang w:val="en"/>
              </w:rPr>
              <w:t>4</w:t>
            </w:r>
            <w:r>
              <w:rPr>
                <w:rFonts w:asciiTheme="minorHAnsi" w:hAnsiTheme="minorHAnsi"/>
                <w:color w:val="000000"/>
                <w:sz w:val="22"/>
                <w:szCs w:val="22"/>
                <w:lang w:val="en"/>
              </w:rPr>
              <w:t>):</w:t>
            </w:r>
            <w:r w:rsidR="00D95517" w:rsidRPr="00E47E4E">
              <w:rPr>
                <w:rFonts w:asciiTheme="minorHAnsi" w:hAnsiTheme="minorHAnsi"/>
                <w:color w:val="000000"/>
                <w:sz w:val="22"/>
                <w:szCs w:val="22"/>
                <w:lang w:val="en"/>
              </w:rPr>
              <w:t>393.</w:t>
            </w:r>
          </w:p>
          <w:p w:rsidR="00940B4D" w:rsidRPr="00940B4D" w:rsidRDefault="007B2A4C" w:rsidP="00D95517">
            <w:pPr>
              <w:pStyle w:val="NormalWeb"/>
              <w:spacing w:before="0" w:beforeAutospacing="0" w:after="0" w:afterAutospacing="0" w:line="360" w:lineRule="atLeast"/>
              <w:contextualSpacing/>
              <w:rPr>
                <w:rFonts w:asciiTheme="minorHAnsi" w:hAnsiTheme="minorHAnsi"/>
                <w:color w:val="808080" w:themeColor="background1" w:themeShade="80"/>
                <w:sz w:val="22"/>
                <w:szCs w:val="22"/>
                <w:lang w:val="en"/>
              </w:rPr>
            </w:pPr>
            <w:hyperlink r:id="rId37" w:history="1">
              <w:r w:rsidR="00940B4D" w:rsidRPr="00940B4D">
                <w:rPr>
                  <w:rStyle w:val="Hyperlink"/>
                  <w:rFonts w:asciiTheme="minorHAnsi" w:hAnsiTheme="minorHAnsi"/>
                  <w:color w:val="808080" w:themeColor="background1" w:themeShade="80"/>
                  <w:sz w:val="22"/>
                  <w:szCs w:val="22"/>
                  <w:lang w:val="en"/>
                </w:rPr>
                <w:t>https://www.ncbi.nlm.nih.gov/pmc/articles/PMC3075564/</w:t>
              </w:r>
            </w:hyperlink>
          </w:p>
          <w:p w:rsidR="00940B4D" w:rsidRDefault="00940B4D" w:rsidP="00D95517">
            <w:pPr>
              <w:pStyle w:val="NormalWeb"/>
              <w:spacing w:before="0" w:beforeAutospacing="0" w:after="0" w:afterAutospacing="0" w:line="360" w:lineRule="atLeast"/>
              <w:contextualSpacing/>
              <w:rPr>
                <w:rFonts w:asciiTheme="minorHAnsi" w:hAnsiTheme="minorHAnsi"/>
                <w:color w:val="000000"/>
                <w:sz w:val="22"/>
                <w:szCs w:val="22"/>
                <w:lang w:val="en"/>
              </w:rPr>
            </w:pPr>
          </w:p>
          <w:p w:rsidR="00A27A0A" w:rsidRPr="00A27A0A" w:rsidRDefault="00A27A0A" w:rsidP="00D95517">
            <w:pPr>
              <w:pStyle w:val="NormalWeb"/>
              <w:spacing w:before="0" w:beforeAutospacing="0" w:after="0" w:afterAutospacing="0" w:line="360" w:lineRule="atLeast"/>
              <w:contextualSpacing/>
              <w:rPr>
                <w:rFonts w:asciiTheme="minorHAnsi" w:hAnsiTheme="minorHAnsi"/>
                <w:color w:val="000000"/>
                <w:sz w:val="22"/>
                <w:szCs w:val="22"/>
                <w:lang w:val="en"/>
              </w:rPr>
            </w:pPr>
            <w:r w:rsidRPr="0048434B">
              <w:rPr>
                <w:rFonts w:asciiTheme="minorHAnsi" w:eastAsia="Times New Roman" w:hAnsiTheme="minorHAnsi"/>
                <w:color w:val="000000"/>
                <w:sz w:val="22"/>
                <w:szCs w:val="22"/>
                <w:lang w:eastAsia="en-AU"/>
              </w:rPr>
              <w:t>Sautenet B, Blancho G, Büchler M, Morelon E, Toupance O, Barrou</w:t>
            </w:r>
            <w:r w:rsidR="0048434B" w:rsidRPr="0048434B">
              <w:rPr>
                <w:rFonts w:asciiTheme="minorHAnsi" w:eastAsia="Times New Roman" w:hAnsiTheme="minorHAnsi"/>
                <w:color w:val="000000"/>
                <w:sz w:val="22"/>
                <w:szCs w:val="22"/>
                <w:lang w:eastAsia="en-AU"/>
              </w:rPr>
              <w:t xml:space="preserve"> B et al (2016)</w:t>
            </w:r>
            <w:r w:rsidRPr="0048434B">
              <w:rPr>
                <w:rFonts w:asciiTheme="minorHAnsi" w:eastAsia="Times New Roman" w:hAnsiTheme="minorHAnsi"/>
                <w:color w:val="000000"/>
                <w:sz w:val="22"/>
                <w:szCs w:val="22"/>
                <w:lang w:eastAsia="en-AU"/>
              </w:rPr>
              <w:t xml:space="preserve"> One-year Results of the Effects of Rituximab on Acute Antibody-Mediated Rejection in Renal </w:t>
            </w:r>
            <w:r w:rsidR="0048434B">
              <w:rPr>
                <w:rFonts w:asciiTheme="minorHAnsi" w:eastAsia="Times New Roman" w:hAnsiTheme="minorHAnsi"/>
                <w:color w:val="000000"/>
                <w:sz w:val="22"/>
                <w:szCs w:val="22"/>
                <w:lang w:eastAsia="en-AU"/>
              </w:rPr>
              <w:t xml:space="preserve">Transplantation. </w:t>
            </w:r>
            <w:r w:rsidR="0048434B" w:rsidRPr="0048434B">
              <w:rPr>
                <w:rFonts w:asciiTheme="minorHAnsi" w:eastAsia="Times New Roman" w:hAnsiTheme="minorHAnsi"/>
                <w:i/>
                <w:color w:val="000000"/>
                <w:sz w:val="22"/>
                <w:szCs w:val="22"/>
                <w:lang w:eastAsia="en-AU"/>
              </w:rPr>
              <w:t>Transplantation</w:t>
            </w:r>
            <w:r w:rsidR="0048434B">
              <w:rPr>
                <w:rFonts w:asciiTheme="minorHAnsi" w:eastAsia="Times New Roman" w:hAnsiTheme="minorHAnsi"/>
                <w:color w:val="000000"/>
                <w:sz w:val="22"/>
                <w:szCs w:val="22"/>
                <w:lang w:eastAsia="en-AU"/>
              </w:rPr>
              <w:t xml:space="preserve">, </w:t>
            </w:r>
            <w:r w:rsidRPr="0048434B">
              <w:rPr>
                <w:rFonts w:asciiTheme="minorHAnsi" w:eastAsia="Times New Roman" w:hAnsiTheme="minorHAnsi"/>
                <w:color w:val="000000"/>
                <w:sz w:val="22"/>
                <w:szCs w:val="22"/>
                <w:lang w:eastAsia="en-AU"/>
              </w:rPr>
              <w:t>100(2):391-399.</w:t>
            </w:r>
          </w:p>
          <w:p w:rsidR="00A27A0A" w:rsidRPr="0048434B" w:rsidRDefault="007B2A4C" w:rsidP="00D95517">
            <w:pPr>
              <w:pStyle w:val="NormalWeb"/>
              <w:spacing w:before="0" w:beforeAutospacing="0" w:after="0" w:afterAutospacing="0" w:line="360" w:lineRule="atLeast"/>
              <w:contextualSpacing/>
              <w:rPr>
                <w:rFonts w:asciiTheme="minorHAnsi" w:hAnsiTheme="minorHAnsi"/>
                <w:color w:val="808080" w:themeColor="background1" w:themeShade="80"/>
                <w:sz w:val="22"/>
                <w:szCs w:val="22"/>
                <w:lang w:val="en"/>
              </w:rPr>
            </w:pPr>
            <w:hyperlink r:id="rId38" w:history="1">
              <w:r w:rsidR="0048434B" w:rsidRPr="0048434B">
                <w:rPr>
                  <w:rStyle w:val="Hyperlink"/>
                  <w:rFonts w:asciiTheme="minorHAnsi" w:hAnsiTheme="minorHAnsi"/>
                  <w:color w:val="808080" w:themeColor="background1" w:themeShade="80"/>
                  <w:sz w:val="22"/>
                  <w:szCs w:val="22"/>
                  <w:lang w:val="en"/>
                </w:rPr>
                <w:t>http://mobile.journals.lww.com/transplantjournal/Fulltext/2016/02000/One_year_Results_of_the_Effects_of_Rituximab_on.24.aspx?WT.mc_id=HPxADx20100319xMP</w:t>
              </w:r>
            </w:hyperlink>
          </w:p>
          <w:p w:rsidR="0048434B" w:rsidRPr="00A27A0A" w:rsidRDefault="0048434B" w:rsidP="00D95517">
            <w:pPr>
              <w:pStyle w:val="NormalWeb"/>
              <w:spacing w:before="0" w:beforeAutospacing="0" w:after="0" w:afterAutospacing="0" w:line="360" w:lineRule="atLeast"/>
              <w:contextualSpacing/>
              <w:rPr>
                <w:rFonts w:asciiTheme="minorHAnsi" w:hAnsiTheme="minorHAnsi"/>
                <w:color w:val="000000"/>
                <w:sz w:val="22"/>
                <w:szCs w:val="22"/>
                <w:lang w:val="en"/>
              </w:rPr>
            </w:pPr>
          </w:p>
          <w:p w:rsidR="00D95517" w:rsidRDefault="00940B4D" w:rsidP="00D95517">
            <w:pPr>
              <w:pStyle w:val="NormalWeb"/>
              <w:spacing w:before="0" w:beforeAutospacing="0" w:after="0" w:afterAutospacing="0" w:line="360" w:lineRule="atLeast"/>
              <w:contextualSpacing/>
              <w:rPr>
                <w:rFonts w:asciiTheme="minorHAnsi" w:hAnsiTheme="minorHAnsi"/>
                <w:color w:val="000000"/>
                <w:sz w:val="22"/>
                <w:szCs w:val="22"/>
                <w:lang w:val="en"/>
              </w:rPr>
            </w:pPr>
            <w:r>
              <w:rPr>
                <w:rFonts w:asciiTheme="minorHAnsi" w:hAnsiTheme="minorHAnsi"/>
                <w:color w:val="000000"/>
                <w:sz w:val="22"/>
                <w:szCs w:val="22"/>
                <w:lang w:val="en"/>
              </w:rPr>
              <w:t>Sonnenday CJ, Warren DS, Cooper</w:t>
            </w:r>
            <w:r w:rsidR="00D95517" w:rsidRPr="00E47E4E">
              <w:rPr>
                <w:rFonts w:asciiTheme="minorHAnsi" w:hAnsiTheme="minorHAnsi"/>
                <w:color w:val="000000"/>
                <w:sz w:val="22"/>
                <w:szCs w:val="22"/>
                <w:lang w:val="en"/>
              </w:rPr>
              <w:t xml:space="preserve"> MC, et al </w:t>
            </w:r>
            <w:r>
              <w:rPr>
                <w:rFonts w:asciiTheme="minorHAnsi" w:hAnsiTheme="minorHAnsi"/>
                <w:color w:val="000000"/>
                <w:sz w:val="22"/>
                <w:szCs w:val="22"/>
                <w:lang w:val="en"/>
              </w:rPr>
              <w:t>(</w:t>
            </w:r>
            <w:r w:rsidR="00D95517" w:rsidRPr="00E47E4E">
              <w:rPr>
                <w:rFonts w:asciiTheme="minorHAnsi" w:hAnsiTheme="minorHAnsi"/>
                <w:color w:val="000000"/>
                <w:sz w:val="22"/>
                <w:szCs w:val="22"/>
                <w:lang w:val="en"/>
              </w:rPr>
              <w:t>2004</w:t>
            </w:r>
            <w:r>
              <w:rPr>
                <w:rFonts w:asciiTheme="minorHAnsi" w:hAnsiTheme="minorHAnsi"/>
                <w:color w:val="000000"/>
                <w:sz w:val="22"/>
                <w:szCs w:val="22"/>
                <w:lang w:val="en"/>
              </w:rPr>
              <w:t xml:space="preserve">) </w:t>
            </w:r>
            <w:r w:rsidR="00D95517" w:rsidRPr="00E47E4E">
              <w:rPr>
                <w:rFonts w:asciiTheme="minorHAnsi" w:hAnsiTheme="minorHAnsi"/>
                <w:color w:val="000000"/>
                <w:sz w:val="22"/>
                <w:szCs w:val="22"/>
                <w:lang w:val="en"/>
              </w:rPr>
              <w:t>Plasmapheresis, CMV hyperimmune globulin, and anti-CD20 allow ABO-incompatible renal transp</w:t>
            </w:r>
            <w:r>
              <w:rPr>
                <w:rFonts w:asciiTheme="minorHAnsi" w:hAnsiTheme="minorHAnsi"/>
                <w:color w:val="000000"/>
                <w:sz w:val="22"/>
                <w:szCs w:val="22"/>
                <w:lang w:val="en"/>
              </w:rPr>
              <w:t xml:space="preserve">lantation without splenectomy. </w:t>
            </w:r>
            <w:r w:rsidR="00D95517" w:rsidRPr="00E47E4E">
              <w:rPr>
                <w:rStyle w:val="Emphasis"/>
                <w:rFonts w:asciiTheme="minorHAnsi" w:hAnsiTheme="minorHAnsi"/>
                <w:color w:val="000000"/>
                <w:sz w:val="22"/>
                <w:szCs w:val="22"/>
                <w:lang w:val="en"/>
              </w:rPr>
              <w:t>American Journal of Transplantation</w:t>
            </w:r>
            <w:r>
              <w:rPr>
                <w:rFonts w:asciiTheme="minorHAnsi" w:hAnsiTheme="minorHAnsi"/>
                <w:color w:val="000000"/>
                <w:sz w:val="22"/>
                <w:szCs w:val="22"/>
                <w:lang w:val="en"/>
              </w:rPr>
              <w:t>, 4:</w:t>
            </w:r>
            <w:r w:rsidR="00D95517" w:rsidRPr="00E47E4E">
              <w:rPr>
                <w:rFonts w:asciiTheme="minorHAnsi" w:hAnsiTheme="minorHAnsi"/>
                <w:color w:val="000000"/>
                <w:sz w:val="22"/>
                <w:szCs w:val="22"/>
                <w:lang w:val="en"/>
              </w:rPr>
              <w:t>1315–22.</w:t>
            </w:r>
          </w:p>
          <w:p w:rsidR="00940B4D" w:rsidRPr="00940B4D" w:rsidRDefault="007B2A4C" w:rsidP="00D95517">
            <w:pPr>
              <w:pStyle w:val="NormalWeb"/>
              <w:spacing w:before="0" w:beforeAutospacing="0" w:after="0" w:afterAutospacing="0" w:line="360" w:lineRule="atLeast"/>
              <w:contextualSpacing/>
              <w:rPr>
                <w:rFonts w:asciiTheme="minorHAnsi" w:hAnsiTheme="minorHAnsi"/>
                <w:color w:val="808080" w:themeColor="background1" w:themeShade="80"/>
                <w:sz w:val="22"/>
                <w:szCs w:val="22"/>
                <w:lang w:val="en"/>
              </w:rPr>
            </w:pPr>
            <w:hyperlink r:id="rId39" w:history="1">
              <w:r w:rsidR="00940B4D" w:rsidRPr="00940B4D">
                <w:rPr>
                  <w:rStyle w:val="Hyperlink"/>
                  <w:rFonts w:asciiTheme="minorHAnsi" w:hAnsiTheme="minorHAnsi"/>
                  <w:color w:val="808080" w:themeColor="background1" w:themeShade="80"/>
                  <w:sz w:val="22"/>
                  <w:szCs w:val="22"/>
                  <w:lang w:val="en"/>
                </w:rPr>
                <w:t>https://www.ncbi.nlm.nih.gov/pubmed/15268734</w:t>
              </w:r>
            </w:hyperlink>
          </w:p>
          <w:p w:rsidR="00940B4D" w:rsidRPr="00E47E4E" w:rsidRDefault="00940B4D" w:rsidP="00D95517">
            <w:pPr>
              <w:pStyle w:val="NormalWeb"/>
              <w:spacing w:before="0" w:beforeAutospacing="0" w:after="0" w:afterAutospacing="0" w:line="360" w:lineRule="atLeast"/>
              <w:contextualSpacing/>
              <w:rPr>
                <w:rFonts w:asciiTheme="minorHAnsi" w:hAnsiTheme="minorHAnsi"/>
                <w:color w:val="000000"/>
                <w:sz w:val="22"/>
                <w:szCs w:val="22"/>
                <w:lang w:val="en"/>
              </w:rPr>
            </w:pPr>
          </w:p>
          <w:p w:rsidR="00D95517" w:rsidRDefault="00940B4D" w:rsidP="00D95517">
            <w:pPr>
              <w:pStyle w:val="NormalWeb"/>
              <w:spacing w:before="0" w:beforeAutospacing="0" w:after="0" w:afterAutospacing="0" w:line="360" w:lineRule="atLeast"/>
              <w:contextualSpacing/>
              <w:rPr>
                <w:rFonts w:asciiTheme="minorHAnsi" w:hAnsiTheme="minorHAnsi"/>
                <w:color w:val="000000"/>
                <w:sz w:val="22"/>
                <w:szCs w:val="22"/>
                <w:lang w:val="en"/>
              </w:rPr>
            </w:pPr>
            <w:r>
              <w:rPr>
                <w:rFonts w:asciiTheme="minorHAnsi" w:hAnsiTheme="minorHAnsi"/>
                <w:color w:val="000000"/>
                <w:sz w:val="22"/>
                <w:szCs w:val="22"/>
                <w:lang w:val="en"/>
              </w:rPr>
              <w:t>Takemoto SK, Zeevi A, Feng</w:t>
            </w:r>
            <w:r w:rsidR="00D95517" w:rsidRPr="00E47E4E">
              <w:rPr>
                <w:rFonts w:asciiTheme="minorHAnsi" w:hAnsiTheme="minorHAnsi"/>
                <w:color w:val="000000"/>
                <w:sz w:val="22"/>
                <w:szCs w:val="22"/>
                <w:lang w:val="en"/>
              </w:rPr>
              <w:t xml:space="preserve"> S, et al </w:t>
            </w:r>
            <w:r>
              <w:rPr>
                <w:rFonts w:asciiTheme="minorHAnsi" w:hAnsiTheme="minorHAnsi"/>
                <w:color w:val="000000"/>
                <w:sz w:val="22"/>
                <w:szCs w:val="22"/>
                <w:lang w:val="en"/>
              </w:rPr>
              <w:t>(</w:t>
            </w:r>
            <w:r w:rsidR="00D95517" w:rsidRPr="00E47E4E">
              <w:rPr>
                <w:rFonts w:asciiTheme="minorHAnsi" w:hAnsiTheme="minorHAnsi"/>
                <w:color w:val="000000"/>
                <w:sz w:val="22"/>
                <w:szCs w:val="22"/>
                <w:lang w:val="en"/>
              </w:rPr>
              <w:t>2004</w:t>
            </w:r>
            <w:r>
              <w:rPr>
                <w:rFonts w:asciiTheme="minorHAnsi" w:hAnsiTheme="minorHAnsi"/>
                <w:color w:val="000000"/>
                <w:sz w:val="22"/>
                <w:szCs w:val="22"/>
                <w:lang w:val="en"/>
              </w:rPr>
              <w:t xml:space="preserve">) </w:t>
            </w:r>
            <w:r w:rsidR="00D95517" w:rsidRPr="00E47E4E">
              <w:rPr>
                <w:rFonts w:asciiTheme="minorHAnsi" w:hAnsiTheme="minorHAnsi"/>
                <w:color w:val="000000"/>
                <w:sz w:val="22"/>
                <w:szCs w:val="22"/>
                <w:lang w:val="en"/>
              </w:rPr>
              <w:t>National conference to assess antibody-mediated rejection in</w:t>
            </w:r>
            <w:r>
              <w:rPr>
                <w:rFonts w:asciiTheme="minorHAnsi" w:hAnsiTheme="minorHAnsi"/>
                <w:color w:val="000000"/>
                <w:sz w:val="22"/>
                <w:szCs w:val="22"/>
                <w:lang w:val="en"/>
              </w:rPr>
              <w:t xml:space="preserve"> solid organ transplantation. </w:t>
            </w:r>
            <w:r w:rsidR="00D95517" w:rsidRPr="00E47E4E">
              <w:rPr>
                <w:rStyle w:val="Emphasis"/>
                <w:rFonts w:asciiTheme="minorHAnsi" w:hAnsiTheme="minorHAnsi"/>
                <w:color w:val="000000"/>
                <w:sz w:val="22"/>
                <w:szCs w:val="22"/>
                <w:lang w:val="en"/>
              </w:rPr>
              <w:t>American Journal of Transplantation</w:t>
            </w:r>
            <w:r>
              <w:rPr>
                <w:rFonts w:asciiTheme="minorHAnsi" w:hAnsiTheme="minorHAnsi"/>
                <w:color w:val="000000"/>
                <w:sz w:val="22"/>
                <w:szCs w:val="22"/>
                <w:lang w:val="en"/>
              </w:rPr>
              <w:t>, 4(7):</w:t>
            </w:r>
            <w:r w:rsidR="00D95517" w:rsidRPr="00E47E4E">
              <w:rPr>
                <w:rFonts w:asciiTheme="minorHAnsi" w:hAnsiTheme="minorHAnsi"/>
                <w:color w:val="000000"/>
                <w:sz w:val="22"/>
                <w:szCs w:val="22"/>
                <w:lang w:val="en"/>
              </w:rPr>
              <w:t>1033–41.</w:t>
            </w:r>
          </w:p>
          <w:p w:rsidR="00940B4D" w:rsidRPr="00940B4D" w:rsidRDefault="007B2A4C" w:rsidP="00D95517">
            <w:pPr>
              <w:pStyle w:val="NormalWeb"/>
              <w:spacing w:before="0" w:beforeAutospacing="0" w:after="0" w:afterAutospacing="0" w:line="360" w:lineRule="atLeast"/>
              <w:contextualSpacing/>
              <w:rPr>
                <w:rFonts w:asciiTheme="minorHAnsi" w:hAnsiTheme="minorHAnsi"/>
                <w:color w:val="808080" w:themeColor="background1" w:themeShade="80"/>
                <w:sz w:val="22"/>
                <w:szCs w:val="22"/>
                <w:lang w:val="en"/>
              </w:rPr>
            </w:pPr>
            <w:hyperlink r:id="rId40" w:history="1">
              <w:r w:rsidR="00940B4D" w:rsidRPr="00940B4D">
                <w:rPr>
                  <w:rStyle w:val="Hyperlink"/>
                  <w:rFonts w:asciiTheme="minorHAnsi" w:hAnsiTheme="minorHAnsi"/>
                  <w:color w:val="808080" w:themeColor="background1" w:themeShade="80"/>
                  <w:sz w:val="22"/>
                  <w:szCs w:val="22"/>
                  <w:lang w:val="en"/>
                </w:rPr>
                <w:t>https://www.ncbi.nlm.nih.gov/pubmed/15196059</w:t>
              </w:r>
            </w:hyperlink>
          </w:p>
          <w:p w:rsidR="00940B4D" w:rsidRPr="00E47E4E" w:rsidRDefault="00940B4D" w:rsidP="00D95517">
            <w:pPr>
              <w:pStyle w:val="NormalWeb"/>
              <w:spacing w:before="0" w:beforeAutospacing="0" w:after="0" w:afterAutospacing="0" w:line="360" w:lineRule="atLeast"/>
              <w:contextualSpacing/>
              <w:rPr>
                <w:rFonts w:asciiTheme="minorHAnsi" w:hAnsiTheme="minorHAnsi"/>
                <w:color w:val="000000"/>
                <w:sz w:val="22"/>
                <w:szCs w:val="22"/>
                <w:lang w:val="en"/>
              </w:rPr>
            </w:pPr>
          </w:p>
          <w:p w:rsidR="00D95517" w:rsidRDefault="00940B4D" w:rsidP="00D95517">
            <w:pPr>
              <w:pStyle w:val="NormalWeb"/>
              <w:spacing w:before="0" w:beforeAutospacing="0" w:after="0" w:afterAutospacing="0" w:line="360" w:lineRule="atLeast"/>
              <w:contextualSpacing/>
              <w:rPr>
                <w:rFonts w:asciiTheme="minorHAnsi" w:hAnsiTheme="minorHAnsi"/>
                <w:color w:val="000000"/>
                <w:sz w:val="22"/>
                <w:szCs w:val="22"/>
                <w:lang w:val="en"/>
              </w:rPr>
            </w:pPr>
            <w:r>
              <w:rPr>
                <w:rFonts w:asciiTheme="minorHAnsi" w:hAnsiTheme="minorHAnsi"/>
                <w:color w:val="000000"/>
                <w:sz w:val="22"/>
                <w:szCs w:val="22"/>
                <w:lang w:val="en"/>
              </w:rPr>
              <w:t>Tydén G, Kumlien G, Genberg</w:t>
            </w:r>
            <w:r w:rsidR="00D95517" w:rsidRPr="00E47E4E">
              <w:rPr>
                <w:rFonts w:asciiTheme="minorHAnsi" w:hAnsiTheme="minorHAnsi"/>
                <w:color w:val="000000"/>
                <w:sz w:val="22"/>
                <w:szCs w:val="22"/>
                <w:lang w:val="en"/>
              </w:rPr>
              <w:t xml:space="preserve"> H, et al </w:t>
            </w:r>
            <w:r>
              <w:rPr>
                <w:rFonts w:asciiTheme="minorHAnsi" w:hAnsiTheme="minorHAnsi"/>
                <w:color w:val="000000"/>
                <w:sz w:val="22"/>
                <w:szCs w:val="22"/>
                <w:lang w:val="en"/>
              </w:rPr>
              <w:t>(</w:t>
            </w:r>
            <w:r w:rsidR="00D95517" w:rsidRPr="00E47E4E">
              <w:rPr>
                <w:rFonts w:asciiTheme="minorHAnsi" w:hAnsiTheme="minorHAnsi"/>
                <w:color w:val="000000"/>
                <w:sz w:val="22"/>
                <w:szCs w:val="22"/>
                <w:lang w:val="en"/>
              </w:rPr>
              <w:t>2005</w:t>
            </w:r>
            <w:r>
              <w:rPr>
                <w:rFonts w:asciiTheme="minorHAnsi" w:hAnsiTheme="minorHAnsi"/>
                <w:color w:val="000000"/>
                <w:sz w:val="22"/>
                <w:szCs w:val="22"/>
                <w:lang w:val="en"/>
              </w:rPr>
              <w:t xml:space="preserve">) </w:t>
            </w:r>
            <w:r w:rsidR="00D95517" w:rsidRPr="00E47E4E">
              <w:rPr>
                <w:rFonts w:asciiTheme="minorHAnsi" w:hAnsiTheme="minorHAnsi"/>
                <w:color w:val="000000"/>
                <w:sz w:val="22"/>
                <w:szCs w:val="22"/>
                <w:lang w:val="en"/>
              </w:rPr>
              <w:t>ABO incompatible kidney transplantations without splenectomy, using antigen-specific immunoadsorption and rituxim</w:t>
            </w:r>
            <w:r>
              <w:rPr>
                <w:rFonts w:asciiTheme="minorHAnsi" w:hAnsiTheme="minorHAnsi"/>
                <w:color w:val="000000"/>
                <w:sz w:val="22"/>
                <w:szCs w:val="22"/>
                <w:lang w:val="en"/>
              </w:rPr>
              <w:t xml:space="preserve">ab. </w:t>
            </w:r>
            <w:r w:rsidR="00D95517" w:rsidRPr="00E47E4E">
              <w:rPr>
                <w:rStyle w:val="Emphasis"/>
                <w:rFonts w:asciiTheme="minorHAnsi" w:hAnsiTheme="minorHAnsi"/>
                <w:color w:val="000000"/>
                <w:sz w:val="22"/>
                <w:szCs w:val="22"/>
                <w:lang w:val="en"/>
              </w:rPr>
              <w:t>American Journal of Transplantation</w:t>
            </w:r>
            <w:proofErr w:type="gramStart"/>
            <w:r>
              <w:rPr>
                <w:rFonts w:asciiTheme="minorHAnsi" w:hAnsiTheme="minorHAnsi"/>
                <w:color w:val="000000"/>
                <w:sz w:val="22"/>
                <w:szCs w:val="22"/>
                <w:lang w:val="en"/>
              </w:rPr>
              <w:t>,  5</w:t>
            </w:r>
            <w:proofErr w:type="gramEnd"/>
            <w:r>
              <w:rPr>
                <w:rFonts w:asciiTheme="minorHAnsi" w:hAnsiTheme="minorHAnsi"/>
                <w:color w:val="000000"/>
                <w:sz w:val="22"/>
                <w:szCs w:val="22"/>
                <w:lang w:val="en"/>
              </w:rPr>
              <w:t>(</w:t>
            </w:r>
            <w:r w:rsidR="00D95517" w:rsidRPr="00E47E4E">
              <w:rPr>
                <w:rFonts w:asciiTheme="minorHAnsi" w:hAnsiTheme="minorHAnsi"/>
                <w:color w:val="000000"/>
                <w:sz w:val="22"/>
                <w:szCs w:val="22"/>
                <w:lang w:val="en"/>
              </w:rPr>
              <w:t>1</w:t>
            </w:r>
            <w:r>
              <w:rPr>
                <w:rFonts w:asciiTheme="minorHAnsi" w:hAnsiTheme="minorHAnsi"/>
                <w:color w:val="000000"/>
                <w:sz w:val="22"/>
                <w:szCs w:val="22"/>
                <w:lang w:val="en"/>
              </w:rPr>
              <w:t>):</w:t>
            </w:r>
            <w:r w:rsidR="00D95517" w:rsidRPr="00E47E4E">
              <w:rPr>
                <w:rFonts w:asciiTheme="minorHAnsi" w:hAnsiTheme="minorHAnsi"/>
                <w:color w:val="000000"/>
                <w:sz w:val="22"/>
                <w:szCs w:val="22"/>
                <w:lang w:val="en"/>
              </w:rPr>
              <w:t>145–8.</w:t>
            </w:r>
          </w:p>
          <w:p w:rsidR="00940B4D" w:rsidRPr="00940B4D" w:rsidRDefault="007B2A4C" w:rsidP="00D95517">
            <w:pPr>
              <w:pStyle w:val="NormalWeb"/>
              <w:spacing w:before="0" w:beforeAutospacing="0" w:after="0" w:afterAutospacing="0" w:line="360" w:lineRule="atLeast"/>
              <w:contextualSpacing/>
              <w:rPr>
                <w:rFonts w:asciiTheme="minorHAnsi" w:hAnsiTheme="minorHAnsi"/>
                <w:color w:val="808080" w:themeColor="background1" w:themeShade="80"/>
                <w:sz w:val="22"/>
                <w:szCs w:val="22"/>
                <w:lang w:val="en"/>
              </w:rPr>
            </w:pPr>
            <w:hyperlink r:id="rId41" w:history="1">
              <w:r w:rsidR="00940B4D" w:rsidRPr="00940B4D">
                <w:rPr>
                  <w:rStyle w:val="Hyperlink"/>
                  <w:rFonts w:asciiTheme="minorHAnsi" w:hAnsiTheme="minorHAnsi"/>
                  <w:color w:val="808080" w:themeColor="background1" w:themeShade="80"/>
                  <w:sz w:val="22"/>
                  <w:szCs w:val="22"/>
                  <w:lang w:val="en"/>
                </w:rPr>
                <w:t>https://www.ncbi.nlm.nih.gov/pubmed/15636623</w:t>
              </w:r>
            </w:hyperlink>
          </w:p>
          <w:p w:rsidR="00901F76" w:rsidRDefault="00D95517" w:rsidP="00D95517">
            <w:pPr>
              <w:pStyle w:val="NormalWeb"/>
              <w:spacing w:before="0" w:beforeAutospacing="0" w:after="0" w:afterAutospacing="0" w:line="360" w:lineRule="atLeast"/>
              <w:contextualSpacing/>
              <w:rPr>
                <w:rFonts w:asciiTheme="minorHAnsi" w:hAnsiTheme="minorHAnsi"/>
                <w:color w:val="000000"/>
                <w:sz w:val="22"/>
                <w:szCs w:val="22"/>
                <w:lang w:val="en"/>
              </w:rPr>
            </w:pPr>
            <w:r w:rsidRPr="00E47E4E">
              <w:rPr>
                <w:rFonts w:asciiTheme="minorHAnsi" w:hAnsiTheme="minorHAnsi"/>
                <w:color w:val="000000"/>
                <w:sz w:val="22"/>
                <w:szCs w:val="22"/>
                <w:lang w:val="en"/>
              </w:rPr>
              <w:t xml:space="preserve">UK National Kidney Federation </w:t>
            </w:r>
            <w:r w:rsidR="00940B4D">
              <w:rPr>
                <w:rFonts w:asciiTheme="minorHAnsi" w:hAnsiTheme="minorHAnsi"/>
                <w:color w:val="000000"/>
                <w:sz w:val="22"/>
                <w:szCs w:val="22"/>
                <w:lang w:val="en"/>
              </w:rPr>
              <w:t>(</w:t>
            </w:r>
            <w:r w:rsidRPr="00E47E4E">
              <w:rPr>
                <w:rFonts w:asciiTheme="minorHAnsi" w:hAnsiTheme="minorHAnsi"/>
                <w:color w:val="000000"/>
                <w:sz w:val="22"/>
                <w:szCs w:val="22"/>
                <w:lang w:val="en"/>
              </w:rPr>
              <w:t>2002</w:t>
            </w:r>
            <w:r w:rsidR="00940B4D">
              <w:rPr>
                <w:rFonts w:asciiTheme="minorHAnsi" w:hAnsiTheme="minorHAnsi"/>
                <w:color w:val="000000"/>
                <w:sz w:val="22"/>
                <w:szCs w:val="22"/>
                <w:lang w:val="en"/>
              </w:rPr>
              <w:t xml:space="preserve">) </w:t>
            </w:r>
            <w:r w:rsidRPr="00E47E4E">
              <w:rPr>
                <w:rStyle w:val="Emphasis"/>
                <w:rFonts w:asciiTheme="minorHAnsi" w:hAnsiTheme="minorHAnsi"/>
                <w:color w:val="000000"/>
                <w:sz w:val="22"/>
                <w:szCs w:val="22"/>
                <w:lang w:val="en"/>
              </w:rPr>
              <w:t>Transplant</w:t>
            </w:r>
            <w:r w:rsidRPr="00E47E4E">
              <w:rPr>
                <w:rFonts w:asciiTheme="minorHAnsi" w:hAnsiTheme="minorHAnsi"/>
                <w:color w:val="000000"/>
                <w:sz w:val="22"/>
                <w:szCs w:val="22"/>
                <w:lang w:val="en"/>
              </w:rPr>
              <w:t xml:space="preserve">’. Available from: </w:t>
            </w:r>
            <w:hyperlink r:id="rId42" w:anchor="rej " w:tooltip="Go to www.kidney.org.uk/Medical-Info/transplant.html#rej " w:history="1">
              <w:r w:rsidRPr="00006718">
                <w:rPr>
                  <w:rStyle w:val="Hyperlink"/>
                  <w:rFonts w:asciiTheme="minorHAnsi" w:eastAsia="HYGothic-Extra" w:hAnsiTheme="minorHAnsi"/>
                  <w:color w:val="808080" w:themeColor="background1" w:themeShade="80"/>
                  <w:sz w:val="22"/>
                  <w:szCs w:val="22"/>
                  <w:lang w:val="en"/>
                </w:rPr>
                <w:t xml:space="preserve">www.kidney.org.uk/Medical-Info/transplant.html#rej </w:t>
              </w:r>
            </w:hyperlink>
            <w:r w:rsidRPr="00E47E4E">
              <w:rPr>
                <w:rFonts w:asciiTheme="minorHAnsi" w:hAnsiTheme="minorHAnsi"/>
                <w:color w:val="000000"/>
                <w:sz w:val="22"/>
                <w:szCs w:val="22"/>
                <w:lang w:val="en"/>
              </w:rPr>
              <w:t>[cited 7 Dec 2007].</w:t>
            </w:r>
          </w:p>
          <w:p w:rsidR="00A27A0A" w:rsidRDefault="00A27A0A" w:rsidP="00A27A0A">
            <w:pPr>
              <w:pStyle w:val="NormalWeb"/>
              <w:spacing w:before="0" w:beforeAutospacing="0" w:after="0" w:afterAutospacing="0" w:line="360" w:lineRule="atLeast"/>
              <w:contextualSpacing/>
              <w:rPr>
                <w:rFonts w:asciiTheme="minorHAnsi" w:eastAsia="Times New Roman" w:hAnsiTheme="minorHAnsi"/>
                <w:color w:val="000000"/>
                <w:sz w:val="22"/>
                <w:szCs w:val="22"/>
                <w:lang w:eastAsia="en-AU"/>
              </w:rPr>
            </w:pPr>
          </w:p>
          <w:p w:rsidR="00A27A0A" w:rsidRPr="00A27A0A" w:rsidRDefault="00A27A0A" w:rsidP="00A27A0A">
            <w:pPr>
              <w:pStyle w:val="NormalWeb"/>
              <w:spacing w:before="0" w:beforeAutospacing="0" w:after="0" w:afterAutospacing="0" w:line="360" w:lineRule="atLeast"/>
              <w:contextualSpacing/>
              <w:rPr>
                <w:rFonts w:asciiTheme="minorHAnsi" w:hAnsiTheme="minorHAnsi"/>
                <w:color w:val="000000"/>
                <w:sz w:val="22"/>
                <w:szCs w:val="22"/>
                <w:lang w:val="en"/>
              </w:rPr>
            </w:pPr>
            <w:r w:rsidRPr="0048434B">
              <w:rPr>
                <w:rFonts w:asciiTheme="minorHAnsi" w:eastAsia="Times New Roman" w:hAnsiTheme="minorHAnsi"/>
                <w:color w:val="000000"/>
                <w:sz w:val="22"/>
                <w:szCs w:val="22"/>
                <w:lang w:eastAsia="en-AU"/>
              </w:rPr>
              <w:t>Viglietti D, Gosset C, Loupy A, Deville L, Verine J, Zeevi</w:t>
            </w:r>
            <w:r w:rsidR="0048434B" w:rsidRPr="0048434B">
              <w:rPr>
                <w:rFonts w:asciiTheme="minorHAnsi" w:eastAsia="Times New Roman" w:hAnsiTheme="minorHAnsi"/>
                <w:color w:val="000000"/>
                <w:sz w:val="22"/>
                <w:szCs w:val="22"/>
                <w:lang w:eastAsia="en-AU"/>
              </w:rPr>
              <w:t xml:space="preserve"> A et al (2016)</w:t>
            </w:r>
            <w:r w:rsidRPr="0048434B">
              <w:rPr>
                <w:rFonts w:asciiTheme="minorHAnsi" w:eastAsia="Times New Roman" w:hAnsiTheme="minorHAnsi"/>
                <w:color w:val="000000"/>
                <w:sz w:val="22"/>
                <w:szCs w:val="22"/>
                <w:lang w:eastAsia="en-AU"/>
              </w:rPr>
              <w:t xml:space="preserve"> </w:t>
            </w:r>
            <w:r w:rsidRPr="00C53B52">
              <w:rPr>
                <w:rFonts w:asciiTheme="minorHAnsi" w:eastAsia="Times New Roman" w:hAnsiTheme="minorHAnsi"/>
                <w:color w:val="000000"/>
                <w:sz w:val="22"/>
                <w:szCs w:val="22"/>
                <w:lang w:eastAsia="en-AU"/>
              </w:rPr>
              <w:t xml:space="preserve">C1 Inhibitor in Acute Antibody-Mediated Rejection Nonresponsive to Conventional Therapy in Kidney Transplant Recipients: A Pilot Study. </w:t>
            </w:r>
            <w:r w:rsidRPr="0048434B">
              <w:rPr>
                <w:rFonts w:asciiTheme="minorHAnsi" w:eastAsia="Times New Roman" w:hAnsiTheme="minorHAnsi"/>
                <w:i/>
                <w:color w:val="000000"/>
                <w:sz w:val="22"/>
                <w:szCs w:val="22"/>
                <w:lang w:eastAsia="en-AU"/>
              </w:rPr>
              <w:t>Ame</w:t>
            </w:r>
            <w:r w:rsidR="0048434B" w:rsidRPr="0048434B">
              <w:rPr>
                <w:rFonts w:asciiTheme="minorHAnsi" w:eastAsia="Times New Roman" w:hAnsiTheme="minorHAnsi"/>
                <w:i/>
                <w:color w:val="000000"/>
                <w:sz w:val="22"/>
                <w:szCs w:val="22"/>
                <w:lang w:eastAsia="en-AU"/>
              </w:rPr>
              <w:t>rican Journal of Transplantation</w:t>
            </w:r>
            <w:r w:rsidR="0048434B">
              <w:rPr>
                <w:rFonts w:asciiTheme="minorHAnsi" w:eastAsia="Times New Roman" w:hAnsiTheme="minorHAnsi"/>
                <w:color w:val="000000"/>
                <w:sz w:val="22"/>
                <w:szCs w:val="22"/>
                <w:lang w:eastAsia="en-AU"/>
              </w:rPr>
              <w:t xml:space="preserve">, </w:t>
            </w:r>
            <w:r w:rsidRPr="00C53B52">
              <w:rPr>
                <w:rFonts w:asciiTheme="minorHAnsi" w:eastAsia="Times New Roman" w:hAnsiTheme="minorHAnsi"/>
                <w:color w:val="000000"/>
                <w:sz w:val="22"/>
                <w:szCs w:val="22"/>
                <w:lang w:eastAsia="en-AU"/>
              </w:rPr>
              <w:t>16(5):1596-1603.</w:t>
            </w:r>
          </w:p>
          <w:p w:rsidR="00A27A0A" w:rsidRPr="0048434B" w:rsidRDefault="007B2A4C" w:rsidP="00D95517">
            <w:pPr>
              <w:pStyle w:val="NormalWeb"/>
              <w:spacing w:before="0" w:beforeAutospacing="0" w:after="0" w:afterAutospacing="0" w:line="360" w:lineRule="atLeast"/>
              <w:contextualSpacing/>
              <w:rPr>
                <w:rFonts w:asciiTheme="minorHAnsi" w:hAnsiTheme="minorHAnsi"/>
                <w:color w:val="808080" w:themeColor="background1" w:themeShade="80"/>
                <w:sz w:val="22"/>
                <w:szCs w:val="22"/>
                <w:lang w:val="en"/>
              </w:rPr>
            </w:pPr>
            <w:hyperlink r:id="rId43" w:history="1">
              <w:r w:rsidR="0048434B" w:rsidRPr="0048434B">
                <w:rPr>
                  <w:rStyle w:val="Hyperlink"/>
                  <w:rFonts w:asciiTheme="minorHAnsi" w:hAnsiTheme="minorHAnsi"/>
                  <w:color w:val="808080" w:themeColor="background1" w:themeShade="80"/>
                  <w:sz w:val="22"/>
                  <w:szCs w:val="22"/>
                  <w:lang w:val="en"/>
                </w:rPr>
                <w:t>https://www.ncbi.nlm.nih.gov/pubmed/26693703</w:t>
              </w:r>
            </w:hyperlink>
          </w:p>
          <w:p w:rsidR="0048434B" w:rsidRDefault="0048434B" w:rsidP="00D95517">
            <w:pPr>
              <w:pStyle w:val="NormalWeb"/>
              <w:spacing w:before="0" w:beforeAutospacing="0" w:after="0" w:afterAutospacing="0" w:line="360" w:lineRule="atLeast"/>
              <w:contextualSpacing/>
              <w:rPr>
                <w:rFonts w:asciiTheme="minorHAnsi" w:hAnsiTheme="minorHAnsi"/>
                <w:color w:val="000000"/>
                <w:sz w:val="22"/>
                <w:szCs w:val="22"/>
                <w:lang w:val="en"/>
              </w:rPr>
            </w:pPr>
          </w:p>
          <w:p w:rsidR="00A27A0A" w:rsidRDefault="00A27A0A" w:rsidP="0048434B">
            <w:pPr>
              <w:pStyle w:val="NormalWeb"/>
              <w:spacing w:before="0" w:beforeAutospacing="0" w:after="0" w:afterAutospacing="0" w:line="360" w:lineRule="atLeast"/>
              <w:contextualSpacing/>
              <w:rPr>
                <w:rFonts w:asciiTheme="minorHAnsi" w:eastAsia="Times New Roman" w:hAnsiTheme="minorHAnsi"/>
                <w:color w:val="000000"/>
                <w:sz w:val="22"/>
                <w:szCs w:val="22"/>
                <w:lang w:eastAsia="en-AU"/>
              </w:rPr>
            </w:pPr>
            <w:r w:rsidRPr="0048434B">
              <w:rPr>
                <w:rFonts w:asciiTheme="minorHAnsi" w:eastAsia="Times New Roman" w:hAnsiTheme="minorHAnsi"/>
                <w:color w:val="000000"/>
                <w:sz w:val="22"/>
                <w:szCs w:val="22"/>
                <w:lang w:eastAsia="en-AU"/>
              </w:rPr>
              <w:t xml:space="preserve">Zarkhin V, Li L, Kambham N, Sigdel T, Salvatierra </w:t>
            </w:r>
            <w:r w:rsidR="0048434B">
              <w:rPr>
                <w:rFonts w:asciiTheme="minorHAnsi" w:eastAsia="Times New Roman" w:hAnsiTheme="minorHAnsi"/>
                <w:color w:val="000000"/>
                <w:sz w:val="22"/>
                <w:szCs w:val="22"/>
                <w:lang w:eastAsia="en-AU"/>
              </w:rPr>
              <w:t>O, Sarwal M (2008)</w:t>
            </w:r>
            <w:r w:rsidRPr="0048434B">
              <w:rPr>
                <w:rFonts w:asciiTheme="minorHAnsi" w:eastAsia="Times New Roman" w:hAnsiTheme="minorHAnsi"/>
                <w:color w:val="000000"/>
                <w:sz w:val="22"/>
                <w:szCs w:val="22"/>
                <w:lang w:eastAsia="en-AU"/>
              </w:rPr>
              <w:t xml:space="preserve"> A Randomized, Prospective Trial of Rituximab for Acute Rejection in Pediatric Renal Transplantation. </w:t>
            </w:r>
            <w:r w:rsidRPr="0048434B">
              <w:rPr>
                <w:rFonts w:asciiTheme="minorHAnsi" w:eastAsia="Times New Roman" w:hAnsiTheme="minorHAnsi"/>
                <w:i/>
                <w:color w:val="000000"/>
                <w:sz w:val="22"/>
                <w:szCs w:val="22"/>
                <w:lang w:eastAsia="en-AU"/>
              </w:rPr>
              <w:t>Amer</w:t>
            </w:r>
            <w:r w:rsidR="0048434B" w:rsidRPr="0048434B">
              <w:rPr>
                <w:rFonts w:asciiTheme="minorHAnsi" w:eastAsia="Times New Roman" w:hAnsiTheme="minorHAnsi"/>
                <w:i/>
                <w:color w:val="000000"/>
                <w:sz w:val="22"/>
                <w:szCs w:val="22"/>
                <w:lang w:eastAsia="en-AU"/>
              </w:rPr>
              <w:t>ican Journal of Transplantation</w:t>
            </w:r>
            <w:r w:rsidR="0048434B">
              <w:rPr>
                <w:rFonts w:asciiTheme="minorHAnsi" w:eastAsia="Times New Roman" w:hAnsiTheme="minorHAnsi"/>
                <w:color w:val="000000"/>
                <w:sz w:val="22"/>
                <w:szCs w:val="22"/>
                <w:lang w:eastAsia="en-AU"/>
              </w:rPr>
              <w:t xml:space="preserve">, </w:t>
            </w:r>
            <w:r w:rsidRPr="0048434B">
              <w:rPr>
                <w:rFonts w:asciiTheme="minorHAnsi" w:eastAsia="Times New Roman" w:hAnsiTheme="minorHAnsi"/>
                <w:color w:val="000000"/>
                <w:sz w:val="22"/>
                <w:szCs w:val="22"/>
                <w:lang w:eastAsia="en-AU"/>
              </w:rPr>
              <w:t>8(12):2607-2617.</w:t>
            </w:r>
          </w:p>
          <w:p w:rsidR="0048434B" w:rsidRPr="0048434B" w:rsidRDefault="007B2A4C" w:rsidP="0048434B">
            <w:pPr>
              <w:pStyle w:val="NormalWeb"/>
              <w:spacing w:before="0" w:beforeAutospacing="0" w:after="0" w:afterAutospacing="0" w:line="360" w:lineRule="atLeast"/>
              <w:contextualSpacing/>
              <w:rPr>
                <w:rFonts w:asciiTheme="minorHAnsi" w:hAnsiTheme="minorHAnsi"/>
                <w:color w:val="808080" w:themeColor="background1" w:themeShade="80"/>
                <w:sz w:val="22"/>
                <w:szCs w:val="22"/>
                <w:lang w:val="en"/>
              </w:rPr>
            </w:pPr>
            <w:hyperlink r:id="rId44" w:history="1">
              <w:r w:rsidR="0048434B" w:rsidRPr="0048434B">
                <w:rPr>
                  <w:rStyle w:val="Hyperlink"/>
                  <w:rFonts w:asciiTheme="minorHAnsi" w:hAnsiTheme="minorHAnsi"/>
                  <w:color w:val="808080" w:themeColor="background1" w:themeShade="80"/>
                  <w:sz w:val="22"/>
                  <w:szCs w:val="22"/>
                  <w:lang w:val="en"/>
                </w:rPr>
                <w:t>http://onlinelibrary.wiley.com/doi/10.1111/j.1600-6143.2008.02411.x/full</w:t>
              </w:r>
            </w:hyperlink>
          </w:p>
          <w:p w:rsidR="0048434B" w:rsidRPr="0048434B" w:rsidRDefault="0048434B" w:rsidP="0048434B">
            <w:pPr>
              <w:pStyle w:val="NormalWeb"/>
              <w:spacing w:before="0" w:beforeAutospacing="0" w:after="0" w:afterAutospacing="0" w:line="360" w:lineRule="atLeast"/>
              <w:contextualSpacing/>
              <w:rPr>
                <w:rFonts w:asciiTheme="minorHAnsi" w:hAnsiTheme="minorHAnsi"/>
                <w:color w:val="000000"/>
                <w:sz w:val="22"/>
                <w:szCs w:val="22"/>
                <w:lang w:val="en"/>
              </w:rPr>
            </w:pPr>
          </w:p>
        </w:tc>
      </w:tr>
    </w:tbl>
    <w:p w:rsidR="000E09C4" w:rsidRDefault="000E09C4">
      <w:pPr>
        <w:sectPr w:rsidR="000E09C4" w:rsidSect="00447869">
          <w:type w:val="continuous"/>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559"/>
        <w:gridCol w:w="4536"/>
      </w:tblGrid>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t>POTENTIAL OPERATIONAL IMPACT</w:t>
            </w:r>
          </w:p>
        </w:tc>
      </w:tr>
      <w:tr w:rsidR="004A10A2" w:rsidRPr="00021243" w:rsidTr="008612AB">
        <w:tc>
          <w:tcPr>
            <w:tcW w:w="14601" w:type="dxa"/>
            <w:gridSpan w:val="7"/>
            <w:shd w:val="clear" w:color="auto" w:fill="auto"/>
          </w:tcPr>
          <w:p w:rsidR="004E19BA" w:rsidRDefault="00F72490" w:rsidP="004E19BA">
            <w:pPr>
              <w:spacing w:before="120" w:after="120"/>
              <w:rPr>
                <w:rFonts w:asciiTheme="minorHAnsi" w:hAnsiTheme="minorHAnsi"/>
              </w:rPr>
            </w:pPr>
            <w:r>
              <w:rPr>
                <w:rFonts w:asciiTheme="minorHAnsi" w:hAnsiTheme="minorHAnsi"/>
              </w:rPr>
              <w:t>D</w:t>
            </w:r>
            <w:r w:rsidR="004E19BA">
              <w:rPr>
                <w:rFonts w:asciiTheme="minorHAnsi" w:hAnsiTheme="minorHAnsi"/>
              </w:rPr>
              <w:t xml:space="preserve">e-sensitisation of renal patients is </w:t>
            </w:r>
            <w:r w:rsidR="003E3F9A">
              <w:rPr>
                <w:rFonts w:asciiTheme="minorHAnsi" w:hAnsiTheme="minorHAnsi"/>
              </w:rPr>
              <w:t xml:space="preserve">currently </w:t>
            </w:r>
            <w:r w:rsidR="004E19BA">
              <w:rPr>
                <w:rFonts w:asciiTheme="minorHAnsi" w:hAnsiTheme="minorHAnsi"/>
              </w:rPr>
              <w:t xml:space="preserve">practiced much less frequently than previously with only one to two patients being treated </w:t>
            </w:r>
            <w:r w:rsidR="003E3F9A">
              <w:rPr>
                <w:rFonts w:asciiTheme="minorHAnsi" w:hAnsiTheme="minorHAnsi"/>
              </w:rPr>
              <w:t>each year</w:t>
            </w:r>
            <w:r w:rsidR="004E19BA">
              <w:rPr>
                <w:rFonts w:asciiTheme="minorHAnsi" w:hAnsiTheme="minorHAnsi"/>
              </w:rPr>
              <w:t xml:space="preserve">. There is unlikely to be any significant operational impact as a result of these changes, apart from a reduced workload in monthly re-ordering as staff will be able to access ongoing treatment for these patients.  </w:t>
            </w:r>
          </w:p>
          <w:p w:rsidR="00EA2E82" w:rsidRPr="00EA2E82" w:rsidRDefault="004E19BA" w:rsidP="00F72490">
            <w:pPr>
              <w:spacing w:before="120" w:after="120"/>
              <w:rPr>
                <w:rFonts w:asciiTheme="minorHAnsi" w:hAnsiTheme="minorHAnsi"/>
              </w:rPr>
            </w:pPr>
            <w:r>
              <w:rPr>
                <w:rFonts w:asciiTheme="minorHAnsi" w:hAnsiTheme="minorHAnsi"/>
              </w:rPr>
              <w:t>There is wide variability in treatment approaches across the country for treatment of ongoing active antibody mediated rejection. The introduction of a specific indication to support access to up to six months’ treatment will be welcomed due to the reduced workload in repeat ordering. The requirement for review prior to authorisation of a final four month</w:t>
            </w:r>
            <w:r w:rsidR="00F72490">
              <w:rPr>
                <w:rFonts w:asciiTheme="minorHAnsi" w:hAnsiTheme="minorHAnsi"/>
              </w:rPr>
              <w:t xml:space="preserve"> period</w:t>
            </w:r>
            <w:r>
              <w:rPr>
                <w:rFonts w:asciiTheme="minorHAnsi" w:hAnsiTheme="minorHAnsi"/>
              </w:rPr>
              <w:t xml:space="preserve"> of treatment is a new requirement </w:t>
            </w:r>
            <w:r w:rsidR="004229B2">
              <w:rPr>
                <w:rFonts w:asciiTheme="minorHAnsi" w:hAnsiTheme="minorHAnsi"/>
              </w:rPr>
              <w:t xml:space="preserve">that </w:t>
            </w:r>
            <w:r>
              <w:rPr>
                <w:rFonts w:asciiTheme="minorHAnsi" w:hAnsiTheme="minorHAnsi"/>
              </w:rPr>
              <w:t xml:space="preserve">is not practiced currently. This may result in patients requiring alternative treatment if they </w:t>
            </w:r>
            <w:r w:rsidR="00E247DC">
              <w:rPr>
                <w:rFonts w:asciiTheme="minorHAnsi" w:hAnsiTheme="minorHAnsi"/>
              </w:rPr>
              <w:t>have</w:t>
            </w:r>
            <w:r>
              <w:rPr>
                <w:rFonts w:asciiTheme="minorHAnsi" w:hAnsiTheme="minorHAnsi"/>
              </w:rPr>
              <w:t xml:space="preserve"> not respond</w:t>
            </w:r>
            <w:r w:rsidR="00E247DC">
              <w:rPr>
                <w:rFonts w:asciiTheme="minorHAnsi" w:hAnsiTheme="minorHAnsi"/>
              </w:rPr>
              <w:t>ed to Ig therapy within this timeframe</w:t>
            </w:r>
            <w:r>
              <w:rPr>
                <w:rFonts w:asciiTheme="minorHAnsi" w:hAnsiTheme="minorHAnsi"/>
              </w:rPr>
              <w:t>.</w:t>
            </w:r>
          </w:p>
        </w:tc>
      </w:tr>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832D0D" w:rsidRPr="00021243" w:rsidTr="00832D0D">
        <w:tc>
          <w:tcPr>
            <w:tcW w:w="3545" w:type="dxa"/>
            <w:gridSpan w:val="2"/>
            <w:shd w:val="clear" w:color="auto" w:fill="auto"/>
          </w:tcPr>
          <w:p w:rsidR="00832D0D" w:rsidRDefault="00832D0D" w:rsidP="004A10A2">
            <w:pPr>
              <w:spacing w:before="120" w:after="120"/>
              <w:rPr>
                <w:rFonts w:asciiTheme="minorHAnsi" w:hAnsiTheme="minorHAnsi"/>
                <w:b/>
              </w:rPr>
            </w:pPr>
            <w:r>
              <w:rPr>
                <w:rFonts w:asciiTheme="minorHAnsi" w:hAnsiTheme="minorHAnsi"/>
                <w:b/>
              </w:rPr>
              <w:t>Description of impact on patients:</w:t>
            </w:r>
          </w:p>
        </w:tc>
        <w:tc>
          <w:tcPr>
            <w:tcW w:w="11056" w:type="dxa"/>
            <w:gridSpan w:val="5"/>
            <w:shd w:val="clear" w:color="auto" w:fill="auto"/>
          </w:tcPr>
          <w:p w:rsidR="00832D0D" w:rsidRPr="00832D0D" w:rsidRDefault="00E247DC" w:rsidP="006B4ABC">
            <w:pPr>
              <w:spacing w:before="120" w:after="120"/>
              <w:rPr>
                <w:rFonts w:asciiTheme="minorHAnsi" w:hAnsiTheme="minorHAnsi"/>
              </w:rPr>
            </w:pPr>
            <w:r>
              <w:rPr>
                <w:rFonts w:asciiTheme="minorHAnsi" w:hAnsiTheme="minorHAnsi"/>
              </w:rPr>
              <w:t xml:space="preserve">The further changes that have been made to the previously revised criteria include the </w:t>
            </w:r>
            <w:r w:rsidR="00D63DC8">
              <w:rPr>
                <w:rFonts w:asciiTheme="minorHAnsi" w:hAnsiTheme="minorHAnsi"/>
              </w:rPr>
              <w:t>definition</w:t>
            </w:r>
            <w:r>
              <w:rPr>
                <w:rFonts w:asciiTheme="minorHAnsi" w:hAnsiTheme="minorHAnsi"/>
              </w:rPr>
              <w:t xml:space="preserve"> of circumstances </w:t>
            </w:r>
            <w:r w:rsidR="00D63DC8">
              <w:rPr>
                <w:rFonts w:asciiTheme="minorHAnsi" w:hAnsiTheme="minorHAnsi"/>
              </w:rPr>
              <w:t xml:space="preserve">in which access to ongoing </w:t>
            </w:r>
            <w:r w:rsidR="00336055">
              <w:rPr>
                <w:rFonts w:asciiTheme="minorHAnsi" w:hAnsiTheme="minorHAnsi"/>
              </w:rPr>
              <w:t xml:space="preserve">Ig </w:t>
            </w:r>
            <w:r w:rsidR="00D63DC8">
              <w:rPr>
                <w:rFonts w:asciiTheme="minorHAnsi" w:hAnsiTheme="minorHAnsi"/>
              </w:rPr>
              <w:t xml:space="preserve">treatment </w:t>
            </w:r>
            <w:r w:rsidR="00CF766C">
              <w:rPr>
                <w:rFonts w:asciiTheme="minorHAnsi" w:hAnsiTheme="minorHAnsi"/>
              </w:rPr>
              <w:t>can be requested for patients undergoing kidney transplantation</w:t>
            </w:r>
            <w:r w:rsidR="00D63DC8">
              <w:rPr>
                <w:rFonts w:asciiTheme="minorHAnsi" w:hAnsiTheme="minorHAnsi"/>
              </w:rPr>
              <w:t xml:space="preserve">. </w:t>
            </w:r>
            <w:r>
              <w:rPr>
                <w:rFonts w:asciiTheme="minorHAnsi" w:hAnsiTheme="minorHAnsi"/>
              </w:rPr>
              <w:t xml:space="preserve"> </w:t>
            </w:r>
            <w:r w:rsidR="00CF766C">
              <w:rPr>
                <w:rFonts w:asciiTheme="minorHAnsi" w:hAnsiTheme="minorHAnsi"/>
              </w:rPr>
              <w:t>The circumstances are aligned with current clinical practice to improve the likelihood for highly sensitised patients to be able to receive an organ or to treat patients with ongoing active antibody mediated rejection.  In order to confirm that Ig therapy is achieving the expected clinical benefit, a formal review of the patient’s clinical response will be made after two months of treatment and if a response is demonstrated, treatment for a further four months</w:t>
            </w:r>
            <w:r w:rsidR="00D63DC8">
              <w:rPr>
                <w:rFonts w:asciiTheme="minorHAnsi" w:hAnsiTheme="minorHAnsi"/>
              </w:rPr>
              <w:t xml:space="preserve"> </w:t>
            </w:r>
            <w:r w:rsidR="00CF766C">
              <w:rPr>
                <w:rFonts w:asciiTheme="minorHAnsi" w:hAnsiTheme="minorHAnsi"/>
              </w:rPr>
              <w:t xml:space="preserve">can be authorised. When a response has not been achieved after two months, Ig therapy will cease and patients will require an alternative treatment approach. </w:t>
            </w:r>
            <w:r w:rsidR="00336055">
              <w:rPr>
                <w:rFonts w:asciiTheme="minorHAnsi" w:hAnsiTheme="minorHAnsi"/>
              </w:rPr>
              <w:t xml:space="preserve"> A maximum treatment period of six months will be provided for patients as this has been determined as sufficient Ig treatment time for a sustained change to be achieved. After this time, alternative treatment approaches should be used, if required. </w:t>
            </w:r>
          </w:p>
        </w:tc>
      </w:tr>
      <w:tr w:rsidR="004E19BA" w:rsidRPr="00021243" w:rsidTr="00832D0D">
        <w:tc>
          <w:tcPr>
            <w:tcW w:w="3545" w:type="dxa"/>
            <w:gridSpan w:val="2"/>
            <w:shd w:val="clear" w:color="auto" w:fill="auto"/>
          </w:tcPr>
          <w:p w:rsidR="004E19BA" w:rsidRDefault="004E19BA" w:rsidP="00E721AB">
            <w:pPr>
              <w:spacing w:before="120" w:after="120"/>
              <w:rPr>
                <w:rFonts w:asciiTheme="minorHAnsi" w:hAnsiTheme="minorHAnsi"/>
                <w:b/>
              </w:rPr>
            </w:pPr>
            <w:r>
              <w:rPr>
                <w:rFonts w:asciiTheme="minorHAnsi" w:hAnsiTheme="minorHAnsi"/>
                <w:b/>
              </w:rPr>
              <w:t>Impact on demand:</w:t>
            </w:r>
          </w:p>
        </w:tc>
        <w:tc>
          <w:tcPr>
            <w:tcW w:w="11056" w:type="dxa"/>
            <w:gridSpan w:val="5"/>
            <w:shd w:val="clear" w:color="auto" w:fill="auto"/>
          </w:tcPr>
          <w:p w:rsidR="004E19BA" w:rsidRDefault="00F72490" w:rsidP="00E721AB">
            <w:pPr>
              <w:spacing w:before="120" w:after="120"/>
              <w:rPr>
                <w:rFonts w:asciiTheme="minorHAnsi" w:hAnsiTheme="minorHAnsi"/>
              </w:rPr>
            </w:pPr>
            <w:r>
              <w:rPr>
                <w:rFonts w:asciiTheme="minorHAnsi" w:hAnsiTheme="minorHAnsi"/>
              </w:rPr>
              <w:t>Due</w:t>
            </w:r>
            <w:r w:rsidR="004E19BA">
              <w:rPr>
                <w:rFonts w:asciiTheme="minorHAnsi" w:hAnsiTheme="minorHAnsi"/>
              </w:rPr>
              <w:t xml:space="preserve"> to governments’ investment in organ transplantation over the last few years, and the nature of unrelated transplantation resulting in patient sensitisation and organ rejection, the trend of increasing use for this condition in likely to continue. There is not anticipated to be any impact on demand as a direct result of the changes related to desensitisation. However, given that there is currently no limit to the number of times one-off doses can be prescribed, some patients with chronic rejection may have been treated over the last few years, in some instances, for long periods of time. Such patients will no longer be eligible for Ig therapy and those with active rejection only treated for a maximum of six months. It is expected that there will be a reduction in use in this area, compared to historical practice </w:t>
            </w:r>
            <w:r w:rsidR="009625A9">
              <w:rPr>
                <w:rFonts w:asciiTheme="minorHAnsi" w:hAnsiTheme="minorHAnsi"/>
              </w:rPr>
              <w:t>however;</w:t>
            </w:r>
            <w:r w:rsidR="004E19BA">
              <w:rPr>
                <w:rFonts w:asciiTheme="minorHAnsi" w:hAnsiTheme="minorHAnsi"/>
              </w:rPr>
              <w:t xml:space="preserve"> use in kidney transplantation is likely to continue to increase overall due to activity levels. </w:t>
            </w:r>
          </w:p>
          <w:p w:rsidR="00C83199" w:rsidDel="006344E8" w:rsidRDefault="00C83199" w:rsidP="00E721AB">
            <w:pPr>
              <w:spacing w:before="120" w:after="120"/>
              <w:rPr>
                <w:rFonts w:asciiTheme="minorHAnsi" w:hAnsiTheme="minorHAnsi"/>
              </w:rPr>
            </w:pPr>
          </w:p>
        </w:tc>
      </w:tr>
      <w:tr w:rsidR="008F1747" w:rsidRPr="00853117" w:rsidTr="008F1747">
        <w:tc>
          <w:tcPr>
            <w:tcW w:w="2161" w:type="dxa"/>
            <w:shd w:val="clear" w:color="auto" w:fill="auto"/>
          </w:tcPr>
          <w:p w:rsidR="008F1747" w:rsidRPr="00C92149" w:rsidRDefault="008F1747" w:rsidP="004A10A2">
            <w:pPr>
              <w:spacing w:before="120" w:after="120"/>
              <w:rPr>
                <w:rFonts w:asciiTheme="minorHAnsi" w:hAnsiTheme="minorHAnsi"/>
                <w:b/>
                <w:sz w:val="18"/>
                <w:szCs w:val="18"/>
              </w:rPr>
            </w:pPr>
          </w:p>
        </w:tc>
        <w:tc>
          <w:tcPr>
            <w:tcW w:w="1384" w:type="dxa"/>
            <w:shd w:val="clear" w:color="auto" w:fill="auto"/>
          </w:tcPr>
          <w:p w:rsidR="008F1747" w:rsidRPr="00C92149" w:rsidRDefault="008F1747"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2011-12</w:t>
            </w:r>
          </w:p>
        </w:tc>
        <w:tc>
          <w:tcPr>
            <w:tcW w:w="1593" w:type="dxa"/>
            <w:shd w:val="clear" w:color="auto" w:fill="auto"/>
          </w:tcPr>
          <w:p w:rsidR="008F1747" w:rsidRPr="00C92149" w:rsidRDefault="008F1747"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2012-13</w:t>
            </w:r>
          </w:p>
        </w:tc>
        <w:tc>
          <w:tcPr>
            <w:tcW w:w="1667" w:type="dxa"/>
            <w:shd w:val="clear" w:color="auto" w:fill="auto"/>
          </w:tcPr>
          <w:p w:rsidR="008F1747" w:rsidRPr="00C92149" w:rsidRDefault="008F1747"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2013-14</w:t>
            </w:r>
          </w:p>
        </w:tc>
        <w:tc>
          <w:tcPr>
            <w:tcW w:w="1701" w:type="dxa"/>
            <w:shd w:val="clear" w:color="auto" w:fill="auto"/>
          </w:tcPr>
          <w:p w:rsidR="008F1747" w:rsidRPr="00C92149" w:rsidRDefault="008F1747"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2014-15</w:t>
            </w:r>
          </w:p>
        </w:tc>
        <w:tc>
          <w:tcPr>
            <w:tcW w:w="1559" w:type="dxa"/>
            <w:shd w:val="clear" w:color="auto" w:fill="auto"/>
          </w:tcPr>
          <w:p w:rsidR="008F1747" w:rsidRPr="008F1747" w:rsidRDefault="00D567E6" w:rsidP="008F1747">
            <w:pPr>
              <w:spacing w:before="120" w:after="120"/>
              <w:rPr>
                <w:rFonts w:asciiTheme="minorHAnsi" w:hAnsiTheme="minorHAnsi" w:cs="Helvetica"/>
                <w:b/>
                <w:color w:val="333333"/>
                <w:sz w:val="18"/>
                <w:szCs w:val="18"/>
              </w:rPr>
            </w:pPr>
            <w:r>
              <w:rPr>
                <w:rFonts w:asciiTheme="minorHAnsi" w:hAnsiTheme="minorHAnsi" w:cs="Helvetica"/>
                <w:b/>
                <w:color w:val="333333"/>
                <w:sz w:val="18"/>
                <w:szCs w:val="18"/>
              </w:rPr>
              <w:t>2015-16</w:t>
            </w:r>
          </w:p>
          <w:p w:rsidR="008F1747" w:rsidRPr="00C92149" w:rsidRDefault="008F1747" w:rsidP="00695219">
            <w:pPr>
              <w:rPr>
                <w:rFonts w:ascii="Gill Sans MT" w:hAnsi="Gill Sans MT"/>
                <w:sz w:val="18"/>
                <w:szCs w:val="18"/>
              </w:rPr>
            </w:pPr>
          </w:p>
        </w:tc>
        <w:tc>
          <w:tcPr>
            <w:tcW w:w="4536" w:type="dxa"/>
            <w:vMerge w:val="restart"/>
            <w:shd w:val="clear" w:color="auto" w:fill="auto"/>
          </w:tcPr>
          <w:p w:rsidR="008F1747" w:rsidRDefault="008F1747" w:rsidP="008F1747">
            <w:pPr>
              <w:rPr>
                <w:rFonts w:ascii="Gill Sans MT" w:hAnsi="Gill Sans MT"/>
                <w:sz w:val="18"/>
                <w:szCs w:val="18"/>
              </w:rPr>
            </w:pPr>
          </w:p>
          <w:p w:rsidR="008F1747" w:rsidRPr="00F91CA7" w:rsidRDefault="008F1747" w:rsidP="008F1747">
            <w:pPr>
              <w:rPr>
                <w:rFonts w:asciiTheme="minorHAnsi" w:hAnsiTheme="minorHAnsi"/>
                <w:sz w:val="18"/>
                <w:szCs w:val="18"/>
              </w:rPr>
            </w:pPr>
            <w:r w:rsidRPr="00F91CA7">
              <w:rPr>
                <w:rFonts w:asciiTheme="minorHAnsi" w:hAnsiTheme="minorHAnsi"/>
                <w:sz w:val="18"/>
                <w:szCs w:val="18"/>
              </w:rPr>
              <w:t xml:space="preserve">The </w:t>
            </w:r>
            <w:r w:rsidR="002629E2">
              <w:rPr>
                <w:rFonts w:asciiTheme="minorHAnsi" w:hAnsiTheme="minorHAnsi"/>
                <w:sz w:val="18"/>
                <w:szCs w:val="18"/>
              </w:rPr>
              <w:t>Specialist Working Group</w:t>
            </w:r>
            <w:r w:rsidR="002629E2" w:rsidRPr="00F91CA7">
              <w:rPr>
                <w:rFonts w:asciiTheme="minorHAnsi" w:hAnsiTheme="minorHAnsi"/>
                <w:sz w:val="18"/>
                <w:szCs w:val="18"/>
              </w:rPr>
              <w:t xml:space="preserve"> </w:t>
            </w:r>
            <w:r w:rsidRPr="00F91CA7">
              <w:rPr>
                <w:rFonts w:asciiTheme="minorHAnsi" w:hAnsiTheme="minorHAnsi"/>
                <w:sz w:val="18"/>
                <w:szCs w:val="18"/>
              </w:rPr>
              <w:t>estimated magnitude of effect:</w:t>
            </w:r>
          </w:p>
          <w:p w:rsidR="008F1747" w:rsidRPr="00F91CA7" w:rsidRDefault="008F1747" w:rsidP="008F1747">
            <w:pPr>
              <w:rPr>
                <w:rFonts w:asciiTheme="minorHAnsi" w:hAnsiTheme="minorHAnsi"/>
                <w:sz w:val="18"/>
                <w:szCs w:val="18"/>
              </w:rPr>
            </w:pPr>
          </w:p>
          <w:p w:rsidR="008F1747" w:rsidRPr="00F91CA7" w:rsidRDefault="008F1747" w:rsidP="008F1747">
            <w:pPr>
              <w:rPr>
                <w:rFonts w:asciiTheme="minorHAnsi" w:hAnsiTheme="minorHAnsi"/>
                <w:sz w:val="18"/>
                <w:szCs w:val="18"/>
              </w:rPr>
            </w:pPr>
            <w:r w:rsidRPr="00F91CA7">
              <w:rPr>
                <w:rFonts w:asciiTheme="minorHAnsi" w:hAnsiTheme="minorHAnsi"/>
                <w:sz w:val="18"/>
                <w:szCs w:val="18"/>
              </w:rPr>
              <w:t>Marginal: &lt;$500K reduction</w:t>
            </w:r>
            <w:r w:rsidR="00963D07">
              <w:rPr>
                <w:rFonts w:asciiTheme="minorHAnsi" w:hAnsiTheme="minorHAnsi"/>
                <w:sz w:val="18"/>
                <w:szCs w:val="18"/>
              </w:rPr>
              <w:t xml:space="preserve"> against projected demand</w:t>
            </w:r>
          </w:p>
          <w:p w:rsidR="008F1747" w:rsidRPr="00C92149" w:rsidRDefault="008F1747" w:rsidP="007D1DC3">
            <w:pPr>
              <w:ind w:left="720"/>
              <w:rPr>
                <w:rFonts w:asciiTheme="minorHAnsi" w:hAnsiTheme="minorHAnsi"/>
                <w:b/>
                <w:sz w:val="18"/>
                <w:szCs w:val="18"/>
              </w:rPr>
            </w:pPr>
          </w:p>
        </w:tc>
      </w:tr>
      <w:tr w:rsidR="008F1747" w:rsidRPr="00853117" w:rsidTr="00024EEA">
        <w:tc>
          <w:tcPr>
            <w:tcW w:w="2161" w:type="dxa"/>
            <w:shd w:val="clear" w:color="auto" w:fill="auto"/>
          </w:tcPr>
          <w:p w:rsidR="008F1747" w:rsidRPr="00C92149" w:rsidRDefault="008F1747"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vAlign w:val="center"/>
          </w:tcPr>
          <w:p w:rsidR="008F1747" w:rsidRPr="00C92149" w:rsidRDefault="00373E2B" w:rsidP="00024EEA">
            <w:pPr>
              <w:spacing w:before="120" w:after="120"/>
              <w:jc w:val="right"/>
              <w:rPr>
                <w:rFonts w:asciiTheme="minorHAnsi" w:hAnsiTheme="minorHAnsi"/>
                <w:b/>
                <w:sz w:val="18"/>
                <w:szCs w:val="18"/>
              </w:rPr>
            </w:pPr>
            <w:r>
              <w:rPr>
                <w:rFonts w:asciiTheme="minorHAnsi" w:hAnsiTheme="minorHAnsi"/>
                <w:b/>
                <w:sz w:val="18"/>
                <w:szCs w:val="18"/>
              </w:rPr>
              <w:t>334</w:t>
            </w:r>
          </w:p>
        </w:tc>
        <w:tc>
          <w:tcPr>
            <w:tcW w:w="1593" w:type="dxa"/>
            <w:shd w:val="clear" w:color="auto" w:fill="auto"/>
            <w:vAlign w:val="center"/>
          </w:tcPr>
          <w:p w:rsidR="008F1747" w:rsidRPr="00C92149" w:rsidRDefault="00373E2B" w:rsidP="00024EEA">
            <w:pPr>
              <w:spacing w:before="120" w:after="120"/>
              <w:jc w:val="right"/>
              <w:rPr>
                <w:rFonts w:asciiTheme="minorHAnsi" w:hAnsiTheme="minorHAnsi"/>
                <w:b/>
                <w:sz w:val="18"/>
                <w:szCs w:val="18"/>
              </w:rPr>
            </w:pPr>
            <w:r>
              <w:rPr>
                <w:rFonts w:asciiTheme="minorHAnsi" w:hAnsiTheme="minorHAnsi"/>
                <w:b/>
                <w:sz w:val="18"/>
                <w:szCs w:val="18"/>
              </w:rPr>
              <w:t>356</w:t>
            </w:r>
          </w:p>
        </w:tc>
        <w:tc>
          <w:tcPr>
            <w:tcW w:w="1667" w:type="dxa"/>
            <w:shd w:val="clear" w:color="auto" w:fill="auto"/>
            <w:vAlign w:val="center"/>
          </w:tcPr>
          <w:p w:rsidR="008F1747" w:rsidRPr="00C92149" w:rsidRDefault="00373E2B" w:rsidP="00024EEA">
            <w:pPr>
              <w:spacing w:before="120" w:after="120"/>
              <w:jc w:val="right"/>
              <w:rPr>
                <w:rFonts w:asciiTheme="minorHAnsi" w:hAnsiTheme="minorHAnsi"/>
                <w:b/>
                <w:sz w:val="18"/>
                <w:szCs w:val="18"/>
              </w:rPr>
            </w:pPr>
            <w:r>
              <w:rPr>
                <w:rFonts w:asciiTheme="minorHAnsi" w:hAnsiTheme="minorHAnsi"/>
                <w:b/>
                <w:sz w:val="18"/>
                <w:szCs w:val="18"/>
              </w:rPr>
              <w:t>443</w:t>
            </w:r>
          </w:p>
        </w:tc>
        <w:tc>
          <w:tcPr>
            <w:tcW w:w="1701" w:type="dxa"/>
            <w:shd w:val="clear" w:color="auto" w:fill="auto"/>
            <w:vAlign w:val="center"/>
          </w:tcPr>
          <w:p w:rsidR="008F1747" w:rsidRPr="00C92149" w:rsidRDefault="00373E2B" w:rsidP="00024EEA">
            <w:pPr>
              <w:spacing w:before="120" w:after="120"/>
              <w:jc w:val="right"/>
              <w:rPr>
                <w:rFonts w:asciiTheme="minorHAnsi" w:hAnsiTheme="minorHAnsi"/>
                <w:b/>
                <w:sz w:val="18"/>
                <w:szCs w:val="18"/>
              </w:rPr>
            </w:pPr>
            <w:r>
              <w:rPr>
                <w:rFonts w:asciiTheme="minorHAnsi" w:hAnsiTheme="minorHAnsi"/>
                <w:b/>
                <w:sz w:val="18"/>
                <w:szCs w:val="18"/>
              </w:rPr>
              <w:t>393</w:t>
            </w:r>
          </w:p>
        </w:tc>
        <w:tc>
          <w:tcPr>
            <w:tcW w:w="1559" w:type="dxa"/>
            <w:shd w:val="clear" w:color="auto" w:fill="auto"/>
            <w:vAlign w:val="center"/>
          </w:tcPr>
          <w:p w:rsidR="008F1747" w:rsidRPr="00C92149" w:rsidRDefault="00373E2B" w:rsidP="00024EEA">
            <w:pPr>
              <w:spacing w:before="120" w:after="120"/>
              <w:jc w:val="right"/>
              <w:rPr>
                <w:rFonts w:asciiTheme="minorHAnsi" w:hAnsiTheme="minorHAnsi"/>
                <w:b/>
                <w:sz w:val="18"/>
                <w:szCs w:val="18"/>
              </w:rPr>
            </w:pPr>
            <w:r>
              <w:rPr>
                <w:rFonts w:asciiTheme="minorHAnsi" w:hAnsiTheme="minorHAnsi"/>
                <w:b/>
                <w:sz w:val="18"/>
                <w:szCs w:val="18"/>
              </w:rPr>
              <w:t>421</w:t>
            </w:r>
          </w:p>
        </w:tc>
        <w:tc>
          <w:tcPr>
            <w:tcW w:w="4536" w:type="dxa"/>
            <w:vMerge/>
            <w:shd w:val="clear" w:color="auto" w:fill="auto"/>
          </w:tcPr>
          <w:p w:rsidR="008F1747" w:rsidRPr="00C92149" w:rsidRDefault="008F1747" w:rsidP="004A10A2">
            <w:pPr>
              <w:spacing w:before="120" w:after="120"/>
              <w:rPr>
                <w:rFonts w:asciiTheme="minorHAnsi" w:hAnsiTheme="minorHAnsi"/>
                <w:b/>
                <w:sz w:val="18"/>
                <w:szCs w:val="18"/>
              </w:rPr>
            </w:pPr>
          </w:p>
        </w:tc>
      </w:tr>
      <w:tr w:rsidR="008F1747" w:rsidRPr="00853117" w:rsidTr="00024EEA">
        <w:trPr>
          <w:trHeight w:val="535"/>
        </w:trPr>
        <w:tc>
          <w:tcPr>
            <w:tcW w:w="2161" w:type="dxa"/>
            <w:shd w:val="clear" w:color="auto" w:fill="auto"/>
          </w:tcPr>
          <w:p w:rsidR="008F1747" w:rsidRPr="00C92149" w:rsidRDefault="008F1747"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vAlign w:val="center"/>
          </w:tcPr>
          <w:p w:rsidR="008F1747" w:rsidRPr="00C92149" w:rsidRDefault="008F1747" w:rsidP="00024EEA">
            <w:pPr>
              <w:spacing w:before="120" w:after="120"/>
              <w:jc w:val="right"/>
              <w:rPr>
                <w:rFonts w:asciiTheme="minorHAnsi" w:hAnsiTheme="minorHAnsi"/>
                <w:b/>
                <w:sz w:val="18"/>
                <w:szCs w:val="18"/>
              </w:rPr>
            </w:pPr>
            <w:r w:rsidRPr="00F91CA7">
              <w:rPr>
                <w:rFonts w:asciiTheme="minorHAnsi" w:hAnsiTheme="minorHAnsi"/>
                <w:b/>
                <w:sz w:val="18"/>
                <w:szCs w:val="18"/>
              </w:rPr>
              <w:t>71,922</w:t>
            </w:r>
          </w:p>
        </w:tc>
        <w:tc>
          <w:tcPr>
            <w:tcW w:w="1593" w:type="dxa"/>
            <w:shd w:val="clear" w:color="auto" w:fill="auto"/>
            <w:vAlign w:val="center"/>
          </w:tcPr>
          <w:p w:rsidR="008F1747" w:rsidRPr="00C92149" w:rsidRDefault="008F1747" w:rsidP="00024EEA">
            <w:pPr>
              <w:spacing w:before="120" w:after="120"/>
              <w:jc w:val="right"/>
              <w:rPr>
                <w:rFonts w:asciiTheme="minorHAnsi" w:hAnsiTheme="minorHAnsi"/>
                <w:b/>
                <w:sz w:val="18"/>
                <w:szCs w:val="18"/>
              </w:rPr>
            </w:pPr>
            <w:r w:rsidRPr="00F91CA7">
              <w:rPr>
                <w:rFonts w:asciiTheme="minorHAnsi" w:hAnsiTheme="minorHAnsi"/>
                <w:b/>
                <w:sz w:val="18"/>
                <w:szCs w:val="18"/>
              </w:rPr>
              <w:t>84,931</w:t>
            </w:r>
          </w:p>
        </w:tc>
        <w:tc>
          <w:tcPr>
            <w:tcW w:w="1667" w:type="dxa"/>
            <w:shd w:val="clear" w:color="auto" w:fill="auto"/>
            <w:vAlign w:val="center"/>
          </w:tcPr>
          <w:p w:rsidR="008F1747" w:rsidRPr="00C92149" w:rsidRDefault="00A25C53" w:rsidP="00024EEA">
            <w:pPr>
              <w:spacing w:before="120" w:after="120"/>
              <w:jc w:val="right"/>
              <w:rPr>
                <w:rFonts w:asciiTheme="minorHAnsi" w:hAnsiTheme="minorHAnsi"/>
                <w:b/>
                <w:sz w:val="18"/>
                <w:szCs w:val="18"/>
              </w:rPr>
            </w:pPr>
            <w:r w:rsidRPr="00F91CA7">
              <w:rPr>
                <w:rFonts w:asciiTheme="minorHAnsi" w:hAnsiTheme="minorHAnsi"/>
                <w:b/>
                <w:sz w:val="18"/>
                <w:szCs w:val="18"/>
              </w:rPr>
              <w:t>97</w:t>
            </w:r>
            <w:r w:rsidR="008F1747" w:rsidRPr="00F91CA7">
              <w:rPr>
                <w:rFonts w:asciiTheme="minorHAnsi" w:hAnsiTheme="minorHAnsi"/>
                <w:b/>
                <w:sz w:val="18"/>
                <w:szCs w:val="18"/>
              </w:rPr>
              <w:t>,070</w:t>
            </w:r>
          </w:p>
        </w:tc>
        <w:tc>
          <w:tcPr>
            <w:tcW w:w="1701" w:type="dxa"/>
            <w:shd w:val="clear" w:color="auto" w:fill="auto"/>
            <w:vAlign w:val="center"/>
          </w:tcPr>
          <w:p w:rsidR="008F1747" w:rsidRPr="00C92149" w:rsidRDefault="008F1747" w:rsidP="00024EEA">
            <w:pPr>
              <w:spacing w:before="120" w:after="120"/>
              <w:jc w:val="right"/>
              <w:rPr>
                <w:rFonts w:asciiTheme="minorHAnsi" w:hAnsiTheme="minorHAnsi"/>
                <w:b/>
                <w:sz w:val="18"/>
                <w:szCs w:val="18"/>
              </w:rPr>
            </w:pPr>
            <w:r w:rsidRPr="00F91CA7">
              <w:rPr>
                <w:rFonts w:asciiTheme="minorHAnsi" w:hAnsiTheme="minorHAnsi"/>
                <w:b/>
                <w:sz w:val="18"/>
                <w:szCs w:val="18"/>
              </w:rPr>
              <w:t>90,032</w:t>
            </w:r>
          </w:p>
        </w:tc>
        <w:tc>
          <w:tcPr>
            <w:tcW w:w="1559" w:type="dxa"/>
            <w:shd w:val="clear" w:color="auto" w:fill="auto"/>
            <w:vAlign w:val="center"/>
          </w:tcPr>
          <w:p w:rsidR="008F1747" w:rsidRPr="00C92149" w:rsidRDefault="00A25C53" w:rsidP="00024EEA">
            <w:pPr>
              <w:spacing w:before="120" w:after="120"/>
              <w:jc w:val="right"/>
              <w:rPr>
                <w:rFonts w:asciiTheme="minorHAnsi" w:hAnsiTheme="minorHAnsi"/>
                <w:b/>
                <w:sz w:val="18"/>
                <w:szCs w:val="18"/>
              </w:rPr>
            </w:pPr>
            <w:r w:rsidRPr="00F91CA7">
              <w:rPr>
                <w:rFonts w:asciiTheme="minorHAnsi" w:hAnsiTheme="minorHAnsi"/>
                <w:b/>
                <w:sz w:val="18"/>
                <w:szCs w:val="18"/>
              </w:rPr>
              <w:t>88,258</w:t>
            </w:r>
          </w:p>
        </w:tc>
        <w:tc>
          <w:tcPr>
            <w:tcW w:w="4536" w:type="dxa"/>
            <w:vMerge/>
            <w:shd w:val="clear" w:color="auto" w:fill="auto"/>
          </w:tcPr>
          <w:p w:rsidR="008F1747" w:rsidRPr="00C92149" w:rsidRDefault="008F1747" w:rsidP="004A10A2">
            <w:pPr>
              <w:spacing w:before="120" w:after="120"/>
              <w:rPr>
                <w:rFonts w:asciiTheme="minorHAnsi" w:hAnsiTheme="minorHAnsi"/>
                <w:b/>
                <w:sz w:val="18"/>
                <w:szCs w:val="18"/>
              </w:rPr>
            </w:pPr>
          </w:p>
        </w:tc>
      </w:tr>
      <w:tr w:rsidR="008F1747" w:rsidRPr="00853117" w:rsidTr="00024EEA">
        <w:tc>
          <w:tcPr>
            <w:tcW w:w="2161" w:type="dxa"/>
            <w:shd w:val="clear" w:color="auto" w:fill="auto"/>
          </w:tcPr>
          <w:p w:rsidR="008F1747" w:rsidRPr="00C92149" w:rsidRDefault="008F1747"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vAlign w:val="center"/>
          </w:tcPr>
          <w:p w:rsidR="008F1747" w:rsidRPr="00C92149" w:rsidRDefault="00373E2B" w:rsidP="00024EEA">
            <w:pPr>
              <w:spacing w:before="120" w:after="120"/>
              <w:jc w:val="right"/>
              <w:rPr>
                <w:rFonts w:asciiTheme="minorHAnsi" w:hAnsiTheme="minorHAnsi"/>
                <w:b/>
                <w:sz w:val="18"/>
                <w:szCs w:val="18"/>
              </w:rPr>
            </w:pPr>
            <w:r>
              <w:rPr>
                <w:rFonts w:asciiTheme="minorHAnsi" w:hAnsiTheme="minorHAnsi"/>
                <w:b/>
                <w:sz w:val="18"/>
                <w:szCs w:val="18"/>
              </w:rPr>
              <w:t>2.2</w:t>
            </w:r>
            <w:r w:rsidR="008F1747">
              <w:rPr>
                <w:rFonts w:asciiTheme="minorHAnsi" w:hAnsiTheme="minorHAnsi"/>
                <w:b/>
                <w:sz w:val="18"/>
                <w:szCs w:val="18"/>
              </w:rPr>
              <w:t>%</w:t>
            </w:r>
          </w:p>
        </w:tc>
        <w:tc>
          <w:tcPr>
            <w:tcW w:w="1593" w:type="dxa"/>
            <w:shd w:val="clear" w:color="auto" w:fill="auto"/>
            <w:vAlign w:val="center"/>
          </w:tcPr>
          <w:p w:rsidR="008F1747" w:rsidRPr="00C92149" w:rsidRDefault="00373E2B" w:rsidP="00024EEA">
            <w:pPr>
              <w:spacing w:before="120" w:after="120"/>
              <w:jc w:val="right"/>
              <w:rPr>
                <w:rFonts w:asciiTheme="minorHAnsi" w:hAnsiTheme="minorHAnsi"/>
                <w:b/>
                <w:sz w:val="18"/>
                <w:szCs w:val="18"/>
              </w:rPr>
            </w:pPr>
            <w:r>
              <w:rPr>
                <w:rFonts w:asciiTheme="minorHAnsi" w:hAnsiTheme="minorHAnsi"/>
                <w:b/>
                <w:sz w:val="18"/>
                <w:szCs w:val="18"/>
              </w:rPr>
              <w:t>2.</w:t>
            </w:r>
            <w:r w:rsidR="00C8167F">
              <w:rPr>
                <w:rFonts w:asciiTheme="minorHAnsi" w:hAnsiTheme="minorHAnsi"/>
                <w:b/>
                <w:sz w:val="18"/>
                <w:szCs w:val="18"/>
              </w:rPr>
              <w:t>36</w:t>
            </w:r>
            <w:r w:rsidR="008F1747">
              <w:rPr>
                <w:rFonts w:asciiTheme="minorHAnsi" w:hAnsiTheme="minorHAnsi"/>
                <w:b/>
                <w:sz w:val="18"/>
                <w:szCs w:val="18"/>
              </w:rPr>
              <w:t>%</w:t>
            </w:r>
          </w:p>
        </w:tc>
        <w:tc>
          <w:tcPr>
            <w:tcW w:w="1667" w:type="dxa"/>
            <w:shd w:val="clear" w:color="auto" w:fill="auto"/>
            <w:vAlign w:val="center"/>
          </w:tcPr>
          <w:p w:rsidR="008F1747" w:rsidRPr="00C92149" w:rsidRDefault="00373E2B" w:rsidP="00024EEA">
            <w:pPr>
              <w:spacing w:before="120" w:after="120"/>
              <w:jc w:val="right"/>
              <w:rPr>
                <w:rFonts w:asciiTheme="minorHAnsi" w:hAnsiTheme="minorHAnsi"/>
                <w:b/>
                <w:sz w:val="18"/>
                <w:szCs w:val="18"/>
              </w:rPr>
            </w:pPr>
            <w:r>
              <w:rPr>
                <w:rFonts w:asciiTheme="minorHAnsi" w:hAnsiTheme="minorHAnsi"/>
                <w:b/>
                <w:sz w:val="18"/>
                <w:szCs w:val="18"/>
              </w:rPr>
              <w:t>2.4</w:t>
            </w:r>
            <w:r w:rsidR="00C8167F">
              <w:rPr>
                <w:rFonts w:asciiTheme="minorHAnsi" w:hAnsiTheme="minorHAnsi"/>
                <w:b/>
                <w:sz w:val="18"/>
                <w:szCs w:val="18"/>
              </w:rPr>
              <w:t>1</w:t>
            </w:r>
            <w:r w:rsidR="008F1747">
              <w:rPr>
                <w:rFonts w:asciiTheme="minorHAnsi" w:hAnsiTheme="minorHAnsi"/>
                <w:b/>
                <w:sz w:val="18"/>
                <w:szCs w:val="18"/>
              </w:rPr>
              <w:t>%</w:t>
            </w:r>
          </w:p>
        </w:tc>
        <w:tc>
          <w:tcPr>
            <w:tcW w:w="1701" w:type="dxa"/>
            <w:shd w:val="clear" w:color="auto" w:fill="auto"/>
            <w:vAlign w:val="center"/>
          </w:tcPr>
          <w:p w:rsidR="008F1747" w:rsidRPr="00C92149" w:rsidRDefault="00373E2B" w:rsidP="00024EEA">
            <w:pPr>
              <w:spacing w:before="120" w:after="120"/>
              <w:jc w:val="right"/>
              <w:rPr>
                <w:rFonts w:asciiTheme="minorHAnsi" w:hAnsiTheme="minorHAnsi"/>
                <w:b/>
                <w:sz w:val="18"/>
                <w:szCs w:val="18"/>
              </w:rPr>
            </w:pPr>
            <w:r>
              <w:rPr>
                <w:rFonts w:asciiTheme="minorHAnsi" w:hAnsiTheme="minorHAnsi"/>
                <w:b/>
                <w:sz w:val="18"/>
                <w:szCs w:val="18"/>
              </w:rPr>
              <w:t>2.0</w:t>
            </w:r>
            <w:r w:rsidR="00C8167F">
              <w:rPr>
                <w:rFonts w:asciiTheme="minorHAnsi" w:hAnsiTheme="minorHAnsi"/>
                <w:b/>
                <w:sz w:val="18"/>
                <w:szCs w:val="18"/>
              </w:rPr>
              <w:t>2</w:t>
            </w:r>
            <w:r w:rsidR="008F1747">
              <w:rPr>
                <w:rFonts w:asciiTheme="minorHAnsi" w:hAnsiTheme="minorHAnsi"/>
                <w:b/>
                <w:sz w:val="18"/>
                <w:szCs w:val="18"/>
              </w:rPr>
              <w:t>%</w:t>
            </w:r>
          </w:p>
        </w:tc>
        <w:tc>
          <w:tcPr>
            <w:tcW w:w="1559" w:type="dxa"/>
            <w:shd w:val="clear" w:color="auto" w:fill="auto"/>
            <w:vAlign w:val="center"/>
          </w:tcPr>
          <w:p w:rsidR="008F1747" w:rsidRPr="00C92149" w:rsidRDefault="00373E2B" w:rsidP="00024EEA">
            <w:pPr>
              <w:spacing w:before="120" w:after="120"/>
              <w:jc w:val="right"/>
              <w:rPr>
                <w:rFonts w:asciiTheme="minorHAnsi" w:hAnsiTheme="minorHAnsi"/>
                <w:b/>
                <w:sz w:val="18"/>
                <w:szCs w:val="18"/>
              </w:rPr>
            </w:pPr>
            <w:r>
              <w:rPr>
                <w:rFonts w:asciiTheme="minorHAnsi" w:hAnsiTheme="minorHAnsi"/>
                <w:b/>
                <w:sz w:val="18"/>
                <w:szCs w:val="18"/>
              </w:rPr>
              <w:t>1.</w:t>
            </w:r>
            <w:r w:rsidR="00C8167F">
              <w:rPr>
                <w:rFonts w:asciiTheme="minorHAnsi" w:hAnsiTheme="minorHAnsi"/>
                <w:b/>
                <w:sz w:val="18"/>
                <w:szCs w:val="18"/>
              </w:rPr>
              <w:t>77</w:t>
            </w:r>
            <w:r w:rsidR="00535609">
              <w:rPr>
                <w:rFonts w:asciiTheme="minorHAnsi" w:hAnsiTheme="minorHAnsi"/>
                <w:b/>
                <w:sz w:val="18"/>
                <w:szCs w:val="18"/>
              </w:rPr>
              <w:t>%</w:t>
            </w:r>
          </w:p>
        </w:tc>
        <w:tc>
          <w:tcPr>
            <w:tcW w:w="4536" w:type="dxa"/>
            <w:vMerge/>
            <w:shd w:val="clear" w:color="auto" w:fill="auto"/>
          </w:tcPr>
          <w:p w:rsidR="008F1747" w:rsidRPr="00C92149" w:rsidRDefault="008F1747" w:rsidP="004A10A2">
            <w:pPr>
              <w:spacing w:before="120" w:after="120"/>
              <w:rPr>
                <w:rFonts w:asciiTheme="minorHAnsi" w:hAnsiTheme="minorHAnsi"/>
                <w:b/>
                <w:sz w:val="18"/>
                <w:szCs w:val="18"/>
              </w:rPr>
            </w:pPr>
          </w:p>
        </w:tc>
      </w:tr>
      <w:tr w:rsidR="001C45B4" w:rsidRPr="00021243" w:rsidTr="005D45E6">
        <w:tc>
          <w:tcPr>
            <w:tcW w:w="14601" w:type="dxa"/>
            <w:gridSpan w:val="7"/>
            <w:shd w:val="clear" w:color="auto" w:fill="F79646" w:themeFill="accent6"/>
          </w:tcPr>
          <w:p w:rsidR="001C45B4" w:rsidRDefault="002F46C5" w:rsidP="005D45E6">
            <w:pPr>
              <w:spacing w:before="120" w:after="120"/>
              <w:rPr>
                <w:rFonts w:asciiTheme="minorHAnsi" w:hAnsiTheme="minorHAnsi"/>
                <w:b/>
              </w:rPr>
            </w:pPr>
            <w:r>
              <w:rPr>
                <w:rFonts w:asciiTheme="minorHAnsi" w:hAnsiTheme="minorHAnsi"/>
                <w:b/>
              </w:rPr>
              <w:t xml:space="preserve">Specialist Working Group </w:t>
            </w:r>
            <w:r w:rsidR="001C45B4">
              <w:rPr>
                <w:rFonts w:asciiTheme="minorHAnsi" w:hAnsiTheme="minorHAnsi"/>
                <w:b/>
              </w:rPr>
              <w:t xml:space="preserve"> </w:t>
            </w:r>
            <w:r w:rsidR="00AA19C1">
              <w:rPr>
                <w:rFonts w:asciiTheme="minorHAnsi" w:hAnsiTheme="minorHAnsi"/>
                <w:b/>
              </w:rPr>
              <w:t xml:space="preserve">knowledge </w:t>
            </w:r>
            <w:r w:rsidR="001C45B4">
              <w:rPr>
                <w:rFonts w:asciiTheme="minorHAnsi" w:hAnsiTheme="minorHAnsi"/>
                <w:b/>
              </w:rPr>
              <w:t>development opportunities and recommendations</w:t>
            </w:r>
          </w:p>
        </w:tc>
      </w:tr>
      <w:tr w:rsidR="001C45B4" w:rsidRPr="00021243" w:rsidTr="005D45E6">
        <w:tc>
          <w:tcPr>
            <w:tcW w:w="14601" w:type="dxa"/>
            <w:gridSpan w:val="7"/>
            <w:shd w:val="clear" w:color="auto" w:fill="auto"/>
          </w:tcPr>
          <w:p w:rsidR="001C45B4" w:rsidRPr="002506FF" w:rsidRDefault="006A5F03" w:rsidP="006A3824">
            <w:pPr>
              <w:spacing w:before="120" w:after="120"/>
              <w:rPr>
                <w:rFonts w:asciiTheme="minorHAnsi" w:hAnsiTheme="minorHAnsi"/>
              </w:rPr>
            </w:pPr>
            <w:r>
              <w:rPr>
                <w:rFonts w:asciiTheme="minorHAnsi" w:hAnsiTheme="minorHAnsi"/>
              </w:rPr>
              <w:t>None identified at this stage.</w:t>
            </w:r>
          </w:p>
        </w:tc>
      </w:tr>
    </w:tbl>
    <w:p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rsidTr="009F1DFC">
        <w:tc>
          <w:tcPr>
            <w:tcW w:w="14601" w:type="dxa"/>
          </w:tcPr>
          <w:p w:rsidR="002506FF" w:rsidRDefault="002506FF" w:rsidP="002506FF">
            <w:pPr>
              <w:spacing w:before="120" w:after="120"/>
              <w:jc w:val="center"/>
              <w:rPr>
                <w:rFonts w:asciiTheme="minorHAnsi" w:hAnsiTheme="minorHAnsi"/>
                <w:b/>
              </w:rPr>
            </w:pPr>
            <w:r w:rsidRPr="00021243">
              <w:rPr>
                <w:rFonts w:asciiTheme="minorHAnsi" w:hAnsiTheme="minorHAnsi"/>
                <w:b/>
              </w:rPr>
              <w:t xml:space="preserve">END OF </w:t>
            </w:r>
            <w:r w:rsidR="001244A7">
              <w:rPr>
                <w:rFonts w:asciiTheme="minorHAnsi" w:hAnsiTheme="minorHAnsi"/>
                <w:b/>
              </w:rPr>
              <w:t>PUBLIC CONSULTATION</w:t>
            </w:r>
            <w:r>
              <w:rPr>
                <w:rFonts w:asciiTheme="minorHAnsi" w:hAnsiTheme="minorHAnsi"/>
                <w:b/>
              </w:rPr>
              <w:t xml:space="preserve"> DOCUMENT</w:t>
            </w:r>
          </w:p>
          <w:p w:rsidR="000E09C4" w:rsidRPr="00021243" w:rsidRDefault="004E19BA" w:rsidP="002506FF">
            <w:pPr>
              <w:spacing w:before="120" w:after="120"/>
              <w:jc w:val="center"/>
              <w:rPr>
                <w:rFonts w:asciiTheme="minorHAnsi" w:hAnsiTheme="minorHAnsi"/>
                <w:b/>
              </w:rPr>
            </w:pPr>
            <w:r>
              <w:rPr>
                <w:rFonts w:asciiTheme="minorHAnsi" w:hAnsiTheme="minorHAnsi"/>
                <w:b/>
              </w:rPr>
              <w:t xml:space="preserve">Next review: </w:t>
            </w:r>
            <w:r>
              <w:rPr>
                <w:b/>
              </w:rPr>
              <w:t xml:space="preserve">Twelve to </w:t>
            </w:r>
            <w:r w:rsidR="002F46C5">
              <w:rPr>
                <w:b/>
              </w:rPr>
              <w:t>eighteen months from BloodSTAR v</w:t>
            </w:r>
            <w:r>
              <w:rPr>
                <w:b/>
              </w:rPr>
              <w:t>3</w:t>
            </w:r>
            <w:r w:rsidR="00062266">
              <w:rPr>
                <w:b/>
              </w:rPr>
              <w:t>.0</w:t>
            </w:r>
            <w:r>
              <w:rPr>
                <w:b/>
              </w:rPr>
              <w:t xml:space="preserve"> implementation</w:t>
            </w:r>
          </w:p>
        </w:tc>
      </w:tr>
    </w:tbl>
    <w:p w:rsidR="009C1E09" w:rsidRDefault="009C1E09" w:rsidP="002506FF">
      <w:pPr>
        <w:jc w:val="center"/>
      </w:pPr>
    </w:p>
    <w:p w:rsidR="006627B5" w:rsidRPr="00FD2CCD" w:rsidRDefault="006627B5">
      <w:pPr>
        <w:spacing w:line="276" w:lineRule="auto"/>
      </w:pPr>
    </w:p>
    <w:sectPr w:rsidR="006627B5" w:rsidRPr="00FD2CCD" w:rsidSect="000E09C4">
      <w:headerReference w:type="first" r:id="rId45"/>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A9C" w:rsidRDefault="001F4A9C" w:rsidP="00856708">
      <w:pPr>
        <w:spacing w:after="0"/>
      </w:pPr>
      <w:r>
        <w:separator/>
      </w:r>
    </w:p>
  </w:endnote>
  <w:endnote w:type="continuationSeparator" w:id="0">
    <w:p w:rsidR="001F4A9C" w:rsidRDefault="001F4A9C"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4A" w:rsidRDefault="00C56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84830"/>
      <w:docPartObj>
        <w:docPartGallery w:val="Page Numbers (Bottom of Page)"/>
        <w:docPartUnique/>
      </w:docPartObj>
    </w:sdtPr>
    <w:sdtEndPr>
      <w:rPr>
        <w:noProof/>
      </w:rPr>
    </w:sdtEndPr>
    <w:sdtContent>
      <w:p w:rsidR="0068672B" w:rsidRDefault="0068672B">
        <w:pPr>
          <w:pStyle w:val="Footer"/>
          <w:jc w:val="right"/>
        </w:pPr>
        <w:r>
          <w:fldChar w:fldCharType="begin"/>
        </w:r>
        <w:r>
          <w:instrText xml:space="preserve"> PAGE   \* MERGEFORMAT </w:instrText>
        </w:r>
        <w:r>
          <w:fldChar w:fldCharType="separate"/>
        </w:r>
        <w:r w:rsidR="007B2A4C">
          <w:rPr>
            <w:noProof/>
          </w:rPr>
          <w:t>2</w:t>
        </w:r>
        <w:r>
          <w:rPr>
            <w:noProof/>
          </w:rPr>
          <w:fldChar w:fldCharType="end"/>
        </w:r>
      </w:p>
    </w:sdtContent>
  </w:sdt>
  <w:p w:rsidR="00853117" w:rsidRPr="00856708" w:rsidRDefault="00853117" w:rsidP="00C92149">
    <w:pPr>
      <w:pStyle w:val="Footer"/>
      <w:tabs>
        <w:tab w:val="clear" w:pos="9026"/>
        <w:tab w:val="right" w:pos="13608"/>
      </w:tabs>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519005"/>
      <w:docPartObj>
        <w:docPartGallery w:val="Page Numbers (Bottom of Page)"/>
        <w:docPartUnique/>
      </w:docPartObj>
    </w:sdtPr>
    <w:sdtEndPr>
      <w:rPr>
        <w:noProof/>
      </w:rPr>
    </w:sdtEndPr>
    <w:sdtContent>
      <w:p w:rsidR="0068672B" w:rsidRDefault="0068672B">
        <w:pPr>
          <w:pStyle w:val="Footer"/>
          <w:jc w:val="right"/>
        </w:pPr>
        <w:r>
          <w:fldChar w:fldCharType="begin"/>
        </w:r>
        <w:r>
          <w:instrText xml:space="preserve"> PAGE   \* MERGEFORMAT </w:instrText>
        </w:r>
        <w:r>
          <w:fldChar w:fldCharType="separate"/>
        </w:r>
        <w:r w:rsidR="007B2A4C">
          <w:rPr>
            <w:noProof/>
          </w:rPr>
          <w:t>1</w:t>
        </w:r>
        <w:r>
          <w:rPr>
            <w:noProof/>
          </w:rPr>
          <w:fldChar w:fldCharType="end"/>
        </w:r>
      </w:p>
    </w:sdtContent>
  </w:sdt>
  <w:p w:rsidR="0068672B" w:rsidRDefault="00686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A9C" w:rsidRDefault="001F4A9C" w:rsidP="00856708">
      <w:pPr>
        <w:spacing w:after="0"/>
      </w:pPr>
      <w:r>
        <w:separator/>
      </w:r>
    </w:p>
  </w:footnote>
  <w:footnote w:type="continuationSeparator" w:id="0">
    <w:p w:rsidR="001F4A9C" w:rsidRDefault="001F4A9C"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4A" w:rsidRDefault="00C56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2B" w:rsidRDefault="00872AE8" w:rsidP="0068672B">
    <w:pPr>
      <w:pStyle w:val="Header"/>
    </w:pPr>
    <w:r>
      <w:t xml:space="preserve">PUBLIC CONSULTATION 2017 - Kidney </w:t>
    </w:r>
    <w:r w:rsidR="0068672B">
      <w:t xml:space="preserve">transplantation </w:t>
    </w:r>
  </w:p>
  <w:p w:rsidR="0068672B" w:rsidRDefault="006867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2B" w:rsidRDefault="00BD0754">
    <w:pPr>
      <w:pStyle w:val="Header"/>
    </w:pPr>
    <w:r>
      <w:t>PUBLIC CONSULTATION 2017</w:t>
    </w:r>
    <w:r w:rsidR="0068672B">
      <w:t xml:space="preserve"> – </w:t>
    </w:r>
    <w:r>
      <w:t xml:space="preserve">Kidney </w:t>
    </w:r>
    <w:r w:rsidR="0068672B">
      <w:t xml:space="preserve">transplantation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C4" w:rsidRDefault="00C5634A">
    <w:pPr>
      <w:pStyle w:val="Header"/>
    </w:pPr>
    <w:r>
      <w:t>PUBLIC CONSULTATION 2017 – Kidney transplantation</w:t>
    </w:r>
    <w:r w:rsidDel="00C5634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3A09A6"/>
    <w:multiLevelType w:val="hybridMultilevel"/>
    <w:tmpl w:val="7922B40C"/>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4">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3">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7D74D8E"/>
    <w:multiLevelType w:val="hybridMultilevel"/>
    <w:tmpl w:val="07EE8E56"/>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7">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83D64D5"/>
    <w:multiLevelType w:val="hybridMultilevel"/>
    <w:tmpl w:val="6D665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1B0181"/>
    <w:multiLevelType w:val="hybridMultilevel"/>
    <w:tmpl w:val="C6B80E8C"/>
    <w:lvl w:ilvl="0" w:tplc="0409001B">
      <w:start w:val="1"/>
      <w:numFmt w:val="lowerRoman"/>
      <w:lvlText w:val="%1."/>
      <w:lvlJc w:val="right"/>
      <w:pPr>
        <w:ind w:left="720" w:hanging="360"/>
      </w:pPr>
      <w:rPr>
        <w:b w:val="0"/>
        <w:color w:val="auto"/>
      </w:rPr>
    </w:lvl>
    <w:lvl w:ilvl="1" w:tplc="F66652E2">
      <w:start w:val="1"/>
      <w:numFmt w:val="bullet"/>
      <w:lvlText w:val=""/>
      <w:lvlJc w:val="left"/>
      <w:pPr>
        <w:ind w:left="2880" w:hanging="360"/>
      </w:pPr>
      <w:rPr>
        <w:rFonts w:ascii="Symbol" w:hAnsi="Symbol" w:hint="default"/>
        <w:color w:val="auto"/>
      </w:rPr>
    </w:lvl>
    <w:lvl w:ilvl="2" w:tplc="692058FE">
      <w:start w:val="4"/>
      <w:numFmt w:val="bullet"/>
      <w:lvlText w:val="-"/>
      <w:lvlJc w:val="left"/>
      <w:pPr>
        <w:ind w:left="3780" w:hanging="360"/>
      </w:pPr>
      <w:rPr>
        <w:rFonts w:ascii="Calibri" w:eastAsia="Dotum" w:hAnsi="Calibri" w:cs="Calibri" w:hint="default"/>
      </w:r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7">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0B063B0"/>
    <w:multiLevelType w:val="hybridMultilevel"/>
    <w:tmpl w:val="3E3E2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3">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1"/>
  </w:num>
  <w:num w:numId="4">
    <w:abstractNumId w:val="39"/>
  </w:num>
  <w:num w:numId="5">
    <w:abstractNumId w:val="15"/>
  </w:num>
  <w:num w:numId="6">
    <w:abstractNumId w:val="2"/>
  </w:num>
  <w:num w:numId="7">
    <w:abstractNumId w:val="1"/>
  </w:num>
  <w:num w:numId="8">
    <w:abstractNumId w:val="4"/>
  </w:num>
  <w:num w:numId="9">
    <w:abstractNumId w:val="0"/>
  </w:num>
  <w:num w:numId="10">
    <w:abstractNumId w:val="44"/>
  </w:num>
  <w:num w:numId="11">
    <w:abstractNumId w:val="28"/>
  </w:num>
  <w:num w:numId="12">
    <w:abstractNumId w:val="35"/>
  </w:num>
  <w:num w:numId="13">
    <w:abstractNumId w:val="12"/>
  </w:num>
  <w:num w:numId="14">
    <w:abstractNumId w:val="20"/>
  </w:num>
  <w:num w:numId="15">
    <w:abstractNumId w:val="11"/>
  </w:num>
  <w:num w:numId="16">
    <w:abstractNumId w:val="38"/>
  </w:num>
  <w:num w:numId="17">
    <w:abstractNumId w:val="5"/>
  </w:num>
  <w:num w:numId="18">
    <w:abstractNumId w:val="16"/>
  </w:num>
  <w:num w:numId="19">
    <w:abstractNumId w:val="33"/>
  </w:num>
  <w:num w:numId="20">
    <w:abstractNumId w:val="46"/>
  </w:num>
  <w:num w:numId="21">
    <w:abstractNumId w:val="13"/>
  </w:num>
  <w:num w:numId="22">
    <w:abstractNumId w:val="34"/>
  </w:num>
  <w:num w:numId="23">
    <w:abstractNumId w:val="10"/>
  </w:num>
  <w:num w:numId="24">
    <w:abstractNumId w:val="3"/>
  </w:num>
  <w:num w:numId="25">
    <w:abstractNumId w:val="37"/>
  </w:num>
  <w:num w:numId="26">
    <w:abstractNumId w:val="23"/>
  </w:num>
  <w:num w:numId="27">
    <w:abstractNumId w:val="42"/>
  </w:num>
  <w:num w:numId="28">
    <w:abstractNumId w:val="29"/>
  </w:num>
  <w:num w:numId="29">
    <w:abstractNumId w:val="31"/>
  </w:num>
  <w:num w:numId="30">
    <w:abstractNumId w:val="8"/>
  </w:num>
  <w:num w:numId="31">
    <w:abstractNumId w:val="9"/>
  </w:num>
  <w:num w:numId="32">
    <w:abstractNumId w:val="27"/>
  </w:num>
  <w:num w:numId="33">
    <w:abstractNumId w:val="45"/>
  </w:num>
  <w:num w:numId="34">
    <w:abstractNumId w:val="19"/>
  </w:num>
  <w:num w:numId="35">
    <w:abstractNumId w:val="32"/>
  </w:num>
  <w:num w:numId="36">
    <w:abstractNumId w:val="18"/>
  </w:num>
  <w:num w:numId="37">
    <w:abstractNumId w:val="14"/>
  </w:num>
  <w:num w:numId="38">
    <w:abstractNumId w:val="22"/>
  </w:num>
  <w:num w:numId="39">
    <w:abstractNumId w:val="25"/>
  </w:num>
  <w:num w:numId="40">
    <w:abstractNumId w:val="7"/>
  </w:num>
  <w:num w:numId="41">
    <w:abstractNumId w:val="41"/>
  </w:num>
  <w:num w:numId="42">
    <w:abstractNumId w:val="43"/>
  </w:num>
  <w:num w:numId="43">
    <w:abstractNumId w:val="24"/>
  </w:num>
  <w:num w:numId="44">
    <w:abstractNumId w:val="6"/>
  </w:num>
  <w:num w:numId="45">
    <w:abstractNumId w:val="47"/>
  </w:num>
  <w:num w:numId="46">
    <w:abstractNumId w:val="36"/>
  </w:num>
  <w:num w:numId="47">
    <w:abstractNumId w:val="30"/>
  </w:num>
  <w:num w:numId="48">
    <w:abstractNumId w:val="26"/>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06718"/>
    <w:rsid w:val="00013C2F"/>
    <w:rsid w:val="00021243"/>
    <w:rsid w:val="00022A4A"/>
    <w:rsid w:val="00024EEA"/>
    <w:rsid w:val="00036EDC"/>
    <w:rsid w:val="00056FB8"/>
    <w:rsid w:val="00062266"/>
    <w:rsid w:val="000639A1"/>
    <w:rsid w:val="00075095"/>
    <w:rsid w:val="0007639A"/>
    <w:rsid w:val="0008213A"/>
    <w:rsid w:val="00097B41"/>
    <w:rsid w:val="000A3A69"/>
    <w:rsid w:val="000A65C9"/>
    <w:rsid w:val="000B27A7"/>
    <w:rsid w:val="000E09C4"/>
    <w:rsid w:val="000E4D1E"/>
    <w:rsid w:val="0011301A"/>
    <w:rsid w:val="001244A7"/>
    <w:rsid w:val="00134B22"/>
    <w:rsid w:val="00153753"/>
    <w:rsid w:val="00165F48"/>
    <w:rsid w:val="00170EF1"/>
    <w:rsid w:val="0017270F"/>
    <w:rsid w:val="001849B2"/>
    <w:rsid w:val="00184E12"/>
    <w:rsid w:val="00186CF7"/>
    <w:rsid w:val="0019300B"/>
    <w:rsid w:val="001A2460"/>
    <w:rsid w:val="001C0A18"/>
    <w:rsid w:val="001C45B4"/>
    <w:rsid w:val="001C79D3"/>
    <w:rsid w:val="001E102B"/>
    <w:rsid w:val="001F4A9C"/>
    <w:rsid w:val="0021213D"/>
    <w:rsid w:val="00212345"/>
    <w:rsid w:val="00216823"/>
    <w:rsid w:val="002306B2"/>
    <w:rsid w:val="00236B19"/>
    <w:rsid w:val="00240825"/>
    <w:rsid w:val="002506FF"/>
    <w:rsid w:val="002533A5"/>
    <w:rsid w:val="002537F2"/>
    <w:rsid w:val="00255740"/>
    <w:rsid w:val="002629E2"/>
    <w:rsid w:val="00275679"/>
    <w:rsid w:val="00282F66"/>
    <w:rsid w:val="002936DD"/>
    <w:rsid w:val="00295CD3"/>
    <w:rsid w:val="002D2007"/>
    <w:rsid w:val="002E21C4"/>
    <w:rsid w:val="002F3325"/>
    <w:rsid w:val="002F46C5"/>
    <w:rsid w:val="00320BEB"/>
    <w:rsid w:val="00327526"/>
    <w:rsid w:val="0033060E"/>
    <w:rsid w:val="00330837"/>
    <w:rsid w:val="00336055"/>
    <w:rsid w:val="0033695E"/>
    <w:rsid w:val="00373E2B"/>
    <w:rsid w:val="00395032"/>
    <w:rsid w:val="003976A8"/>
    <w:rsid w:val="003A1F9D"/>
    <w:rsid w:val="003A7E5D"/>
    <w:rsid w:val="003B41FA"/>
    <w:rsid w:val="003C62C6"/>
    <w:rsid w:val="003D1795"/>
    <w:rsid w:val="003D27F1"/>
    <w:rsid w:val="003D64F0"/>
    <w:rsid w:val="003E3235"/>
    <w:rsid w:val="003E3F9A"/>
    <w:rsid w:val="003F11F8"/>
    <w:rsid w:val="00403201"/>
    <w:rsid w:val="004229B2"/>
    <w:rsid w:val="00433C78"/>
    <w:rsid w:val="00445094"/>
    <w:rsid w:val="00445EDE"/>
    <w:rsid w:val="00447869"/>
    <w:rsid w:val="004520F5"/>
    <w:rsid w:val="00454FA8"/>
    <w:rsid w:val="00456E66"/>
    <w:rsid w:val="00460325"/>
    <w:rsid w:val="00462B57"/>
    <w:rsid w:val="00463B0C"/>
    <w:rsid w:val="00473042"/>
    <w:rsid w:val="0047615E"/>
    <w:rsid w:val="00484303"/>
    <w:rsid w:val="0048434B"/>
    <w:rsid w:val="004856E4"/>
    <w:rsid w:val="004A10A2"/>
    <w:rsid w:val="004A2602"/>
    <w:rsid w:val="004B14F4"/>
    <w:rsid w:val="004D4636"/>
    <w:rsid w:val="004E19BA"/>
    <w:rsid w:val="004E4A52"/>
    <w:rsid w:val="004F1043"/>
    <w:rsid w:val="005023CE"/>
    <w:rsid w:val="00525C51"/>
    <w:rsid w:val="00531E6D"/>
    <w:rsid w:val="00535609"/>
    <w:rsid w:val="00540020"/>
    <w:rsid w:val="00543C69"/>
    <w:rsid w:val="005546AE"/>
    <w:rsid w:val="005629EE"/>
    <w:rsid w:val="005773F1"/>
    <w:rsid w:val="00584BEC"/>
    <w:rsid w:val="005851ED"/>
    <w:rsid w:val="005960E7"/>
    <w:rsid w:val="005B525F"/>
    <w:rsid w:val="005D1CA5"/>
    <w:rsid w:val="005D2C3D"/>
    <w:rsid w:val="005E04F6"/>
    <w:rsid w:val="005E33CF"/>
    <w:rsid w:val="005F20F3"/>
    <w:rsid w:val="00602D7D"/>
    <w:rsid w:val="00606785"/>
    <w:rsid w:val="006159EE"/>
    <w:rsid w:val="006201B1"/>
    <w:rsid w:val="00624E82"/>
    <w:rsid w:val="00631EAB"/>
    <w:rsid w:val="00633754"/>
    <w:rsid w:val="006427C2"/>
    <w:rsid w:val="00642A5C"/>
    <w:rsid w:val="00644285"/>
    <w:rsid w:val="00654525"/>
    <w:rsid w:val="00657F36"/>
    <w:rsid w:val="006627B5"/>
    <w:rsid w:val="006631E9"/>
    <w:rsid w:val="00666AA5"/>
    <w:rsid w:val="00670D34"/>
    <w:rsid w:val="006855AF"/>
    <w:rsid w:val="0068672B"/>
    <w:rsid w:val="00695219"/>
    <w:rsid w:val="006A3824"/>
    <w:rsid w:val="006A5F03"/>
    <w:rsid w:val="006B0323"/>
    <w:rsid w:val="006B4ABC"/>
    <w:rsid w:val="006B4C33"/>
    <w:rsid w:val="006D2521"/>
    <w:rsid w:val="006D27A8"/>
    <w:rsid w:val="006D2FA8"/>
    <w:rsid w:val="006D36A9"/>
    <w:rsid w:val="006E2E88"/>
    <w:rsid w:val="006F1FA7"/>
    <w:rsid w:val="006F485E"/>
    <w:rsid w:val="006F59EE"/>
    <w:rsid w:val="006F7337"/>
    <w:rsid w:val="00702EB0"/>
    <w:rsid w:val="00704C5B"/>
    <w:rsid w:val="00705133"/>
    <w:rsid w:val="007066DA"/>
    <w:rsid w:val="0075469F"/>
    <w:rsid w:val="0077486F"/>
    <w:rsid w:val="007860CF"/>
    <w:rsid w:val="00787242"/>
    <w:rsid w:val="007B0C7B"/>
    <w:rsid w:val="007B2100"/>
    <w:rsid w:val="007B2A4C"/>
    <w:rsid w:val="007C7B0F"/>
    <w:rsid w:val="007D09EF"/>
    <w:rsid w:val="007D1DC3"/>
    <w:rsid w:val="007D4439"/>
    <w:rsid w:val="007F3022"/>
    <w:rsid w:val="008041F6"/>
    <w:rsid w:val="00830C7C"/>
    <w:rsid w:val="00832D0D"/>
    <w:rsid w:val="00847EC8"/>
    <w:rsid w:val="008515FF"/>
    <w:rsid w:val="00853117"/>
    <w:rsid w:val="00856708"/>
    <w:rsid w:val="008612AB"/>
    <w:rsid w:val="008660A8"/>
    <w:rsid w:val="00872AE8"/>
    <w:rsid w:val="00880ECB"/>
    <w:rsid w:val="00884868"/>
    <w:rsid w:val="00893E0A"/>
    <w:rsid w:val="00896241"/>
    <w:rsid w:val="008B1889"/>
    <w:rsid w:val="008E7455"/>
    <w:rsid w:val="008F1747"/>
    <w:rsid w:val="00901446"/>
    <w:rsid w:val="00901F76"/>
    <w:rsid w:val="00902055"/>
    <w:rsid w:val="009025B7"/>
    <w:rsid w:val="0091257A"/>
    <w:rsid w:val="009208EC"/>
    <w:rsid w:val="00927196"/>
    <w:rsid w:val="00933536"/>
    <w:rsid w:val="009347BC"/>
    <w:rsid w:val="0093594E"/>
    <w:rsid w:val="00940B4D"/>
    <w:rsid w:val="00951B85"/>
    <w:rsid w:val="009604F1"/>
    <w:rsid w:val="009625A9"/>
    <w:rsid w:val="00963D07"/>
    <w:rsid w:val="00972551"/>
    <w:rsid w:val="00982D63"/>
    <w:rsid w:val="00992EA6"/>
    <w:rsid w:val="009B04BD"/>
    <w:rsid w:val="009C1E09"/>
    <w:rsid w:val="009D3342"/>
    <w:rsid w:val="009E38CC"/>
    <w:rsid w:val="009F4509"/>
    <w:rsid w:val="00A0276B"/>
    <w:rsid w:val="00A0352E"/>
    <w:rsid w:val="00A05745"/>
    <w:rsid w:val="00A23D1D"/>
    <w:rsid w:val="00A25C53"/>
    <w:rsid w:val="00A27A0A"/>
    <w:rsid w:val="00A31C82"/>
    <w:rsid w:val="00A357C4"/>
    <w:rsid w:val="00A57D60"/>
    <w:rsid w:val="00A618E9"/>
    <w:rsid w:val="00A7510F"/>
    <w:rsid w:val="00A80A19"/>
    <w:rsid w:val="00A81C38"/>
    <w:rsid w:val="00A82360"/>
    <w:rsid w:val="00A90ACF"/>
    <w:rsid w:val="00A94E86"/>
    <w:rsid w:val="00AA19C1"/>
    <w:rsid w:val="00AA48C6"/>
    <w:rsid w:val="00AB120F"/>
    <w:rsid w:val="00AD086B"/>
    <w:rsid w:val="00AD4362"/>
    <w:rsid w:val="00AE5015"/>
    <w:rsid w:val="00AE63FA"/>
    <w:rsid w:val="00B27930"/>
    <w:rsid w:val="00B323EB"/>
    <w:rsid w:val="00B35BD7"/>
    <w:rsid w:val="00B3726E"/>
    <w:rsid w:val="00B3798A"/>
    <w:rsid w:val="00B431DA"/>
    <w:rsid w:val="00B64BB1"/>
    <w:rsid w:val="00B75216"/>
    <w:rsid w:val="00B878A0"/>
    <w:rsid w:val="00BA15D6"/>
    <w:rsid w:val="00BA76E3"/>
    <w:rsid w:val="00BB56DB"/>
    <w:rsid w:val="00BD0754"/>
    <w:rsid w:val="00BD6C2D"/>
    <w:rsid w:val="00BD7111"/>
    <w:rsid w:val="00BD735D"/>
    <w:rsid w:val="00BE7F4F"/>
    <w:rsid w:val="00C077BF"/>
    <w:rsid w:val="00C21002"/>
    <w:rsid w:val="00C24E0B"/>
    <w:rsid w:val="00C30FD5"/>
    <w:rsid w:val="00C34D27"/>
    <w:rsid w:val="00C364CA"/>
    <w:rsid w:val="00C43284"/>
    <w:rsid w:val="00C51E04"/>
    <w:rsid w:val="00C5634A"/>
    <w:rsid w:val="00C71450"/>
    <w:rsid w:val="00C8167F"/>
    <w:rsid w:val="00C83199"/>
    <w:rsid w:val="00C92149"/>
    <w:rsid w:val="00C97801"/>
    <w:rsid w:val="00CA4321"/>
    <w:rsid w:val="00CB47C1"/>
    <w:rsid w:val="00CB50C5"/>
    <w:rsid w:val="00CC12B9"/>
    <w:rsid w:val="00CC5D3E"/>
    <w:rsid w:val="00CC6228"/>
    <w:rsid w:val="00CD5856"/>
    <w:rsid w:val="00CD7B8A"/>
    <w:rsid w:val="00CE1A81"/>
    <w:rsid w:val="00CE3354"/>
    <w:rsid w:val="00CF7392"/>
    <w:rsid w:val="00CF766C"/>
    <w:rsid w:val="00D16B82"/>
    <w:rsid w:val="00D17E7A"/>
    <w:rsid w:val="00D17FEC"/>
    <w:rsid w:val="00D24193"/>
    <w:rsid w:val="00D567E6"/>
    <w:rsid w:val="00D57589"/>
    <w:rsid w:val="00D63DC8"/>
    <w:rsid w:val="00D6615A"/>
    <w:rsid w:val="00D67CFD"/>
    <w:rsid w:val="00D740C7"/>
    <w:rsid w:val="00D874FD"/>
    <w:rsid w:val="00D95517"/>
    <w:rsid w:val="00D96987"/>
    <w:rsid w:val="00DB17C2"/>
    <w:rsid w:val="00DB1925"/>
    <w:rsid w:val="00DD166F"/>
    <w:rsid w:val="00DE4C7A"/>
    <w:rsid w:val="00E247DC"/>
    <w:rsid w:val="00E337E6"/>
    <w:rsid w:val="00E47E4E"/>
    <w:rsid w:val="00E62E16"/>
    <w:rsid w:val="00E672AA"/>
    <w:rsid w:val="00E712B5"/>
    <w:rsid w:val="00EA2E82"/>
    <w:rsid w:val="00EB4832"/>
    <w:rsid w:val="00EB78FB"/>
    <w:rsid w:val="00EC0889"/>
    <w:rsid w:val="00F30AEC"/>
    <w:rsid w:val="00F42816"/>
    <w:rsid w:val="00F62D61"/>
    <w:rsid w:val="00F6525C"/>
    <w:rsid w:val="00F66136"/>
    <w:rsid w:val="00F70578"/>
    <w:rsid w:val="00F72490"/>
    <w:rsid w:val="00F91CA7"/>
    <w:rsid w:val="00FA1C94"/>
    <w:rsid w:val="00FB6772"/>
    <w:rsid w:val="00FC0E9B"/>
    <w:rsid w:val="00FC3FE0"/>
    <w:rsid w:val="00FC5CB0"/>
    <w:rsid w:val="00FD188B"/>
    <w:rsid w:val="00FD2CCD"/>
    <w:rsid w:val="00FE1B13"/>
    <w:rsid w:val="00FE1EE0"/>
    <w:rsid w:val="00FE5B66"/>
    <w:rsid w:val="00FF394A"/>
    <w:rsid w:val="00FF3BB6"/>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D95517"/>
    <w:rPr>
      <w:color w:val="00335E"/>
      <w:u w:val="single"/>
    </w:rPr>
  </w:style>
  <w:style w:type="character" w:styleId="FollowedHyperlink">
    <w:name w:val="FollowedHyperlink"/>
    <w:basedOn w:val="DefaultParagraphFont"/>
    <w:uiPriority w:val="99"/>
    <w:semiHidden/>
    <w:unhideWhenUsed/>
    <w:rsid w:val="005E33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D95517"/>
    <w:rPr>
      <w:color w:val="00335E"/>
      <w:u w:val="single"/>
    </w:rPr>
  </w:style>
  <w:style w:type="character" w:styleId="FollowedHyperlink">
    <w:name w:val="FollowedHyperlink"/>
    <w:basedOn w:val="DefaultParagraphFont"/>
    <w:uiPriority w:val="99"/>
    <w:semiHidden/>
    <w:unhideWhenUsed/>
    <w:rsid w:val="005E3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onlinelibrary.wiley.com/doi/10.1111/ajt.13898/full" TargetMode="External"/><Relationship Id="rId26" Type="http://schemas.openxmlformats.org/officeDocument/2006/relationships/hyperlink" Target="https://www.ncbi.nlm.nih.gov/pubmed/15579530" TargetMode="External"/><Relationship Id="rId39" Type="http://schemas.openxmlformats.org/officeDocument/2006/relationships/hyperlink" Target="https://www.ncbi.nlm.nih.gov/pubmed/15268734" TargetMode="External"/><Relationship Id="rId21" Type="http://schemas.openxmlformats.org/officeDocument/2006/relationships/hyperlink" Target="https://www.ncbi.nlm.nih.gov/pubmed/24401076" TargetMode="External"/><Relationship Id="rId34" Type="http://schemas.openxmlformats.org/officeDocument/2006/relationships/hyperlink" Target="https://www.ncbi.nlm.nih.gov/pubmed/27184779" TargetMode="External"/><Relationship Id="rId42" Type="http://schemas.openxmlformats.org/officeDocument/2006/relationships/hyperlink" Target="http://www.kidney.org.uk/Medical-Info/transplant.html"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nba.gov.au/pubs/pdf/report-lit-rev.pdf" TargetMode="External"/><Relationship Id="rId29" Type="http://schemas.openxmlformats.org/officeDocument/2006/relationships/hyperlink" Target="https://www.ncbi.nlm.nih.gov/pubmed/27542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ncbi.nlm.nih.gov/pubmed/24937198" TargetMode="External"/><Relationship Id="rId32" Type="http://schemas.openxmlformats.org/officeDocument/2006/relationships/hyperlink" Target="https://www.ncbi.nlm.nih.gov/pubmed/15167606" TargetMode="External"/><Relationship Id="rId37" Type="http://schemas.openxmlformats.org/officeDocument/2006/relationships/hyperlink" Target="https://www.ncbi.nlm.nih.gov/pmc/articles/PMC3075564/" TargetMode="External"/><Relationship Id="rId40" Type="http://schemas.openxmlformats.org/officeDocument/2006/relationships/hyperlink" Target="https://www.ncbi.nlm.nih.gov/pubmed/15196059" TargetMode="External"/><Relationship Id="rId45"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www.researchgate.net/publication/247903519_Polyomaviruses_An_Overview" TargetMode="External"/><Relationship Id="rId23" Type="http://schemas.openxmlformats.org/officeDocument/2006/relationships/hyperlink" Target="https://www.blood.gov.au/pubs/ivig/conditions-for-which-IVIg-has-an-established-therapeutic-role.html" TargetMode="External"/><Relationship Id="rId28" Type="http://schemas.openxmlformats.org/officeDocument/2006/relationships/hyperlink" Target="https://www.ncbi.nlm.nih.gov/pubmed/24401076" TargetMode="External"/><Relationship Id="rId36" Type="http://schemas.openxmlformats.org/officeDocument/2006/relationships/hyperlink" Target="https://www.ncbi.nlm.nih.gov/pubmed/8970626" TargetMode="External"/><Relationship Id="rId10" Type="http://schemas.openxmlformats.org/officeDocument/2006/relationships/header" Target="header2.xml"/><Relationship Id="rId19" Type="http://schemas.openxmlformats.org/officeDocument/2006/relationships/hyperlink" Target="https://www.ncbi.nlm.nih.gov/pubmed/8154971" TargetMode="External"/><Relationship Id="rId31" Type="http://schemas.openxmlformats.org/officeDocument/2006/relationships/hyperlink" Target="https://www.ncbi.nlm.nih.gov/pubmed/11502969" TargetMode="External"/><Relationship Id="rId44" Type="http://schemas.openxmlformats.org/officeDocument/2006/relationships/hyperlink" Target="http://onlinelibrary.wiley.com/doi/10.1111/j.1600-6143.2008.02411.x/ful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onlinelibrary.wiley.com/doi/10.1111/ajt.13898/full" TargetMode="External"/><Relationship Id="rId27" Type="http://schemas.openxmlformats.org/officeDocument/2006/relationships/hyperlink" Target="https://www.ncbi.nlm.nih.gov/pubmed/12973100" TargetMode="External"/><Relationship Id="rId30" Type="http://schemas.openxmlformats.org/officeDocument/2006/relationships/hyperlink" Target="https://www.ncbi.nlm.nih.gov/pubmed/16669980" TargetMode="External"/><Relationship Id="rId35" Type="http://schemas.openxmlformats.org/officeDocument/2006/relationships/hyperlink" Target="https://www.ncbi.nlm.nih.gov/pubmed/16580469" TargetMode="External"/><Relationship Id="rId43" Type="http://schemas.openxmlformats.org/officeDocument/2006/relationships/hyperlink" Target="https://www.ncbi.nlm.nih.gov/pubmed/26693703"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ncbi.nlm.nih.gov/pubmed/11211195" TargetMode="External"/><Relationship Id="rId25" Type="http://schemas.openxmlformats.org/officeDocument/2006/relationships/hyperlink" Target="https://www.ncbi.nlm.nih.gov/pubmed/24472190" TargetMode="External"/><Relationship Id="rId33" Type="http://schemas.openxmlformats.org/officeDocument/2006/relationships/hyperlink" Target="https://www.ncbi.nlm.nih.gov/pubmed/21793744" TargetMode="External"/><Relationship Id="rId38" Type="http://schemas.openxmlformats.org/officeDocument/2006/relationships/hyperlink" Target="http://mobile.journals.lww.com/transplantjournal/Fulltext/2016/02000/One_year_Results_of_the_Effects_of_Rituximab_on.24.aspx?WT.mc_id=HPxADx20100319xMP" TargetMode="External"/><Relationship Id="rId46" Type="http://schemas.openxmlformats.org/officeDocument/2006/relationships/fontTable" Target="fontTable.xml"/><Relationship Id="rId20" Type="http://schemas.openxmlformats.org/officeDocument/2006/relationships/hyperlink" Target="https://www.ncbi.nlm.nih.gov/pubmed/24937199" TargetMode="External"/><Relationship Id="rId41" Type="http://schemas.openxmlformats.org/officeDocument/2006/relationships/hyperlink" Target="https://www.ncbi.nlm.nih.gov/pubmed/15636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16F22-7BB2-4F6A-A650-974E97C6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5600</Words>
  <Characters>31924</Characters>
  <Application>Microsoft Office Word</Application>
  <DocSecurity>4</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2</cp:revision>
  <cp:lastPrinted>2017-04-10T01:44:00Z</cp:lastPrinted>
  <dcterms:created xsi:type="dcterms:W3CDTF">2017-09-07T03:44:00Z</dcterms:created>
  <dcterms:modified xsi:type="dcterms:W3CDTF">2017-09-07T03:44:00Z</dcterms:modified>
</cp:coreProperties>
</file>