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B8" w:rsidRPr="00C17BC8" w:rsidRDefault="001C69B8" w:rsidP="001C69B8">
      <w:pPr>
        <w:pStyle w:val="Heading4"/>
        <w:tabs>
          <w:tab w:val="left" w:pos="709"/>
        </w:tabs>
        <w:ind w:left="-426"/>
        <w:rPr>
          <w:sz w:val="28"/>
        </w:rPr>
      </w:pPr>
      <w:bookmarkStart w:id="0" w:name="_GoBack"/>
      <w:bookmarkEnd w:id="0"/>
    </w:p>
    <w:p w:rsidR="00447869" w:rsidRPr="00487C51" w:rsidRDefault="001C69B8" w:rsidP="00487C51">
      <w:pPr>
        <w:ind w:left="-284"/>
        <w:rPr>
          <w:rFonts w:ascii="Arial" w:hAnsi="Arial" w:cs="Arial"/>
          <w:sz w:val="28"/>
        </w:rPr>
      </w:pPr>
      <w:r w:rsidRPr="00487C51">
        <w:rPr>
          <w:rFonts w:ascii="Arial" w:hAnsi="Arial" w:cs="Arial"/>
          <w:sz w:val="28"/>
        </w:rPr>
        <w:t xml:space="preserve">2017 (v3.0) Proposed changes to </w:t>
      </w:r>
      <w:r w:rsidR="00C17BC8" w:rsidRPr="00487C51">
        <w:rPr>
          <w:rFonts w:ascii="Arial" w:hAnsi="Arial" w:cs="Arial"/>
          <w:sz w:val="28"/>
        </w:rPr>
        <w:t xml:space="preserve">v2.1 of the </w:t>
      </w:r>
      <w:r w:rsidRPr="00487C51">
        <w:rPr>
          <w:rFonts w:ascii="Arial" w:hAnsi="Arial" w:cs="Arial"/>
          <w:sz w:val="28"/>
        </w:rPr>
        <w:t>Criteria for the clinical use of intravenous immunoglobulin in Australia</w:t>
      </w:r>
    </w:p>
    <w:tbl>
      <w:tblPr>
        <w:tblStyle w:val="TableGrid"/>
        <w:tblW w:w="14601" w:type="dxa"/>
        <w:tblInd w:w="-318" w:type="dxa"/>
        <w:tblLook w:val="0680" w:firstRow="0" w:lastRow="0" w:firstColumn="1" w:lastColumn="0" w:noHBand="1" w:noVBand="1"/>
      </w:tblPr>
      <w:tblGrid>
        <w:gridCol w:w="2161"/>
        <w:gridCol w:w="1384"/>
        <w:gridCol w:w="142"/>
        <w:gridCol w:w="1451"/>
        <w:gridCol w:w="1667"/>
        <w:gridCol w:w="1701"/>
        <w:gridCol w:w="1559"/>
        <w:gridCol w:w="4536"/>
      </w:tblGrid>
      <w:tr w:rsidR="00793EB5" w:rsidRPr="009930B9" w:rsidTr="00D02545">
        <w:tc>
          <w:tcPr>
            <w:tcW w:w="3687" w:type="dxa"/>
            <w:gridSpan w:val="3"/>
            <w:shd w:val="clear" w:color="auto" w:fill="DBE5F1" w:themeFill="accent1" w:themeFillTint="33"/>
          </w:tcPr>
          <w:p w:rsidR="00793EB5" w:rsidRPr="009930B9" w:rsidRDefault="00793EB5" w:rsidP="00C17BC8">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CONDITION NAME</w:t>
            </w:r>
            <w:r w:rsidR="00E15214">
              <w:rPr>
                <w:rFonts w:asciiTheme="minorHAnsi" w:eastAsia="Times New Roman" w:hAnsiTheme="minorHAnsi" w:cs="Times New Roman"/>
                <w:b/>
                <w:bCs/>
                <w:lang w:eastAsia="en-AU"/>
              </w:rPr>
              <w:t>S</w:t>
            </w:r>
            <w:r w:rsidRPr="009930B9">
              <w:rPr>
                <w:rFonts w:asciiTheme="minorHAnsi" w:eastAsia="Times New Roman" w:hAnsiTheme="minorHAnsi" w:cs="Times New Roman"/>
                <w:b/>
                <w:bCs/>
                <w:lang w:eastAsia="en-AU"/>
              </w:rPr>
              <w:t xml:space="preserve"> IN</w:t>
            </w:r>
            <w:r w:rsidR="00163C39">
              <w:rPr>
                <w:rFonts w:asciiTheme="minorHAnsi" w:eastAsia="Times New Roman" w:hAnsiTheme="minorHAnsi" w:cs="Times New Roman"/>
                <w:b/>
                <w:bCs/>
                <w:lang w:eastAsia="en-AU"/>
              </w:rPr>
              <w:t xml:space="preserve"> </w:t>
            </w:r>
            <w:r w:rsidR="004D4093">
              <w:rPr>
                <w:rFonts w:asciiTheme="minorHAnsi" w:eastAsia="Times New Roman" w:hAnsiTheme="minorHAnsi" w:cs="Times New Roman"/>
                <w:b/>
                <w:bCs/>
                <w:lang w:eastAsia="en-AU"/>
              </w:rPr>
              <w:t>v</w:t>
            </w:r>
            <w:r w:rsidRPr="009930B9">
              <w:rPr>
                <w:rFonts w:asciiTheme="minorHAnsi" w:eastAsia="Times New Roman" w:hAnsiTheme="minorHAnsi" w:cs="Times New Roman"/>
                <w:b/>
                <w:bCs/>
                <w:lang w:eastAsia="en-AU"/>
              </w:rPr>
              <w:t xml:space="preserve">2.1 </w:t>
            </w:r>
          </w:p>
        </w:tc>
        <w:tc>
          <w:tcPr>
            <w:tcW w:w="10914" w:type="dxa"/>
            <w:gridSpan w:val="5"/>
            <w:shd w:val="clear" w:color="auto" w:fill="DBE5F1" w:themeFill="accent1" w:themeFillTint="33"/>
          </w:tcPr>
          <w:p w:rsidR="00793EB5" w:rsidRPr="009930B9" w:rsidRDefault="00D016BF" w:rsidP="007830E1">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Limbic encephalitis — non</w:t>
            </w:r>
            <w:r w:rsidR="00062677" w:rsidRPr="009930B9">
              <w:rPr>
                <w:rFonts w:asciiTheme="minorHAnsi" w:eastAsia="Times New Roman" w:hAnsiTheme="minorHAnsi" w:cs="Times New Roman"/>
                <w:b/>
                <w:bCs/>
                <w:lang w:eastAsia="en-AU"/>
              </w:rPr>
              <w:t>-</w:t>
            </w:r>
            <w:r w:rsidRPr="009930B9">
              <w:rPr>
                <w:rFonts w:asciiTheme="minorHAnsi" w:eastAsia="Times New Roman" w:hAnsiTheme="minorHAnsi" w:cs="Times New Roman"/>
                <w:b/>
                <w:bCs/>
                <w:lang w:eastAsia="en-AU"/>
              </w:rPr>
              <w:t>paraneoplastic</w:t>
            </w:r>
          </w:p>
          <w:p w:rsidR="00062677" w:rsidRPr="009930B9" w:rsidRDefault="00062677" w:rsidP="007830E1">
            <w:pPr>
              <w:spacing w:before="120" w:after="120"/>
              <w:rPr>
                <w:rFonts w:asciiTheme="minorHAnsi" w:eastAsia="Times New Roman" w:hAnsiTheme="minorHAnsi" w:cs="Times New Roman"/>
                <w:b/>
                <w:bCs/>
                <w:lang w:eastAsia="en-AU"/>
              </w:rPr>
            </w:pPr>
            <w:r w:rsidRPr="002B47B8">
              <w:rPr>
                <w:rFonts w:asciiTheme="minorHAnsi" w:eastAsia="Times New Roman" w:hAnsiTheme="minorHAnsi" w:cs="Times New Roman"/>
                <w:b/>
                <w:bCs/>
                <w:lang w:eastAsia="en-AU"/>
              </w:rPr>
              <w:t xml:space="preserve">Limbic encephalitis – paraneoplastic </w:t>
            </w:r>
            <w:r w:rsidR="006E6ABF" w:rsidRPr="002B47B8">
              <w:rPr>
                <w:rFonts w:asciiTheme="minorHAnsi" w:eastAsia="Times New Roman" w:hAnsiTheme="minorHAnsi" w:cs="Times New Roman"/>
                <w:b/>
                <w:bCs/>
                <w:lang w:eastAsia="en-AU"/>
              </w:rPr>
              <w:t>(Paraneoplastic neurological syndromes)</w:t>
            </w:r>
          </w:p>
        </w:tc>
      </w:tr>
      <w:tr w:rsidR="00642A5C" w:rsidRPr="009930B9" w:rsidTr="00D02545">
        <w:tc>
          <w:tcPr>
            <w:tcW w:w="3687" w:type="dxa"/>
            <w:gridSpan w:val="3"/>
            <w:shd w:val="clear" w:color="auto" w:fill="auto"/>
          </w:tcPr>
          <w:p w:rsidR="004D4093" w:rsidRDefault="004D4093" w:rsidP="00A960DC">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A960DC" w:rsidRPr="00C17BC8" w:rsidRDefault="004D4093" w:rsidP="00A960DC">
            <w:pPr>
              <w:spacing w:before="120" w:after="120"/>
              <w:rPr>
                <w:rFonts w:asciiTheme="minorHAnsi" w:eastAsia="Times New Roman" w:hAnsiTheme="minorHAnsi" w:cs="Times New Roman"/>
                <w:b/>
                <w:bCs/>
                <w:i/>
                <w:lang w:eastAsia="en-AU"/>
              </w:rPr>
            </w:pPr>
            <w:r>
              <w:rPr>
                <w:rFonts w:asciiTheme="minorHAnsi" w:eastAsia="Times New Roman" w:hAnsiTheme="minorHAnsi" w:cs="Times New Roman"/>
                <w:b/>
                <w:bCs/>
                <w:lang w:eastAsia="en-AU"/>
              </w:rPr>
              <w:t xml:space="preserve">To remove </w:t>
            </w:r>
            <w:r w:rsidR="00A960DC" w:rsidRPr="009930B9">
              <w:rPr>
                <w:rFonts w:asciiTheme="minorHAnsi" w:eastAsia="Times New Roman" w:hAnsiTheme="minorHAnsi" w:cs="Times New Roman"/>
                <w:b/>
                <w:bCs/>
                <w:lang w:eastAsia="en-AU"/>
              </w:rPr>
              <w:t>Limbic encephalitis — non-paraneoplastic</w:t>
            </w:r>
            <w:r w:rsidR="00A960DC" w:rsidRPr="009930B9" w:rsidDel="00827F37">
              <w:rPr>
                <w:rFonts w:asciiTheme="minorHAnsi" w:eastAsia="Times New Roman" w:hAnsiTheme="minorHAnsi" w:cs="Times New Roman"/>
                <w:b/>
                <w:bCs/>
                <w:lang w:eastAsia="en-AU"/>
              </w:rPr>
              <w:t xml:space="preserve"> </w:t>
            </w:r>
            <w:r w:rsidR="00062677" w:rsidRPr="009930B9">
              <w:rPr>
                <w:rFonts w:asciiTheme="minorHAnsi" w:eastAsia="Times New Roman" w:hAnsiTheme="minorHAnsi" w:cs="Times New Roman"/>
                <w:b/>
                <w:bCs/>
                <w:lang w:eastAsia="en-AU"/>
              </w:rPr>
              <w:t>and Limbic</w:t>
            </w:r>
            <w:r w:rsidR="00BB30CD">
              <w:rPr>
                <w:rFonts w:asciiTheme="minorHAnsi" w:eastAsia="Times New Roman" w:hAnsiTheme="minorHAnsi" w:cs="Times New Roman"/>
                <w:b/>
                <w:bCs/>
                <w:lang w:eastAsia="en-AU"/>
              </w:rPr>
              <w:t xml:space="preserve"> encephalitis – paraneoplastic </w:t>
            </w:r>
            <w:r w:rsidR="00062677" w:rsidRPr="009930B9">
              <w:rPr>
                <w:rFonts w:asciiTheme="minorHAnsi" w:eastAsia="Times New Roman" w:hAnsiTheme="minorHAnsi" w:cs="Times New Roman"/>
                <w:b/>
                <w:bCs/>
                <w:lang w:eastAsia="en-AU"/>
              </w:rPr>
              <w:t xml:space="preserve">as </w:t>
            </w:r>
            <w:r w:rsidR="00A960DC" w:rsidRPr="009930B9">
              <w:rPr>
                <w:rFonts w:asciiTheme="minorHAnsi" w:eastAsia="Times New Roman" w:hAnsiTheme="minorHAnsi" w:cs="Times New Roman"/>
                <w:b/>
                <w:bCs/>
                <w:lang w:eastAsia="en-AU"/>
              </w:rPr>
              <w:t>stand-alone condition</w:t>
            </w:r>
            <w:r w:rsidR="00062677" w:rsidRPr="009930B9">
              <w:rPr>
                <w:rFonts w:asciiTheme="minorHAnsi" w:eastAsia="Times New Roman" w:hAnsiTheme="minorHAnsi" w:cs="Times New Roman"/>
                <w:b/>
                <w:bCs/>
                <w:lang w:eastAsia="en-AU"/>
              </w:rPr>
              <w:t>s</w:t>
            </w:r>
            <w:r w:rsidR="00A960DC" w:rsidRPr="009930B9">
              <w:rPr>
                <w:rFonts w:asciiTheme="minorHAnsi" w:eastAsia="Times New Roman" w:hAnsiTheme="minorHAnsi" w:cs="Times New Roman"/>
                <w:b/>
                <w:bCs/>
                <w:lang w:eastAsia="en-AU"/>
              </w:rPr>
              <w:t xml:space="preserve"> </w:t>
            </w:r>
            <w:r w:rsidR="00C17BC8">
              <w:rPr>
                <w:rFonts w:asciiTheme="minorHAnsi" w:eastAsia="Times New Roman" w:hAnsiTheme="minorHAnsi" w:cs="Times New Roman"/>
                <w:b/>
                <w:bCs/>
                <w:lang w:eastAsia="en-AU"/>
              </w:rPr>
              <w:t xml:space="preserve">in </w:t>
            </w:r>
            <w:r w:rsidR="00C17BC8" w:rsidRPr="00C17BC8">
              <w:rPr>
                <w:rFonts w:asciiTheme="minorHAnsi" w:eastAsia="Times New Roman" w:hAnsiTheme="minorHAnsi" w:cs="Times New Roman"/>
                <w:b/>
                <w:bCs/>
                <w:i/>
                <w:lang w:eastAsia="en-AU"/>
              </w:rPr>
              <w:t>Exceptional circumstances only</w:t>
            </w:r>
            <w:r w:rsidR="00C17BC8">
              <w:rPr>
                <w:rFonts w:asciiTheme="minorHAnsi" w:eastAsia="Times New Roman" w:hAnsiTheme="minorHAnsi" w:cs="Times New Roman"/>
                <w:b/>
                <w:bCs/>
                <w:lang w:eastAsia="en-AU"/>
              </w:rPr>
              <w:t xml:space="preserve"> </w:t>
            </w:r>
            <w:r w:rsidR="00A960DC" w:rsidRPr="009930B9">
              <w:rPr>
                <w:rFonts w:asciiTheme="minorHAnsi" w:eastAsia="Times New Roman" w:hAnsiTheme="minorHAnsi" w:cs="Times New Roman"/>
                <w:b/>
                <w:bCs/>
                <w:lang w:eastAsia="en-AU"/>
              </w:rPr>
              <w:t>and allow access</w:t>
            </w:r>
            <w:r w:rsidR="00A960DC" w:rsidRPr="009930B9">
              <w:rPr>
                <w:rFonts w:asciiTheme="minorHAnsi" w:eastAsia="Times New Roman" w:hAnsiTheme="minorHAnsi" w:cs="Times New Roman"/>
                <w:b/>
                <w:bCs/>
                <w:i/>
                <w:lang w:eastAsia="en-AU"/>
              </w:rPr>
              <w:t xml:space="preserve"> </w:t>
            </w:r>
            <w:r w:rsidR="00A960DC" w:rsidRPr="009930B9">
              <w:rPr>
                <w:rFonts w:asciiTheme="minorHAnsi" w:eastAsia="Times New Roman" w:hAnsiTheme="minorHAnsi" w:cs="Times New Roman"/>
                <w:b/>
                <w:bCs/>
                <w:lang w:eastAsia="en-AU"/>
              </w:rPr>
              <w:t>for eligible patients under Autoimmune encephalitis mediated by antibodies targeting cell surface antigens (AMAE)</w:t>
            </w:r>
            <w:r w:rsidR="00C17BC8">
              <w:rPr>
                <w:rFonts w:asciiTheme="minorHAnsi" w:eastAsia="Times New Roman" w:hAnsiTheme="minorHAnsi" w:cs="Times New Roman"/>
                <w:b/>
                <w:bCs/>
                <w:lang w:eastAsia="en-AU"/>
              </w:rPr>
              <w:t xml:space="preserve"> in </w:t>
            </w:r>
            <w:r w:rsidR="00A960DC" w:rsidRPr="00C17BC8">
              <w:rPr>
                <w:rFonts w:asciiTheme="minorHAnsi" w:eastAsia="Times New Roman" w:hAnsiTheme="minorHAnsi" w:cs="Times New Roman"/>
                <w:b/>
                <w:bCs/>
                <w:i/>
                <w:lang w:eastAsia="en-AU"/>
              </w:rPr>
              <w:t>Emerging therapeutic</w:t>
            </w:r>
            <w:r w:rsidR="00C17BC8" w:rsidRPr="00C17BC8">
              <w:rPr>
                <w:rFonts w:asciiTheme="minorHAnsi" w:eastAsia="Times New Roman" w:hAnsiTheme="minorHAnsi" w:cs="Times New Roman"/>
                <w:b/>
                <w:bCs/>
                <w:i/>
                <w:lang w:eastAsia="en-AU"/>
              </w:rPr>
              <w:t xml:space="preserve"> </w:t>
            </w:r>
            <w:r w:rsidRPr="00C17BC8">
              <w:rPr>
                <w:rFonts w:asciiTheme="minorHAnsi" w:eastAsia="Times New Roman" w:hAnsiTheme="minorHAnsi" w:cs="Times New Roman"/>
                <w:b/>
                <w:bCs/>
                <w:i/>
                <w:lang w:eastAsia="en-AU"/>
              </w:rPr>
              <w:t xml:space="preserve">role </w:t>
            </w:r>
          </w:p>
          <w:p w:rsidR="003E3235" w:rsidRPr="009930B9" w:rsidRDefault="003E3235" w:rsidP="00AD1EF1">
            <w:pPr>
              <w:spacing w:before="120" w:after="120"/>
              <w:rPr>
                <w:rFonts w:asciiTheme="minorHAnsi" w:eastAsia="Times New Roman" w:hAnsiTheme="minorHAnsi" w:cs="Times New Roman"/>
                <w:bCs/>
                <w:lang w:eastAsia="en-AU"/>
              </w:rPr>
            </w:pPr>
          </w:p>
        </w:tc>
        <w:tc>
          <w:tcPr>
            <w:tcW w:w="10914" w:type="dxa"/>
            <w:gridSpan w:val="5"/>
            <w:shd w:val="clear" w:color="auto" w:fill="auto"/>
          </w:tcPr>
          <w:p w:rsidR="00642A5C" w:rsidRPr="009930B9" w:rsidRDefault="00642A5C" w:rsidP="008612AB">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 xml:space="preserve">SUMMARY OF RATIONALE: </w:t>
            </w:r>
          </w:p>
          <w:p w:rsidR="00A960DC" w:rsidRPr="009930B9" w:rsidRDefault="006E6ABF" w:rsidP="00A960DC">
            <w:pPr>
              <w:spacing w:before="120" w:after="120"/>
              <w:ind w:left="166"/>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Further </w:t>
            </w:r>
            <w:r w:rsidRPr="002B47B8">
              <w:rPr>
                <w:rFonts w:asciiTheme="minorHAnsi" w:eastAsia="Times New Roman" w:hAnsiTheme="minorHAnsi" w:cs="Times New Roman"/>
                <w:bCs/>
                <w:lang w:eastAsia="en-AU"/>
              </w:rPr>
              <w:t>revisions to the</w:t>
            </w:r>
            <w:r w:rsidR="00A960DC" w:rsidRPr="002B47B8">
              <w:rPr>
                <w:rFonts w:asciiTheme="minorHAnsi" w:eastAsia="Times New Roman" w:hAnsiTheme="minorHAnsi" w:cs="Times New Roman"/>
                <w:bCs/>
                <w:lang w:eastAsia="en-AU"/>
              </w:rPr>
              <w:t>s</w:t>
            </w:r>
            <w:r w:rsidRPr="002B47B8">
              <w:rPr>
                <w:rFonts w:asciiTheme="minorHAnsi" w:eastAsia="Times New Roman" w:hAnsiTheme="minorHAnsi" w:cs="Times New Roman"/>
                <w:bCs/>
                <w:lang w:eastAsia="en-AU"/>
              </w:rPr>
              <w:t>e</w:t>
            </w:r>
            <w:r w:rsidR="00A960DC" w:rsidRPr="002B47B8">
              <w:rPr>
                <w:rFonts w:asciiTheme="minorHAnsi" w:eastAsia="Times New Roman" w:hAnsiTheme="minorHAnsi" w:cs="Times New Roman"/>
                <w:bCs/>
                <w:lang w:eastAsia="en-AU"/>
              </w:rPr>
              <w:t xml:space="preserve"> condition</w:t>
            </w:r>
            <w:r w:rsidRPr="002B47B8">
              <w:rPr>
                <w:rFonts w:asciiTheme="minorHAnsi" w:eastAsia="Times New Roman" w:hAnsiTheme="minorHAnsi" w:cs="Times New Roman"/>
                <w:bCs/>
                <w:lang w:eastAsia="en-AU"/>
              </w:rPr>
              <w:t>s</w:t>
            </w:r>
            <w:r w:rsidR="00A960DC" w:rsidRPr="002B47B8">
              <w:rPr>
                <w:rFonts w:asciiTheme="minorHAnsi" w:eastAsia="Times New Roman" w:hAnsiTheme="minorHAnsi" w:cs="Times New Roman"/>
                <w:bCs/>
                <w:lang w:eastAsia="en-AU"/>
              </w:rPr>
              <w:t xml:space="preserve"> were</w:t>
            </w:r>
            <w:r w:rsidR="00A960DC" w:rsidRPr="009930B9">
              <w:rPr>
                <w:rFonts w:asciiTheme="minorHAnsi" w:eastAsia="Times New Roman" w:hAnsiTheme="minorHAnsi" w:cs="Times New Roman"/>
                <w:bCs/>
                <w:lang w:eastAsia="en-AU"/>
              </w:rPr>
              <w:t xml:space="preserve"> planned as part of the review of the category of </w:t>
            </w:r>
            <w:r w:rsidR="004D4093" w:rsidRPr="00C17BC8">
              <w:rPr>
                <w:rFonts w:asciiTheme="minorHAnsi" w:eastAsia="Times New Roman" w:hAnsiTheme="minorHAnsi" w:cs="Times New Roman"/>
                <w:bCs/>
                <w:i/>
                <w:lang w:eastAsia="en-AU"/>
              </w:rPr>
              <w:t>E</w:t>
            </w:r>
            <w:r w:rsidR="00A960DC" w:rsidRPr="00C17BC8">
              <w:rPr>
                <w:rFonts w:asciiTheme="minorHAnsi" w:eastAsia="Times New Roman" w:hAnsiTheme="minorHAnsi" w:cs="Times New Roman"/>
                <w:bCs/>
                <w:i/>
                <w:lang w:eastAsia="en-AU"/>
              </w:rPr>
              <w:t>xceptional</w:t>
            </w:r>
            <w:r w:rsidR="004D4093" w:rsidRPr="00C17BC8">
              <w:rPr>
                <w:rFonts w:asciiTheme="minorHAnsi" w:eastAsia="Times New Roman" w:hAnsiTheme="minorHAnsi" w:cs="Times New Roman"/>
                <w:bCs/>
                <w:i/>
                <w:lang w:eastAsia="en-AU"/>
              </w:rPr>
              <w:t xml:space="preserve"> circumstances only</w:t>
            </w:r>
            <w:r w:rsidR="00A960DC" w:rsidRPr="009930B9">
              <w:rPr>
                <w:rFonts w:asciiTheme="minorHAnsi" w:eastAsia="Times New Roman" w:hAnsiTheme="minorHAnsi" w:cs="Times New Roman"/>
                <w:bCs/>
                <w:lang w:eastAsia="en-AU"/>
              </w:rPr>
              <w:t xml:space="preserve">, and a number of contributing factors support the recommended changes: </w:t>
            </w:r>
          </w:p>
          <w:p w:rsidR="00A960DC" w:rsidRPr="00DF2E25" w:rsidRDefault="00A960DC" w:rsidP="003A2F11">
            <w:pPr>
              <w:pStyle w:val="ListParagraph"/>
              <w:numPr>
                <w:ilvl w:val="0"/>
                <w:numId w:val="45"/>
              </w:numPr>
              <w:spacing w:before="120" w:after="120"/>
              <w:ind w:left="600"/>
              <w:rPr>
                <w:rFonts w:asciiTheme="minorHAnsi" w:hAnsiTheme="minorHAnsi"/>
                <w:i/>
              </w:rPr>
            </w:pPr>
            <w:r w:rsidRPr="009930B9">
              <w:rPr>
                <w:rFonts w:asciiTheme="minorHAnsi" w:eastAsia="Times New Roman" w:hAnsiTheme="minorHAnsi" w:cs="Times New Roman"/>
                <w:bCs/>
                <w:lang w:eastAsia="en-AU"/>
              </w:rPr>
              <w:t>As can be seen from the BloodSTAR v2.1 qualifying criteria below</w:t>
            </w:r>
            <w:r w:rsidRPr="00DF2E25">
              <w:rPr>
                <w:rFonts w:asciiTheme="minorHAnsi" w:eastAsia="Times New Roman" w:hAnsiTheme="minorHAnsi" w:cs="Times New Roman"/>
                <w:bCs/>
                <w:lang w:eastAsia="en-AU"/>
              </w:rPr>
              <w:t xml:space="preserve">, </w:t>
            </w:r>
            <w:r w:rsidR="00825BC0" w:rsidRPr="00DF2E25">
              <w:rPr>
                <w:rFonts w:asciiTheme="minorHAnsi" w:eastAsia="Times New Roman" w:hAnsiTheme="minorHAnsi" w:cs="Times New Roman"/>
                <w:bCs/>
                <w:lang w:eastAsia="en-AU"/>
              </w:rPr>
              <w:t>both forms of Limbic encephalitis are</w:t>
            </w:r>
            <w:r w:rsidRPr="00DF2E25">
              <w:rPr>
                <w:rFonts w:asciiTheme="minorHAnsi" w:eastAsia="Times New Roman" w:hAnsiTheme="minorHAnsi" w:cs="Times New Roman"/>
                <w:bCs/>
                <w:lang w:eastAsia="en-AU"/>
              </w:rPr>
              <w:t xml:space="preserve"> recognised to be associated with the development of autoantibodies to cell surface neural proteins such as NMDA and AMPA in the current criteria. The same autoantibodies are associated with encephalitis in other parts of the brain beyond the limbus (as described in AMAE). </w:t>
            </w:r>
          </w:p>
          <w:p w:rsidR="00A960DC" w:rsidRPr="00DF2E25" w:rsidRDefault="00A960DC" w:rsidP="003A2F11">
            <w:pPr>
              <w:pStyle w:val="ListParagraph"/>
              <w:numPr>
                <w:ilvl w:val="0"/>
                <w:numId w:val="45"/>
              </w:numPr>
              <w:spacing w:before="120" w:after="120"/>
              <w:ind w:left="600"/>
              <w:rPr>
                <w:rFonts w:asciiTheme="minorHAnsi" w:hAnsiTheme="minorHAnsi"/>
                <w:i/>
              </w:rPr>
            </w:pPr>
            <w:r w:rsidRPr="00DF2E25">
              <w:rPr>
                <w:rFonts w:asciiTheme="minorHAnsi" w:eastAsia="Times New Roman" w:hAnsiTheme="minorHAnsi" w:cs="Times New Roman"/>
                <w:bCs/>
                <w:lang w:eastAsia="en-AU"/>
              </w:rPr>
              <w:t xml:space="preserve">The restructuring of conditions for </w:t>
            </w:r>
            <w:r w:rsidR="004D4093">
              <w:rPr>
                <w:rFonts w:asciiTheme="minorHAnsi" w:eastAsia="Times New Roman" w:hAnsiTheme="minorHAnsi" w:cs="Times New Roman"/>
                <w:bCs/>
                <w:lang w:eastAsia="en-AU"/>
              </w:rPr>
              <w:t>v</w:t>
            </w:r>
            <w:r w:rsidRPr="00DF2E25">
              <w:rPr>
                <w:rFonts w:asciiTheme="minorHAnsi" w:eastAsia="Times New Roman" w:hAnsiTheme="minorHAnsi" w:cs="Times New Roman"/>
                <w:bCs/>
                <w:lang w:eastAsia="en-AU"/>
              </w:rPr>
              <w:t>3</w:t>
            </w:r>
            <w:r w:rsidR="00B45840">
              <w:rPr>
                <w:rFonts w:asciiTheme="minorHAnsi" w:eastAsia="Times New Roman" w:hAnsiTheme="minorHAnsi" w:cs="Times New Roman"/>
                <w:bCs/>
                <w:lang w:eastAsia="en-AU"/>
              </w:rPr>
              <w:t>.0</w:t>
            </w:r>
            <w:r w:rsidRPr="00DF2E25">
              <w:rPr>
                <w:rFonts w:asciiTheme="minorHAnsi" w:eastAsia="Times New Roman" w:hAnsiTheme="minorHAnsi" w:cs="Times New Roman"/>
                <w:bCs/>
                <w:lang w:eastAsia="en-AU"/>
              </w:rPr>
              <w:t xml:space="preserve"> is simplified by including all patients with Autoimmune encephalitis mediated by antibodies targeting cell surface neural antigens (AMAE) in the same condition and category. </w:t>
            </w:r>
            <w:r w:rsidR="00062677" w:rsidRPr="00DF2E25">
              <w:rPr>
                <w:rFonts w:asciiTheme="minorHAnsi" w:eastAsia="Times New Roman" w:hAnsiTheme="minorHAnsi" w:cs="Times New Roman"/>
                <w:bCs/>
                <w:lang w:eastAsia="en-AU"/>
              </w:rPr>
              <w:t xml:space="preserve">In this way, consistent qualifying and review criteria are applied, and provided patients meet the criteria, they will be eligible. </w:t>
            </w:r>
          </w:p>
          <w:p w:rsidR="00A960DC" w:rsidRPr="009930B9" w:rsidRDefault="00A960DC" w:rsidP="003A2F11">
            <w:pPr>
              <w:pStyle w:val="ListParagraph"/>
              <w:numPr>
                <w:ilvl w:val="0"/>
                <w:numId w:val="45"/>
              </w:numPr>
              <w:spacing w:before="120" w:after="120"/>
              <w:ind w:left="600"/>
              <w:rPr>
                <w:rFonts w:asciiTheme="minorHAnsi" w:hAnsiTheme="minorHAnsi"/>
                <w:i/>
              </w:rPr>
            </w:pPr>
            <w:r w:rsidRPr="009930B9">
              <w:rPr>
                <w:rFonts w:asciiTheme="minorHAnsi" w:eastAsia="Times New Roman" w:hAnsiTheme="minorHAnsi" w:cs="Times New Roman"/>
                <w:bCs/>
                <w:lang w:eastAsia="en-AU"/>
              </w:rPr>
              <w:t>This is supported by recent evidence (Graus et al, 2016) which describes the diagnostic criteria for a number of related conditions now included under qualification for Ig therapy in AMAE.</w:t>
            </w:r>
          </w:p>
          <w:p w:rsidR="00A960DC" w:rsidRPr="009930B9" w:rsidRDefault="00A960DC" w:rsidP="003A2F11">
            <w:pPr>
              <w:pStyle w:val="ListParagraph"/>
              <w:numPr>
                <w:ilvl w:val="0"/>
                <w:numId w:val="45"/>
              </w:numPr>
              <w:spacing w:before="120" w:after="120"/>
              <w:ind w:left="600"/>
              <w:rPr>
                <w:rFonts w:asciiTheme="minorHAnsi" w:hAnsiTheme="minorHAnsi"/>
                <w:i/>
              </w:rPr>
            </w:pPr>
            <w:r w:rsidRPr="009930B9">
              <w:rPr>
                <w:rFonts w:asciiTheme="minorHAnsi" w:eastAsia="Times New Roman" w:hAnsiTheme="minorHAnsi" w:cs="Times New Roman"/>
                <w:bCs/>
                <w:lang w:eastAsia="en-AU"/>
              </w:rPr>
              <w:t xml:space="preserve">International evidence (see below) confirms the role of Ig therapy as first line treatment in combination with IV corticosteroids with improved </w:t>
            </w:r>
            <w:r w:rsidRPr="009930B9">
              <w:rPr>
                <w:rFonts w:asciiTheme="minorHAnsi" w:hAnsiTheme="minorHAnsi"/>
              </w:rPr>
              <w:t>clinical outcomes being demonstrated in response to earlier treatment, and similar outcomes being achieved in sero-negative patients</w:t>
            </w:r>
            <w:r w:rsidRPr="009930B9">
              <w:rPr>
                <w:rFonts w:asciiTheme="minorHAnsi" w:eastAsia="Times New Roman" w:hAnsiTheme="minorHAnsi" w:cs="Times New Roman"/>
                <w:bCs/>
                <w:lang w:eastAsia="en-AU"/>
              </w:rPr>
              <w:t xml:space="preserve">. </w:t>
            </w:r>
          </w:p>
          <w:p w:rsidR="00D348A3" w:rsidRPr="009930B9" w:rsidRDefault="00A960DC" w:rsidP="003A2F11">
            <w:pPr>
              <w:pStyle w:val="ListParagraph"/>
              <w:numPr>
                <w:ilvl w:val="0"/>
                <w:numId w:val="45"/>
              </w:numPr>
              <w:spacing w:before="120" w:after="120"/>
              <w:ind w:left="600"/>
              <w:rPr>
                <w:rFonts w:asciiTheme="minorHAnsi" w:eastAsia="Times New Roman" w:hAnsiTheme="minorHAnsi" w:cs="Times New Roman"/>
                <w:b/>
                <w:bCs/>
                <w:lang w:eastAsia="en-AU"/>
              </w:rPr>
            </w:pPr>
            <w:r w:rsidRPr="009930B9">
              <w:rPr>
                <w:rFonts w:asciiTheme="minorHAnsi" w:hAnsiTheme="minorHAnsi"/>
              </w:rPr>
              <w:t>Ig usage has been increasing over recent years, probably in part due to the</w:t>
            </w:r>
            <w:r w:rsidRPr="009930B9">
              <w:rPr>
                <w:rFonts w:asciiTheme="minorHAnsi" w:hAnsiTheme="minorHAnsi"/>
                <w:i/>
              </w:rPr>
              <w:t xml:space="preserve"> </w:t>
            </w:r>
            <w:r w:rsidRPr="009930B9">
              <w:rPr>
                <w:rFonts w:asciiTheme="minorHAnsi" w:hAnsiTheme="minorHAnsi"/>
              </w:rPr>
              <w:t>increasing recognition of the evidence supporting improved clinical outcomes with earlier immune therapy in limbic encephalitis. The revised criteria will ensure that prescribing practice is appropriate and in line with emerging international practice.</w:t>
            </w:r>
          </w:p>
          <w:p w:rsidR="005E4F3E" w:rsidRPr="003A2F11" w:rsidRDefault="005E4F3E" w:rsidP="003A2F11">
            <w:pPr>
              <w:pStyle w:val="ListParagraph"/>
              <w:widowControl w:val="0"/>
              <w:numPr>
                <w:ilvl w:val="0"/>
                <w:numId w:val="46"/>
              </w:numPr>
              <w:autoSpaceDE w:val="0"/>
              <w:autoSpaceDN w:val="0"/>
              <w:adjustRightInd w:val="0"/>
              <w:spacing w:before="120" w:after="120" w:line="280" w:lineRule="atLeast"/>
              <w:ind w:left="600"/>
              <w:rPr>
                <w:rFonts w:asciiTheme="minorHAnsi" w:eastAsia="Times New Roman" w:hAnsiTheme="minorHAnsi" w:cs="Times New Roman"/>
                <w:b/>
                <w:bCs/>
                <w:lang w:eastAsia="en-AU"/>
              </w:rPr>
            </w:pPr>
            <w:r w:rsidRPr="00D02545">
              <w:rPr>
                <w:rFonts w:asciiTheme="minorHAnsi" w:eastAsia="Times New Roman" w:hAnsiTheme="minorHAnsi" w:cs="Times New Roman"/>
                <w:bCs/>
                <w:lang w:eastAsia="en-AU"/>
              </w:rPr>
              <w:t xml:space="preserve">Autoimmune encephalitis is listed as ‘grey’ </w:t>
            </w:r>
            <w:r w:rsidR="007476FC">
              <w:rPr>
                <w:rFonts w:asciiTheme="minorHAnsi" w:eastAsia="Times New Roman" w:hAnsiTheme="minorHAnsi" w:cs="Times New Roman"/>
                <w:bCs/>
                <w:lang w:eastAsia="en-AU"/>
              </w:rPr>
              <w:t>under ‘Immune mediated disorders with limited evidence of efficacy’</w:t>
            </w:r>
            <w:r w:rsidR="005E6ACC">
              <w:rPr>
                <w:rFonts w:asciiTheme="minorHAnsi" w:eastAsia="Times New Roman" w:hAnsiTheme="minorHAnsi" w:cs="Times New Roman"/>
                <w:bCs/>
                <w:lang w:eastAsia="en-AU"/>
              </w:rPr>
              <w:t xml:space="preserve"> </w:t>
            </w:r>
            <w:r w:rsidRPr="00D02545">
              <w:rPr>
                <w:rFonts w:asciiTheme="minorHAnsi" w:eastAsia="Times New Roman" w:hAnsiTheme="minorHAnsi" w:cs="Times New Roman"/>
                <w:bCs/>
                <w:lang w:eastAsia="en-AU"/>
              </w:rPr>
              <w:t>in the NHS Clinical Guidelines for Ig use (UK Department of Health, 2011</w:t>
            </w:r>
            <w:r w:rsidR="003A2F11">
              <w:rPr>
                <w:rFonts w:asciiTheme="minorHAnsi" w:eastAsia="Times New Roman" w:hAnsiTheme="minorHAnsi" w:cs="Times New Roman"/>
                <w:bCs/>
                <w:lang w:eastAsia="en-AU"/>
              </w:rPr>
              <w:t>). Indications are categorised as ‘grey’ if evidence is weak. The UK guidelines acknowledge that in many cases, this is because the disease is rare. Local approval is required to access IVIg for ‘grey’ indications.</w:t>
            </w:r>
            <w:r w:rsidRPr="003A2F11">
              <w:rPr>
                <w:rFonts w:asciiTheme="minorHAnsi" w:eastAsiaTheme="minorHAnsi" w:hAnsiTheme="minorHAnsi" w:cs="Arial"/>
                <w:lang w:val="en-US"/>
              </w:rPr>
              <w:t>N-methyl-D- aspartate (NMDA) encephalitis</w:t>
            </w:r>
            <w:r w:rsidRPr="003A2F11">
              <w:rPr>
                <w:rFonts w:asciiTheme="minorHAnsi" w:eastAsia="Times New Roman" w:hAnsiTheme="minorHAnsi" w:cs="Times New Roman"/>
                <w:bCs/>
                <w:lang w:eastAsia="en-AU"/>
              </w:rPr>
              <w:t xml:space="preserve"> is listed in the national Canadian </w:t>
            </w:r>
            <w:r w:rsidR="00A40C74" w:rsidRPr="003A2F11">
              <w:rPr>
                <w:rFonts w:asciiTheme="minorHAnsi" w:eastAsia="Times New Roman" w:hAnsiTheme="minorHAnsi" w:cs="Times New Roman"/>
                <w:bCs/>
                <w:lang w:eastAsia="en-AU"/>
              </w:rPr>
              <w:t>IVIg</w:t>
            </w:r>
            <w:r w:rsidR="003F5FDD" w:rsidRPr="003A2F11">
              <w:rPr>
                <w:rFonts w:asciiTheme="minorHAnsi" w:eastAsia="Times New Roman" w:hAnsiTheme="minorHAnsi" w:cs="Times New Roman"/>
                <w:bCs/>
                <w:lang w:eastAsia="en-AU"/>
              </w:rPr>
              <w:t xml:space="preserve"> </w:t>
            </w:r>
            <w:r w:rsidRPr="003A2F11">
              <w:rPr>
                <w:rFonts w:asciiTheme="minorHAnsi" w:eastAsia="Times New Roman" w:hAnsiTheme="minorHAnsi" w:cs="Times New Roman"/>
                <w:bCs/>
                <w:lang w:eastAsia="en-AU"/>
              </w:rPr>
              <w:t>Management Guidelines (</w:t>
            </w:r>
            <w:r w:rsidRPr="003A2F11">
              <w:rPr>
                <w:rFonts w:asciiTheme="minorHAnsi" w:hAnsiTheme="minorHAnsi"/>
              </w:rPr>
              <w:t>Ontario Regional Blood Coordinating Network, 2016)</w:t>
            </w:r>
            <w:r w:rsidRPr="003A2F11">
              <w:rPr>
                <w:rFonts w:asciiTheme="minorHAnsi" w:eastAsia="Times New Roman" w:hAnsiTheme="minorHAnsi" w:cs="Times New Roman"/>
                <w:bCs/>
                <w:lang w:eastAsia="en-AU"/>
              </w:rPr>
              <w:t xml:space="preserve">. </w:t>
            </w:r>
          </w:p>
        </w:tc>
      </w:tr>
      <w:tr w:rsidR="008612AB" w:rsidRPr="009930B9" w:rsidTr="00437609">
        <w:tc>
          <w:tcPr>
            <w:tcW w:w="14601" w:type="dxa"/>
            <w:gridSpan w:val="8"/>
            <w:shd w:val="clear" w:color="auto" w:fill="auto"/>
          </w:tcPr>
          <w:p w:rsidR="00A960DC" w:rsidRPr="009930B9" w:rsidRDefault="008612AB" w:rsidP="00A960DC">
            <w:pPr>
              <w:spacing w:before="120" w:after="120"/>
              <w:rPr>
                <w:rFonts w:asciiTheme="minorHAnsi" w:eastAsia="Times New Roman" w:hAnsiTheme="minorHAnsi" w:cs="Times New Roman"/>
                <w:bCs/>
                <w:lang w:eastAsia="en-AU"/>
              </w:rPr>
            </w:pPr>
            <w:r w:rsidRPr="009930B9">
              <w:rPr>
                <w:rFonts w:asciiTheme="minorHAnsi" w:eastAsia="Times New Roman" w:hAnsiTheme="minorHAnsi" w:cs="Times New Roman"/>
                <w:b/>
                <w:bCs/>
                <w:lang w:eastAsia="en-AU"/>
              </w:rPr>
              <w:t>Role of Ig therapy</w:t>
            </w:r>
            <w:r w:rsidR="007830E1" w:rsidRPr="009930B9">
              <w:rPr>
                <w:rFonts w:asciiTheme="minorHAnsi" w:eastAsia="Times New Roman" w:hAnsiTheme="minorHAnsi" w:cs="Times New Roman"/>
                <w:b/>
                <w:bCs/>
                <w:lang w:eastAsia="en-AU"/>
              </w:rPr>
              <w:t>:</w:t>
            </w:r>
            <w:r w:rsidR="009E0D07" w:rsidRPr="009930B9">
              <w:rPr>
                <w:rFonts w:asciiTheme="minorHAnsi" w:eastAsia="Times New Roman" w:hAnsiTheme="minorHAnsi" w:cs="Times New Roman"/>
                <w:b/>
                <w:bCs/>
                <w:lang w:eastAsia="en-AU"/>
              </w:rPr>
              <w:t xml:space="preserve"> </w:t>
            </w:r>
            <w:r w:rsidR="009E0D07" w:rsidRPr="009930B9">
              <w:rPr>
                <w:rFonts w:asciiTheme="minorHAnsi" w:eastAsia="Times New Roman" w:hAnsiTheme="minorHAnsi" w:cs="Times New Roman"/>
                <w:bCs/>
                <w:lang w:eastAsia="en-AU"/>
              </w:rPr>
              <w:t xml:space="preserve"> </w:t>
            </w:r>
            <w:r w:rsidR="00A960DC" w:rsidRPr="009930B9">
              <w:rPr>
                <w:rFonts w:asciiTheme="minorHAnsi" w:eastAsia="Times New Roman" w:hAnsiTheme="minorHAnsi" w:cs="Times New Roman"/>
                <w:bCs/>
                <w:lang w:eastAsia="en-AU"/>
              </w:rPr>
              <w:t xml:space="preserve">This condition primarily only responds to Immunotherapy, or where a tumour is responsible for generating the causative antibody, tumour </w:t>
            </w:r>
            <w:r w:rsidR="00A960DC" w:rsidRPr="009930B9">
              <w:rPr>
                <w:rFonts w:asciiTheme="minorHAnsi" w:eastAsia="Times New Roman" w:hAnsiTheme="minorHAnsi" w:cs="Times New Roman"/>
                <w:bCs/>
                <w:lang w:eastAsia="en-AU"/>
              </w:rPr>
              <w:lastRenderedPageBreak/>
              <w:t xml:space="preserve">resection. </w:t>
            </w:r>
            <w:r w:rsidR="00A960DC" w:rsidRPr="009930B9">
              <w:rPr>
                <w:rFonts w:asciiTheme="minorHAnsi" w:hAnsiTheme="minorHAnsi"/>
              </w:rPr>
              <w:t xml:space="preserve">The tenets of the evidence emphasise the importance of instituting Ig treatment early (including prior to antibody confirmation) and that immune therapy is better than no immune therapy. Second line treatment improves outcome if first line treatment fails and no treatment increases the risk of relapse. </w:t>
            </w:r>
            <w:r w:rsidR="00A960DC" w:rsidRPr="009930B9">
              <w:rPr>
                <w:rFonts w:asciiTheme="minorHAnsi" w:eastAsia="Times New Roman" w:hAnsiTheme="minorHAnsi" w:cstheme="minorHAnsi"/>
                <w:color w:val="000000"/>
              </w:rPr>
              <w:t>Seronegative patients who have the clinical features of autoimmune encephalitis respond as well to immune therapy as seropositive patients - given the fact there are probably other autoantibodies not currently described (Hacohen et al, 2012).</w:t>
            </w:r>
            <w:r w:rsidR="00A960DC" w:rsidRPr="009930B9">
              <w:rPr>
                <w:rFonts w:asciiTheme="minorHAnsi" w:eastAsia="Times New Roman" w:hAnsiTheme="minorHAnsi" w:cs="Times New Roman"/>
                <w:bCs/>
                <w:lang w:eastAsia="en-AU"/>
              </w:rPr>
              <w:t xml:space="preserve"> </w:t>
            </w:r>
          </w:p>
          <w:p w:rsidR="008612AB" w:rsidRPr="009930B9" w:rsidRDefault="00A960DC" w:rsidP="00A960DC">
            <w:pPr>
              <w:spacing w:before="120" w:after="120"/>
              <w:rPr>
                <w:rFonts w:asciiTheme="minorHAnsi" w:eastAsia="Times New Roman" w:hAnsiTheme="minorHAnsi" w:cs="Times New Roman"/>
                <w:bCs/>
                <w:lang w:eastAsia="en-AU"/>
              </w:rPr>
            </w:pPr>
            <w:r w:rsidRPr="009930B9">
              <w:rPr>
                <w:rFonts w:asciiTheme="minorHAnsi" w:hAnsiTheme="minorHAnsi" w:cs="Lucida Grande"/>
                <w:color w:val="000000"/>
              </w:rPr>
              <w:t>Patients with limbic encephalitis will need to demonstrate compliance with the international diagnostic criteria for ‘cell surface antibody positive limbic encephalitis or suspected or sero-negative limbic encephalitis</w:t>
            </w:r>
            <w:r w:rsidR="005E4F3E" w:rsidRPr="009930B9">
              <w:rPr>
                <w:rFonts w:asciiTheme="minorHAnsi" w:hAnsiTheme="minorHAnsi" w:cs="Lucida Grande"/>
                <w:color w:val="000000"/>
              </w:rPr>
              <w:t>’</w:t>
            </w:r>
            <w:r w:rsidRPr="009930B9">
              <w:rPr>
                <w:rFonts w:asciiTheme="minorHAnsi" w:hAnsiTheme="minorHAnsi" w:cs="Lucida Grande"/>
                <w:color w:val="000000"/>
              </w:rPr>
              <w:t xml:space="preserve">. If eligible, evidence supports treatment with IV corticosteroids in combination with </w:t>
            </w:r>
            <w:r w:rsidR="00A40C74">
              <w:rPr>
                <w:rFonts w:asciiTheme="minorHAnsi" w:hAnsiTheme="minorHAnsi" w:cs="Lucida Grande"/>
                <w:color w:val="000000"/>
              </w:rPr>
              <w:t>IVIg</w:t>
            </w:r>
            <w:r w:rsidR="005E6ACC">
              <w:rPr>
                <w:rFonts w:asciiTheme="minorHAnsi" w:hAnsiTheme="minorHAnsi" w:cs="Lucida Grande"/>
                <w:color w:val="000000"/>
              </w:rPr>
              <w:t xml:space="preserve"> </w:t>
            </w:r>
            <w:r w:rsidRPr="009930B9">
              <w:rPr>
                <w:rFonts w:asciiTheme="minorHAnsi" w:hAnsiTheme="minorHAnsi" w:cs="Lucida Grande"/>
                <w:color w:val="000000"/>
              </w:rPr>
              <w:t xml:space="preserve">or plasmapheresis as first line therapy with the addition of a second line immunosuppressant therapy if no clinical response is demonstrated, ideally within two weeks. (See AMAE - Attachment B for full detail).  </w:t>
            </w:r>
          </w:p>
        </w:tc>
      </w:tr>
      <w:tr w:rsidR="00D02545" w:rsidRPr="009930B9" w:rsidTr="00FF49BE">
        <w:tblPrEx>
          <w:tblLook w:val="04A0" w:firstRow="1" w:lastRow="0" w:firstColumn="1" w:lastColumn="0" w:noHBand="0" w:noVBand="1"/>
        </w:tblPrEx>
        <w:tc>
          <w:tcPr>
            <w:tcW w:w="14601" w:type="dxa"/>
            <w:gridSpan w:val="8"/>
            <w:shd w:val="clear" w:color="auto" w:fill="DBE5F1" w:themeFill="accent1" w:themeFillTint="33"/>
          </w:tcPr>
          <w:p w:rsidR="00D02545" w:rsidRPr="009930B9" w:rsidRDefault="00D02545" w:rsidP="00AD5A02">
            <w:pPr>
              <w:spacing w:before="120" w:after="120"/>
              <w:jc w:val="center"/>
              <w:rPr>
                <w:rFonts w:asciiTheme="minorHAnsi" w:hAnsiTheme="minorHAnsi"/>
                <w:b/>
              </w:rPr>
            </w:pPr>
            <w:r w:rsidRPr="009930B9">
              <w:rPr>
                <w:rFonts w:asciiTheme="minorHAnsi" w:hAnsiTheme="minorHAnsi"/>
                <w:b/>
              </w:rPr>
              <w:lastRenderedPageBreak/>
              <w:t xml:space="preserve">References </w:t>
            </w:r>
          </w:p>
        </w:tc>
      </w:tr>
      <w:tr w:rsidR="00D02545" w:rsidRPr="009930B9" w:rsidTr="00FF49BE">
        <w:tblPrEx>
          <w:tblLook w:val="04A0" w:firstRow="1" w:lastRow="0" w:firstColumn="1" w:lastColumn="0" w:noHBand="0" w:noVBand="1"/>
        </w:tblPrEx>
        <w:tc>
          <w:tcPr>
            <w:tcW w:w="14601" w:type="dxa"/>
            <w:gridSpan w:val="8"/>
          </w:tcPr>
          <w:p w:rsidR="00AD5A02" w:rsidRDefault="00AD5A02" w:rsidP="00FF49BE">
            <w:pPr>
              <w:widowControl w:val="0"/>
              <w:autoSpaceDE w:val="0"/>
              <w:autoSpaceDN w:val="0"/>
              <w:adjustRightInd w:val="0"/>
              <w:rPr>
                <w:rFonts w:asciiTheme="minorHAnsi" w:eastAsiaTheme="minorHAnsi" w:hAnsiTheme="minorHAnsi" w:cs="Times New Roman"/>
                <w:color w:val="231F20"/>
                <w:lang w:val="en-US"/>
              </w:rPr>
            </w:pPr>
          </w:p>
          <w:p w:rsidR="00D02545" w:rsidRPr="009930B9" w:rsidRDefault="00D02545" w:rsidP="00FF49BE">
            <w:pPr>
              <w:widowControl w:val="0"/>
              <w:autoSpaceDE w:val="0"/>
              <w:autoSpaceDN w:val="0"/>
              <w:adjustRightInd w:val="0"/>
              <w:rPr>
                <w:rFonts w:asciiTheme="minorHAnsi" w:eastAsiaTheme="minorHAnsi" w:hAnsiTheme="minorHAnsi" w:cs="Times New Roman"/>
                <w:color w:val="231F20"/>
                <w:lang w:val="en-US"/>
              </w:rPr>
            </w:pPr>
            <w:r w:rsidRPr="009930B9">
              <w:rPr>
                <w:rFonts w:asciiTheme="minorHAnsi" w:eastAsiaTheme="minorHAnsi" w:hAnsiTheme="minorHAnsi" w:cs="Times New Roman"/>
                <w:color w:val="231F20"/>
                <w:lang w:val="en-US"/>
              </w:rPr>
              <w:t xml:space="preserve">Armangue T, Moris G, Cantarin-Extremera V et al (2015) Autoimmune post-herpes simplex encephalitis of adults and teenagers. </w:t>
            </w:r>
            <w:r w:rsidRPr="009930B9">
              <w:rPr>
                <w:rFonts w:asciiTheme="minorHAnsi" w:eastAsiaTheme="minorHAnsi" w:hAnsiTheme="minorHAnsi" w:cs="Times New Roman"/>
                <w:i/>
                <w:color w:val="231F20"/>
                <w:lang w:val="en-US"/>
              </w:rPr>
              <w:t>Neurology</w:t>
            </w:r>
            <w:r w:rsidRPr="009930B9">
              <w:rPr>
                <w:rFonts w:asciiTheme="minorHAnsi" w:eastAsiaTheme="minorHAnsi" w:hAnsiTheme="minorHAnsi" w:cs="Times New Roman"/>
                <w:color w:val="231F20"/>
                <w:lang w:val="en-US"/>
              </w:rPr>
              <w:t>, 85:1736-1743.</w:t>
            </w:r>
          </w:p>
          <w:p w:rsidR="00D02545" w:rsidRPr="009930B9" w:rsidRDefault="001C5CBD" w:rsidP="00FF49BE">
            <w:pPr>
              <w:widowControl w:val="0"/>
              <w:autoSpaceDE w:val="0"/>
              <w:autoSpaceDN w:val="0"/>
              <w:adjustRightInd w:val="0"/>
              <w:rPr>
                <w:rFonts w:asciiTheme="minorHAnsi" w:eastAsiaTheme="minorHAnsi" w:hAnsiTheme="minorHAnsi" w:cs="Times New Roman"/>
                <w:color w:val="231F20"/>
                <w:lang w:val="en-US"/>
              </w:rPr>
            </w:pPr>
            <w:hyperlink r:id="rId9" w:history="1">
              <w:r w:rsidR="00D02545" w:rsidRPr="009930B9">
                <w:rPr>
                  <w:rStyle w:val="Hyperlink"/>
                  <w:rFonts w:asciiTheme="minorHAnsi" w:eastAsiaTheme="minorHAnsi" w:hAnsiTheme="minorHAnsi" w:cs="Times New Roman"/>
                  <w:color w:val="808080" w:themeColor="background1" w:themeShade="80"/>
                  <w:lang w:val="en-US"/>
                </w:rPr>
                <w:t>https://www.ncbi.nlm.nih.gov/pubmed/26491084</w:t>
              </w:r>
            </w:hyperlink>
          </w:p>
          <w:p w:rsidR="00D02545" w:rsidRPr="009930B9" w:rsidRDefault="00D02545" w:rsidP="00FF49BE">
            <w:pPr>
              <w:widowControl w:val="0"/>
              <w:autoSpaceDE w:val="0"/>
              <w:autoSpaceDN w:val="0"/>
              <w:adjustRightInd w:val="0"/>
              <w:rPr>
                <w:rFonts w:asciiTheme="minorHAnsi" w:eastAsiaTheme="minorHAnsi" w:hAnsiTheme="minorHAnsi" w:cs="Times New Roman"/>
                <w:color w:val="231F20"/>
                <w:lang w:val="en-US"/>
              </w:rPr>
            </w:pPr>
          </w:p>
          <w:p w:rsidR="00D02545" w:rsidRPr="009930B9" w:rsidRDefault="00D02545" w:rsidP="00FF49BE">
            <w:pPr>
              <w:widowControl w:val="0"/>
              <w:autoSpaceDE w:val="0"/>
              <w:autoSpaceDN w:val="0"/>
              <w:adjustRightInd w:val="0"/>
              <w:rPr>
                <w:rFonts w:asciiTheme="minorHAnsi" w:eastAsiaTheme="minorHAnsi" w:hAnsiTheme="minorHAnsi" w:cs="Times New Roman"/>
                <w:color w:val="231F20"/>
                <w:lang w:val="en-US"/>
              </w:rPr>
            </w:pPr>
            <w:r w:rsidRPr="009930B9">
              <w:rPr>
                <w:rFonts w:asciiTheme="minorHAnsi" w:eastAsiaTheme="minorHAnsi" w:hAnsiTheme="minorHAnsi" w:cs="Times New Roman"/>
                <w:color w:val="231F20"/>
                <w:lang w:val="en-US"/>
              </w:rPr>
              <w:t xml:space="preserve">Graus F, Titlaer MJ, Balu R, Benseler S et al (2016) A clinical approach to diagnosis of autoimmune encephalitis. </w:t>
            </w:r>
            <w:r w:rsidRPr="009930B9">
              <w:rPr>
                <w:rFonts w:asciiTheme="minorHAnsi" w:eastAsiaTheme="minorHAnsi" w:hAnsiTheme="minorHAnsi" w:cs="Times New Roman"/>
                <w:i/>
                <w:color w:val="231F20"/>
                <w:lang w:val="en-US"/>
              </w:rPr>
              <w:t>Lancet Neurology</w:t>
            </w:r>
            <w:r w:rsidRPr="009930B9">
              <w:rPr>
                <w:rFonts w:asciiTheme="minorHAnsi" w:eastAsiaTheme="minorHAnsi" w:hAnsiTheme="minorHAnsi" w:cs="Times New Roman"/>
                <w:color w:val="231F20"/>
                <w:lang w:val="en-US"/>
              </w:rPr>
              <w:t xml:space="preserve">, 15:391-404. </w:t>
            </w:r>
          </w:p>
          <w:p w:rsidR="00D02545" w:rsidRPr="009930B9" w:rsidRDefault="001C5CBD" w:rsidP="00FF49BE">
            <w:pPr>
              <w:widowControl w:val="0"/>
              <w:autoSpaceDE w:val="0"/>
              <w:autoSpaceDN w:val="0"/>
              <w:adjustRightInd w:val="0"/>
              <w:rPr>
                <w:rFonts w:asciiTheme="minorHAnsi" w:eastAsiaTheme="minorHAnsi" w:hAnsiTheme="minorHAnsi" w:cs="Times New Roman"/>
                <w:color w:val="808080" w:themeColor="background1" w:themeShade="80"/>
                <w:lang w:val="en-US"/>
              </w:rPr>
            </w:pPr>
            <w:hyperlink r:id="rId10" w:history="1">
              <w:r w:rsidR="00D02545" w:rsidRPr="009930B9">
                <w:rPr>
                  <w:rStyle w:val="Hyperlink"/>
                  <w:rFonts w:asciiTheme="minorHAnsi" w:eastAsiaTheme="minorHAnsi" w:hAnsiTheme="minorHAnsi" w:cs="Times New Roman"/>
                  <w:color w:val="808080" w:themeColor="background1" w:themeShade="80"/>
                  <w:lang w:val="en-US"/>
                </w:rPr>
                <w:t>https://www.ncbi.nlm.nih.gov/pubmed/26906964</w:t>
              </w:r>
            </w:hyperlink>
          </w:p>
          <w:p w:rsidR="00D02545" w:rsidRPr="009930B9" w:rsidRDefault="00D02545" w:rsidP="00FF49BE">
            <w:pPr>
              <w:widowControl w:val="0"/>
              <w:autoSpaceDE w:val="0"/>
              <w:autoSpaceDN w:val="0"/>
              <w:adjustRightInd w:val="0"/>
              <w:rPr>
                <w:rFonts w:asciiTheme="minorHAnsi" w:eastAsiaTheme="minorHAnsi" w:hAnsiTheme="minorHAnsi" w:cs="Times New Roman"/>
                <w:color w:val="231F20"/>
                <w:lang w:val="en-US"/>
              </w:rPr>
            </w:pPr>
          </w:p>
          <w:p w:rsidR="00D02545" w:rsidRPr="002B47B8" w:rsidRDefault="00D02545" w:rsidP="00FF49BE">
            <w:pPr>
              <w:widowControl w:val="0"/>
              <w:autoSpaceDE w:val="0"/>
              <w:autoSpaceDN w:val="0"/>
              <w:adjustRightInd w:val="0"/>
              <w:rPr>
                <w:rFonts w:asciiTheme="minorHAnsi" w:eastAsiaTheme="minorHAnsi" w:hAnsiTheme="minorHAnsi" w:cs="Times New Roman"/>
                <w:color w:val="231F20"/>
                <w:lang w:val="fr-FR"/>
              </w:rPr>
            </w:pPr>
            <w:r w:rsidRPr="009930B9">
              <w:rPr>
                <w:rFonts w:asciiTheme="minorHAnsi" w:eastAsiaTheme="minorHAnsi" w:hAnsiTheme="minorHAnsi" w:cs="Times New Roman"/>
                <w:color w:val="231F20"/>
                <w:lang w:val="en-US"/>
              </w:rPr>
              <w:t xml:space="preserve">Hacohen Y, Wright S, Waters P et al (2013) Paediatric autoimmune encephalopathies: clinical features, laboratory investigations and outcomes in patients with or without antibodies to known central nervous system autoantigens.  </w:t>
            </w:r>
            <w:r w:rsidRPr="002B47B8">
              <w:rPr>
                <w:rFonts w:asciiTheme="minorHAnsi" w:eastAsiaTheme="minorHAnsi" w:hAnsiTheme="minorHAnsi" w:cs="Times New Roman"/>
                <w:i/>
                <w:color w:val="231F20"/>
                <w:lang w:val="fr-FR"/>
              </w:rPr>
              <w:t xml:space="preserve">J Neurol Neurosurg Psychiatry, </w:t>
            </w:r>
            <w:r w:rsidRPr="002B47B8">
              <w:rPr>
                <w:rFonts w:asciiTheme="minorHAnsi" w:eastAsiaTheme="minorHAnsi" w:hAnsiTheme="minorHAnsi" w:cs="Times New Roman"/>
                <w:color w:val="231F20"/>
                <w:lang w:val="fr-FR"/>
              </w:rPr>
              <w:t xml:space="preserve">84:748-755. </w:t>
            </w:r>
          </w:p>
          <w:p w:rsidR="00D02545" w:rsidRPr="002B47B8" w:rsidRDefault="001C5CBD" w:rsidP="00FF49BE">
            <w:pPr>
              <w:widowControl w:val="0"/>
              <w:autoSpaceDE w:val="0"/>
              <w:autoSpaceDN w:val="0"/>
              <w:adjustRightInd w:val="0"/>
              <w:rPr>
                <w:rFonts w:asciiTheme="minorHAnsi" w:eastAsiaTheme="minorHAnsi" w:hAnsiTheme="minorHAnsi" w:cs="Times New Roman"/>
                <w:color w:val="231F20"/>
                <w:lang w:val="fr-FR"/>
              </w:rPr>
            </w:pPr>
            <w:hyperlink r:id="rId11" w:history="1">
              <w:r w:rsidR="00D02545" w:rsidRPr="002B47B8">
                <w:rPr>
                  <w:rStyle w:val="Hyperlink"/>
                  <w:rFonts w:asciiTheme="minorHAnsi" w:eastAsiaTheme="minorHAnsi" w:hAnsiTheme="minorHAnsi" w:cs="Times New Roman"/>
                  <w:color w:val="808080" w:themeColor="background1" w:themeShade="80"/>
                  <w:lang w:val="fr-FR"/>
                </w:rPr>
                <w:t>https://www.ncbi.nlm.nih.gov/pubmed/23175854</w:t>
              </w:r>
            </w:hyperlink>
          </w:p>
          <w:p w:rsidR="00D02545" w:rsidRPr="002B47B8" w:rsidRDefault="00D02545" w:rsidP="00FF49BE">
            <w:pPr>
              <w:widowControl w:val="0"/>
              <w:autoSpaceDE w:val="0"/>
              <w:autoSpaceDN w:val="0"/>
              <w:adjustRightInd w:val="0"/>
              <w:rPr>
                <w:rFonts w:asciiTheme="minorHAnsi" w:eastAsiaTheme="minorHAnsi" w:hAnsiTheme="minorHAnsi" w:cs="Times New Roman"/>
                <w:color w:val="231F20"/>
                <w:lang w:val="fr-FR"/>
              </w:rPr>
            </w:pPr>
          </w:p>
          <w:p w:rsidR="00D02545" w:rsidRDefault="00D02545" w:rsidP="00FF49BE">
            <w:pPr>
              <w:widowControl w:val="0"/>
              <w:autoSpaceDE w:val="0"/>
              <w:autoSpaceDN w:val="0"/>
              <w:adjustRightInd w:val="0"/>
              <w:rPr>
                <w:rFonts w:asciiTheme="minorHAnsi" w:eastAsiaTheme="minorHAnsi" w:hAnsiTheme="minorHAnsi" w:cs="Times New Roman"/>
                <w:color w:val="231F20"/>
                <w:lang w:val="en-US"/>
              </w:rPr>
            </w:pPr>
            <w:r w:rsidRPr="002B47B8">
              <w:rPr>
                <w:rFonts w:asciiTheme="minorHAnsi" w:eastAsiaTheme="minorHAnsi" w:hAnsiTheme="minorHAnsi" w:cs="Times New Roman"/>
                <w:color w:val="231F20"/>
              </w:rPr>
              <w:t xml:space="preserve">Maarten J. Titulaer Romana H€oftberger,et al </w:t>
            </w:r>
            <w:r w:rsidRPr="002B47B8">
              <w:rPr>
                <w:rFonts w:asciiTheme="minorHAnsi" w:eastAsiaTheme="minorHAnsi" w:hAnsiTheme="minorHAnsi" w:cs="Times New Roman"/>
                <w:color w:val="231F20"/>
                <w:lang w:val="en-US"/>
              </w:rPr>
              <w:t xml:space="preserve">(2014) Overlapping Demyelinating Syndromes and Anti–N-Methyl-D-Aspartate Receptor Encephalitis. </w:t>
            </w:r>
            <w:r w:rsidRPr="002B47B8">
              <w:rPr>
                <w:rFonts w:asciiTheme="minorHAnsi" w:eastAsiaTheme="minorHAnsi" w:hAnsiTheme="minorHAnsi" w:cs="Times New Roman"/>
                <w:i/>
                <w:color w:val="231F20"/>
                <w:lang w:val="en-US"/>
              </w:rPr>
              <w:t>Annals of  Neurology</w:t>
            </w:r>
            <w:r w:rsidRPr="002B47B8">
              <w:rPr>
                <w:rFonts w:asciiTheme="minorHAnsi" w:eastAsiaTheme="minorHAnsi" w:hAnsiTheme="minorHAnsi" w:cs="Times New Roman"/>
                <w:color w:val="231F20"/>
                <w:lang w:val="en-US"/>
              </w:rPr>
              <w:t>, 75:411–428</w:t>
            </w:r>
          </w:p>
          <w:p w:rsidR="002B47B8" w:rsidRPr="002B47B8" w:rsidRDefault="001C5CBD" w:rsidP="00FF49BE">
            <w:pPr>
              <w:widowControl w:val="0"/>
              <w:autoSpaceDE w:val="0"/>
              <w:autoSpaceDN w:val="0"/>
              <w:adjustRightInd w:val="0"/>
              <w:rPr>
                <w:rFonts w:asciiTheme="minorHAnsi" w:eastAsiaTheme="minorHAnsi" w:hAnsiTheme="minorHAnsi" w:cs="Times New Roman"/>
                <w:color w:val="808080" w:themeColor="background1" w:themeShade="80"/>
                <w:lang w:val="en-US"/>
              </w:rPr>
            </w:pPr>
            <w:hyperlink r:id="rId12" w:history="1">
              <w:r w:rsidR="002B47B8" w:rsidRPr="002B47B8">
                <w:rPr>
                  <w:rStyle w:val="Hyperlink"/>
                  <w:rFonts w:asciiTheme="minorHAnsi" w:eastAsiaTheme="minorHAnsi" w:hAnsiTheme="minorHAnsi" w:cs="Times New Roman"/>
                  <w:color w:val="808080" w:themeColor="background1" w:themeShade="80"/>
                  <w:lang w:val="en-US"/>
                </w:rPr>
                <w:t>https://www.ncbi.nlm.nih.gov/pmc/articles/PMC4016175/</w:t>
              </w:r>
            </w:hyperlink>
          </w:p>
          <w:p w:rsidR="002B47B8" w:rsidRDefault="002B47B8" w:rsidP="00FF49BE">
            <w:pPr>
              <w:widowControl w:val="0"/>
              <w:autoSpaceDE w:val="0"/>
              <w:autoSpaceDN w:val="0"/>
              <w:adjustRightInd w:val="0"/>
              <w:rPr>
                <w:rFonts w:asciiTheme="minorHAnsi" w:eastAsiaTheme="minorHAnsi" w:hAnsiTheme="minorHAnsi" w:cs="Times New Roman"/>
                <w:color w:val="231F20"/>
                <w:lang w:val="en-US"/>
              </w:rPr>
            </w:pPr>
          </w:p>
          <w:p w:rsidR="00D02545" w:rsidRPr="009930B9" w:rsidRDefault="00D02545" w:rsidP="00FF49BE">
            <w:pPr>
              <w:spacing w:before="120" w:after="120"/>
              <w:rPr>
                <w:rFonts w:asciiTheme="minorHAnsi" w:hAnsiTheme="minorHAnsi"/>
              </w:rPr>
            </w:pPr>
            <w:r w:rsidRPr="009930B9">
              <w:rPr>
                <w:rFonts w:asciiTheme="minorHAnsi" w:hAnsiTheme="minorHAnsi"/>
              </w:rPr>
              <w:t xml:space="preserve">Nosadini M, Mohammad SS, Ramanathan FB and Dale RC (2015) Immune therapy in autoimmune encephalitis: a systematic review. </w:t>
            </w:r>
            <w:r w:rsidRPr="009930B9">
              <w:rPr>
                <w:rFonts w:asciiTheme="minorHAnsi" w:hAnsiTheme="minorHAnsi"/>
                <w:i/>
              </w:rPr>
              <w:t>Expert Review of Neurotherapeutics</w:t>
            </w:r>
            <w:r w:rsidRPr="009930B9">
              <w:rPr>
                <w:rFonts w:asciiTheme="minorHAnsi" w:hAnsiTheme="minorHAnsi"/>
              </w:rPr>
              <w:t>, 15:1391-1419.</w:t>
            </w:r>
          </w:p>
          <w:p w:rsidR="00AD5A02" w:rsidRDefault="001C5CBD" w:rsidP="00AD5A02">
            <w:pPr>
              <w:spacing w:before="120" w:after="120"/>
              <w:rPr>
                <w:rStyle w:val="Hyperlink"/>
                <w:rFonts w:asciiTheme="minorHAnsi" w:hAnsiTheme="minorHAnsi"/>
                <w:color w:val="808080" w:themeColor="background1" w:themeShade="80"/>
              </w:rPr>
            </w:pPr>
            <w:hyperlink r:id="rId13" w:history="1">
              <w:r w:rsidR="00D02545" w:rsidRPr="009930B9">
                <w:rPr>
                  <w:rStyle w:val="Hyperlink"/>
                  <w:rFonts w:asciiTheme="minorHAnsi" w:hAnsiTheme="minorHAnsi"/>
                  <w:color w:val="808080" w:themeColor="background1" w:themeShade="80"/>
                </w:rPr>
                <w:t>https://www.ncbi.nlm.nih.gov/pubmed/26559389</w:t>
              </w:r>
            </w:hyperlink>
          </w:p>
          <w:p w:rsidR="00AD5A02" w:rsidRPr="009930B9" w:rsidRDefault="00AD5A02" w:rsidP="00AD5A02">
            <w:pPr>
              <w:spacing w:before="120" w:after="120"/>
              <w:rPr>
                <w:rFonts w:asciiTheme="minorHAnsi" w:hAnsiTheme="minorHAnsi"/>
              </w:rPr>
            </w:pPr>
          </w:p>
        </w:tc>
      </w:tr>
      <w:tr w:rsidR="00E7550D" w:rsidRPr="009930B9" w:rsidTr="00437609">
        <w:trPr>
          <w:trHeight w:val="515"/>
        </w:trPr>
        <w:tc>
          <w:tcPr>
            <w:tcW w:w="14601" w:type="dxa"/>
            <w:gridSpan w:val="8"/>
            <w:shd w:val="clear" w:color="auto" w:fill="DBE5F1" w:themeFill="accent1" w:themeFillTint="33"/>
          </w:tcPr>
          <w:p w:rsidR="00E7550D" w:rsidRPr="009930B9" w:rsidRDefault="00E7550D" w:rsidP="00825BC0">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 xml:space="preserve">Access Information in BloodSTAR </w:t>
            </w:r>
            <w:r w:rsidR="004D4093">
              <w:rPr>
                <w:rFonts w:asciiTheme="minorHAnsi" w:eastAsia="Times New Roman" w:hAnsiTheme="minorHAnsi" w:cs="Times New Roman"/>
                <w:b/>
                <w:bCs/>
                <w:lang w:eastAsia="en-AU"/>
              </w:rPr>
              <w:t>v</w:t>
            </w:r>
            <w:r w:rsidRPr="009930B9">
              <w:rPr>
                <w:rFonts w:asciiTheme="minorHAnsi" w:eastAsia="Times New Roman" w:hAnsiTheme="minorHAnsi" w:cs="Times New Roman"/>
                <w:b/>
                <w:bCs/>
                <w:lang w:eastAsia="en-AU"/>
              </w:rPr>
              <w:t xml:space="preserve">2.1 as at </w:t>
            </w:r>
            <w:r w:rsidR="00825BC0">
              <w:rPr>
                <w:rFonts w:asciiTheme="minorHAnsi" w:eastAsia="Times New Roman" w:hAnsiTheme="minorHAnsi" w:cs="Times New Roman"/>
                <w:b/>
                <w:bCs/>
                <w:lang w:eastAsia="en-AU"/>
              </w:rPr>
              <w:t>August 2016</w:t>
            </w:r>
          </w:p>
        </w:tc>
      </w:tr>
      <w:tr w:rsidR="00E15214" w:rsidRPr="009930B9" w:rsidTr="00D02545">
        <w:trPr>
          <w:trHeight w:val="515"/>
        </w:trPr>
        <w:tc>
          <w:tcPr>
            <w:tcW w:w="3687" w:type="dxa"/>
            <w:gridSpan w:val="3"/>
            <w:shd w:val="clear" w:color="auto" w:fill="auto"/>
          </w:tcPr>
          <w:p w:rsidR="00E15214" w:rsidRPr="009930B9" w:rsidRDefault="00E15214"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Condition Name</w:t>
            </w:r>
          </w:p>
        </w:tc>
        <w:tc>
          <w:tcPr>
            <w:tcW w:w="10914" w:type="dxa"/>
            <w:gridSpan w:val="5"/>
            <w:shd w:val="clear" w:color="auto" w:fill="auto"/>
          </w:tcPr>
          <w:p w:rsidR="00E15214" w:rsidRPr="00E15214" w:rsidRDefault="00E15214" w:rsidP="00793EB5">
            <w:pPr>
              <w:spacing w:before="120" w:after="120"/>
              <w:rPr>
                <w:rFonts w:asciiTheme="minorHAnsi" w:eastAsia="Times New Roman" w:hAnsiTheme="minorHAnsi" w:cs="Times New Roman"/>
                <w:b/>
                <w:bCs/>
                <w:lang w:eastAsia="en-AU"/>
              </w:rPr>
            </w:pPr>
            <w:r w:rsidRPr="00E15214">
              <w:rPr>
                <w:rFonts w:asciiTheme="minorHAnsi" w:eastAsia="Times New Roman" w:hAnsiTheme="minorHAnsi" w:cs="Times New Roman"/>
                <w:b/>
                <w:bCs/>
                <w:lang w:eastAsia="en-AU"/>
              </w:rPr>
              <w:t>Limbic encephalitis -  nonparaneoplastic</w:t>
            </w:r>
          </w:p>
        </w:tc>
      </w:tr>
      <w:tr w:rsidR="00793EB5" w:rsidRPr="009930B9" w:rsidTr="00D02545">
        <w:trPr>
          <w:trHeight w:val="515"/>
        </w:trPr>
        <w:tc>
          <w:tcPr>
            <w:tcW w:w="3687" w:type="dxa"/>
            <w:gridSpan w:val="3"/>
            <w:shd w:val="clear" w:color="auto" w:fill="auto"/>
          </w:tcPr>
          <w:p w:rsidR="00793EB5" w:rsidRPr="009930B9" w:rsidRDefault="00793EB5" w:rsidP="00E7550D">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 xml:space="preserve">Condition Category </w:t>
            </w:r>
          </w:p>
        </w:tc>
        <w:tc>
          <w:tcPr>
            <w:tcW w:w="10914" w:type="dxa"/>
            <w:gridSpan w:val="5"/>
            <w:shd w:val="clear" w:color="auto" w:fill="auto"/>
          </w:tcPr>
          <w:p w:rsidR="00793EB5" w:rsidRPr="009930B9" w:rsidRDefault="00C17BC8" w:rsidP="00C17BC8">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Condition for which Ig use is in Exceptional  circumstances only </w:t>
            </w:r>
            <w:r w:rsidR="00DA65CA">
              <w:rPr>
                <w:rFonts w:asciiTheme="minorHAnsi" w:eastAsia="Times New Roman" w:hAnsiTheme="minorHAnsi" w:cs="Times New Roman"/>
                <w:bCs/>
                <w:lang w:eastAsia="en-AU"/>
              </w:rPr>
              <w:t>(Chapter 7)</w:t>
            </w:r>
          </w:p>
        </w:tc>
      </w:tr>
      <w:tr w:rsidR="00E7550D" w:rsidRPr="009930B9" w:rsidTr="00AD5A02">
        <w:trPr>
          <w:trHeight w:val="550"/>
        </w:trPr>
        <w:tc>
          <w:tcPr>
            <w:tcW w:w="3687" w:type="dxa"/>
            <w:gridSpan w:val="3"/>
            <w:shd w:val="clear" w:color="auto" w:fill="auto"/>
          </w:tcPr>
          <w:p w:rsidR="00E7550D" w:rsidRPr="009930B9" w:rsidRDefault="00E7550D" w:rsidP="007830E1">
            <w:pPr>
              <w:spacing w:before="120" w:after="120"/>
              <w:rPr>
                <w:rFonts w:asciiTheme="minorHAnsi" w:hAnsiTheme="minorHAnsi"/>
                <w:b/>
              </w:rPr>
            </w:pPr>
            <w:r w:rsidRPr="009930B9">
              <w:rPr>
                <w:rFonts w:asciiTheme="minorHAnsi" w:hAnsiTheme="minorHAnsi"/>
                <w:b/>
              </w:rPr>
              <w:t>Level of Evidence</w:t>
            </w:r>
          </w:p>
        </w:tc>
        <w:tc>
          <w:tcPr>
            <w:tcW w:w="10914" w:type="dxa"/>
            <w:gridSpan w:val="5"/>
            <w:shd w:val="clear" w:color="auto" w:fill="auto"/>
          </w:tcPr>
          <w:p w:rsidR="00E7550D" w:rsidRPr="009930B9" w:rsidRDefault="00D016BF" w:rsidP="007830E1">
            <w:pPr>
              <w:spacing w:before="120" w:after="120"/>
              <w:rPr>
                <w:rFonts w:asciiTheme="minorHAnsi" w:eastAsia="Times New Roman" w:hAnsiTheme="minorHAnsi" w:cs="Times New Roman"/>
                <w:bCs/>
                <w:lang w:eastAsia="en-AU"/>
              </w:rPr>
            </w:pPr>
            <w:r w:rsidRPr="009930B9">
              <w:rPr>
                <w:rFonts w:asciiTheme="minorHAnsi" w:eastAsia="Times New Roman" w:hAnsiTheme="minorHAnsi" w:cs="Times New Roman"/>
                <w:bCs/>
                <w:lang w:eastAsia="en-AU"/>
              </w:rPr>
              <w:t>Insufficient data (Category 4a)</w:t>
            </w:r>
          </w:p>
        </w:tc>
      </w:tr>
      <w:tr w:rsidR="00793EB5" w:rsidRPr="009930B9" w:rsidTr="00D02545">
        <w:trPr>
          <w:trHeight w:val="515"/>
        </w:trPr>
        <w:tc>
          <w:tcPr>
            <w:tcW w:w="3687" w:type="dxa"/>
            <w:gridSpan w:val="3"/>
            <w:shd w:val="clear" w:color="auto" w:fill="auto"/>
          </w:tcPr>
          <w:p w:rsidR="00793EB5" w:rsidRPr="009930B9" w:rsidRDefault="00793EB5" w:rsidP="00E7550D">
            <w:pPr>
              <w:spacing w:before="120" w:after="120"/>
              <w:rPr>
                <w:rFonts w:asciiTheme="minorHAnsi" w:eastAsia="Times New Roman" w:hAnsiTheme="minorHAnsi" w:cs="Times New Roman"/>
                <w:b/>
                <w:bCs/>
                <w:lang w:eastAsia="en-AU"/>
              </w:rPr>
            </w:pPr>
            <w:r w:rsidRPr="009930B9">
              <w:rPr>
                <w:rFonts w:asciiTheme="minorHAnsi" w:hAnsiTheme="minorHAnsi"/>
                <w:b/>
              </w:rPr>
              <w:t xml:space="preserve">Description </w:t>
            </w:r>
          </w:p>
        </w:tc>
        <w:tc>
          <w:tcPr>
            <w:tcW w:w="10914" w:type="dxa"/>
            <w:gridSpan w:val="5"/>
            <w:shd w:val="clear" w:color="auto" w:fill="auto"/>
          </w:tcPr>
          <w:p w:rsidR="00793EB5" w:rsidRPr="009930B9" w:rsidRDefault="007476FC" w:rsidP="007830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Blank</w:t>
            </w:r>
          </w:p>
        </w:tc>
      </w:tr>
      <w:tr w:rsidR="00793EB5" w:rsidRPr="009930B9" w:rsidTr="00D02545">
        <w:trPr>
          <w:trHeight w:val="515"/>
        </w:trPr>
        <w:tc>
          <w:tcPr>
            <w:tcW w:w="3687" w:type="dxa"/>
            <w:gridSpan w:val="3"/>
            <w:shd w:val="clear" w:color="auto" w:fill="auto"/>
          </w:tcPr>
          <w:p w:rsidR="00793EB5" w:rsidRPr="009930B9" w:rsidRDefault="00793EB5" w:rsidP="00E7550D">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 xml:space="preserve">Qualifying Criteria </w:t>
            </w:r>
          </w:p>
        </w:tc>
        <w:tc>
          <w:tcPr>
            <w:tcW w:w="10914" w:type="dxa"/>
            <w:gridSpan w:val="5"/>
            <w:shd w:val="clear" w:color="auto" w:fill="auto"/>
          </w:tcPr>
          <w:p w:rsidR="00793EB5" w:rsidRDefault="00D016BF" w:rsidP="00D016BF">
            <w:pPr>
              <w:rPr>
                <w:rFonts w:asciiTheme="minorHAnsi" w:eastAsia="Times New Roman" w:hAnsiTheme="minorHAnsi" w:cs="Times New Roman"/>
                <w:bCs/>
                <w:lang w:eastAsia="en-AU"/>
              </w:rPr>
            </w:pPr>
            <w:r w:rsidRPr="009930B9">
              <w:rPr>
                <w:rFonts w:asciiTheme="minorHAnsi" w:eastAsia="Times New Roman" w:hAnsiTheme="minorHAnsi" w:cs="Times New Roman"/>
                <w:bCs/>
                <w:lang w:eastAsia="en-AU"/>
              </w:rPr>
              <w:t>There appears to be a role for intravenous immunoglobulin (</w:t>
            </w:r>
            <w:r w:rsidR="00A40C74">
              <w:rPr>
                <w:rFonts w:asciiTheme="minorHAnsi" w:eastAsia="Times New Roman" w:hAnsiTheme="minorHAnsi" w:cs="Times New Roman"/>
                <w:bCs/>
                <w:lang w:eastAsia="en-AU"/>
              </w:rPr>
              <w:t>IVIg</w:t>
            </w:r>
            <w:r w:rsidRPr="009930B9">
              <w:rPr>
                <w:rFonts w:asciiTheme="minorHAnsi" w:eastAsia="Times New Roman" w:hAnsiTheme="minorHAnsi" w:cs="Times New Roman"/>
                <w:bCs/>
                <w:lang w:eastAsia="en-AU"/>
              </w:rPr>
              <w:t>) in nonparaneoplastic limbic encephalitis associated with neuronal antibodies to cell surface antigens. This includes VGKC antibodies, as well as NMDA receptor antibodies and AMPA receptor antibodies.</w:t>
            </w:r>
          </w:p>
          <w:p w:rsidR="00AD5A02" w:rsidRPr="009930B9" w:rsidRDefault="00AD5A02" w:rsidP="00D016BF">
            <w:pPr>
              <w:rPr>
                <w:rFonts w:asciiTheme="minorHAnsi" w:eastAsia="Times New Roman" w:hAnsiTheme="minorHAnsi" w:cs="Times New Roman"/>
                <w:bCs/>
                <w:lang w:eastAsia="en-AU"/>
              </w:rPr>
            </w:pPr>
          </w:p>
        </w:tc>
      </w:tr>
      <w:tr w:rsidR="00825BC0" w:rsidRPr="00AD5A02" w:rsidTr="00AD5A02">
        <w:trPr>
          <w:trHeight w:val="269"/>
        </w:trPr>
        <w:tc>
          <w:tcPr>
            <w:tcW w:w="3687" w:type="dxa"/>
            <w:gridSpan w:val="3"/>
            <w:shd w:val="clear" w:color="auto" w:fill="DBE5F1" w:themeFill="accent1" w:themeFillTint="33"/>
          </w:tcPr>
          <w:p w:rsidR="00825BC0" w:rsidRPr="00AD5A02" w:rsidRDefault="00825BC0" w:rsidP="00FF49BE">
            <w:pPr>
              <w:spacing w:before="120" w:after="120"/>
              <w:rPr>
                <w:rFonts w:asciiTheme="minorHAnsi" w:eastAsia="Times New Roman" w:hAnsiTheme="minorHAnsi" w:cs="Times New Roman"/>
                <w:b/>
                <w:bCs/>
                <w:sz w:val="13"/>
                <w:szCs w:val="13"/>
                <w:lang w:eastAsia="en-AU"/>
              </w:rPr>
            </w:pPr>
          </w:p>
        </w:tc>
        <w:tc>
          <w:tcPr>
            <w:tcW w:w="10914" w:type="dxa"/>
            <w:gridSpan w:val="5"/>
            <w:shd w:val="clear" w:color="auto" w:fill="DBE5F1" w:themeFill="accent1" w:themeFillTint="33"/>
          </w:tcPr>
          <w:p w:rsidR="00825BC0" w:rsidRPr="00AD5A02" w:rsidRDefault="00825BC0" w:rsidP="00FF49BE">
            <w:pPr>
              <w:spacing w:before="120" w:after="120"/>
              <w:rPr>
                <w:rFonts w:asciiTheme="minorHAnsi" w:eastAsia="Times New Roman" w:hAnsiTheme="minorHAnsi" w:cs="Times New Roman"/>
                <w:b/>
                <w:bCs/>
                <w:sz w:val="13"/>
                <w:szCs w:val="13"/>
                <w:lang w:eastAsia="en-AU"/>
              </w:rPr>
            </w:pPr>
          </w:p>
        </w:tc>
      </w:tr>
      <w:tr w:rsidR="00E15214" w:rsidRPr="009930B9" w:rsidTr="00D02545">
        <w:trPr>
          <w:trHeight w:val="515"/>
        </w:trPr>
        <w:tc>
          <w:tcPr>
            <w:tcW w:w="3687" w:type="dxa"/>
            <w:gridSpan w:val="3"/>
            <w:shd w:val="clear" w:color="auto" w:fill="auto"/>
          </w:tcPr>
          <w:p w:rsidR="00E15214" w:rsidRPr="009930B9" w:rsidRDefault="00E15214" w:rsidP="00FF49BE">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Condition Name</w:t>
            </w:r>
          </w:p>
        </w:tc>
        <w:tc>
          <w:tcPr>
            <w:tcW w:w="10914" w:type="dxa"/>
            <w:gridSpan w:val="5"/>
            <w:shd w:val="clear" w:color="auto" w:fill="auto"/>
          </w:tcPr>
          <w:p w:rsidR="00E15214" w:rsidRPr="00E15214" w:rsidRDefault="00E15214" w:rsidP="00AD5A0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Paraneoplastic neurological syndromes: Limbic encephalitis -  </w:t>
            </w:r>
            <w:r w:rsidRPr="00E15214">
              <w:rPr>
                <w:rFonts w:asciiTheme="minorHAnsi" w:eastAsia="Times New Roman" w:hAnsiTheme="minorHAnsi" w:cs="Times New Roman"/>
                <w:b/>
                <w:bCs/>
                <w:lang w:eastAsia="en-AU"/>
              </w:rPr>
              <w:t>paraneoplastic</w:t>
            </w:r>
          </w:p>
        </w:tc>
      </w:tr>
      <w:tr w:rsidR="00E15214" w:rsidRPr="009930B9" w:rsidTr="00D02545">
        <w:trPr>
          <w:trHeight w:val="515"/>
        </w:trPr>
        <w:tc>
          <w:tcPr>
            <w:tcW w:w="3687" w:type="dxa"/>
            <w:gridSpan w:val="3"/>
            <w:shd w:val="clear" w:color="auto" w:fill="auto"/>
          </w:tcPr>
          <w:p w:rsidR="00E15214" w:rsidRPr="009930B9" w:rsidRDefault="00E15214" w:rsidP="00FF49BE">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 xml:space="preserve">Condition Category </w:t>
            </w:r>
          </w:p>
        </w:tc>
        <w:tc>
          <w:tcPr>
            <w:tcW w:w="10914" w:type="dxa"/>
            <w:gridSpan w:val="5"/>
            <w:shd w:val="clear" w:color="auto" w:fill="auto"/>
          </w:tcPr>
          <w:p w:rsidR="00E15214" w:rsidRPr="009930B9" w:rsidRDefault="00C17BC8" w:rsidP="00FF49BE">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Condition for which Ig use is in Exceptional  circumstances only (Chapter 7)</w:t>
            </w:r>
          </w:p>
        </w:tc>
      </w:tr>
      <w:tr w:rsidR="00E15214" w:rsidRPr="009930B9" w:rsidTr="00D02545">
        <w:trPr>
          <w:trHeight w:val="515"/>
        </w:trPr>
        <w:tc>
          <w:tcPr>
            <w:tcW w:w="3687" w:type="dxa"/>
            <w:gridSpan w:val="3"/>
            <w:shd w:val="clear" w:color="auto" w:fill="auto"/>
          </w:tcPr>
          <w:p w:rsidR="00E15214" w:rsidRPr="009930B9" w:rsidRDefault="00E15214" w:rsidP="00FF49BE">
            <w:pPr>
              <w:spacing w:before="120" w:after="120"/>
              <w:rPr>
                <w:rFonts w:asciiTheme="minorHAnsi" w:hAnsiTheme="minorHAnsi"/>
                <w:b/>
              </w:rPr>
            </w:pPr>
            <w:r w:rsidRPr="009930B9">
              <w:rPr>
                <w:rFonts w:asciiTheme="minorHAnsi" w:hAnsiTheme="minorHAnsi"/>
                <w:b/>
              </w:rPr>
              <w:t>Level of Evidence</w:t>
            </w:r>
          </w:p>
        </w:tc>
        <w:tc>
          <w:tcPr>
            <w:tcW w:w="10914" w:type="dxa"/>
            <w:gridSpan w:val="5"/>
            <w:shd w:val="clear" w:color="auto" w:fill="auto"/>
          </w:tcPr>
          <w:p w:rsidR="00E15214" w:rsidRPr="009930B9" w:rsidRDefault="00E15214" w:rsidP="00FF49BE">
            <w:pPr>
              <w:spacing w:before="120" w:after="120"/>
              <w:rPr>
                <w:rFonts w:asciiTheme="minorHAnsi" w:eastAsia="Times New Roman" w:hAnsiTheme="minorHAnsi" w:cs="Times New Roman"/>
                <w:bCs/>
                <w:lang w:eastAsia="en-AU"/>
              </w:rPr>
            </w:pPr>
            <w:r w:rsidRPr="009930B9">
              <w:rPr>
                <w:rFonts w:asciiTheme="minorHAnsi" w:eastAsia="Times New Roman" w:hAnsiTheme="minorHAnsi" w:cs="Times New Roman"/>
                <w:bCs/>
                <w:lang w:eastAsia="en-AU"/>
              </w:rPr>
              <w:t>Insufficient data (Category 4a)</w:t>
            </w:r>
          </w:p>
        </w:tc>
      </w:tr>
      <w:tr w:rsidR="00E15214" w:rsidRPr="009930B9" w:rsidTr="00D02545">
        <w:trPr>
          <w:trHeight w:val="515"/>
        </w:trPr>
        <w:tc>
          <w:tcPr>
            <w:tcW w:w="3687" w:type="dxa"/>
            <w:gridSpan w:val="3"/>
            <w:shd w:val="clear" w:color="auto" w:fill="auto"/>
          </w:tcPr>
          <w:p w:rsidR="00E15214" w:rsidRPr="009930B9" w:rsidRDefault="00E15214" w:rsidP="00FF49BE">
            <w:pPr>
              <w:spacing w:before="120" w:after="120"/>
              <w:rPr>
                <w:rFonts w:asciiTheme="minorHAnsi" w:eastAsia="Times New Roman" w:hAnsiTheme="minorHAnsi" w:cs="Times New Roman"/>
                <w:b/>
                <w:bCs/>
                <w:lang w:eastAsia="en-AU"/>
              </w:rPr>
            </w:pPr>
            <w:r w:rsidRPr="009930B9">
              <w:rPr>
                <w:rFonts w:asciiTheme="minorHAnsi" w:hAnsiTheme="minorHAnsi"/>
                <w:b/>
              </w:rPr>
              <w:t xml:space="preserve">Description </w:t>
            </w:r>
          </w:p>
        </w:tc>
        <w:tc>
          <w:tcPr>
            <w:tcW w:w="10914" w:type="dxa"/>
            <w:gridSpan w:val="5"/>
            <w:shd w:val="clear" w:color="auto" w:fill="auto"/>
          </w:tcPr>
          <w:p w:rsidR="00E15214" w:rsidRPr="009930B9" w:rsidRDefault="007476FC" w:rsidP="00FF49BE">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Blank</w:t>
            </w:r>
          </w:p>
        </w:tc>
      </w:tr>
      <w:tr w:rsidR="00E15214" w:rsidRPr="009930B9" w:rsidTr="00D02545">
        <w:trPr>
          <w:trHeight w:val="515"/>
        </w:trPr>
        <w:tc>
          <w:tcPr>
            <w:tcW w:w="3687" w:type="dxa"/>
            <w:gridSpan w:val="3"/>
            <w:shd w:val="clear" w:color="auto" w:fill="auto"/>
          </w:tcPr>
          <w:p w:rsidR="00E15214" w:rsidRPr="009930B9" w:rsidRDefault="00E15214" w:rsidP="00FF49BE">
            <w:pPr>
              <w:spacing w:before="120" w:after="120"/>
              <w:rPr>
                <w:rFonts w:asciiTheme="minorHAnsi" w:eastAsia="Times New Roman" w:hAnsiTheme="minorHAnsi" w:cs="Times New Roman"/>
                <w:b/>
                <w:bCs/>
                <w:lang w:eastAsia="en-AU"/>
              </w:rPr>
            </w:pPr>
            <w:r w:rsidRPr="009930B9">
              <w:rPr>
                <w:rFonts w:asciiTheme="minorHAnsi" w:eastAsia="Times New Roman" w:hAnsiTheme="minorHAnsi" w:cs="Times New Roman"/>
                <w:b/>
                <w:bCs/>
                <w:lang w:eastAsia="en-AU"/>
              </w:rPr>
              <w:t xml:space="preserve">Qualifying Criteria </w:t>
            </w:r>
          </w:p>
        </w:tc>
        <w:tc>
          <w:tcPr>
            <w:tcW w:w="10914" w:type="dxa"/>
            <w:gridSpan w:val="5"/>
            <w:shd w:val="clear" w:color="auto" w:fill="auto"/>
          </w:tcPr>
          <w:p w:rsidR="00E15214" w:rsidRPr="009930B9" w:rsidRDefault="00A40C74" w:rsidP="00AD5A02">
            <w:pPr>
              <w:spacing w:after="120"/>
              <w:rPr>
                <w:rFonts w:asciiTheme="minorHAnsi" w:eastAsia="Times New Roman" w:hAnsiTheme="minorHAnsi" w:cs="Times New Roman"/>
                <w:bCs/>
                <w:lang w:eastAsia="en-AU"/>
              </w:rPr>
            </w:pPr>
            <w:r>
              <w:rPr>
                <w:rFonts w:asciiTheme="minorHAnsi" w:eastAsia="Times New Roman" w:hAnsiTheme="minorHAnsi" w:cs="Times New Roman"/>
                <w:color w:val="333333"/>
                <w:lang w:val="en-US"/>
              </w:rPr>
              <w:t>IVIg</w:t>
            </w:r>
            <w:r w:rsidR="00B45840">
              <w:rPr>
                <w:rFonts w:asciiTheme="minorHAnsi" w:eastAsia="Times New Roman" w:hAnsiTheme="minorHAnsi" w:cs="Times New Roman"/>
                <w:color w:val="333333"/>
                <w:lang w:val="en-US"/>
              </w:rPr>
              <w:t xml:space="preserve"> </w:t>
            </w:r>
            <w:r w:rsidR="00825BC0" w:rsidRPr="00825BC0">
              <w:rPr>
                <w:rFonts w:asciiTheme="minorHAnsi" w:eastAsia="Times New Roman" w:hAnsiTheme="minorHAnsi" w:cs="Times New Roman"/>
                <w:color w:val="333333"/>
                <w:lang w:val="en-US"/>
              </w:rPr>
              <w:t>may be indicated in select cases, in combination with tumour therapy (tumour resection and/or oncological treatment) where the latter has not led to an improvement in the neurologic syndrome; where other immunomodulatory therapies are contraindicated or have failed; or if the neurologic features warrant urgent intervention</w:t>
            </w:r>
            <w:r w:rsidR="00825BC0" w:rsidRPr="00825BC0">
              <w:rPr>
                <w:rFonts w:asciiTheme="minorHAnsi" w:eastAsia="Times New Roman" w:hAnsiTheme="minorHAnsi" w:cs="Times New Roman"/>
                <w:b/>
                <w:bCs/>
                <w:color w:val="333333"/>
                <w:lang w:val="en-US"/>
              </w:rPr>
              <w:t>.</w:t>
            </w:r>
          </w:p>
        </w:tc>
      </w:tr>
      <w:tr w:rsidR="00E15214" w:rsidRPr="009930B9" w:rsidTr="00FF49BE">
        <w:tblPrEx>
          <w:tblLook w:val="04A0" w:firstRow="1" w:lastRow="0" w:firstColumn="1" w:lastColumn="0" w:noHBand="0" w:noVBand="1"/>
        </w:tblPrEx>
        <w:tc>
          <w:tcPr>
            <w:tcW w:w="14601" w:type="dxa"/>
            <w:gridSpan w:val="8"/>
            <w:shd w:val="clear" w:color="auto" w:fill="DBE5F1" w:themeFill="accent1" w:themeFillTint="33"/>
          </w:tcPr>
          <w:p w:rsidR="00E15214" w:rsidRPr="009930B9" w:rsidRDefault="00E15214" w:rsidP="00AD5A02">
            <w:pPr>
              <w:spacing w:before="120" w:after="120"/>
              <w:jc w:val="center"/>
              <w:rPr>
                <w:rFonts w:asciiTheme="minorHAnsi" w:hAnsiTheme="minorHAnsi"/>
                <w:b/>
              </w:rPr>
            </w:pPr>
            <w:r w:rsidRPr="009930B9">
              <w:rPr>
                <w:rFonts w:asciiTheme="minorHAnsi" w:hAnsiTheme="minorHAnsi"/>
                <w:b/>
              </w:rPr>
              <w:t xml:space="preserve">References </w:t>
            </w:r>
          </w:p>
        </w:tc>
      </w:tr>
      <w:tr w:rsidR="00E15214" w:rsidRPr="009930B9" w:rsidTr="00FF49BE">
        <w:tblPrEx>
          <w:tblLook w:val="04A0" w:firstRow="1" w:lastRow="0" w:firstColumn="1" w:lastColumn="0" w:noHBand="0" w:noVBand="1"/>
        </w:tblPrEx>
        <w:tc>
          <w:tcPr>
            <w:tcW w:w="14601" w:type="dxa"/>
            <w:gridSpan w:val="8"/>
          </w:tcPr>
          <w:tbl>
            <w:tblPr>
              <w:tblW w:w="0" w:type="auto"/>
              <w:shd w:val="clear" w:color="auto" w:fill="F0F0F0"/>
              <w:tblCellMar>
                <w:top w:w="15" w:type="dxa"/>
                <w:left w:w="15" w:type="dxa"/>
                <w:bottom w:w="15" w:type="dxa"/>
                <w:right w:w="15" w:type="dxa"/>
              </w:tblCellMar>
              <w:tblLook w:val="04A0" w:firstRow="1" w:lastRow="0" w:firstColumn="1" w:lastColumn="0" w:noHBand="0" w:noVBand="1"/>
            </w:tblPr>
            <w:tblGrid>
              <w:gridCol w:w="14385"/>
            </w:tblGrid>
            <w:tr w:rsidR="00825BC0" w:rsidTr="00825BC0">
              <w:tc>
                <w:tcPr>
                  <w:tcW w:w="0" w:type="auto"/>
                  <w:shd w:val="clear" w:color="auto" w:fill="auto"/>
                  <w:tcMar>
                    <w:top w:w="0" w:type="dxa"/>
                    <w:left w:w="0" w:type="dxa"/>
                    <w:bottom w:w="0" w:type="dxa"/>
                    <w:right w:w="0" w:type="dxa"/>
                  </w:tcMar>
                  <w:vAlign w:val="center"/>
                  <w:hideMark/>
                </w:tcPr>
                <w:p w:rsidR="002B47B8" w:rsidRDefault="002B47B8" w:rsidP="002B47B8">
                  <w:pPr>
                    <w:rPr>
                      <w:rFonts w:asciiTheme="minorHAnsi" w:eastAsia="Times New Roman" w:hAnsiTheme="minorHAnsi"/>
                      <w:color w:val="333333"/>
                    </w:rPr>
                  </w:pPr>
                  <w:r>
                    <w:rPr>
                      <w:rFonts w:asciiTheme="minorHAnsi" w:eastAsia="Times New Roman" w:hAnsiTheme="minorHAnsi"/>
                      <w:color w:val="333333"/>
                    </w:rPr>
                    <w:t>Bataller L, Galiano R, Garcia-Escrig M, Martinez B, Sevilla T, Blasco,</w:t>
                  </w:r>
                  <w:r w:rsidR="00825BC0" w:rsidRPr="00825BC0">
                    <w:rPr>
                      <w:rFonts w:asciiTheme="minorHAnsi" w:eastAsia="Times New Roman" w:hAnsiTheme="minorHAnsi"/>
                      <w:color w:val="333333"/>
                    </w:rPr>
                    <w:t xml:space="preserve">R, et al </w:t>
                  </w:r>
                  <w:r>
                    <w:rPr>
                      <w:rFonts w:asciiTheme="minorHAnsi" w:eastAsia="Times New Roman" w:hAnsiTheme="minorHAnsi"/>
                      <w:color w:val="333333"/>
                    </w:rPr>
                    <w:t>(</w:t>
                  </w:r>
                  <w:r w:rsidR="00825BC0" w:rsidRPr="00825BC0">
                    <w:rPr>
                      <w:rFonts w:asciiTheme="minorHAnsi" w:eastAsia="Times New Roman" w:hAnsiTheme="minorHAnsi"/>
                      <w:color w:val="333333"/>
                    </w:rPr>
                    <w:t>2010</w:t>
                  </w:r>
                  <w:r>
                    <w:rPr>
                      <w:rFonts w:asciiTheme="minorHAnsi" w:eastAsia="Times New Roman" w:hAnsiTheme="minorHAnsi"/>
                      <w:color w:val="333333"/>
                    </w:rPr>
                    <w:t xml:space="preserve">) </w:t>
                  </w:r>
                  <w:r w:rsidR="00825BC0" w:rsidRPr="00825BC0">
                    <w:rPr>
                      <w:rFonts w:asciiTheme="minorHAnsi" w:eastAsia="Times New Roman" w:hAnsiTheme="minorHAnsi"/>
                      <w:color w:val="333333"/>
                    </w:rPr>
                    <w:t>Reversible paraneoplastic limbic encephalitis associated with antibodies</w:t>
                  </w:r>
                  <w:r>
                    <w:rPr>
                      <w:rFonts w:asciiTheme="minorHAnsi" w:eastAsia="Times New Roman" w:hAnsiTheme="minorHAnsi"/>
                      <w:color w:val="333333"/>
                    </w:rPr>
                    <w:t xml:space="preserve"> to the AMPA receptor.</w:t>
                  </w:r>
                  <w:r w:rsidR="00825BC0" w:rsidRPr="00825BC0">
                    <w:rPr>
                      <w:rStyle w:val="apple-converted-space"/>
                      <w:rFonts w:asciiTheme="minorHAnsi" w:eastAsia="Times New Roman" w:hAnsiTheme="minorHAnsi"/>
                      <w:color w:val="333333"/>
                    </w:rPr>
                    <w:t> </w:t>
                  </w:r>
                  <w:r w:rsidR="00825BC0" w:rsidRPr="00825BC0">
                    <w:rPr>
                      <w:rStyle w:val="Emphasis"/>
                      <w:rFonts w:asciiTheme="minorHAnsi" w:eastAsia="Times New Roman" w:hAnsiTheme="minorHAnsi"/>
                      <w:color w:val="333333"/>
                    </w:rPr>
                    <w:t>Neurology</w:t>
                  </w:r>
                  <w:r w:rsidR="00825BC0" w:rsidRPr="00825BC0">
                    <w:rPr>
                      <w:rFonts w:asciiTheme="minorHAnsi" w:eastAsia="Times New Roman" w:hAnsiTheme="minorHAnsi"/>
                      <w:color w:val="333333"/>
                    </w:rPr>
                    <w:t xml:space="preserve">, </w:t>
                  </w:r>
                  <w:r>
                    <w:rPr>
                      <w:rFonts w:asciiTheme="minorHAnsi" w:eastAsia="Times New Roman" w:hAnsiTheme="minorHAnsi"/>
                      <w:color w:val="333333"/>
                    </w:rPr>
                    <w:t>74(</w:t>
                  </w:r>
                  <w:r w:rsidR="00825BC0" w:rsidRPr="00825BC0">
                    <w:rPr>
                      <w:rFonts w:asciiTheme="minorHAnsi" w:eastAsia="Times New Roman" w:hAnsiTheme="minorHAnsi"/>
                      <w:color w:val="333333"/>
                    </w:rPr>
                    <w:t>3</w:t>
                  </w:r>
                  <w:r>
                    <w:rPr>
                      <w:rFonts w:asciiTheme="minorHAnsi" w:eastAsia="Times New Roman" w:hAnsiTheme="minorHAnsi"/>
                      <w:color w:val="333333"/>
                    </w:rPr>
                    <w:t>):</w:t>
                  </w:r>
                  <w:r w:rsidR="00825BC0" w:rsidRPr="00825BC0">
                    <w:rPr>
                      <w:rFonts w:asciiTheme="minorHAnsi" w:eastAsia="Times New Roman" w:hAnsiTheme="minorHAnsi"/>
                      <w:color w:val="333333"/>
                    </w:rPr>
                    <w:t>265–7.</w:t>
                  </w:r>
                </w:p>
                <w:p w:rsidR="002B47B8" w:rsidRPr="002B47B8" w:rsidRDefault="001C5CBD" w:rsidP="002B47B8">
                  <w:pPr>
                    <w:rPr>
                      <w:rFonts w:asciiTheme="minorHAnsi" w:eastAsia="Times New Roman" w:hAnsiTheme="minorHAnsi"/>
                      <w:color w:val="808080" w:themeColor="background1" w:themeShade="80"/>
                    </w:rPr>
                  </w:pPr>
                  <w:hyperlink r:id="rId14" w:history="1">
                    <w:r w:rsidR="002B47B8" w:rsidRPr="002B47B8">
                      <w:rPr>
                        <w:rStyle w:val="Hyperlink"/>
                        <w:rFonts w:asciiTheme="minorHAnsi" w:eastAsia="Times New Roman" w:hAnsiTheme="minorHAnsi"/>
                        <w:color w:val="808080" w:themeColor="background1" w:themeShade="80"/>
                      </w:rPr>
                      <w:t>https://www.ncbi.nlm.nih.gov/pubmed/20083804</w:t>
                    </w:r>
                  </w:hyperlink>
                </w:p>
                <w:p w:rsidR="00825BC0" w:rsidRPr="00A40C74" w:rsidRDefault="002B47B8" w:rsidP="002B47B8">
                  <w:pPr>
                    <w:rPr>
                      <w:rFonts w:asciiTheme="minorHAnsi" w:eastAsia="Times New Roman" w:hAnsiTheme="minorHAnsi"/>
                    </w:rPr>
                  </w:pPr>
                  <w:r>
                    <w:rPr>
                      <w:rFonts w:asciiTheme="minorHAnsi" w:eastAsia="Times New Roman" w:hAnsiTheme="minorHAnsi"/>
                      <w:color w:val="333333"/>
                    </w:rPr>
                    <w:br/>
                  </w:r>
                  <w:r w:rsidRPr="00A40C74">
                    <w:rPr>
                      <w:rFonts w:asciiTheme="minorHAnsi" w:eastAsia="Times New Roman" w:hAnsiTheme="minorHAnsi"/>
                    </w:rPr>
                    <w:t>Henry C, Husson H, de Broucker</w:t>
                  </w:r>
                  <w:r w:rsidR="00825BC0" w:rsidRPr="00A40C74">
                    <w:rPr>
                      <w:rFonts w:asciiTheme="minorHAnsi" w:eastAsia="Times New Roman" w:hAnsiTheme="minorHAnsi"/>
                    </w:rPr>
                    <w:t xml:space="preserve"> T </w:t>
                  </w:r>
                  <w:r w:rsidRPr="00A40C74">
                    <w:rPr>
                      <w:rFonts w:asciiTheme="minorHAnsi" w:eastAsia="Times New Roman" w:hAnsiTheme="minorHAnsi"/>
                    </w:rPr>
                    <w:t>(</w:t>
                  </w:r>
                  <w:r w:rsidR="00825BC0" w:rsidRPr="00A40C74">
                    <w:rPr>
                      <w:rFonts w:asciiTheme="minorHAnsi" w:eastAsia="Times New Roman" w:hAnsiTheme="minorHAnsi"/>
                    </w:rPr>
                    <w:t>2009</w:t>
                  </w:r>
                  <w:r w:rsidRPr="00A40C74">
                    <w:rPr>
                      <w:rFonts w:asciiTheme="minorHAnsi" w:eastAsia="Times New Roman" w:hAnsiTheme="minorHAnsi"/>
                    </w:rPr>
                    <w:t xml:space="preserve">) </w:t>
                  </w:r>
                  <w:r w:rsidR="00825BC0" w:rsidRPr="00A40C74">
                    <w:rPr>
                      <w:rFonts w:asciiTheme="minorHAnsi" w:eastAsia="Times New Roman" w:hAnsiTheme="minorHAnsi"/>
                    </w:rPr>
                    <w:t xml:space="preserve">Autoimmune limbic encephalitis with anti-NMDA receptor antibodies and ovarian teratoma: a treatable form of </w:t>
                  </w:r>
                  <w:r w:rsidR="00825BC0" w:rsidRPr="00A40C74">
                    <w:rPr>
                      <w:rFonts w:asciiTheme="minorHAnsi" w:eastAsia="Times New Roman" w:hAnsiTheme="minorHAnsi"/>
                    </w:rPr>
                    <w:lastRenderedPageBreak/>
                    <w:t>par</w:t>
                  </w:r>
                  <w:r w:rsidRPr="00A40C74">
                    <w:rPr>
                      <w:rFonts w:asciiTheme="minorHAnsi" w:eastAsia="Times New Roman" w:hAnsiTheme="minorHAnsi"/>
                    </w:rPr>
                    <w:t>aneoplastic limbic encephalitis</w:t>
                  </w:r>
                  <w:r w:rsidR="00825BC0" w:rsidRPr="00A40C74">
                    <w:rPr>
                      <w:rFonts w:asciiTheme="minorHAnsi" w:eastAsia="Times New Roman" w:hAnsiTheme="minorHAnsi"/>
                    </w:rPr>
                    <w:t xml:space="preserve"> (in French),</w:t>
                  </w:r>
                  <w:r w:rsidR="00825BC0" w:rsidRPr="00A40C74">
                    <w:rPr>
                      <w:rStyle w:val="apple-converted-space"/>
                      <w:rFonts w:asciiTheme="minorHAnsi" w:eastAsia="Times New Roman" w:hAnsiTheme="minorHAnsi"/>
                    </w:rPr>
                    <w:t> </w:t>
                  </w:r>
                  <w:r w:rsidR="00825BC0" w:rsidRPr="00A40C74">
                    <w:rPr>
                      <w:rStyle w:val="Emphasis"/>
                      <w:rFonts w:asciiTheme="minorHAnsi" w:eastAsia="Times New Roman" w:hAnsiTheme="minorHAnsi"/>
                    </w:rPr>
                    <w:t>Revue neurologique (Société de neurologie de Paris)</w:t>
                  </w:r>
                  <w:r w:rsidRPr="00A40C74">
                    <w:rPr>
                      <w:rFonts w:asciiTheme="minorHAnsi" w:eastAsia="Times New Roman" w:hAnsiTheme="minorHAnsi"/>
                    </w:rPr>
                    <w:t>, 165(</w:t>
                  </w:r>
                  <w:r w:rsidR="00825BC0" w:rsidRPr="00A40C74">
                    <w:rPr>
                      <w:rFonts w:asciiTheme="minorHAnsi" w:eastAsia="Times New Roman" w:hAnsiTheme="minorHAnsi"/>
                    </w:rPr>
                    <w:t>1</w:t>
                  </w:r>
                  <w:r w:rsidRPr="00A40C74">
                    <w:rPr>
                      <w:rFonts w:asciiTheme="minorHAnsi" w:eastAsia="Times New Roman" w:hAnsiTheme="minorHAnsi"/>
                    </w:rPr>
                    <w:t>):</w:t>
                  </w:r>
                  <w:r w:rsidR="00825BC0" w:rsidRPr="00A40C74">
                    <w:rPr>
                      <w:rFonts w:asciiTheme="minorHAnsi" w:eastAsia="Times New Roman" w:hAnsiTheme="minorHAnsi"/>
                    </w:rPr>
                    <w:t>70–5.</w:t>
                  </w:r>
                </w:p>
                <w:p w:rsidR="00A40C74" w:rsidRPr="00825BC0" w:rsidRDefault="00A40C74" w:rsidP="002B47B8">
                  <w:pPr>
                    <w:rPr>
                      <w:rFonts w:asciiTheme="minorHAnsi" w:eastAsia="Times New Roman" w:hAnsiTheme="minorHAnsi" w:cs="Times New Roman"/>
                      <w:color w:val="333333"/>
                      <w:lang w:val="en-US"/>
                    </w:rPr>
                  </w:pPr>
                  <w:r w:rsidRPr="00A40C74">
                    <w:rPr>
                      <w:rFonts w:asciiTheme="minorHAnsi" w:eastAsia="Times New Roman" w:hAnsiTheme="minorHAnsi" w:cs="Times New Roman"/>
                      <w:color w:val="808080" w:themeColor="background1" w:themeShade="80"/>
                      <w:lang w:val="en-US"/>
                    </w:rPr>
                    <w:t>http://europepmc.org/abstract/med/18809188</w:t>
                  </w:r>
                </w:p>
              </w:tc>
            </w:tr>
          </w:tbl>
          <w:p w:rsidR="00E15214" w:rsidRPr="009930B9" w:rsidRDefault="00E15214" w:rsidP="00825BC0">
            <w:pPr>
              <w:shd w:val="clear" w:color="auto" w:fill="F0F0F0"/>
              <w:rPr>
                <w:rFonts w:asciiTheme="minorHAnsi" w:hAnsiTheme="minorHAnsi"/>
              </w:rPr>
            </w:pPr>
          </w:p>
        </w:tc>
      </w:tr>
      <w:tr w:rsidR="004A10A2" w:rsidRPr="009930B9" w:rsidTr="008612AB">
        <w:tc>
          <w:tcPr>
            <w:tcW w:w="14601" w:type="dxa"/>
            <w:gridSpan w:val="8"/>
            <w:shd w:val="clear" w:color="auto" w:fill="F79646" w:themeFill="accent6"/>
          </w:tcPr>
          <w:p w:rsidR="004A10A2" w:rsidRPr="009930B9" w:rsidRDefault="004A10A2" w:rsidP="004A10A2">
            <w:pPr>
              <w:spacing w:before="120" w:after="120"/>
              <w:rPr>
                <w:rFonts w:asciiTheme="minorHAnsi" w:hAnsiTheme="minorHAnsi"/>
                <w:b/>
              </w:rPr>
            </w:pPr>
            <w:r w:rsidRPr="009930B9">
              <w:rPr>
                <w:rFonts w:asciiTheme="minorHAnsi" w:hAnsiTheme="minorHAnsi"/>
                <w:b/>
              </w:rPr>
              <w:lastRenderedPageBreak/>
              <w:t>POTENTIAL OPERATIONAL IMPACT</w:t>
            </w:r>
          </w:p>
        </w:tc>
      </w:tr>
      <w:tr w:rsidR="004A10A2" w:rsidRPr="009930B9" w:rsidTr="008612AB">
        <w:tc>
          <w:tcPr>
            <w:tcW w:w="14601" w:type="dxa"/>
            <w:gridSpan w:val="8"/>
            <w:shd w:val="clear" w:color="auto" w:fill="auto"/>
          </w:tcPr>
          <w:p w:rsidR="00EA2E82" w:rsidRPr="009930B9" w:rsidRDefault="00746CCE" w:rsidP="00746CCE">
            <w:pPr>
              <w:spacing w:before="120" w:after="120"/>
              <w:rPr>
                <w:rFonts w:asciiTheme="minorHAnsi" w:hAnsiTheme="minorHAnsi"/>
              </w:rPr>
            </w:pPr>
            <w:r>
              <w:rPr>
                <w:rFonts w:asciiTheme="minorHAnsi" w:hAnsiTheme="minorHAnsi"/>
              </w:rPr>
              <w:t xml:space="preserve">The development of specific qualifying and review criteria will represent a change for this condition with the revised criteria providing significantly greater guidance for appropriate access to Ig therapy and patient management expectations.  </w:t>
            </w:r>
            <w:r w:rsidR="00A960DC" w:rsidRPr="009930B9">
              <w:rPr>
                <w:rFonts w:asciiTheme="minorHAnsi" w:hAnsiTheme="minorHAnsi"/>
              </w:rPr>
              <w:t xml:space="preserve"> </w:t>
            </w:r>
            <w:r>
              <w:rPr>
                <w:rFonts w:asciiTheme="minorHAnsi" w:hAnsiTheme="minorHAnsi"/>
              </w:rPr>
              <w:t xml:space="preserve">A neurologist will be required to diagnose and manage patient treatment, although it is recognised that this may be as part of a broader clinical team. There will be increased data entry required (e.g. compliance with the international consensus diagnostic criteria) compared to the previous Ig request process. </w:t>
            </w:r>
            <w:r w:rsidR="00A960DC" w:rsidRPr="009930B9">
              <w:rPr>
                <w:rFonts w:asciiTheme="minorHAnsi" w:hAnsiTheme="minorHAnsi"/>
              </w:rPr>
              <w:t xml:space="preserve">Patients will be required to be assessed at qualifying and review using a Modified Rankin Scale, however, the scale will be presented as ‘drop-down’ menu options within BloodSTAR </w:t>
            </w:r>
            <w:r w:rsidR="004D4093">
              <w:rPr>
                <w:rFonts w:asciiTheme="minorHAnsi" w:hAnsiTheme="minorHAnsi"/>
              </w:rPr>
              <w:t>v</w:t>
            </w:r>
            <w:r w:rsidR="00A960DC" w:rsidRPr="009930B9">
              <w:rPr>
                <w:rFonts w:asciiTheme="minorHAnsi" w:hAnsiTheme="minorHAnsi"/>
              </w:rPr>
              <w:t>3</w:t>
            </w:r>
            <w:r w:rsidR="007606DB">
              <w:rPr>
                <w:rFonts w:asciiTheme="minorHAnsi" w:hAnsiTheme="minorHAnsi"/>
              </w:rPr>
              <w:t>.0</w:t>
            </w:r>
            <w:r w:rsidR="00A960DC" w:rsidRPr="009930B9">
              <w:rPr>
                <w:rFonts w:asciiTheme="minorHAnsi" w:hAnsiTheme="minorHAnsi"/>
              </w:rPr>
              <w:t xml:space="preserve"> and will be simple to apply. It is likely that a greater awareness of the condition, diagnostic criteria will develop and as a result, requests for antibody testing will increase. There is limited testing currently available within Australia, however, availability is likely to improve over time.</w:t>
            </w:r>
          </w:p>
        </w:tc>
      </w:tr>
      <w:tr w:rsidR="004A10A2" w:rsidRPr="009930B9" w:rsidTr="008612AB">
        <w:tc>
          <w:tcPr>
            <w:tcW w:w="14601" w:type="dxa"/>
            <w:gridSpan w:val="8"/>
            <w:shd w:val="clear" w:color="auto" w:fill="F79646" w:themeFill="accent6"/>
          </w:tcPr>
          <w:p w:rsidR="004A10A2" w:rsidRPr="009930B9" w:rsidRDefault="004A10A2" w:rsidP="004A10A2">
            <w:pPr>
              <w:spacing w:before="120" w:after="120"/>
              <w:rPr>
                <w:rFonts w:asciiTheme="minorHAnsi" w:hAnsiTheme="minorHAnsi"/>
                <w:b/>
              </w:rPr>
            </w:pPr>
            <w:r w:rsidRPr="009930B9">
              <w:rPr>
                <w:rFonts w:asciiTheme="minorHAnsi" w:hAnsiTheme="minorHAnsi"/>
                <w:b/>
              </w:rPr>
              <w:t xml:space="preserve">POTENTIAL IMPACT ON </w:t>
            </w:r>
            <w:r w:rsidR="007830E1" w:rsidRPr="009930B9">
              <w:rPr>
                <w:rFonts w:asciiTheme="minorHAnsi" w:hAnsiTheme="minorHAnsi"/>
                <w:b/>
              </w:rPr>
              <w:t xml:space="preserve">PATIENTS, </w:t>
            </w:r>
            <w:r w:rsidRPr="009930B9">
              <w:rPr>
                <w:rFonts w:asciiTheme="minorHAnsi" w:hAnsiTheme="minorHAnsi"/>
                <w:b/>
              </w:rPr>
              <w:t>DEMAND</w:t>
            </w:r>
            <w:r w:rsidR="00695219" w:rsidRPr="009930B9">
              <w:rPr>
                <w:rFonts w:asciiTheme="minorHAnsi" w:hAnsiTheme="minorHAnsi"/>
                <w:b/>
              </w:rPr>
              <w:t xml:space="preserve"> AND EXPENDITURE</w:t>
            </w:r>
          </w:p>
        </w:tc>
      </w:tr>
      <w:tr w:rsidR="00174593" w:rsidRPr="009930B9" w:rsidTr="00A960DC">
        <w:trPr>
          <w:trHeight w:val="510"/>
        </w:trPr>
        <w:tc>
          <w:tcPr>
            <w:tcW w:w="3545" w:type="dxa"/>
            <w:gridSpan w:val="2"/>
            <w:shd w:val="clear" w:color="auto" w:fill="auto"/>
          </w:tcPr>
          <w:p w:rsidR="00174593" w:rsidRPr="009930B9" w:rsidRDefault="00174593" w:rsidP="00B61089">
            <w:pPr>
              <w:spacing w:before="120" w:after="120"/>
              <w:rPr>
                <w:rFonts w:asciiTheme="minorHAnsi" w:hAnsiTheme="minorHAnsi"/>
                <w:b/>
              </w:rPr>
            </w:pPr>
            <w:r w:rsidRPr="009930B9">
              <w:rPr>
                <w:rFonts w:asciiTheme="minorHAnsi" w:hAnsiTheme="minorHAnsi"/>
                <w:b/>
              </w:rPr>
              <w:t>Potential impact on patients:</w:t>
            </w:r>
          </w:p>
        </w:tc>
        <w:tc>
          <w:tcPr>
            <w:tcW w:w="11056" w:type="dxa"/>
            <w:gridSpan w:val="6"/>
            <w:shd w:val="clear" w:color="auto" w:fill="auto"/>
          </w:tcPr>
          <w:p w:rsidR="004E0195" w:rsidRDefault="00746CCE" w:rsidP="004E0195">
            <w:pPr>
              <w:spacing w:before="120" w:after="120"/>
              <w:rPr>
                <w:rFonts w:asciiTheme="minorHAnsi" w:hAnsiTheme="minorHAnsi"/>
              </w:rPr>
            </w:pPr>
            <w:r>
              <w:rPr>
                <w:rFonts w:asciiTheme="minorHAnsi" w:hAnsiTheme="minorHAnsi"/>
              </w:rPr>
              <w:t>Under the proposed changes, patients with Limbic encephalitis will be eligible to receive Ig therapy under the criteria for the condition ‘Antibody mediated</w:t>
            </w:r>
            <w:r w:rsidR="007F435B">
              <w:rPr>
                <w:rFonts w:asciiTheme="minorHAnsi" w:hAnsiTheme="minorHAnsi"/>
              </w:rPr>
              <w:t xml:space="preserve"> autoimmune encephalitis’ (AMAE)</w:t>
            </w:r>
            <w:r>
              <w:rPr>
                <w:rFonts w:asciiTheme="minorHAnsi" w:hAnsiTheme="minorHAnsi"/>
              </w:rPr>
              <w:t>. This is because it is recognised that these patients are likely to meet the criteria for access and the disease process that responds to Ig therapy</w:t>
            </w:r>
            <w:r w:rsidR="009401F8">
              <w:rPr>
                <w:rFonts w:asciiTheme="minorHAnsi" w:hAnsiTheme="minorHAnsi"/>
              </w:rPr>
              <w:t>,</w:t>
            </w:r>
            <w:r>
              <w:rPr>
                <w:rFonts w:asciiTheme="minorHAnsi" w:hAnsiTheme="minorHAnsi"/>
              </w:rPr>
              <w:t xml:space="preserve"> is consistent with the other conditions included under AMAE. </w:t>
            </w:r>
            <w:r w:rsidR="004E0195">
              <w:rPr>
                <w:rFonts w:asciiTheme="minorHAnsi" w:hAnsiTheme="minorHAnsi"/>
              </w:rPr>
              <w:t>The formal access criteria now proposed for these conditions require that a neurologist</w:t>
            </w:r>
            <w:r w:rsidR="001D4A36">
              <w:rPr>
                <w:rFonts w:asciiTheme="minorHAnsi" w:hAnsiTheme="minorHAnsi"/>
              </w:rPr>
              <w:t xml:space="preserve">, who may be part of a clinical team, </w:t>
            </w:r>
            <w:r w:rsidR="004E0195">
              <w:rPr>
                <w:rFonts w:asciiTheme="minorHAnsi" w:hAnsiTheme="minorHAnsi"/>
              </w:rPr>
              <w:t>makes the diagnosis and manages the treatment. This is because the condition is uncommon, can be misdiagnosed and it is important that the correct</w:t>
            </w:r>
            <w:r>
              <w:rPr>
                <w:rFonts w:asciiTheme="minorHAnsi" w:hAnsiTheme="minorHAnsi"/>
              </w:rPr>
              <w:t>,</w:t>
            </w:r>
            <w:r w:rsidR="004E0195">
              <w:rPr>
                <w:rFonts w:asciiTheme="minorHAnsi" w:hAnsiTheme="minorHAnsi"/>
              </w:rPr>
              <w:t xml:space="preserve"> early treatment is given to patients. Ig therapy is given at the same time as other treatments. </w:t>
            </w:r>
          </w:p>
          <w:p w:rsidR="00746CCE" w:rsidRDefault="004E0195" w:rsidP="00B61089">
            <w:pPr>
              <w:spacing w:before="120" w:after="120"/>
              <w:rPr>
                <w:rFonts w:asciiTheme="minorHAnsi" w:hAnsiTheme="minorHAnsi"/>
              </w:rPr>
            </w:pPr>
            <w:r w:rsidRPr="00A005AD">
              <w:rPr>
                <w:rFonts w:asciiTheme="minorHAnsi" w:hAnsiTheme="minorHAnsi"/>
              </w:rPr>
              <w:t xml:space="preserve"> While </w:t>
            </w:r>
            <w:r>
              <w:rPr>
                <w:rFonts w:asciiTheme="minorHAnsi" w:hAnsiTheme="minorHAnsi"/>
              </w:rPr>
              <w:t>numerous</w:t>
            </w:r>
            <w:r w:rsidRPr="00A005AD">
              <w:rPr>
                <w:rFonts w:asciiTheme="minorHAnsi" w:hAnsiTheme="minorHAnsi"/>
              </w:rPr>
              <w:t xml:space="preserve"> patients have been treated </w:t>
            </w:r>
            <w:r>
              <w:rPr>
                <w:rFonts w:asciiTheme="minorHAnsi" w:hAnsiTheme="minorHAnsi"/>
              </w:rPr>
              <w:t xml:space="preserve">with Ig therapy </w:t>
            </w:r>
            <w:r w:rsidRPr="00A005AD">
              <w:rPr>
                <w:rFonts w:asciiTheme="minorHAnsi" w:hAnsiTheme="minorHAnsi"/>
              </w:rPr>
              <w:t xml:space="preserve">under this condition, </w:t>
            </w:r>
            <w:r>
              <w:rPr>
                <w:rFonts w:asciiTheme="minorHAnsi" w:hAnsiTheme="minorHAnsi"/>
              </w:rPr>
              <w:t xml:space="preserve">the greater guidance for prescribers by applying appropriate diagnostic criteria and instituting second line treatment very early when patients do not respond to first line treatment, has been shown to result in improved patient outcomes.  </w:t>
            </w:r>
          </w:p>
          <w:p w:rsidR="00746CCE" w:rsidRDefault="00746CCE" w:rsidP="00746CCE">
            <w:pPr>
              <w:spacing w:before="120" w:after="120"/>
              <w:rPr>
                <w:rFonts w:asciiTheme="minorHAnsi" w:hAnsiTheme="minorHAnsi"/>
              </w:rPr>
            </w:pPr>
            <w:r>
              <w:rPr>
                <w:rFonts w:asciiTheme="minorHAnsi" w:hAnsiTheme="minorHAnsi"/>
              </w:rPr>
              <w:t xml:space="preserve">For existing patients on Ig maintenance therapy, six monthly reviews are required to assess the effectiveness of the treatment to improve or stabilise symptoms and the degree of disability. Given that patients will already require very regular review by their neurologist, this requirement will not place an added burden on patients. If an existing patient on ongoing treatment is not being managed by a neurologist, referral to a neurologist will be required. If Ig therapy has not been effective in stabilising symptoms, it will be ceased as a different treatment should be used. A trial of reducing dose and then stopping Ig therapy will be considered by doctors when patients are well and symptoms are stable.  </w:t>
            </w:r>
          </w:p>
          <w:p w:rsidR="00174593" w:rsidRPr="009930B9" w:rsidRDefault="00746CCE" w:rsidP="00B61089">
            <w:pPr>
              <w:spacing w:before="120" w:after="120"/>
              <w:rPr>
                <w:rFonts w:asciiTheme="minorHAnsi" w:hAnsiTheme="minorHAnsi"/>
                <w:b/>
              </w:rPr>
            </w:pPr>
            <w:r>
              <w:rPr>
                <w:rFonts w:asciiTheme="minorHAnsi" w:hAnsiTheme="minorHAnsi"/>
              </w:rPr>
              <w:t xml:space="preserve">New patients authorised to receive Ig therapy will require an initial check after the first three months of treatment to </w:t>
            </w:r>
            <w:r>
              <w:rPr>
                <w:rFonts w:asciiTheme="minorHAnsi" w:hAnsiTheme="minorHAnsi"/>
              </w:rPr>
              <w:lastRenderedPageBreak/>
              <w:t>confirm that Ig therapy has been effective in improving the severity of symptoms and that the level of disability has not worsened. If improvement has been demonstrated after four months treatment, Ig maintenance therapy will be continued. If a response has not been demonstrated, a second medication must have been started and a further six months Ig therapy will be given. Further six monthly reviews will assess how effective the combination therapy has been to improve or stabilise the symptoms and ensure that no further worsening has occurred in disability. If the combination therapy has not been effective, Ig therapy will be stopped and a different treatment approach will be required. The ongoing arrangements for maintenance therapy are as outlined above for existing patients.</w:t>
            </w:r>
          </w:p>
        </w:tc>
      </w:tr>
      <w:tr w:rsidR="00174593" w:rsidRPr="009930B9" w:rsidTr="00A960DC">
        <w:trPr>
          <w:trHeight w:val="510"/>
        </w:trPr>
        <w:tc>
          <w:tcPr>
            <w:tcW w:w="3545" w:type="dxa"/>
            <w:gridSpan w:val="2"/>
            <w:shd w:val="clear" w:color="auto" w:fill="auto"/>
          </w:tcPr>
          <w:p w:rsidR="00174593" w:rsidRPr="009930B9" w:rsidRDefault="00174593" w:rsidP="00B61089">
            <w:pPr>
              <w:spacing w:before="120" w:after="120"/>
              <w:rPr>
                <w:rFonts w:asciiTheme="minorHAnsi" w:hAnsiTheme="minorHAnsi"/>
                <w:b/>
              </w:rPr>
            </w:pPr>
            <w:r w:rsidRPr="009930B9">
              <w:rPr>
                <w:rFonts w:asciiTheme="minorHAnsi" w:hAnsiTheme="minorHAnsi"/>
                <w:b/>
              </w:rPr>
              <w:lastRenderedPageBreak/>
              <w:t>Impact on demand</w:t>
            </w:r>
          </w:p>
        </w:tc>
        <w:tc>
          <w:tcPr>
            <w:tcW w:w="11056" w:type="dxa"/>
            <w:gridSpan w:val="6"/>
            <w:shd w:val="clear" w:color="auto" w:fill="auto"/>
          </w:tcPr>
          <w:p w:rsidR="00174593" w:rsidRPr="009930B9" w:rsidRDefault="00174593" w:rsidP="004E0195">
            <w:pPr>
              <w:spacing w:before="120" w:after="120"/>
              <w:rPr>
                <w:rFonts w:asciiTheme="minorHAnsi" w:hAnsiTheme="minorHAnsi"/>
                <w:b/>
              </w:rPr>
            </w:pPr>
            <w:r w:rsidRPr="009930B9">
              <w:rPr>
                <w:rFonts w:asciiTheme="minorHAnsi" w:hAnsiTheme="minorHAnsi"/>
              </w:rPr>
              <w:t xml:space="preserve">Limbic encephalitis </w:t>
            </w:r>
            <w:r w:rsidR="00050FF1">
              <w:rPr>
                <w:rFonts w:asciiTheme="minorHAnsi" w:hAnsiTheme="minorHAnsi"/>
              </w:rPr>
              <w:t xml:space="preserve">(paraneoplastic or non-paraneoplastic) </w:t>
            </w:r>
            <w:r w:rsidRPr="009930B9">
              <w:rPr>
                <w:rFonts w:asciiTheme="minorHAnsi" w:hAnsiTheme="minorHAnsi"/>
              </w:rPr>
              <w:t xml:space="preserve">has become increasingly recognised as a diagnosis requiring Ig therapy as first line treatment as demonstrated in the increasing usage data over the last 4 years. This trend is likely to continue, however, the </w:t>
            </w:r>
            <w:r w:rsidR="004E0195">
              <w:rPr>
                <w:rFonts w:asciiTheme="minorHAnsi" w:hAnsiTheme="minorHAnsi"/>
              </w:rPr>
              <w:t>more specific</w:t>
            </w:r>
            <w:r w:rsidR="004E0195" w:rsidRPr="009930B9">
              <w:rPr>
                <w:rFonts w:asciiTheme="minorHAnsi" w:hAnsiTheme="minorHAnsi"/>
              </w:rPr>
              <w:t xml:space="preserve"> </w:t>
            </w:r>
            <w:r w:rsidRPr="009930B9">
              <w:rPr>
                <w:rFonts w:asciiTheme="minorHAnsi" w:hAnsiTheme="minorHAnsi"/>
              </w:rPr>
              <w:t>access criteria defined in AMAE (which will now be applied to all patients with a diagnosis of Limbic encephalitis) may mean that fewer patients will be eligible for Ig therapy than would have received treatment as there are no criteria currently defined for access to Ig therapy. The requirement to meet formal diagnostic and review criteria and the introduction of trials of weaning, may contribute to a reduction in potential demand. However, given that this condition is being increasingly diagnosed and recognised, demand for AMAE overall is expected to continue to rise.</w:t>
            </w:r>
          </w:p>
        </w:tc>
      </w:tr>
      <w:tr w:rsidR="00BB30CD" w:rsidRPr="009930B9" w:rsidTr="00BB30CD">
        <w:tc>
          <w:tcPr>
            <w:tcW w:w="2161" w:type="dxa"/>
            <w:shd w:val="clear" w:color="auto" w:fill="F2F2F2" w:themeFill="background1" w:themeFillShade="F2"/>
          </w:tcPr>
          <w:p w:rsidR="00BB30CD" w:rsidRPr="009930B9" w:rsidRDefault="00BB30CD" w:rsidP="004A10A2">
            <w:pPr>
              <w:spacing w:before="120" w:after="120"/>
              <w:rPr>
                <w:rFonts w:asciiTheme="minorHAnsi" w:hAnsiTheme="minorHAnsi"/>
                <w:b/>
                <w:sz w:val="18"/>
                <w:szCs w:val="18"/>
              </w:rPr>
            </w:pPr>
            <w:r>
              <w:rPr>
                <w:rFonts w:asciiTheme="minorHAnsi" w:hAnsiTheme="minorHAnsi" w:cs="Helvetica"/>
                <w:b/>
                <w:color w:val="333333"/>
                <w:sz w:val="18"/>
                <w:szCs w:val="18"/>
              </w:rPr>
              <w:t>Patient number</w:t>
            </w:r>
          </w:p>
        </w:tc>
        <w:tc>
          <w:tcPr>
            <w:tcW w:w="1384" w:type="dxa"/>
            <w:shd w:val="clear" w:color="auto" w:fill="F2F2F2" w:themeFill="background1" w:themeFillShade="F2"/>
          </w:tcPr>
          <w:p w:rsidR="00BB30CD" w:rsidRPr="009930B9" w:rsidRDefault="00BB30CD" w:rsidP="004A10A2">
            <w:pPr>
              <w:spacing w:before="120" w:after="120"/>
              <w:rPr>
                <w:rFonts w:asciiTheme="minorHAnsi" w:hAnsiTheme="minorHAnsi"/>
                <w:b/>
                <w:sz w:val="18"/>
                <w:szCs w:val="18"/>
              </w:rPr>
            </w:pPr>
            <w:r w:rsidRPr="009930B9">
              <w:rPr>
                <w:rFonts w:asciiTheme="minorHAnsi" w:hAnsiTheme="minorHAnsi" w:cs="Helvetica"/>
                <w:b/>
                <w:color w:val="333333"/>
                <w:sz w:val="18"/>
                <w:szCs w:val="18"/>
              </w:rPr>
              <w:t>2011-12</w:t>
            </w:r>
          </w:p>
        </w:tc>
        <w:tc>
          <w:tcPr>
            <w:tcW w:w="1593" w:type="dxa"/>
            <w:gridSpan w:val="2"/>
            <w:shd w:val="clear" w:color="auto" w:fill="F2F2F2" w:themeFill="background1" w:themeFillShade="F2"/>
          </w:tcPr>
          <w:p w:rsidR="00BB30CD" w:rsidRPr="009930B9" w:rsidRDefault="00BB30CD" w:rsidP="004A10A2">
            <w:pPr>
              <w:spacing w:before="120" w:after="120"/>
              <w:rPr>
                <w:rFonts w:asciiTheme="minorHAnsi" w:hAnsiTheme="minorHAnsi"/>
                <w:b/>
                <w:sz w:val="18"/>
                <w:szCs w:val="18"/>
              </w:rPr>
            </w:pPr>
            <w:r w:rsidRPr="009930B9">
              <w:rPr>
                <w:rFonts w:asciiTheme="minorHAnsi" w:hAnsiTheme="minorHAnsi" w:cs="Helvetica"/>
                <w:b/>
                <w:color w:val="333333"/>
                <w:sz w:val="18"/>
                <w:szCs w:val="18"/>
              </w:rPr>
              <w:t>2012-13</w:t>
            </w:r>
          </w:p>
        </w:tc>
        <w:tc>
          <w:tcPr>
            <w:tcW w:w="1667" w:type="dxa"/>
            <w:shd w:val="clear" w:color="auto" w:fill="F2F2F2" w:themeFill="background1" w:themeFillShade="F2"/>
          </w:tcPr>
          <w:p w:rsidR="00BB30CD" w:rsidRPr="009930B9" w:rsidRDefault="00BB30CD" w:rsidP="004A10A2">
            <w:pPr>
              <w:spacing w:before="120" w:after="120"/>
              <w:rPr>
                <w:rFonts w:asciiTheme="minorHAnsi" w:hAnsiTheme="minorHAnsi"/>
                <w:b/>
                <w:sz w:val="18"/>
                <w:szCs w:val="18"/>
              </w:rPr>
            </w:pPr>
            <w:r w:rsidRPr="009930B9">
              <w:rPr>
                <w:rFonts w:asciiTheme="minorHAnsi" w:hAnsiTheme="minorHAnsi" w:cs="Helvetica"/>
                <w:b/>
                <w:color w:val="333333"/>
                <w:sz w:val="18"/>
                <w:szCs w:val="18"/>
              </w:rPr>
              <w:t>2013-14</w:t>
            </w:r>
          </w:p>
        </w:tc>
        <w:tc>
          <w:tcPr>
            <w:tcW w:w="1701" w:type="dxa"/>
            <w:shd w:val="clear" w:color="auto" w:fill="F2F2F2" w:themeFill="background1" w:themeFillShade="F2"/>
          </w:tcPr>
          <w:p w:rsidR="00BB30CD" w:rsidRPr="009930B9" w:rsidRDefault="00BB30CD" w:rsidP="004A10A2">
            <w:pPr>
              <w:spacing w:before="120" w:after="120"/>
              <w:rPr>
                <w:rFonts w:asciiTheme="minorHAnsi" w:hAnsiTheme="minorHAnsi"/>
                <w:b/>
                <w:sz w:val="18"/>
                <w:szCs w:val="18"/>
              </w:rPr>
            </w:pPr>
            <w:r w:rsidRPr="009930B9">
              <w:rPr>
                <w:rFonts w:asciiTheme="minorHAnsi" w:hAnsiTheme="minorHAnsi" w:cs="Helvetica"/>
                <w:b/>
                <w:color w:val="333333"/>
                <w:sz w:val="18"/>
                <w:szCs w:val="18"/>
              </w:rPr>
              <w:t>2014-15</w:t>
            </w:r>
          </w:p>
        </w:tc>
        <w:tc>
          <w:tcPr>
            <w:tcW w:w="1559" w:type="dxa"/>
            <w:shd w:val="clear" w:color="auto" w:fill="F2F2F2" w:themeFill="background1" w:themeFillShade="F2"/>
          </w:tcPr>
          <w:p w:rsidR="00BB30CD" w:rsidRPr="009930B9" w:rsidRDefault="00BB30CD" w:rsidP="00C6351D">
            <w:pPr>
              <w:spacing w:before="120" w:after="120"/>
              <w:rPr>
                <w:rFonts w:asciiTheme="minorHAnsi" w:hAnsiTheme="minorHAnsi" w:cs="Helvetica"/>
                <w:b/>
                <w:color w:val="333333"/>
                <w:sz w:val="18"/>
                <w:szCs w:val="18"/>
              </w:rPr>
            </w:pPr>
            <w:r w:rsidRPr="009930B9">
              <w:rPr>
                <w:rFonts w:asciiTheme="minorHAnsi" w:hAnsiTheme="minorHAnsi" w:cs="Helvetica"/>
                <w:b/>
                <w:color w:val="333333"/>
                <w:sz w:val="18"/>
                <w:szCs w:val="18"/>
              </w:rPr>
              <w:t>2015-16</w:t>
            </w:r>
          </w:p>
        </w:tc>
        <w:tc>
          <w:tcPr>
            <w:tcW w:w="4536" w:type="dxa"/>
            <w:vMerge w:val="restart"/>
            <w:shd w:val="clear" w:color="auto" w:fill="auto"/>
          </w:tcPr>
          <w:p w:rsidR="00BB30CD" w:rsidRDefault="00BB30CD" w:rsidP="00174593">
            <w:pPr>
              <w:rPr>
                <w:rFonts w:asciiTheme="minorHAnsi" w:hAnsiTheme="minorHAnsi"/>
                <w:sz w:val="18"/>
                <w:szCs w:val="18"/>
              </w:rPr>
            </w:pPr>
          </w:p>
          <w:p w:rsidR="00BB30CD" w:rsidRPr="009930B9" w:rsidRDefault="00BB30CD" w:rsidP="00174593">
            <w:pPr>
              <w:rPr>
                <w:rFonts w:asciiTheme="minorHAnsi" w:hAnsiTheme="minorHAnsi"/>
                <w:sz w:val="18"/>
                <w:szCs w:val="18"/>
              </w:rPr>
            </w:pPr>
            <w:r w:rsidRPr="009930B9">
              <w:rPr>
                <w:rFonts w:asciiTheme="minorHAnsi" w:hAnsiTheme="minorHAnsi"/>
                <w:sz w:val="18"/>
                <w:szCs w:val="18"/>
              </w:rPr>
              <w:t xml:space="preserve">The </w:t>
            </w:r>
            <w:r w:rsidR="00163C39">
              <w:rPr>
                <w:rFonts w:asciiTheme="minorHAnsi" w:hAnsiTheme="minorHAnsi"/>
                <w:sz w:val="18"/>
                <w:szCs w:val="18"/>
              </w:rPr>
              <w:t xml:space="preserve">Specialist Working Group </w:t>
            </w:r>
            <w:r w:rsidRPr="009930B9">
              <w:rPr>
                <w:rFonts w:asciiTheme="minorHAnsi" w:hAnsiTheme="minorHAnsi"/>
                <w:sz w:val="18"/>
                <w:szCs w:val="18"/>
              </w:rPr>
              <w:t>estimated magnitude of effect:</w:t>
            </w:r>
          </w:p>
          <w:p w:rsidR="00BB30CD" w:rsidRPr="009930B9" w:rsidRDefault="00BB30CD" w:rsidP="00174593">
            <w:pPr>
              <w:ind w:left="720"/>
              <w:rPr>
                <w:rFonts w:asciiTheme="minorHAnsi" w:hAnsiTheme="minorHAnsi"/>
                <w:sz w:val="18"/>
                <w:szCs w:val="18"/>
              </w:rPr>
            </w:pPr>
            <w:r w:rsidRPr="009930B9">
              <w:rPr>
                <w:rFonts w:asciiTheme="minorHAnsi" w:hAnsiTheme="minorHAnsi"/>
                <w:sz w:val="18"/>
                <w:szCs w:val="18"/>
              </w:rPr>
              <w:t xml:space="preserve">Marginal: &lt;$500K reduction </w:t>
            </w:r>
            <w:r w:rsidR="004D2622">
              <w:rPr>
                <w:rFonts w:asciiTheme="minorHAnsi" w:hAnsiTheme="minorHAnsi"/>
                <w:sz w:val="18"/>
                <w:szCs w:val="18"/>
              </w:rPr>
              <w:t>against projected demand</w:t>
            </w:r>
          </w:p>
          <w:p w:rsidR="00BB30CD" w:rsidRPr="009930B9" w:rsidRDefault="00BB30CD" w:rsidP="004A10A2">
            <w:pPr>
              <w:spacing w:before="120" w:after="120"/>
              <w:rPr>
                <w:rFonts w:asciiTheme="minorHAnsi" w:hAnsiTheme="minorHAnsi"/>
                <w:b/>
                <w:sz w:val="18"/>
                <w:szCs w:val="18"/>
              </w:rPr>
            </w:pPr>
          </w:p>
        </w:tc>
      </w:tr>
      <w:tr w:rsidR="00BB30CD" w:rsidRPr="009930B9" w:rsidTr="00BB30CD">
        <w:trPr>
          <w:trHeight w:val="534"/>
        </w:trPr>
        <w:tc>
          <w:tcPr>
            <w:tcW w:w="2161" w:type="dxa"/>
            <w:shd w:val="clear" w:color="auto" w:fill="auto"/>
          </w:tcPr>
          <w:p w:rsidR="00BB30CD" w:rsidRPr="00D60E0A" w:rsidRDefault="00BB30CD" w:rsidP="00337DD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LE-N</w:t>
            </w:r>
            <w:r w:rsidRPr="00D60E0A">
              <w:rPr>
                <w:rFonts w:asciiTheme="minorHAnsi" w:hAnsiTheme="minorHAnsi" w:cs="Helvetica"/>
                <w:b/>
                <w:color w:val="333333"/>
                <w:sz w:val="18"/>
                <w:szCs w:val="18"/>
              </w:rPr>
              <w:t>on-para-neoplastic</w:t>
            </w:r>
          </w:p>
        </w:tc>
        <w:tc>
          <w:tcPr>
            <w:tcW w:w="1384"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0</w:t>
            </w:r>
          </w:p>
        </w:tc>
        <w:tc>
          <w:tcPr>
            <w:tcW w:w="1593" w:type="dxa"/>
            <w:gridSpan w:val="2"/>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61</w:t>
            </w:r>
          </w:p>
        </w:tc>
        <w:tc>
          <w:tcPr>
            <w:tcW w:w="1667"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122</w:t>
            </w:r>
          </w:p>
        </w:tc>
        <w:tc>
          <w:tcPr>
            <w:tcW w:w="1701"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147</w:t>
            </w:r>
          </w:p>
        </w:tc>
        <w:tc>
          <w:tcPr>
            <w:tcW w:w="1559" w:type="dxa"/>
            <w:shd w:val="clear" w:color="auto" w:fill="auto"/>
          </w:tcPr>
          <w:p w:rsidR="00BB30CD" w:rsidRPr="00D60E0A" w:rsidRDefault="00BB30CD" w:rsidP="00732F75">
            <w:pPr>
              <w:spacing w:before="120" w:after="120"/>
              <w:jc w:val="right"/>
              <w:rPr>
                <w:rFonts w:asciiTheme="minorHAnsi" w:hAnsiTheme="minorHAnsi" w:cs="Helvetica"/>
                <w:b/>
                <w:color w:val="333333"/>
                <w:sz w:val="18"/>
                <w:szCs w:val="18"/>
              </w:rPr>
            </w:pPr>
            <w:r w:rsidRPr="00D60E0A">
              <w:rPr>
                <w:rFonts w:asciiTheme="minorHAnsi" w:hAnsiTheme="minorHAnsi" w:cs="Helvetica"/>
                <w:b/>
                <w:color w:val="333333"/>
                <w:sz w:val="18"/>
                <w:szCs w:val="18"/>
              </w:rPr>
              <w:t>188</w:t>
            </w: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BB30CD" w:rsidRPr="009930B9" w:rsidTr="00C6351D">
        <w:tc>
          <w:tcPr>
            <w:tcW w:w="2161" w:type="dxa"/>
            <w:shd w:val="clear" w:color="auto" w:fill="auto"/>
          </w:tcPr>
          <w:p w:rsidR="00BB30CD" w:rsidRPr="00D60E0A" w:rsidRDefault="00BB30CD" w:rsidP="004A10A2">
            <w:pPr>
              <w:spacing w:before="120" w:after="120"/>
              <w:rPr>
                <w:rFonts w:asciiTheme="minorHAnsi" w:hAnsiTheme="minorHAnsi"/>
                <w:b/>
                <w:sz w:val="18"/>
                <w:szCs w:val="18"/>
              </w:rPr>
            </w:pPr>
            <w:r w:rsidRPr="00D60E0A">
              <w:rPr>
                <w:rFonts w:asciiTheme="minorHAnsi" w:hAnsiTheme="minorHAnsi" w:cs="Helvetica"/>
                <w:b/>
                <w:color w:val="333333"/>
                <w:sz w:val="18"/>
                <w:szCs w:val="18"/>
              </w:rPr>
              <w:t>LE – paraneoplastic</w:t>
            </w:r>
          </w:p>
        </w:tc>
        <w:tc>
          <w:tcPr>
            <w:tcW w:w="1384"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0</w:t>
            </w:r>
          </w:p>
        </w:tc>
        <w:tc>
          <w:tcPr>
            <w:tcW w:w="1593" w:type="dxa"/>
            <w:gridSpan w:val="2"/>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9</w:t>
            </w:r>
          </w:p>
        </w:tc>
        <w:tc>
          <w:tcPr>
            <w:tcW w:w="1667"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19</w:t>
            </w:r>
          </w:p>
        </w:tc>
        <w:tc>
          <w:tcPr>
            <w:tcW w:w="1701"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26</w:t>
            </w:r>
          </w:p>
        </w:tc>
        <w:tc>
          <w:tcPr>
            <w:tcW w:w="1559" w:type="dxa"/>
            <w:shd w:val="clear" w:color="auto" w:fill="auto"/>
          </w:tcPr>
          <w:p w:rsidR="00BB30CD" w:rsidRPr="00D60E0A" w:rsidRDefault="00BB30CD" w:rsidP="00732F75">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46</w:t>
            </w: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BB30CD" w:rsidRPr="009930B9" w:rsidTr="00BB30CD">
        <w:trPr>
          <w:trHeight w:val="437"/>
        </w:trPr>
        <w:tc>
          <w:tcPr>
            <w:tcW w:w="2161" w:type="dxa"/>
            <w:shd w:val="clear" w:color="auto" w:fill="F2F2F2" w:themeFill="background1" w:themeFillShade="F2"/>
          </w:tcPr>
          <w:p w:rsidR="00BB30CD" w:rsidRPr="00D60E0A" w:rsidRDefault="00BB30CD" w:rsidP="00BB30CD">
            <w:pPr>
              <w:spacing w:before="120" w:after="120"/>
              <w:rPr>
                <w:rFonts w:asciiTheme="minorHAnsi" w:hAnsiTheme="minorHAnsi"/>
                <w:b/>
                <w:sz w:val="18"/>
                <w:szCs w:val="18"/>
              </w:rPr>
            </w:pPr>
            <w:r w:rsidRPr="00D60E0A">
              <w:rPr>
                <w:rFonts w:asciiTheme="minorHAnsi" w:hAnsiTheme="minorHAnsi"/>
                <w:b/>
                <w:sz w:val="18"/>
                <w:szCs w:val="18"/>
              </w:rPr>
              <w:t>Total Grams issued</w:t>
            </w:r>
            <w:r>
              <w:rPr>
                <w:rFonts w:asciiTheme="minorHAnsi" w:hAnsiTheme="minorHAnsi" w:cs="Helvetica"/>
                <w:b/>
                <w:color w:val="333333"/>
                <w:sz w:val="18"/>
                <w:szCs w:val="18"/>
              </w:rPr>
              <w:t xml:space="preserve"> </w:t>
            </w:r>
          </w:p>
        </w:tc>
        <w:tc>
          <w:tcPr>
            <w:tcW w:w="1384" w:type="dxa"/>
            <w:shd w:val="clear" w:color="auto" w:fill="F2F2F2" w:themeFill="background1" w:themeFillShade="F2"/>
          </w:tcPr>
          <w:p w:rsidR="00BB30CD" w:rsidRDefault="00BB30CD" w:rsidP="00732F75">
            <w:pPr>
              <w:spacing w:before="120" w:after="120"/>
              <w:jc w:val="right"/>
              <w:rPr>
                <w:rFonts w:asciiTheme="minorHAnsi" w:hAnsiTheme="minorHAnsi"/>
                <w:b/>
                <w:sz w:val="18"/>
                <w:szCs w:val="18"/>
              </w:rPr>
            </w:pPr>
          </w:p>
        </w:tc>
        <w:tc>
          <w:tcPr>
            <w:tcW w:w="1593" w:type="dxa"/>
            <w:gridSpan w:val="2"/>
            <w:shd w:val="clear" w:color="auto" w:fill="F2F2F2" w:themeFill="background1" w:themeFillShade="F2"/>
          </w:tcPr>
          <w:p w:rsidR="00BB30CD" w:rsidRDefault="00BB30CD" w:rsidP="00732F75">
            <w:pPr>
              <w:spacing w:before="120" w:after="120"/>
              <w:jc w:val="right"/>
              <w:rPr>
                <w:rFonts w:asciiTheme="minorHAnsi" w:hAnsiTheme="minorHAnsi"/>
                <w:b/>
                <w:sz w:val="18"/>
                <w:szCs w:val="18"/>
              </w:rPr>
            </w:pPr>
          </w:p>
        </w:tc>
        <w:tc>
          <w:tcPr>
            <w:tcW w:w="1667" w:type="dxa"/>
            <w:shd w:val="clear" w:color="auto" w:fill="F2F2F2" w:themeFill="background1" w:themeFillShade="F2"/>
          </w:tcPr>
          <w:p w:rsidR="00BB30CD" w:rsidRDefault="00BB30CD" w:rsidP="00732F75">
            <w:pPr>
              <w:spacing w:before="120" w:after="120"/>
              <w:jc w:val="right"/>
              <w:rPr>
                <w:rFonts w:asciiTheme="minorHAnsi" w:hAnsiTheme="minorHAnsi"/>
                <w:b/>
                <w:sz w:val="18"/>
                <w:szCs w:val="18"/>
              </w:rPr>
            </w:pPr>
          </w:p>
        </w:tc>
        <w:tc>
          <w:tcPr>
            <w:tcW w:w="1701" w:type="dxa"/>
            <w:shd w:val="clear" w:color="auto" w:fill="F2F2F2" w:themeFill="background1" w:themeFillShade="F2"/>
          </w:tcPr>
          <w:p w:rsidR="00BB30CD" w:rsidRDefault="00BB30CD" w:rsidP="00732F75">
            <w:pPr>
              <w:spacing w:before="120" w:after="120"/>
              <w:jc w:val="right"/>
              <w:rPr>
                <w:rFonts w:asciiTheme="minorHAnsi" w:hAnsiTheme="minorHAnsi"/>
                <w:b/>
                <w:sz w:val="18"/>
                <w:szCs w:val="18"/>
              </w:rPr>
            </w:pPr>
          </w:p>
        </w:tc>
        <w:tc>
          <w:tcPr>
            <w:tcW w:w="1559" w:type="dxa"/>
            <w:shd w:val="clear" w:color="auto" w:fill="F2F2F2" w:themeFill="background1" w:themeFillShade="F2"/>
          </w:tcPr>
          <w:p w:rsidR="00BB30CD" w:rsidRDefault="00BB30CD" w:rsidP="00732F75">
            <w:pPr>
              <w:spacing w:before="120" w:after="120"/>
              <w:jc w:val="right"/>
              <w:rPr>
                <w:rFonts w:asciiTheme="minorHAnsi" w:hAnsiTheme="minorHAnsi" w:cs="Helvetica"/>
                <w:b/>
                <w:color w:val="333333"/>
                <w:sz w:val="18"/>
                <w:szCs w:val="18"/>
              </w:rPr>
            </w:pP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BB30CD" w:rsidRPr="009930B9" w:rsidTr="00BB30CD">
        <w:trPr>
          <w:trHeight w:val="535"/>
        </w:trPr>
        <w:tc>
          <w:tcPr>
            <w:tcW w:w="2161" w:type="dxa"/>
            <w:shd w:val="clear" w:color="auto" w:fill="auto"/>
          </w:tcPr>
          <w:p w:rsidR="00BB30CD" w:rsidRPr="00D60E0A" w:rsidRDefault="00BB30CD" w:rsidP="004A10A2">
            <w:pPr>
              <w:spacing w:before="120" w:after="120"/>
              <w:rPr>
                <w:rFonts w:asciiTheme="minorHAnsi" w:hAnsiTheme="minorHAnsi"/>
                <w:b/>
                <w:sz w:val="18"/>
                <w:szCs w:val="18"/>
              </w:rPr>
            </w:pPr>
            <w:r>
              <w:rPr>
                <w:rFonts w:asciiTheme="minorHAnsi" w:hAnsiTheme="minorHAnsi" w:cs="Helvetica"/>
                <w:b/>
                <w:color w:val="333333"/>
                <w:sz w:val="18"/>
                <w:szCs w:val="18"/>
              </w:rPr>
              <w:t>LE-n</w:t>
            </w:r>
            <w:r w:rsidRPr="00D60E0A">
              <w:rPr>
                <w:rFonts w:asciiTheme="minorHAnsi" w:hAnsiTheme="minorHAnsi" w:cs="Helvetica"/>
                <w:b/>
                <w:color w:val="333333"/>
                <w:sz w:val="18"/>
                <w:szCs w:val="18"/>
              </w:rPr>
              <w:t>on-para-neoplastic</w:t>
            </w:r>
          </w:p>
        </w:tc>
        <w:tc>
          <w:tcPr>
            <w:tcW w:w="1384"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0</w:t>
            </w:r>
          </w:p>
        </w:tc>
        <w:tc>
          <w:tcPr>
            <w:tcW w:w="1593" w:type="dxa"/>
            <w:gridSpan w:val="2"/>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10,900</w:t>
            </w:r>
          </w:p>
        </w:tc>
        <w:tc>
          <w:tcPr>
            <w:tcW w:w="1667"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27,787</w:t>
            </w:r>
          </w:p>
        </w:tc>
        <w:tc>
          <w:tcPr>
            <w:tcW w:w="1701"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36,076</w:t>
            </w:r>
          </w:p>
        </w:tc>
        <w:tc>
          <w:tcPr>
            <w:tcW w:w="1559" w:type="dxa"/>
            <w:shd w:val="clear" w:color="auto" w:fill="auto"/>
          </w:tcPr>
          <w:p w:rsidR="00BB30CD" w:rsidRPr="00D60E0A" w:rsidRDefault="00BB30CD" w:rsidP="00732F75">
            <w:pPr>
              <w:spacing w:before="120" w:after="120"/>
              <w:jc w:val="right"/>
              <w:rPr>
                <w:rFonts w:asciiTheme="minorHAnsi" w:hAnsiTheme="minorHAnsi" w:cs="Helvetica"/>
                <w:b/>
                <w:color w:val="333333"/>
                <w:sz w:val="18"/>
                <w:szCs w:val="18"/>
              </w:rPr>
            </w:pPr>
            <w:r w:rsidRPr="00D60E0A">
              <w:rPr>
                <w:rFonts w:asciiTheme="minorHAnsi" w:hAnsiTheme="minorHAnsi" w:cs="Helvetica"/>
                <w:b/>
                <w:color w:val="333333"/>
                <w:sz w:val="18"/>
                <w:szCs w:val="18"/>
              </w:rPr>
              <w:t>48,098</w:t>
            </w: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BB30CD" w:rsidRPr="009930B9" w:rsidTr="00C6351D">
        <w:trPr>
          <w:trHeight w:val="535"/>
        </w:trPr>
        <w:tc>
          <w:tcPr>
            <w:tcW w:w="2161" w:type="dxa"/>
            <w:shd w:val="clear" w:color="auto" w:fill="auto"/>
          </w:tcPr>
          <w:p w:rsidR="00BB30CD" w:rsidRPr="00D60E0A" w:rsidRDefault="00BB30CD" w:rsidP="004A10A2">
            <w:pPr>
              <w:spacing w:before="120" w:after="120"/>
              <w:rPr>
                <w:rFonts w:asciiTheme="minorHAnsi" w:hAnsiTheme="minorHAnsi"/>
                <w:b/>
                <w:sz w:val="18"/>
                <w:szCs w:val="18"/>
              </w:rPr>
            </w:pPr>
            <w:r w:rsidRPr="00D60E0A">
              <w:rPr>
                <w:rFonts w:asciiTheme="minorHAnsi" w:hAnsiTheme="minorHAnsi" w:cs="Helvetica"/>
                <w:b/>
                <w:color w:val="333333"/>
                <w:sz w:val="18"/>
                <w:szCs w:val="18"/>
              </w:rPr>
              <w:t>LE – paraneoplastic</w:t>
            </w:r>
          </w:p>
        </w:tc>
        <w:tc>
          <w:tcPr>
            <w:tcW w:w="1384"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0</w:t>
            </w:r>
          </w:p>
        </w:tc>
        <w:tc>
          <w:tcPr>
            <w:tcW w:w="1593" w:type="dxa"/>
            <w:gridSpan w:val="2"/>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1,672</w:t>
            </w:r>
          </w:p>
        </w:tc>
        <w:tc>
          <w:tcPr>
            <w:tcW w:w="1667"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7,280</w:t>
            </w:r>
          </w:p>
        </w:tc>
        <w:tc>
          <w:tcPr>
            <w:tcW w:w="1701" w:type="dxa"/>
            <w:shd w:val="clear" w:color="auto" w:fill="auto"/>
          </w:tcPr>
          <w:p w:rsidR="00BB30CD" w:rsidRPr="00D60E0A" w:rsidRDefault="00BB30CD" w:rsidP="00732F75">
            <w:pPr>
              <w:spacing w:before="120" w:after="120"/>
              <w:jc w:val="right"/>
              <w:rPr>
                <w:rFonts w:asciiTheme="minorHAnsi" w:hAnsiTheme="minorHAnsi"/>
                <w:b/>
                <w:sz w:val="18"/>
                <w:szCs w:val="18"/>
              </w:rPr>
            </w:pPr>
            <w:r w:rsidRPr="00D60E0A">
              <w:rPr>
                <w:rFonts w:asciiTheme="minorHAnsi" w:hAnsiTheme="minorHAnsi"/>
                <w:b/>
                <w:sz w:val="18"/>
                <w:szCs w:val="18"/>
              </w:rPr>
              <w:t>6,080</w:t>
            </w:r>
          </w:p>
        </w:tc>
        <w:tc>
          <w:tcPr>
            <w:tcW w:w="1559" w:type="dxa"/>
            <w:shd w:val="clear" w:color="auto" w:fill="auto"/>
          </w:tcPr>
          <w:p w:rsidR="00BB30CD" w:rsidRPr="00D60E0A" w:rsidRDefault="00BB30CD" w:rsidP="00732F75">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8,114</w:t>
            </w: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BB30CD" w:rsidRPr="009930B9" w:rsidTr="00BB30CD">
        <w:trPr>
          <w:trHeight w:val="326"/>
        </w:trPr>
        <w:tc>
          <w:tcPr>
            <w:tcW w:w="2161" w:type="dxa"/>
            <w:shd w:val="clear" w:color="auto" w:fill="F2F2F2" w:themeFill="background1" w:themeFillShade="F2"/>
          </w:tcPr>
          <w:p w:rsidR="00BB30CD" w:rsidRPr="009930B9" w:rsidRDefault="00BB30CD" w:rsidP="00BB30CD">
            <w:pPr>
              <w:spacing w:before="120" w:after="120"/>
              <w:rPr>
                <w:rFonts w:asciiTheme="minorHAnsi" w:hAnsiTheme="minorHAnsi"/>
                <w:b/>
                <w:sz w:val="18"/>
                <w:szCs w:val="18"/>
              </w:rPr>
            </w:pPr>
            <w:r w:rsidRPr="009930B9">
              <w:rPr>
                <w:rFonts w:asciiTheme="minorHAnsi" w:hAnsiTheme="minorHAnsi"/>
                <w:b/>
                <w:sz w:val="18"/>
                <w:szCs w:val="18"/>
              </w:rPr>
              <w:t>% Total Grams issued</w:t>
            </w:r>
          </w:p>
        </w:tc>
        <w:tc>
          <w:tcPr>
            <w:tcW w:w="1384" w:type="dxa"/>
            <w:shd w:val="clear" w:color="auto" w:fill="F2F2F2" w:themeFill="background1" w:themeFillShade="F2"/>
          </w:tcPr>
          <w:p w:rsidR="00BB30CD" w:rsidRPr="00337DD2" w:rsidRDefault="00BB30CD" w:rsidP="00732F75">
            <w:pPr>
              <w:spacing w:before="120" w:after="120"/>
              <w:jc w:val="right"/>
              <w:rPr>
                <w:rFonts w:asciiTheme="minorHAnsi" w:hAnsiTheme="minorHAnsi"/>
                <w:b/>
                <w:sz w:val="18"/>
                <w:szCs w:val="18"/>
              </w:rPr>
            </w:pPr>
          </w:p>
        </w:tc>
        <w:tc>
          <w:tcPr>
            <w:tcW w:w="1593" w:type="dxa"/>
            <w:gridSpan w:val="2"/>
            <w:shd w:val="clear" w:color="auto" w:fill="F2F2F2" w:themeFill="background1" w:themeFillShade="F2"/>
          </w:tcPr>
          <w:p w:rsidR="00BB30CD" w:rsidRPr="00337DD2" w:rsidRDefault="00BB30CD" w:rsidP="00732F75">
            <w:pPr>
              <w:spacing w:before="120" w:after="120"/>
              <w:jc w:val="right"/>
              <w:rPr>
                <w:rFonts w:asciiTheme="minorHAnsi" w:hAnsiTheme="minorHAnsi"/>
                <w:b/>
                <w:sz w:val="18"/>
                <w:szCs w:val="18"/>
              </w:rPr>
            </w:pPr>
          </w:p>
        </w:tc>
        <w:tc>
          <w:tcPr>
            <w:tcW w:w="1667" w:type="dxa"/>
            <w:shd w:val="clear" w:color="auto" w:fill="F2F2F2" w:themeFill="background1" w:themeFillShade="F2"/>
          </w:tcPr>
          <w:p w:rsidR="00BB30CD" w:rsidRPr="00337DD2" w:rsidRDefault="00BB30CD" w:rsidP="00732F75">
            <w:pPr>
              <w:spacing w:before="120" w:after="120"/>
              <w:jc w:val="right"/>
              <w:rPr>
                <w:rFonts w:asciiTheme="minorHAnsi" w:hAnsiTheme="minorHAnsi"/>
                <w:b/>
                <w:sz w:val="18"/>
                <w:szCs w:val="18"/>
              </w:rPr>
            </w:pPr>
          </w:p>
        </w:tc>
        <w:tc>
          <w:tcPr>
            <w:tcW w:w="1701" w:type="dxa"/>
            <w:shd w:val="clear" w:color="auto" w:fill="F2F2F2" w:themeFill="background1" w:themeFillShade="F2"/>
          </w:tcPr>
          <w:p w:rsidR="00BB30CD" w:rsidRPr="00337DD2" w:rsidRDefault="00BB30CD" w:rsidP="00732F75">
            <w:pPr>
              <w:spacing w:before="120" w:after="120"/>
              <w:jc w:val="right"/>
              <w:rPr>
                <w:rFonts w:asciiTheme="minorHAnsi" w:hAnsiTheme="minorHAnsi"/>
                <w:b/>
                <w:sz w:val="18"/>
                <w:szCs w:val="18"/>
              </w:rPr>
            </w:pPr>
          </w:p>
        </w:tc>
        <w:tc>
          <w:tcPr>
            <w:tcW w:w="1559" w:type="dxa"/>
            <w:shd w:val="clear" w:color="auto" w:fill="F2F2F2" w:themeFill="background1" w:themeFillShade="F2"/>
          </w:tcPr>
          <w:p w:rsidR="00BB30CD" w:rsidRPr="00337DD2" w:rsidRDefault="00BB30CD" w:rsidP="00732F75">
            <w:pPr>
              <w:spacing w:before="120" w:after="120"/>
              <w:jc w:val="right"/>
              <w:rPr>
                <w:rFonts w:asciiTheme="minorHAnsi" w:hAnsiTheme="minorHAnsi" w:cs="Helvetica"/>
                <w:b/>
                <w:color w:val="333333"/>
                <w:sz w:val="18"/>
                <w:szCs w:val="18"/>
              </w:rPr>
            </w:pP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BB30CD" w:rsidRPr="009930B9" w:rsidTr="00BB30CD">
        <w:tc>
          <w:tcPr>
            <w:tcW w:w="2161" w:type="dxa"/>
            <w:shd w:val="clear" w:color="auto" w:fill="auto"/>
          </w:tcPr>
          <w:p w:rsidR="00BB30CD" w:rsidRPr="009930B9" w:rsidRDefault="00BB30CD" w:rsidP="004A10A2">
            <w:pPr>
              <w:spacing w:before="120" w:after="120"/>
              <w:rPr>
                <w:rFonts w:asciiTheme="minorHAnsi" w:hAnsiTheme="minorHAnsi"/>
                <w:b/>
                <w:sz w:val="18"/>
                <w:szCs w:val="18"/>
              </w:rPr>
            </w:pPr>
            <w:r>
              <w:rPr>
                <w:rFonts w:asciiTheme="minorHAnsi" w:hAnsiTheme="minorHAnsi" w:cs="Helvetica"/>
                <w:b/>
                <w:color w:val="333333"/>
                <w:sz w:val="18"/>
                <w:szCs w:val="18"/>
              </w:rPr>
              <w:t>LE-N</w:t>
            </w:r>
            <w:r w:rsidRPr="00D60E0A">
              <w:rPr>
                <w:rFonts w:asciiTheme="minorHAnsi" w:hAnsiTheme="minorHAnsi" w:cs="Helvetica"/>
                <w:b/>
                <w:color w:val="333333"/>
                <w:sz w:val="18"/>
                <w:szCs w:val="18"/>
              </w:rPr>
              <w:t>on-para-neoplastic</w:t>
            </w:r>
          </w:p>
        </w:tc>
        <w:tc>
          <w:tcPr>
            <w:tcW w:w="1384" w:type="dxa"/>
            <w:shd w:val="clear" w:color="auto" w:fill="auto"/>
          </w:tcPr>
          <w:p w:rsidR="00BB30CD" w:rsidRPr="00337DD2" w:rsidRDefault="00BB30CD" w:rsidP="00732F75">
            <w:pPr>
              <w:spacing w:before="120" w:after="120"/>
              <w:jc w:val="right"/>
              <w:rPr>
                <w:rFonts w:asciiTheme="minorHAnsi" w:hAnsiTheme="minorHAnsi"/>
                <w:b/>
                <w:sz w:val="18"/>
                <w:szCs w:val="18"/>
              </w:rPr>
            </w:pPr>
            <w:r w:rsidRPr="00337DD2">
              <w:rPr>
                <w:rFonts w:asciiTheme="minorHAnsi" w:hAnsiTheme="minorHAnsi"/>
                <w:b/>
                <w:sz w:val="18"/>
                <w:szCs w:val="18"/>
              </w:rPr>
              <w:t>0.00%</w:t>
            </w:r>
          </w:p>
        </w:tc>
        <w:tc>
          <w:tcPr>
            <w:tcW w:w="1593" w:type="dxa"/>
            <w:gridSpan w:val="2"/>
            <w:shd w:val="clear" w:color="auto" w:fill="auto"/>
          </w:tcPr>
          <w:p w:rsidR="00BB30CD" w:rsidRPr="00337DD2" w:rsidRDefault="00BB30CD" w:rsidP="00732F75">
            <w:pPr>
              <w:spacing w:before="120" w:after="120"/>
              <w:jc w:val="right"/>
              <w:rPr>
                <w:rFonts w:asciiTheme="minorHAnsi" w:hAnsiTheme="minorHAnsi"/>
                <w:b/>
                <w:sz w:val="18"/>
                <w:szCs w:val="18"/>
              </w:rPr>
            </w:pPr>
            <w:r w:rsidRPr="00337DD2">
              <w:rPr>
                <w:rFonts w:asciiTheme="minorHAnsi" w:hAnsiTheme="minorHAnsi"/>
                <w:b/>
                <w:sz w:val="18"/>
                <w:szCs w:val="18"/>
              </w:rPr>
              <w:t>0.3%</w:t>
            </w:r>
          </w:p>
        </w:tc>
        <w:tc>
          <w:tcPr>
            <w:tcW w:w="1667" w:type="dxa"/>
            <w:shd w:val="clear" w:color="auto" w:fill="auto"/>
          </w:tcPr>
          <w:p w:rsidR="00BB30CD" w:rsidRPr="00337DD2" w:rsidRDefault="00BB30CD" w:rsidP="00732F75">
            <w:pPr>
              <w:spacing w:before="120" w:after="120"/>
              <w:jc w:val="right"/>
              <w:rPr>
                <w:rFonts w:asciiTheme="minorHAnsi" w:hAnsiTheme="minorHAnsi"/>
                <w:b/>
                <w:sz w:val="18"/>
                <w:szCs w:val="18"/>
              </w:rPr>
            </w:pPr>
            <w:r w:rsidRPr="00337DD2">
              <w:rPr>
                <w:rFonts w:asciiTheme="minorHAnsi" w:hAnsiTheme="minorHAnsi"/>
                <w:b/>
                <w:sz w:val="18"/>
                <w:szCs w:val="18"/>
              </w:rPr>
              <w:t>0.69%</w:t>
            </w:r>
          </w:p>
        </w:tc>
        <w:tc>
          <w:tcPr>
            <w:tcW w:w="1701" w:type="dxa"/>
            <w:shd w:val="clear" w:color="auto" w:fill="auto"/>
          </w:tcPr>
          <w:p w:rsidR="00BB30CD" w:rsidRPr="00337DD2" w:rsidRDefault="00BB30CD" w:rsidP="00732F75">
            <w:pPr>
              <w:spacing w:before="120" w:after="120"/>
              <w:jc w:val="right"/>
              <w:rPr>
                <w:rFonts w:asciiTheme="minorHAnsi" w:hAnsiTheme="minorHAnsi"/>
                <w:b/>
                <w:sz w:val="18"/>
                <w:szCs w:val="18"/>
              </w:rPr>
            </w:pPr>
            <w:r w:rsidRPr="00337DD2">
              <w:rPr>
                <w:rFonts w:asciiTheme="minorHAnsi" w:hAnsiTheme="minorHAnsi"/>
                <w:b/>
                <w:sz w:val="18"/>
                <w:szCs w:val="18"/>
              </w:rPr>
              <w:t>0.8</w:t>
            </w:r>
            <w:r w:rsidR="00A50F04">
              <w:rPr>
                <w:rFonts w:asciiTheme="minorHAnsi" w:hAnsiTheme="minorHAnsi"/>
                <w:b/>
                <w:sz w:val="18"/>
                <w:szCs w:val="18"/>
              </w:rPr>
              <w:t>1</w:t>
            </w:r>
            <w:r w:rsidRPr="00337DD2">
              <w:rPr>
                <w:rFonts w:asciiTheme="minorHAnsi" w:hAnsiTheme="minorHAnsi"/>
                <w:b/>
                <w:sz w:val="18"/>
                <w:szCs w:val="18"/>
              </w:rPr>
              <w:t>%</w:t>
            </w:r>
          </w:p>
        </w:tc>
        <w:tc>
          <w:tcPr>
            <w:tcW w:w="1559" w:type="dxa"/>
            <w:shd w:val="clear" w:color="auto" w:fill="auto"/>
          </w:tcPr>
          <w:p w:rsidR="00BB30CD" w:rsidRPr="00337DD2" w:rsidRDefault="00BB30CD" w:rsidP="00732F75">
            <w:pPr>
              <w:spacing w:before="120" w:after="120"/>
              <w:jc w:val="right"/>
              <w:rPr>
                <w:rFonts w:asciiTheme="minorHAnsi" w:hAnsiTheme="minorHAnsi" w:cs="Helvetica"/>
                <w:b/>
                <w:color w:val="333333"/>
                <w:sz w:val="18"/>
                <w:szCs w:val="18"/>
              </w:rPr>
            </w:pPr>
            <w:r w:rsidRPr="00337DD2">
              <w:rPr>
                <w:rFonts w:asciiTheme="minorHAnsi" w:hAnsiTheme="minorHAnsi" w:cs="Helvetica"/>
                <w:b/>
                <w:color w:val="333333"/>
                <w:sz w:val="18"/>
                <w:szCs w:val="18"/>
              </w:rPr>
              <w:t>0.9</w:t>
            </w:r>
            <w:r w:rsidR="00A50F04">
              <w:rPr>
                <w:rFonts w:asciiTheme="minorHAnsi" w:hAnsiTheme="minorHAnsi" w:cs="Helvetica"/>
                <w:b/>
                <w:color w:val="333333"/>
                <w:sz w:val="18"/>
                <w:szCs w:val="18"/>
              </w:rPr>
              <w:t>7</w:t>
            </w:r>
            <w:r w:rsidRPr="00337DD2">
              <w:rPr>
                <w:rFonts w:asciiTheme="minorHAnsi" w:hAnsiTheme="minorHAnsi" w:cs="Helvetica"/>
                <w:b/>
                <w:color w:val="333333"/>
                <w:sz w:val="18"/>
                <w:szCs w:val="18"/>
              </w:rPr>
              <w:t>%</w:t>
            </w:r>
          </w:p>
        </w:tc>
        <w:tc>
          <w:tcPr>
            <w:tcW w:w="4536" w:type="dxa"/>
            <w:vMerge/>
            <w:shd w:val="clear" w:color="auto" w:fill="auto"/>
          </w:tcPr>
          <w:p w:rsidR="00BB30CD" w:rsidRPr="009930B9" w:rsidRDefault="00BB30CD" w:rsidP="004A10A2">
            <w:pPr>
              <w:spacing w:before="120" w:after="120"/>
              <w:rPr>
                <w:rFonts w:asciiTheme="minorHAnsi" w:hAnsiTheme="minorHAnsi"/>
                <w:b/>
                <w:sz w:val="18"/>
                <w:szCs w:val="18"/>
              </w:rPr>
            </w:pPr>
          </w:p>
        </w:tc>
      </w:tr>
      <w:tr w:rsidR="00732F75" w:rsidRPr="009930B9" w:rsidTr="004A3401">
        <w:tc>
          <w:tcPr>
            <w:tcW w:w="2161" w:type="dxa"/>
            <w:shd w:val="clear" w:color="auto" w:fill="auto"/>
          </w:tcPr>
          <w:p w:rsidR="00732F75" w:rsidRPr="009930B9" w:rsidRDefault="00732F75" w:rsidP="004A10A2">
            <w:pPr>
              <w:spacing w:before="120" w:after="120"/>
              <w:rPr>
                <w:rFonts w:asciiTheme="minorHAnsi" w:hAnsiTheme="minorHAnsi"/>
                <w:b/>
                <w:sz w:val="18"/>
                <w:szCs w:val="18"/>
              </w:rPr>
            </w:pPr>
            <w:r w:rsidRPr="00D60E0A">
              <w:rPr>
                <w:rFonts w:asciiTheme="minorHAnsi" w:hAnsiTheme="minorHAnsi" w:cs="Helvetica"/>
                <w:b/>
                <w:color w:val="333333"/>
                <w:sz w:val="18"/>
                <w:szCs w:val="18"/>
              </w:rPr>
              <w:t>LE – paraneoplastic</w:t>
            </w:r>
          </w:p>
        </w:tc>
        <w:tc>
          <w:tcPr>
            <w:tcW w:w="1384" w:type="dxa"/>
            <w:shd w:val="clear" w:color="auto" w:fill="auto"/>
            <w:vAlign w:val="bottom"/>
          </w:tcPr>
          <w:p w:rsidR="00732F75" w:rsidRPr="00732F75" w:rsidRDefault="00732F75" w:rsidP="00732F75">
            <w:pPr>
              <w:spacing w:before="120" w:after="120"/>
              <w:jc w:val="right"/>
              <w:rPr>
                <w:rFonts w:asciiTheme="minorHAnsi" w:hAnsiTheme="minorHAnsi" w:cs="Helvetica"/>
                <w:b/>
                <w:color w:val="333333"/>
                <w:sz w:val="18"/>
                <w:szCs w:val="18"/>
              </w:rPr>
            </w:pPr>
            <w:r w:rsidRPr="00732F75">
              <w:rPr>
                <w:rFonts w:asciiTheme="minorHAnsi" w:hAnsiTheme="minorHAnsi" w:cs="Helvetica"/>
                <w:b/>
                <w:color w:val="333333"/>
                <w:sz w:val="18"/>
                <w:szCs w:val="18"/>
              </w:rPr>
              <w:t>0.00%</w:t>
            </w:r>
          </w:p>
        </w:tc>
        <w:tc>
          <w:tcPr>
            <w:tcW w:w="1593" w:type="dxa"/>
            <w:gridSpan w:val="2"/>
            <w:shd w:val="clear" w:color="auto" w:fill="auto"/>
            <w:vAlign w:val="bottom"/>
          </w:tcPr>
          <w:p w:rsidR="00732F75" w:rsidRPr="00732F75" w:rsidRDefault="00732F75" w:rsidP="00732F75">
            <w:pPr>
              <w:spacing w:before="120" w:after="120"/>
              <w:jc w:val="right"/>
              <w:rPr>
                <w:rFonts w:asciiTheme="minorHAnsi" w:hAnsiTheme="minorHAnsi" w:cs="Helvetica"/>
                <w:b/>
                <w:color w:val="333333"/>
                <w:sz w:val="18"/>
                <w:szCs w:val="18"/>
              </w:rPr>
            </w:pPr>
            <w:r w:rsidRPr="00732F75">
              <w:rPr>
                <w:rFonts w:asciiTheme="minorHAnsi" w:hAnsiTheme="minorHAnsi" w:cs="Helvetica"/>
                <w:b/>
                <w:color w:val="333333"/>
                <w:sz w:val="18"/>
                <w:szCs w:val="18"/>
              </w:rPr>
              <w:t>0.05%</w:t>
            </w:r>
          </w:p>
        </w:tc>
        <w:tc>
          <w:tcPr>
            <w:tcW w:w="1667" w:type="dxa"/>
            <w:shd w:val="clear" w:color="auto" w:fill="auto"/>
            <w:vAlign w:val="bottom"/>
          </w:tcPr>
          <w:p w:rsidR="00732F75" w:rsidRPr="00732F75" w:rsidRDefault="00732F75" w:rsidP="00732F75">
            <w:pPr>
              <w:spacing w:before="120" w:after="120"/>
              <w:jc w:val="right"/>
              <w:rPr>
                <w:rFonts w:asciiTheme="minorHAnsi" w:hAnsiTheme="minorHAnsi" w:cs="Helvetica"/>
                <w:b/>
                <w:color w:val="333333"/>
                <w:sz w:val="18"/>
                <w:szCs w:val="18"/>
              </w:rPr>
            </w:pPr>
            <w:r w:rsidRPr="00732F75">
              <w:rPr>
                <w:rFonts w:asciiTheme="minorHAnsi" w:hAnsiTheme="minorHAnsi" w:cs="Helvetica"/>
                <w:b/>
                <w:color w:val="333333"/>
                <w:sz w:val="18"/>
                <w:szCs w:val="18"/>
              </w:rPr>
              <w:t>0.18%</w:t>
            </w:r>
          </w:p>
        </w:tc>
        <w:tc>
          <w:tcPr>
            <w:tcW w:w="1701" w:type="dxa"/>
            <w:shd w:val="clear" w:color="auto" w:fill="auto"/>
            <w:vAlign w:val="bottom"/>
          </w:tcPr>
          <w:p w:rsidR="00732F75" w:rsidRPr="00732F75" w:rsidRDefault="00732F75" w:rsidP="00732F75">
            <w:pPr>
              <w:spacing w:before="120" w:after="120"/>
              <w:jc w:val="right"/>
              <w:rPr>
                <w:rFonts w:asciiTheme="minorHAnsi" w:hAnsiTheme="minorHAnsi" w:cs="Helvetica"/>
                <w:b/>
                <w:color w:val="333333"/>
                <w:sz w:val="18"/>
                <w:szCs w:val="18"/>
              </w:rPr>
            </w:pPr>
            <w:r w:rsidRPr="00732F75">
              <w:rPr>
                <w:rFonts w:asciiTheme="minorHAnsi" w:hAnsiTheme="minorHAnsi" w:cs="Helvetica"/>
                <w:b/>
                <w:color w:val="333333"/>
                <w:sz w:val="18"/>
                <w:szCs w:val="18"/>
              </w:rPr>
              <w:t>0.14%</w:t>
            </w:r>
          </w:p>
        </w:tc>
        <w:tc>
          <w:tcPr>
            <w:tcW w:w="1559" w:type="dxa"/>
            <w:shd w:val="clear" w:color="auto" w:fill="auto"/>
            <w:vAlign w:val="bottom"/>
          </w:tcPr>
          <w:p w:rsidR="00732F75" w:rsidRPr="00732F75" w:rsidRDefault="00732F75" w:rsidP="00732F75">
            <w:pPr>
              <w:spacing w:before="120" w:after="120"/>
              <w:jc w:val="right"/>
              <w:rPr>
                <w:rFonts w:asciiTheme="minorHAnsi" w:hAnsiTheme="minorHAnsi" w:cs="Helvetica"/>
                <w:b/>
                <w:color w:val="333333"/>
                <w:sz w:val="18"/>
                <w:szCs w:val="18"/>
              </w:rPr>
            </w:pPr>
            <w:r w:rsidRPr="00732F75">
              <w:rPr>
                <w:rFonts w:asciiTheme="minorHAnsi" w:hAnsiTheme="minorHAnsi" w:cs="Helvetica"/>
                <w:b/>
                <w:color w:val="333333"/>
                <w:sz w:val="18"/>
                <w:szCs w:val="18"/>
              </w:rPr>
              <w:t>0.16%</w:t>
            </w:r>
          </w:p>
        </w:tc>
        <w:tc>
          <w:tcPr>
            <w:tcW w:w="4536" w:type="dxa"/>
            <w:shd w:val="clear" w:color="auto" w:fill="auto"/>
          </w:tcPr>
          <w:p w:rsidR="00732F75" w:rsidRPr="009930B9" w:rsidRDefault="00732F75" w:rsidP="004A10A2">
            <w:pPr>
              <w:spacing w:before="120" w:after="120"/>
              <w:rPr>
                <w:rFonts w:asciiTheme="minorHAnsi" w:hAnsiTheme="minorHAnsi"/>
                <w:b/>
                <w:sz w:val="18"/>
                <w:szCs w:val="18"/>
              </w:rPr>
            </w:pPr>
          </w:p>
        </w:tc>
      </w:tr>
      <w:tr w:rsidR="001C45B4" w:rsidRPr="009930B9" w:rsidTr="005D45E6">
        <w:tc>
          <w:tcPr>
            <w:tcW w:w="14601" w:type="dxa"/>
            <w:gridSpan w:val="8"/>
            <w:shd w:val="clear" w:color="auto" w:fill="F79646" w:themeFill="accent6"/>
          </w:tcPr>
          <w:p w:rsidR="001C45B4" w:rsidRPr="009930B9" w:rsidRDefault="004D4093" w:rsidP="005D45E6">
            <w:pPr>
              <w:spacing w:before="120" w:after="120"/>
              <w:rPr>
                <w:rFonts w:asciiTheme="minorHAnsi" w:hAnsiTheme="minorHAnsi"/>
                <w:b/>
              </w:rPr>
            </w:pPr>
            <w:r>
              <w:rPr>
                <w:rFonts w:asciiTheme="minorHAnsi" w:hAnsiTheme="minorHAnsi"/>
                <w:b/>
              </w:rPr>
              <w:lastRenderedPageBreak/>
              <w:t xml:space="preserve">Specialist Working Group </w:t>
            </w:r>
            <w:r w:rsidRPr="009930B9">
              <w:rPr>
                <w:rFonts w:asciiTheme="minorHAnsi" w:hAnsiTheme="minorHAnsi"/>
                <w:b/>
              </w:rPr>
              <w:t xml:space="preserve"> </w:t>
            </w:r>
            <w:r w:rsidR="00AA19C1" w:rsidRPr="009930B9">
              <w:rPr>
                <w:rFonts w:asciiTheme="minorHAnsi" w:hAnsiTheme="minorHAnsi"/>
                <w:b/>
              </w:rPr>
              <w:t xml:space="preserve">knowledge </w:t>
            </w:r>
            <w:r w:rsidR="001C45B4" w:rsidRPr="009930B9">
              <w:rPr>
                <w:rFonts w:asciiTheme="minorHAnsi" w:hAnsiTheme="minorHAnsi"/>
                <w:b/>
              </w:rPr>
              <w:t>development opportunities and recommendations</w:t>
            </w:r>
            <w:r w:rsidR="0036491F" w:rsidRPr="009930B9">
              <w:rPr>
                <w:rFonts w:asciiTheme="minorHAnsi" w:hAnsiTheme="minorHAnsi"/>
                <w:b/>
              </w:rPr>
              <w:t xml:space="preserve">  relevant </w:t>
            </w:r>
            <w:r w:rsidR="00174593" w:rsidRPr="009930B9">
              <w:rPr>
                <w:rFonts w:asciiTheme="minorHAnsi" w:hAnsiTheme="minorHAnsi"/>
                <w:b/>
              </w:rPr>
              <w:t xml:space="preserve">to transition to </w:t>
            </w:r>
            <w:r>
              <w:rPr>
                <w:rFonts w:asciiTheme="minorHAnsi" w:hAnsiTheme="minorHAnsi"/>
                <w:b/>
              </w:rPr>
              <w:t>v</w:t>
            </w:r>
            <w:r w:rsidR="00174593" w:rsidRPr="009930B9">
              <w:rPr>
                <w:rFonts w:asciiTheme="minorHAnsi" w:hAnsiTheme="minorHAnsi"/>
                <w:b/>
              </w:rPr>
              <w:t>3</w:t>
            </w:r>
            <w:r>
              <w:rPr>
                <w:rFonts w:asciiTheme="minorHAnsi" w:hAnsiTheme="minorHAnsi"/>
                <w:b/>
              </w:rPr>
              <w:t>.0</w:t>
            </w:r>
          </w:p>
        </w:tc>
      </w:tr>
      <w:tr w:rsidR="001C45B4" w:rsidRPr="009930B9" w:rsidTr="005D45E6">
        <w:tc>
          <w:tcPr>
            <w:tcW w:w="14601" w:type="dxa"/>
            <w:gridSpan w:val="8"/>
            <w:shd w:val="clear" w:color="auto" w:fill="auto"/>
          </w:tcPr>
          <w:p w:rsidR="001C45B4" w:rsidRPr="009930B9" w:rsidRDefault="003D7708" w:rsidP="00487C51">
            <w:pPr>
              <w:spacing w:before="120" w:after="120"/>
              <w:rPr>
                <w:rFonts w:asciiTheme="minorHAnsi" w:hAnsiTheme="minorHAnsi"/>
              </w:rPr>
            </w:pPr>
            <w:r>
              <w:rPr>
                <w:rFonts w:asciiTheme="minorHAnsi" w:hAnsiTheme="minorHAnsi"/>
              </w:rPr>
              <w:t>None identified at this stage.</w:t>
            </w:r>
          </w:p>
        </w:tc>
      </w:tr>
    </w:tbl>
    <w:p w:rsidR="00447869" w:rsidRPr="009930B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Pr="009930B9" w:rsidRDefault="002506FF" w:rsidP="002506FF">
            <w:pPr>
              <w:spacing w:before="120" w:after="120"/>
              <w:jc w:val="center"/>
              <w:rPr>
                <w:rFonts w:asciiTheme="minorHAnsi" w:hAnsiTheme="minorHAnsi"/>
                <w:b/>
              </w:rPr>
            </w:pPr>
            <w:r w:rsidRPr="009930B9">
              <w:rPr>
                <w:rFonts w:asciiTheme="minorHAnsi" w:hAnsiTheme="minorHAnsi"/>
                <w:b/>
              </w:rPr>
              <w:t xml:space="preserve">END OF </w:t>
            </w:r>
            <w:r w:rsidR="00A40C74">
              <w:rPr>
                <w:rFonts w:asciiTheme="minorHAnsi" w:hAnsiTheme="minorHAnsi"/>
                <w:b/>
              </w:rPr>
              <w:t>PUBLIC CONSULTATION</w:t>
            </w:r>
            <w:r w:rsidRPr="009930B9">
              <w:rPr>
                <w:rFonts w:asciiTheme="minorHAnsi" w:hAnsiTheme="minorHAnsi"/>
                <w:b/>
              </w:rPr>
              <w:t xml:space="preserve"> DOCUMENT</w:t>
            </w:r>
          </w:p>
          <w:p w:rsidR="000E09C4" w:rsidRPr="00021243" w:rsidRDefault="00A40C74" w:rsidP="00281549">
            <w:pPr>
              <w:spacing w:before="120" w:after="120"/>
              <w:jc w:val="center"/>
              <w:rPr>
                <w:rFonts w:asciiTheme="minorHAnsi" w:hAnsiTheme="minorHAnsi"/>
                <w:b/>
              </w:rPr>
            </w:pPr>
            <w:r>
              <w:rPr>
                <w:rFonts w:asciiTheme="minorHAnsi" w:hAnsiTheme="minorHAnsi"/>
                <w:b/>
              </w:rPr>
              <w:t>Next review</w:t>
            </w:r>
            <w:r w:rsidR="00281549" w:rsidRPr="009930B9">
              <w:rPr>
                <w:rFonts w:asciiTheme="minorHAnsi" w:hAnsiTheme="minorHAnsi"/>
                <w:b/>
              </w:rPr>
              <w:t>: This condition will be reviewed as a specific condition (</w:t>
            </w:r>
            <w:r w:rsidR="004D4093">
              <w:rPr>
                <w:rFonts w:asciiTheme="minorHAnsi" w:hAnsiTheme="minorHAnsi"/>
                <w:b/>
              </w:rPr>
              <w:t>L</w:t>
            </w:r>
            <w:r w:rsidR="00281549" w:rsidRPr="009930B9">
              <w:rPr>
                <w:rFonts w:asciiTheme="minorHAnsi" w:hAnsiTheme="minorHAnsi"/>
                <w:b/>
              </w:rPr>
              <w:t>imbic encephalitis) within AMAE.</w:t>
            </w:r>
            <w:r w:rsidR="00281549">
              <w:rPr>
                <w:rFonts w:asciiTheme="minorHAnsi" w:hAnsiTheme="minorHAnsi"/>
                <w:b/>
              </w:rPr>
              <w:t xml:space="preserve"> </w:t>
            </w:r>
          </w:p>
        </w:tc>
      </w:tr>
    </w:tbl>
    <w:p w:rsidR="009C1E09" w:rsidRDefault="009C1E09" w:rsidP="002506FF">
      <w:pPr>
        <w:jc w:val="center"/>
      </w:pPr>
    </w:p>
    <w:p w:rsidR="006627B5" w:rsidRPr="00FD2CCD" w:rsidRDefault="006627B5" w:rsidP="007830E1">
      <w:pPr>
        <w:spacing w:line="276" w:lineRule="auto"/>
      </w:pPr>
    </w:p>
    <w:sectPr w:rsidR="006627B5" w:rsidRPr="00FD2CCD" w:rsidSect="000E09C4">
      <w:headerReference w:type="default" r:id="rId15"/>
      <w:footerReference w:type="default" r:id="rId16"/>
      <w:headerReference w:type="first" r:id="rId17"/>
      <w:footerReference w:type="first" r:id="rId18"/>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AF" w:rsidRDefault="00B27BAF" w:rsidP="00856708">
      <w:pPr>
        <w:spacing w:after="0"/>
      </w:pPr>
      <w:r>
        <w:separator/>
      </w:r>
    </w:p>
  </w:endnote>
  <w:endnote w:type="continuationSeparator" w:id="0">
    <w:p w:rsidR="00B27BAF" w:rsidRDefault="00B27BA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2312"/>
      <w:docPartObj>
        <w:docPartGallery w:val="Page Numbers (Bottom of Page)"/>
        <w:docPartUnique/>
      </w:docPartObj>
    </w:sdtPr>
    <w:sdtEndPr>
      <w:rPr>
        <w:noProof/>
      </w:rPr>
    </w:sdtEndPr>
    <w:sdtContent>
      <w:p w:rsidR="00FB246B" w:rsidRDefault="00FB246B">
        <w:pPr>
          <w:pStyle w:val="Footer"/>
          <w:jc w:val="right"/>
        </w:pPr>
        <w:r>
          <w:fldChar w:fldCharType="begin"/>
        </w:r>
        <w:r>
          <w:instrText xml:space="preserve"> PAGE   \* MERGEFORMAT </w:instrText>
        </w:r>
        <w:r>
          <w:fldChar w:fldCharType="separate"/>
        </w:r>
        <w:r w:rsidR="001C5CBD">
          <w:rPr>
            <w:noProof/>
          </w:rPr>
          <w:t>2</w:t>
        </w:r>
        <w:r>
          <w:rPr>
            <w:noProof/>
          </w:rPr>
          <w:fldChar w:fldCharType="end"/>
        </w:r>
      </w:p>
    </w:sdtContent>
  </w:sdt>
  <w:p w:rsidR="00FB246B" w:rsidRDefault="00FB2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27378"/>
      <w:docPartObj>
        <w:docPartGallery w:val="Page Numbers (Bottom of Page)"/>
        <w:docPartUnique/>
      </w:docPartObj>
    </w:sdtPr>
    <w:sdtEndPr>
      <w:rPr>
        <w:noProof/>
      </w:rPr>
    </w:sdtEndPr>
    <w:sdtContent>
      <w:p w:rsidR="00FB246B" w:rsidRDefault="00FB246B">
        <w:pPr>
          <w:pStyle w:val="Footer"/>
          <w:jc w:val="right"/>
        </w:pPr>
        <w:r>
          <w:fldChar w:fldCharType="begin"/>
        </w:r>
        <w:r>
          <w:instrText xml:space="preserve"> PAGE   \* MERGEFORMAT </w:instrText>
        </w:r>
        <w:r>
          <w:fldChar w:fldCharType="separate"/>
        </w:r>
        <w:r w:rsidR="001C5CBD">
          <w:rPr>
            <w:noProof/>
          </w:rPr>
          <w:t>1</w:t>
        </w:r>
        <w:r>
          <w:rPr>
            <w:noProof/>
          </w:rPr>
          <w:fldChar w:fldCharType="end"/>
        </w:r>
      </w:p>
    </w:sdtContent>
  </w:sdt>
  <w:p w:rsidR="00FB246B" w:rsidRDefault="00FB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AF" w:rsidRDefault="00B27BAF" w:rsidP="00856708">
      <w:pPr>
        <w:spacing w:after="0"/>
      </w:pPr>
      <w:r>
        <w:separator/>
      </w:r>
    </w:p>
  </w:footnote>
  <w:footnote w:type="continuationSeparator" w:id="0">
    <w:p w:rsidR="00B27BAF" w:rsidRDefault="00B27BAF"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6F" w:rsidRDefault="004D2622" w:rsidP="00A2316F">
    <w:pPr>
      <w:pStyle w:val="Footer"/>
    </w:pPr>
    <w:r>
      <w:rPr>
        <w:sz w:val="20"/>
        <w:szCs w:val="20"/>
      </w:rPr>
      <w:t>PUBLIC CONSULTATION 2017</w:t>
    </w:r>
    <w:r w:rsidR="00A2316F">
      <w:rPr>
        <w:sz w:val="20"/>
        <w:szCs w:val="20"/>
      </w:rPr>
      <w:t xml:space="preserve"> –</w:t>
    </w:r>
    <w:r w:rsidR="00A2316F" w:rsidRPr="003B31DE">
      <w:rPr>
        <w:sz w:val="20"/>
        <w:szCs w:val="20"/>
      </w:rPr>
      <w:t>Limbic encephalitis - non paraneoplastic and paraneoplastic</w:t>
    </w:r>
  </w:p>
  <w:p w:rsidR="00A2316F" w:rsidRDefault="00A23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6F" w:rsidRDefault="004D2622" w:rsidP="00A2316F">
    <w:pPr>
      <w:pStyle w:val="Footer"/>
    </w:pPr>
    <w:r>
      <w:rPr>
        <w:sz w:val="20"/>
        <w:szCs w:val="20"/>
      </w:rPr>
      <w:t>PUBLIC CONSULTATION 2017</w:t>
    </w:r>
    <w:r w:rsidR="00A2316F">
      <w:rPr>
        <w:sz w:val="20"/>
        <w:szCs w:val="20"/>
      </w:rPr>
      <w:t xml:space="preserve"> - </w:t>
    </w:r>
    <w:r w:rsidR="00A2316F" w:rsidRPr="003B31DE">
      <w:rPr>
        <w:sz w:val="20"/>
        <w:szCs w:val="20"/>
      </w:rPr>
      <w:t>Limbic encephalitis - non paraneoplastic and paraneoplastic</w:t>
    </w:r>
  </w:p>
  <w:p w:rsidR="00A2316F" w:rsidRDefault="00A23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DC6FD6"/>
    <w:multiLevelType w:val="hybridMultilevel"/>
    <w:tmpl w:val="7F486A9E"/>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D3D07B02"/>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8"/>
  </w:num>
  <w:num w:numId="12">
    <w:abstractNumId w:val="34"/>
  </w:num>
  <w:num w:numId="13">
    <w:abstractNumId w:val="12"/>
  </w:num>
  <w:num w:numId="14">
    <w:abstractNumId w:val="21"/>
  </w:num>
  <w:num w:numId="15">
    <w:abstractNumId w:val="11"/>
  </w:num>
  <w:num w:numId="16">
    <w:abstractNumId w:val="36"/>
  </w:num>
  <w:num w:numId="17">
    <w:abstractNumId w:val="5"/>
  </w:num>
  <w:num w:numId="18">
    <w:abstractNumId w:val="16"/>
  </w:num>
  <w:num w:numId="19">
    <w:abstractNumId w:val="32"/>
  </w:num>
  <w:num w:numId="20">
    <w:abstractNumId w:val="43"/>
  </w:num>
  <w:num w:numId="21">
    <w:abstractNumId w:val="13"/>
  </w:num>
  <w:num w:numId="22">
    <w:abstractNumId w:val="33"/>
  </w:num>
  <w:num w:numId="23">
    <w:abstractNumId w:val="10"/>
  </w:num>
  <w:num w:numId="24">
    <w:abstractNumId w:val="3"/>
  </w:num>
  <w:num w:numId="25">
    <w:abstractNumId w:val="35"/>
  </w:num>
  <w:num w:numId="26">
    <w:abstractNumId w:val="24"/>
  </w:num>
  <w:num w:numId="27">
    <w:abstractNumId w:val="39"/>
  </w:num>
  <w:num w:numId="28">
    <w:abstractNumId w:val="29"/>
  </w:num>
  <w:num w:numId="29">
    <w:abstractNumId w:val="30"/>
  </w:num>
  <w:num w:numId="30">
    <w:abstractNumId w:val="8"/>
  </w:num>
  <w:num w:numId="31">
    <w:abstractNumId w:val="9"/>
  </w:num>
  <w:num w:numId="32">
    <w:abstractNumId w:val="27"/>
  </w:num>
  <w:num w:numId="33">
    <w:abstractNumId w:val="42"/>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8"/>
  </w:num>
  <w:num w:numId="42">
    <w:abstractNumId w:val="40"/>
  </w:num>
  <w:num w:numId="43">
    <w:abstractNumId w:val="25"/>
  </w:num>
  <w:num w:numId="44">
    <w:abstractNumId w:val="6"/>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50FF1"/>
    <w:rsid w:val="00062677"/>
    <w:rsid w:val="0007639A"/>
    <w:rsid w:val="000A3A69"/>
    <w:rsid w:val="000A65C9"/>
    <w:rsid w:val="000B27A7"/>
    <w:rsid w:val="000E09C4"/>
    <w:rsid w:val="000E2602"/>
    <w:rsid w:val="000E4D1E"/>
    <w:rsid w:val="000F2CB5"/>
    <w:rsid w:val="00153753"/>
    <w:rsid w:val="00163C39"/>
    <w:rsid w:val="00165F48"/>
    <w:rsid w:val="0017270F"/>
    <w:rsid w:val="00174593"/>
    <w:rsid w:val="001849B2"/>
    <w:rsid w:val="00184E12"/>
    <w:rsid w:val="00186CF7"/>
    <w:rsid w:val="001A2460"/>
    <w:rsid w:val="001C08A6"/>
    <w:rsid w:val="001C45B4"/>
    <w:rsid w:val="001C5CBD"/>
    <w:rsid w:val="001C69B8"/>
    <w:rsid w:val="001D4A36"/>
    <w:rsid w:val="0021213D"/>
    <w:rsid w:val="00216823"/>
    <w:rsid w:val="0022664C"/>
    <w:rsid w:val="002306B2"/>
    <w:rsid w:val="00236B19"/>
    <w:rsid w:val="00240825"/>
    <w:rsid w:val="002506FF"/>
    <w:rsid w:val="002537F2"/>
    <w:rsid w:val="00255740"/>
    <w:rsid w:val="00256618"/>
    <w:rsid w:val="00275679"/>
    <w:rsid w:val="00281549"/>
    <w:rsid w:val="00282F66"/>
    <w:rsid w:val="002936DD"/>
    <w:rsid w:val="00295CD3"/>
    <w:rsid w:val="002B47B8"/>
    <w:rsid w:val="002D0DB9"/>
    <w:rsid w:val="002D2007"/>
    <w:rsid w:val="002F3325"/>
    <w:rsid w:val="00320BEB"/>
    <w:rsid w:val="003218AE"/>
    <w:rsid w:val="00326D4A"/>
    <w:rsid w:val="00327526"/>
    <w:rsid w:val="0033060E"/>
    <w:rsid w:val="00337DD2"/>
    <w:rsid w:val="00351C0E"/>
    <w:rsid w:val="00360326"/>
    <w:rsid w:val="0036491F"/>
    <w:rsid w:val="003907E1"/>
    <w:rsid w:val="00395032"/>
    <w:rsid w:val="003A1F9D"/>
    <w:rsid w:val="003A2F11"/>
    <w:rsid w:val="003A6DF6"/>
    <w:rsid w:val="003B31DE"/>
    <w:rsid w:val="003D1795"/>
    <w:rsid w:val="003D27F1"/>
    <w:rsid w:val="003D7708"/>
    <w:rsid w:val="003E3235"/>
    <w:rsid w:val="003F11F8"/>
    <w:rsid w:val="003F5FDD"/>
    <w:rsid w:val="00403201"/>
    <w:rsid w:val="00420DA8"/>
    <w:rsid w:val="00433C78"/>
    <w:rsid w:val="00437609"/>
    <w:rsid w:val="00445EDE"/>
    <w:rsid w:val="00447869"/>
    <w:rsid w:val="00454FA8"/>
    <w:rsid w:val="00460325"/>
    <w:rsid w:val="00463B0C"/>
    <w:rsid w:val="0047615E"/>
    <w:rsid w:val="00477041"/>
    <w:rsid w:val="004856E4"/>
    <w:rsid w:val="00487C51"/>
    <w:rsid w:val="004926F2"/>
    <w:rsid w:val="004A10A2"/>
    <w:rsid w:val="004B14F4"/>
    <w:rsid w:val="004B2102"/>
    <w:rsid w:val="004C1BBF"/>
    <w:rsid w:val="004D2622"/>
    <w:rsid w:val="004D4093"/>
    <w:rsid w:val="004D4636"/>
    <w:rsid w:val="004E0195"/>
    <w:rsid w:val="004E4A52"/>
    <w:rsid w:val="005023CE"/>
    <w:rsid w:val="00525C51"/>
    <w:rsid w:val="00531E6D"/>
    <w:rsid w:val="005355CF"/>
    <w:rsid w:val="00540020"/>
    <w:rsid w:val="00543C69"/>
    <w:rsid w:val="005546AE"/>
    <w:rsid w:val="005629EE"/>
    <w:rsid w:val="00584BEC"/>
    <w:rsid w:val="005851ED"/>
    <w:rsid w:val="005960E7"/>
    <w:rsid w:val="005C78F4"/>
    <w:rsid w:val="005D2C3D"/>
    <w:rsid w:val="005E04F6"/>
    <w:rsid w:val="005E4F3E"/>
    <w:rsid w:val="005E6ACC"/>
    <w:rsid w:val="00602D7D"/>
    <w:rsid w:val="00617D9D"/>
    <w:rsid w:val="006201B1"/>
    <w:rsid w:val="006427C2"/>
    <w:rsid w:val="00642A5C"/>
    <w:rsid w:val="00644285"/>
    <w:rsid w:val="00657F36"/>
    <w:rsid w:val="006627B5"/>
    <w:rsid w:val="006631E9"/>
    <w:rsid w:val="00666AA5"/>
    <w:rsid w:val="00670D34"/>
    <w:rsid w:val="006855AF"/>
    <w:rsid w:val="00695219"/>
    <w:rsid w:val="006B0323"/>
    <w:rsid w:val="006B4C33"/>
    <w:rsid w:val="006D2521"/>
    <w:rsid w:val="006D2FA8"/>
    <w:rsid w:val="006D36A9"/>
    <w:rsid w:val="006E6ABF"/>
    <w:rsid w:val="006F1FA7"/>
    <w:rsid w:val="006F485E"/>
    <w:rsid w:val="00702EB0"/>
    <w:rsid w:val="0070617B"/>
    <w:rsid w:val="00722415"/>
    <w:rsid w:val="00732F75"/>
    <w:rsid w:val="00746CCE"/>
    <w:rsid w:val="007476FC"/>
    <w:rsid w:val="007606DB"/>
    <w:rsid w:val="00775B87"/>
    <w:rsid w:val="00780D9A"/>
    <w:rsid w:val="007830E1"/>
    <w:rsid w:val="00787242"/>
    <w:rsid w:val="00793EB5"/>
    <w:rsid w:val="007B0C7B"/>
    <w:rsid w:val="007B2100"/>
    <w:rsid w:val="007B6591"/>
    <w:rsid w:val="007C3352"/>
    <w:rsid w:val="007C3552"/>
    <w:rsid w:val="007C7B0F"/>
    <w:rsid w:val="007F3022"/>
    <w:rsid w:val="007F435B"/>
    <w:rsid w:val="008041F6"/>
    <w:rsid w:val="00825BC0"/>
    <w:rsid w:val="00847EC8"/>
    <w:rsid w:val="0085141B"/>
    <w:rsid w:val="00853117"/>
    <w:rsid w:val="00856708"/>
    <w:rsid w:val="008612AB"/>
    <w:rsid w:val="00880ECB"/>
    <w:rsid w:val="00893E0A"/>
    <w:rsid w:val="00896241"/>
    <w:rsid w:val="008A6BE4"/>
    <w:rsid w:val="00901446"/>
    <w:rsid w:val="00901F76"/>
    <w:rsid w:val="009025B7"/>
    <w:rsid w:val="009208EC"/>
    <w:rsid w:val="00933536"/>
    <w:rsid w:val="009347BC"/>
    <w:rsid w:val="0093594E"/>
    <w:rsid w:val="009401F8"/>
    <w:rsid w:val="00951B85"/>
    <w:rsid w:val="00982D63"/>
    <w:rsid w:val="009930B9"/>
    <w:rsid w:val="009B04BD"/>
    <w:rsid w:val="009C1E09"/>
    <w:rsid w:val="009D0673"/>
    <w:rsid w:val="009E0D07"/>
    <w:rsid w:val="009E38CC"/>
    <w:rsid w:val="009F4509"/>
    <w:rsid w:val="00A0276B"/>
    <w:rsid w:val="00A0352E"/>
    <w:rsid w:val="00A05745"/>
    <w:rsid w:val="00A2316F"/>
    <w:rsid w:val="00A23D1D"/>
    <w:rsid w:val="00A31477"/>
    <w:rsid w:val="00A31C82"/>
    <w:rsid w:val="00A357C4"/>
    <w:rsid w:val="00A40C74"/>
    <w:rsid w:val="00A50F04"/>
    <w:rsid w:val="00A57D60"/>
    <w:rsid w:val="00A7510F"/>
    <w:rsid w:val="00A80A19"/>
    <w:rsid w:val="00A81C38"/>
    <w:rsid w:val="00A960DC"/>
    <w:rsid w:val="00AA19C1"/>
    <w:rsid w:val="00AB120F"/>
    <w:rsid w:val="00AD086B"/>
    <w:rsid w:val="00AD1EF1"/>
    <w:rsid w:val="00AD4362"/>
    <w:rsid w:val="00AD5A02"/>
    <w:rsid w:val="00AE0FAC"/>
    <w:rsid w:val="00AE5015"/>
    <w:rsid w:val="00AE63FA"/>
    <w:rsid w:val="00B27BAF"/>
    <w:rsid w:val="00B35BD7"/>
    <w:rsid w:val="00B3726E"/>
    <w:rsid w:val="00B45840"/>
    <w:rsid w:val="00B632FC"/>
    <w:rsid w:val="00B97261"/>
    <w:rsid w:val="00BA5651"/>
    <w:rsid w:val="00BA76E3"/>
    <w:rsid w:val="00BB30CD"/>
    <w:rsid w:val="00BD6C2D"/>
    <w:rsid w:val="00BD7111"/>
    <w:rsid w:val="00BD735D"/>
    <w:rsid w:val="00BE5D06"/>
    <w:rsid w:val="00C17BC8"/>
    <w:rsid w:val="00C21002"/>
    <w:rsid w:val="00C24E0B"/>
    <w:rsid w:val="00C30FD5"/>
    <w:rsid w:val="00C34D27"/>
    <w:rsid w:val="00C364CA"/>
    <w:rsid w:val="00C51E04"/>
    <w:rsid w:val="00C6351D"/>
    <w:rsid w:val="00C92149"/>
    <w:rsid w:val="00CA4321"/>
    <w:rsid w:val="00CB47C1"/>
    <w:rsid w:val="00CB50C5"/>
    <w:rsid w:val="00CC12B9"/>
    <w:rsid w:val="00CD489A"/>
    <w:rsid w:val="00CD5856"/>
    <w:rsid w:val="00CD7B8A"/>
    <w:rsid w:val="00D016BF"/>
    <w:rsid w:val="00D02545"/>
    <w:rsid w:val="00D16B82"/>
    <w:rsid w:val="00D17E7A"/>
    <w:rsid w:val="00D17FEC"/>
    <w:rsid w:val="00D24193"/>
    <w:rsid w:val="00D348A3"/>
    <w:rsid w:val="00D60E0A"/>
    <w:rsid w:val="00D67CFD"/>
    <w:rsid w:val="00D715C0"/>
    <w:rsid w:val="00D874FD"/>
    <w:rsid w:val="00D87794"/>
    <w:rsid w:val="00D877AD"/>
    <w:rsid w:val="00D96987"/>
    <w:rsid w:val="00DA65CA"/>
    <w:rsid w:val="00DB17C2"/>
    <w:rsid w:val="00DB1925"/>
    <w:rsid w:val="00DD166F"/>
    <w:rsid w:val="00DF2E25"/>
    <w:rsid w:val="00E15214"/>
    <w:rsid w:val="00E17B77"/>
    <w:rsid w:val="00E337E6"/>
    <w:rsid w:val="00E62E16"/>
    <w:rsid w:val="00E672AA"/>
    <w:rsid w:val="00E7550D"/>
    <w:rsid w:val="00EA2E82"/>
    <w:rsid w:val="00EB78FB"/>
    <w:rsid w:val="00EC0889"/>
    <w:rsid w:val="00F42816"/>
    <w:rsid w:val="00F66136"/>
    <w:rsid w:val="00F70578"/>
    <w:rsid w:val="00F90E5E"/>
    <w:rsid w:val="00FB246B"/>
    <w:rsid w:val="00FC0E9B"/>
    <w:rsid w:val="00FC5CB0"/>
    <w:rsid w:val="00FD1714"/>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71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71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902301006">
      <w:bodyDiv w:val="1"/>
      <w:marLeft w:val="0"/>
      <w:marRight w:val="0"/>
      <w:marTop w:val="0"/>
      <w:marBottom w:val="0"/>
      <w:divBdr>
        <w:top w:val="none" w:sz="0" w:space="0" w:color="auto"/>
        <w:left w:val="none" w:sz="0" w:space="0" w:color="auto"/>
        <w:bottom w:val="none" w:sz="0" w:space="0" w:color="auto"/>
        <w:right w:val="none" w:sz="0" w:space="0" w:color="auto"/>
      </w:divBdr>
      <w:divsChild>
        <w:div w:id="966861694">
          <w:marLeft w:val="0"/>
          <w:marRight w:val="0"/>
          <w:marTop w:val="0"/>
          <w:marBottom w:val="0"/>
          <w:divBdr>
            <w:top w:val="none" w:sz="0" w:space="0" w:color="auto"/>
            <w:left w:val="none" w:sz="0" w:space="0" w:color="auto"/>
            <w:bottom w:val="none" w:sz="0" w:space="0" w:color="auto"/>
            <w:right w:val="none" w:sz="0" w:space="0" w:color="auto"/>
          </w:divBdr>
          <w:divsChild>
            <w:div w:id="18751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35981136">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655938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mc/articles/PMC401617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317585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cbi.nlm.nih.gov/pubmed/2690696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cbi.nlm.nih.gov/pubmed/26491084" TargetMode="External"/><Relationship Id="rId14" Type="http://schemas.openxmlformats.org/officeDocument/2006/relationships/hyperlink" Target="https://www.ncbi.nlm.nih.gov/pubmed/20083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8FCA-E771-4704-8B60-32D06C34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11049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2017-04-10T23:35:00Z</cp:lastPrinted>
  <dcterms:created xsi:type="dcterms:W3CDTF">2017-09-08T03:05:00Z</dcterms:created>
  <dcterms:modified xsi:type="dcterms:W3CDTF">2017-09-08T03:05:00Z</dcterms:modified>
</cp:coreProperties>
</file>