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369"/>
        <w:gridCol w:w="10805"/>
      </w:tblGrid>
      <w:tr w:rsidR="006221FD" w:rsidTr="0062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548DD4" w:themeColor="text2" w:themeTint="99"/>
            </w:tcBorders>
          </w:tcPr>
          <w:p w:rsidR="006221FD" w:rsidRPr="00496AAD" w:rsidRDefault="006221FD" w:rsidP="006221FD">
            <w:pPr>
              <w:rPr>
                <w:b w:val="0"/>
              </w:rPr>
            </w:pPr>
            <w:bookmarkStart w:id="0" w:name="_GoBack"/>
            <w:bookmarkEnd w:id="0"/>
            <w:r w:rsidRPr="00496AAD">
              <w:rPr>
                <w:b w:val="0"/>
              </w:rPr>
              <w:t>Condition Name</w:t>
            </w:r>
          </w:p>
        </w:tc>
        <w:tc>
          <w:tcPr>
            <w:tcW w:w="10805" w:type="dxa"/>
            <w:tcBorders>
              <w:top w:val="single" w:sz="8" w:space="0" w:color="4F81BD" w:themeColor="accent1"/>
              <w:bottom w:val="single" w:sz="4" w:space="0" w:color="548DD4" w:themeColor="text2" w:themeTint="99"/>
            </w:tcBorders>
          </w:tcPr>
          <w:p w:rsidR="006221FD" w:rsidRDefault="006221FD" w:rsidP="0062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</w:t>
            </w:r>
            <w:r w:rsidR="00395813">
              <w:t xml:space="preserve"> Proposed</w:t>
            </w:r>
            <w:r>
              <w:t xml:space="preserve"> Changes</w:t>
            </w:r>
          </w:p>
        </w:tc>
      </w:tr>
      <w:tr w:rsidR="006221FD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6221FD" w:rsidRPr="00496AAD" w:rsidRDefault="006221FD" w:rsidP="006221FD">
            <w:r w:rsidRPr="00496AAD">
              <w:t>Neurology</w:t>
            </w:r>
          </w:p>
        </w:tc>
      </w:tr>
      <w:tr w:rsidR="006221FD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6221FD" w:rsidP="006221FD">
            <w:pPr>
              <w:rPr>
                <w:b w:val="0"/>
              </w:rPr>
            </w:pPr>
            <w:proofErr w:type="spellStart"/>
            <w:r w:rsidRPr="00496AAD">
              <w:rPr>
                <w:b w:val="0"/>
              </w:rPr>
              <w:t>Neuromyelitis</w:t>
            </w:r>
            <w:proofErr w:type="spellEnd"/>
            <w:r w:rsidRPr="00496AAD">
              <w:rPr>
                <w:b w:val="0"/>
              </w:rPr>
              <w:t xml:space="preserve"> </w:t>
            </w:r>
            <w:proofErr w:type="spellStart"/>
            <w:r w:rsidRPr="00496AAD">
              <w:rPr>
                <w:b w:val="0"/>
              </w:rPr>
              <w:t>optica</w:t>
            </w:r>
            <w:proofErr w:type="spellEnd"/>
            <w:r w:rsidRPr="00496AAD">
              <w:rPr>
                <w:b w:val="0"/>
              </w:rPr>
              <w:t xml:space="preserve"> spectrum disorder </w:t>
            </w:r>
            <w:r w:rsidR="000347FB">
              <w:rPr>
                <w:b w:val="0"/>
              </w:rPr>
              <w:t>(NMOSD)</w:t>
            </w:r>
          </w:p>
          <w:p w:rsidR="006E0F5B" w:rsidRDefault="006E0F5B" w:rsidP="006221FD">
            <w:pPr>
              <w:rPr>
                <w:b w:val="0"/>
              </w:rPr>
            </w:pPr>
          </w:p>
          <w:p w:rsidR="006221FD" w:rsidRPr="00496AAD" w:rsidRDefault="006221FD" w:rsidP="006221FD">
            <w:pPr>
              <w:rPr>
                <w:b w:val="0"/>
              </w:rPr>
            </w:pPr>
            <w:r w:rsidRPr="00496AAD">
              <w:rPr>
                <w:b w:val="0"/>
              </w:rPr>
              <w:t xml:space="preserve">(formerly </w:t>
            </w:r>
            <w:proofErr w:type="spellStart"/>
            <w:r w:rsidRPr="00496AAD">
              <w:rPr>
                <w:b w:val="0"/>
              </w:rPr>
              <w:t>Devic’s</w:t>
            </w:r>
            <w:proofErr w:type="spellEnd"/>
            <w:r w:rsidRPr="00496AAD">
              <w:rPr>
                <w:b w:val="0"/>
              </w:rPr>
              <w:t xml:space="preserve"> disease)</w:t>
            </w:r>
          </w:p>
        </w:tc>
        <w:tc>
          <w:tcPr>
            <w:tcW w:w="108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221FD" w:rsidRDefault="0012295C" w:rsidP="00F4592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revised name more accurately reflects the condition</w:t>
            </w:r>
          </w:p>
          <w:p w:rsidR="0012295C" w:rsidRDefault="0012295C" w:rsidP="00F4592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Specific conditions reflect diagnoses within the spectrum</w:t>
            </w:r>
            <w:r w:rsidR="004E476A">
              <w:t xml:space="preserve"> and differing serology results</w:t>
            </w:r>
          </w:p>
          <w:p w:rsidR="0012295C" w:rsidRDefault="0012295C" w:rsidP="00F4592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Two indications have been defined to manage initial treatment and relapse</w:t>
            </w:r>
          </w:p>
          <w:p w:rsidR="00F4592C" w:rsidRDefault="00F4592C" w:rsidP="00F4592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Patients will be required to be assessed using a</w:t>
            </w:r>
            <w:r w:rsidR="00D972A0">
              <w:t xml:space="preserve"> formal assessment method</w:t>
            </w:r>
            <w:r>
              <w:t xml:space="preserve"> </w:t>
            </w:r>
            <w:r w:rsidR="00D972A0">
              <w:t>(</w:t>
            </w:r>
            <w:r>
              <w:t>Expanded Disability Scale</w:t>
            </w:r>
            <w:r w:rsidR="00D972A0">
              <w:t>)</w:t>
            </w:r>
          </w:p>
          <w:p w:rsidR="00810616" w:rsidRDefault="004E476A" w:rsidP="00F4592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Benefit </w:t>
            </w:r>
            <w:r w:rsidR="00810616">
              <w:t>must be demonstrated at review for authorisation of continued treatment</w:t>
            </w:r>
          </w:p>
          <w:p w:rsidR="00F4592C" w:rsidRDefault="00F4592C" w:rsidP="00F4592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trial of weaning will be considered after 12 months to identify patients in remission</w:t>
            </w:r>
          </w:p>
          <w:p w:rsidR="0012295C" w:rsidRDefault="0012295C" w:rsidP="00E94519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Neurologist required for diagnosis and review</w:t>
            </w:r>
            <w:r w:rsidR="00E94519">
              <w:t xml:space="preserve"> which </w:t>
            </w:r>
            <w:r>
              <w:t xml:space="preserve"> is required each 6 months</w:t>
            </w:r>
          </w:p>
        </w:tc>
      </w:tr>
      <w:tr w:rsidR="006221FD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12295C" w:rsidP="000347FB">
            <w:pPr>
              <w:rPr>
                <w:b w:val="0"/>
              </w:rPr>
            </w:pPr>
            <w:r w:rsidRPr="00496AAD">
              <w:rPr>
                <w:b w:val="0"/>
              </w:rPr>
              <w:t>Rasmussen encephalitis</w:t>
            </w:r>
          </w:p>
          <w:p w:rsidR="006E0F5B" w:rsidRDefault="006E0F5B" w:rsidP="000347FB">
            <w:pPr>
              <w:rPr>
                <w:b w:val="0"/>
              </w:rPr>
            </w:pPr>
          </w:p>
          <w:p w:rsidR="006221FD" w:rsidRPr="00496AAD" w:rsidRDefault="0012295C" w:rsidP="000347FB">
            <w:pPr>
              <w:rPr>
                <w:b w:val="0"/>
              </w:rPr>
            </w:pPr>
            <w:r w:rsidRPr="00496AAD">
              <w:rPr>
                <w:b w:val="0"/>
              </w:rPr>
              <w:t>(formerly Rasmussen syndrome)</w:t>
            </w:r>
          </w:p>
        </w:tc>
        <w:tc>
          <w:tcPr>
            <w:tcW w:w="108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221FD" w:rsidRDefault="00F4592C" w:rsidP="00F4592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revised name more accurately reflects</w:t>
            </w:r>
            <w:r w:rsidR="00525AD1">
              <w:t xml:space="preserve"> </w:t>
            </w:r>
            <w:r>
              <w:t>the</w:t>
            </w:r>
            <w:r w:rsidR="00525AD1">
              <w:t xml:space="preserve"> inflammatory nature of the</w:t>
            </w:r>
            <w:r>
              <w:t xml:space="preserve"> condition</w:t>
            </w:r>
          </w:p>
          <w:p w:rsidR="00F4592C" w:rsidRDefault="00F4592C" w:rsidP="00F4592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Requirement for steroids to have been trialled and failed, or contraindicated</w:t>
            </w:r>
          </w:p>
          <w:p w:rsidR="00F4592C" w:rsidRDefault="00F4592C" w:rsidP="00F4592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Patients will be required to be assessed using a </w:t>
            </w:r>
            <w:r w:rsidR="00D972A0">
              <w:t>formal assessment method (</w:t>
            </w:r>
            <w:r>
              <w:t>Modified Rankin Scale</w:t>
            </w:r>
            <w:r w:rsidR="00D972A0">
              <w:t>)</w:t>
            </w:r>
          </w:p>
          <w:p w:rsidR="00810616" w:rsidRDefault="00525AD1" w:rsidP="00F4592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Benefit </w:t>
            </w:r>
            <w:r w:rsidR="00810616">
              <w:t>must be demonstrated at review for authorisation of continued treatment</w:t>
            </w:r>
          </w:p>
          <w:p w:rsidR="00F4592C" w:rsidRDefault="00F4592C" w:rsidP="00F4592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trial of weaning will be considered after 18 months once patients have stabilised symptoms</w:t>
            </w:r>
          </w:p>
          <w:p w:rsidR="00F4592C" w:rsidRDefault="00F4592C" w:rsidP="00525AD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Neurologist required for diagnosis</w:t>
            </w:r>
            <w:r w:rsidR="00E94519">
              <w:t xml:space="preserve"> </w:t>
            </w:r>
            <w:r>
              <w:t xml:space="preserve"> and review</w:t>
            </w:r>
            <w:r w:rsidR="00E94519">
              <w:t xml:space="preserve"> which</w:t>
            </w:r>
            <w:r>
              <w:t xml:space="preserve"> is required after first 6 months and annually thereafter</w:t>
            </w:r>
          </w:p>
        </w:tc>
      </w:tr>
      <w:tr w:rsidR="006221FD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221FD" w:rsidRPr="00496AAD" w:rsidRDefault="00F4592C" w:rsidP="006221FD">
            <w:pPr>
              <w:rPr>
                <w:b w:val="0"/>
              </w:rPr>
            </w:pPr>
            <w:proofErr w:type="spellStart"/>
            <w:r w:rsidRPr="00496AAD">
              <w:rPr>
                <w:b w:val="0"/>
              </w:rPr>
              <w:t>Susac</w:t>
            </w:r>
            <w:proofErr w:type="spellEnd"/>
            <w:r w:rsidRPr="00496AAD">
              <w:rPr>
                <w:b w:val="0"/>
              </w:rPr>
              <w:t xml:space="preserve"> Syndrome</w:t>
            </w:r>
          </w:p>
        </w:tc>
        <w:tc>
          <w:tcPr>
            <w:tcW w:w="108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4592C" w:rsidRDefault="00F4592C" w:rsidP="00F4592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 for concurrent steroid treatment unless contraindicated</w:t>
            </w:r>
          </w:p>
          <w:p w:rsidR="00F4592C" w:rsidRDefault="00F4592C" w:rsidP="00F4592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Patients will be required to be assessed using a Modified Rankin Scale</w:t>
            </w:r>
          </w:p>
          <w:p w:rsidR="00193DD7" w:rsidRDefault="00193DD7" w:rsidP="00193DD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Diagnosis </w:t>
            </w:r>
            <w:r w:rsidR="00E94519">
              <w:t>is</w:t>
            </w:r>
            <w:r>
              <w:t xml:space="preserve"> required by one of: neurologist, immunologist, rheumatologist or ophthalmologist</w:t>
            </w:r>
          </w:p>
          <w:p w:rsidR="00F4592C" w:rsidRDefault="00F4592C" w:rsidP="00F4592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Specialist review </w:t>
            </w:r>
            <w:r w:rsidR="00193DD7">
              <w:t xml:space="preserve">is </w:t>
            </w:r>
            <w:r>
              <w:t>required after first 4 months and annually thereafter</w:t>
            </w:r>
            <w:r w:rsidR="00193DD7">
              <w:t xml:space="preserve"> </w:t>
            </w:r>
          </w:p>
          <w:p w:rsidR="00810616" w:rsidRDefault="00193DD7" w:rsidP="00F4592C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Benefit </w:t>
            </w:r>
            <w:r w:rsidR="00810616">
              <w:t>must be demonstrated at review for authorisation of continued treatment</w:t>
            </w:r>
          </w:p>
          <w:p w:rsidR="00D0206B" w:rsidRDefault="00D0206B" w:rsidP="00E94519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trial off </w:t>
            </w:r>
            <w:r w:rsidR="00E94519">
              <w:t xml:space="preserve">Ig therapy </w:t>
            </w:r>
            <w:r>
              <w:t>is required after 12 months unless contraindicated</w:t>
            </w:r>
          </w:p>
        </w:tc>
      </w:tr>
      <w:tr w:rsidR="006221FD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D0206B" w:rsidP="00D0206B">
            <w:pPr>
              <w:rPr>
                <w:b w:val="0"/>
              </w:rPr>
            </w:pPr>
            <w:r w:rsidRPr="00496AAD">
              <w:rPr>
                <w:b w:val="0"/>
              </w:rPr>
              <w:t xml:space="preserve">Childhood epileptic encephalopathy </w:t>
            </w:r>
          </w:p>
          <w:p w:rsidR="006E0F5B" w:rsidRDefault="006E0F5B" w:rsidP="00D0206B">
            <w:pPr>
              <w:rPr>
                <w:b w:val="0"/>
              </w:rPr>
            </w:pPr>
          </w:p>
          <w:p w:rsidR="006221FD" w:rsidRPr="00496AAD" w:rsidRDefault="00D0206B" w:rsidP="00D0206B">
            <w:pPr>
              <w:rPr>
                <w:b w:val="0"/>
              </w:rPr>
            </w:pPr>
            <w:r w:rsidRPr="00496AAD">
              <w:rPr>
                <w:b w:val="0"/>
              </w:rPr>
              <w:t>(formerly Epilepsy)</w:t>
            </w:r>
          </w:p>
        </w:tc>
        <w:tc>
          <w:tcPr>
            <w:tcW w:w="108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D0206B" w:rsidRDefault="00D0206B" w:rsidP="00D0206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revised name more accurately reflects the condition</w:t>
            </w:r>
            <w:r w:rsidR="00E94519">
              <w:t xml:space="preserve"> </w:t>
            </w:r>
          </w:p>
          <w:p w:rsidR="00D0206B" w:rsidRDefault="00E94519" w:rsidP="00D0206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of four</w:t>
            </w:r>
            <w:r w:rsidR="00D0206B">
              <w:t xml:space="preserve"> specific </w:t>
            </w:r>
            <w:r>
              <w:t>conditions must be confirmed by electroencephalogra</w:t>
            </w:r>
            <w:r w:rsidR="006E0F5B">
              <w:t>p</w:t>
            </w:r>
            <w:r>
              <w:t>h (EEG)</w:t>
            </w:r>
          </w:p>
          <w:p w:rsidR="00D0206B" w:rsidRDefault="00D0206B" w:rsidP="00D0206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Two indications have been added to allow specific dosing and review criteria in </w:t>
            </w:r>
            <w:r w:rsidR="00496AAD">
              <w:t>initial and relapsing scenarios</w:t>
            </w:r>
          </w:p>
          <w:p w:rsidR="00496AAD" w:rsidRDefault="00496AAD" w:rsidP="00D0206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Patients will be required to be assessed at qualifying and review for frequency of seizures and changes in neurodevelopmental or neurocognitive function</w:t>
            </w:r>
          </w:p>
          <w:p w:rsidR="00D0206B" w:rsidRDefault="00496AAD" w:rsidP="00D0206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Neurologist required for diagnosis and review </w:t>
            </w:r>
            <w:r w:rsidR="00E94519">
              <w:t xml:space="preserve">which </w:t>
            </w:r>
            <w:r>
              <w:t>is required within first 3 months and annually thereafter</w:t>
            </w:r>
          </w:p>
          <w:p w:rsidR="00B16C0B" w:rsidRDefault="00E94519" w:rsidP="00496AA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Benefit </w:t>
            </w:r>
            <w:r w:rsidR="00B16C0B">
              <w:t xml:space="preserve">must be demonstrated at review for authorisation of continued treatment </w:t>
            </w:r>
          </w:p>
          <w:p w:rsidR="006221FD" w:rsidRDefault="00496AAD" w:rsidP="00496AA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trial of weaning will be considered each 12 months</w:t>
            </w:r>
            <w:r w:rsidR="00794514">
              <w:t xml:space="preserve"> to identify if the patient is in remission</w:t>
            </w:r>
          </w:p>
        </w:tc>
      </w:tr>
      <w:tr w:rsidR="006221FD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221FD" w:rsidRDefault="00496AAD" w:rsidP="006221FD">
            <w:pPr>
              <w:rPr>
                <w:rFonts w:asciiTheme="minorHAnsi" w:eastAsia="Times New Roman" w:hAnsiTheme="minorHAnsi" w:cs="Times New Roman"/>
                <w:b w:val="0"/>
                <w:lang w:eastAsia="en-AU"/>
              </w:rPr>
            </w:pPr>
            <w:r w:rsidRPr="00496AAD">
              <w:rPr>
                <w:rFonts w:asciiTheme="minorHAnsi" w:eastAsia="Times New Roman" w:hAnsiTheme="minorHAnsi" w:cs="Times New Roman"/>
                <w:b w:val="0"/>
                <w:lang w:eastAsia="en-AU"/>
              </w:rPr>
              <w:t>Paediatric autoimmune neuropsychiatric disorder associated with streptococcal infections (PANDAS)</w:t>
            </w:r>
            <w:r w:rsidR="000F3267">
              <w:rPr>
                <w:rFonts w:asciiTheme="minorHAnsi" w:eastAsia="Times New Roman" w:hAnsiTheme="minorHAnsi" w:cs="Times New Roman"/>
                <w:b w:val="0"/>
                <w:lang w:eastAsia="en-AU"/>
              </w:rPr>
              <w:t xml:space="preserve"> or Paediatric </w:t>
            </w:r>
            <w:r w:rsidR="000F3267">
              <w:rPr>
                <w:rFonts w:asciiTheme="minorHAnsi" w:eastAsia="Times New Roman" w:hAnsiTheme="minorHAnsi" w:cs="Times New Roman"/>
                <w:b w:val="0"/>
                <w:lang w:eastAsia="en-AU"/>
              </w:rPr>
              <w:lastRenderedPageBreak/>
              <w:t xml:space="preserve">Acute Neuropsychiatric Disorders (PANS)  </w:t>
            </w:r>
          </w:p>
          <w:p w:rsidR="000F3267" w:rsidRDefault="000F3267" w:rsidP="006221FD">
            <w:pPr>
              <w:rPr>
                <w:rFonts w:asciiTheme="minorHAnsi" w:eastAsia="Times New Roman" w:hAnsiTheme="minorHAnsi" w:cs="Times New Roman"/>
                <w:b w:val="0"/>
                <w:lang w:eastAsia="en-AU"/>
              </w:rPr>
            </w:pPr>
          </w:p>
          <w:p w:rsidR="000F3267" w:rsidRPr="00496AAD" w:rsidRDefault="000F3267" w:rsidP="006221FD">
            <w:pPr>
              <w:rPr>
                <w:b w:val="0"/>
              </w:rPr>
            </w:pPr>
            <w:r>
              <w:rPr>
                <w:rFonts w:asciiTheme="minorHAnsi" w:eastAsia="Times New Roman" w:hAnsiTheme="minorHAnsi" w:cs="Times New Roman"/>
                <w:b w:val="0"/>
                <w:lang w:eastAsia="en-AU"/>
              </w:rPr>
              <w:t>(formerly PANDAS)</w:t>
            </w:r>
          </w:p>
        </w:tc>
        <w:tc>
          <w:tcPr>
            <w:tcW w:w="108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221FD" w:rsidRDefault="00496AAD" w:rsidP="00496AA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Allows for neuropsychiatric disorders not necessarily triggered by streptococcal infection</w:t>
            </w:r>
          </w:p>
          <w:p w:rsidR="000F3267" w:rsidRDefault="000F3267" w:rsidP="00C150B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 has been limited to patients with significant impairment requiring intervention who are unresponsive to antibiotic therapy  </w:t>
            </w:r>
            <w:r w:rsidR="004F67CD">
              <w:t>and in whom oral corticosteroids have failed or a contraindicated</w:t>
            </w:r>
          </w:p>
          <w:p w:rsidR="005513E7" w:rsidRDefault="005513E7" w:rsidP="005513E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Patients will be required to be assessed using a formal assessment method (Modified Rankin Score) </w:t>
            </w:r>
          </w:p>
          <w:p w:rsidR="005513E7" w:rsidRDefault="000F3267" w:rsidP="005513E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</w:t>
            </w:r>
            <w:r w:rsidR="005513E7">
              <w:t xml:space="preserve">eurologist or immunologist is required for diagnosis and review </w:t>
            </w:r>
            <w:r w:rsidR="004F67CD">
              <w:t xml:space="preserve">which </w:t>
            </w:r>
            <w:r w:rsidR="005513E7">
              <w:t>is required after the first month and three monthly thereafter</w:t>
            </w:r>
          </w:p>
          <w:p w:rsidR="00B16C0B" w:rsidRDefault="00B16C0B" w:rsidP="005513E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Improvement must be demonstrated at review for authorisation of continued treatment</w:t>
            </w:r>
          </w:p>
        </w:tc>
      </w:tr>
      <w:tr w:rsidR="006221FD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E0F5B" w:rsidRDefault="005513E7" w:rsidP="006221FD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Autoimmune encephalitis mediated by antibodies targeting cell-surface antigens </w:t>
            </w:r>
            <w:r w:rsidR="000347FB">
              <w:rPr>
                <w:b w:val="0"/>
              </w:rPr>
              <w:t>(AMAE)</w:t>
            </w:r>
          </w:p>
          <w:p w:rsidR="006E0F5B" w:rsidRDefault="006E0F5B" w:rsidP="006221FD">
            <w:pPr>
              <w:rPr>
                <w:b w:val="0"/>
              </w:rPr>
            </w:pPr>
          </w:p>
          <w:p w:rsidR="006221FD" w:rsidRPr="00496AAD" w:rsidRDefault="005513E7" w:rsidP="006221FD">
            <w:pPr>
              <w:rPr>
                <w:b w:val="0"/>
              </w:rPr>
            </w:pPr>
            <w:r>
              <w:rPr>
                <w:b w:val="0"/>
              </w:rPr>
              <w:t>(includes Hashimoto’s encephalopathy, limbic encephalitis – non-paraneoplastic, limbic encephalitis – paraneoplastic and potassium channel antibody-associated encephalopathy)</w:t>
            </w:r>
          </w:p>
        </w:tc>
        <w:tc>
          <w:tcPr>
            <w:tcW w:w="108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6221FD" w:rsidRDefault="004F67CD" w:rsidP="005513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Conditions</w:t>
            </w:r>
            <w:r w:rsidR="005513E7">
              <w:t xml:space="preserve"> </w:t>
            </w:r>
            <w:r w:rsidR="00B16C0B">
              <w:t xml:space="preserve">previously </w:t>
            </w:r>
            <w:r>
              <w:t xml:space="preserve">listed </w:t>
            </w:r>
            <w:r w:rsidR="005513E7">
              <w:t>separate</w:t>
            </w:r>
            <w:r>
              <w:t>ly</w:t>
            </w:r>
            <w:r w:rsidR="005513E7">
              <w:t xml:space="preserve"> have been included here, as they are all types of </w:t>
            </w:r>
            <w:r>
              <w:t xml:space="preserve">antibody mediated </w:t>
            </w:r>
            <w:r w:rsidR="005513E7">
              <w:t>autoimmune encephalitis</w:t>
            </w:r>
          </w:p>
          <w:p w:rsidR="005513E7" w:rsidRDefault="005513E7" w:rsidP="005513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number of specific conditions have been defined to </w:t>
            </w:r>
            <w:r w:rsidR="00B16C0B">
              <w:t>identify the type of antibody involved, and allow for circumstances where a specific antibody has not yet been identified, but is suspected</w:t>
            </w:r>
          </w:p>
          <w:p w:rsidR="00D03B62" w:rsidRDefault="00D03B62" w:rsidP="005513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Indications have been revised to support different criteria for groups not previously distinguished</w:t>
            </w:r>
          </w:p>
          <w:p w:rsidR="00B16C0B" w:rsidRDefault="00B16C0B" w:rsidP="005513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Patients will be required to be assessed using a formal assessment method (Modified Rankin Score)</w:t>
            </w:r>
          </w:p>
          <w:p w:rsidR="000D41FA" w:rsidRDefault="000D41FA" w:rsidP="005513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Qualifying criteria require one or more of the following tests CSF, EEG and/or MRI </w:t>
            </w:r>
          </w:p>
          <w:p w:rsidR="00B16C0B" w:rsidRPr="00B16C0B" w:rsidRDefault="00B16C0B" w:rsidP="005513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758">
              <w:rPr>
                <w:rFonts w:asciiTheme="minorHAnsi" w:hAnsiTheme="minorHAnsi"/>
              </w:rPr>
              <w:t xml:space="preserve">If </w:t>
            </w:r>
            <w:r w:rsidR="004F67CD">
              <w:rPr>
                <w:rFonts w:asciiTheme="minorHAnsi" w:hAnsiTheme="minorHAnsi"/>
              </w:rPr>
              <w:t xml:space="preserve">benefit </w:t>
            </w:r>
            <w:r w:rsidRPr="00DC3758">
              <w:rPr>
                <w:rFonts w:asciiTheme="minorHAnsi" w:hAnsiTheme="minorHAnsi"/>
              </w:rPr>
              <w:t>has not been demonstrated after 3 months</w:t>
            </w:r>
            <w:r w:rsidR="004F67CD">
              <w:rPr>
                <w:rFonts w:asciiTheme="minorHAnsi" w:hAnsiTheme="minorHAnsi"/>
              </w:rPr>
              <w:t xml:space="preserve"> of </w:t>
            </w:r>
            <w:r w:rsidRPr="00DC3758">
              <w:rPr>
                <w:rFonts w:asciiTheme="minorHAnsi" w:hAnsiTheme="minorHAnsi"/>
              </w:rPr>
              <w:t>Ig therapy at the initial review, a second line immunosuppressant agent must have been added to the patient treatment</w:t>
            </w:r>
          </w:p>
          <w:p w:rsidR="00B16C0B" w:rsidRDefault="00B16C0B" w:rsidP="00B16C0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Review </w:t>
            </w:r>
            <w:r w:rsidR="000D41FA">
              <w:rPr>
                <w:rFonts w:asciiTheme="minorHAnsi" w:hAnsiTheme="minorHAnsi"/>
              </w:rPr>
              <w:t xml:space="preserve">by a neurologist </w:t>
            </w:r>
            <w:r>
              <w:rPr>
                <w:rFonts w:asciiTheme="minorHAnsi" w:hAnsiTheme="minorHAnsi"/>
              </w:rPr>
              <w:t>is required within 3 months and six monthly thereafter</w:t>
            </w:r>
          </w:p>
        </w:tc>
      </w:tr>
      <w:tr w:rsidR="000347FB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0347FB" w:rsidP="00094BBF">
            <w:pPr>
              <w:rPr>
                <w:b w:val="0"/>
              </w:rPr>
            </w:pPr>
            <w:r>
              <w:rPr>
                <w:b w:val="0"/>
              </w:rPr>
              <w:t>Hashimoto’s encephalopathy</w:t>
            </w:r>
          </w:p>
        </w:tc>
        <w:tc>
          <w:tcPr>
            <w:tcW w:w="108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0347FB" w:rsidP="00094BBF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condition will no longer be listed separately as patients can qualify where they have autoimmune encephalitis under </w:t>
            </w:r>
            <w:r w:rsidRPr="000347FB">
              <w:t>Autoimmune encephalitis mediated by antibodies targeting cell-surface antigens</w:t>
            </w:r>
            <w:r>
              <w:t xml:space="preserve"> (AMAE) (see above)</w:t>
            </w:r>
          </w:p>
        </w:tc>
      </w:tr>
      <w:tr w:rsidR="000347FB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0347FB" w:rsidP="000347FB">
            <w:pPr>
              <w:rPr>
                <w:b w:val="0"/>
              </w:rPr>
            </w:pPr>
            <w:r>
              <w:rPr>
                <w:b w:val="0"/>
              </w:rPr>
              <w:t>Limbic encephalitis – non-paraneoplastic and paraneoplastic</w:t>
            </w:r>
          </w:p>
        </w:tc>
        <w:tc>
          <w:tcPr>
            <w:tcW w:w="108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0347FB" w:rsidP="000347F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condition will no longer be listed separately as patients can qualify where they have autoimmune encephalitis under </w:t>
            </w:r>
            <w:r w:rsidRPr="000347FB">
              <w:t>Autoimmune encephalitis mediated by antibodies targeting cell-surface antigens</w:t>
            </w:r>
            <w:r>
              <w:t xml:space="preserve"> (AMAE) (see above)</w:t>
            </w:r>
          </w:p>
        </w:tc>
      </w:tr>
      <w:tr w:rsidR="000347FB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757978" w:rsidP="000347FB">
            <w:pPr>
              <w:rPr>
                <w:b w:val="0"/>
              </w:rPr>
            </w:pPr>
            <w:r>
              <w:rPr>
                <w:b w:val="0"/>
              </w:rPr>
              <w:t>Potassium channel antibody-associated encephalopathy</w:t>
            </w:r>
          </w:p>
        </w:tc>
        <w:tc>
          <w:tcPr>
            <w:tcW w:w="108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757978" w:rsidP="000347FB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condition will no longer be listed separately as patients can qualify where they have autoimmune encephalitis under </w:t>
            </w:r>
            <w:r w:rsidRPr="000347FB">
              <w:t>Autoimmune encephalitis mediated by antibodies targeting cell-surface antigens</w:t>
            </w:r>
            <w:r>
              <w:t xml:space="preserve"> (AMAE) (see above)</w:t>
            </w:r>
          </w:p>
        </w:tc>
      </w:tr>
      <w:tr w:rsidR="000347FB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0347FB" w:rsidP="00094BBF">
            <w:pPr>
              <w:rPr>
                <w:b w:val="0"/>
              </w:rPr>
            </w:pPr>
            <w:r>
              <w:rPr>
                <w:b w:val="0"/>
              </w:rPr>
              <w:t xml:space="preserve">Diabetic </w:t>
            </w:r>
            <w:proofErr w:type="spellStart"/>
            <w:r>
              <w:rPr>
                <w:b w:val="0"/>
              </w:rPr>
              <w:t>Amyotrophy</w:t>
            </w:r>
            <w:proofErr w:type="spellEnd"/>
          </w:p>
        </w:tc>
        <w:tc>
          <w:tcPr>
            <w:tcW w:w="108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0347FB" w:rsidP="0075797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 is proposed that this condition will no longer be supported for funded access to immunoglobulin treatment as there are more effective </w:t>
            </w:r>
            <w:r w:rsidR="00757978">
              <w:t>treatments for this</w:t>
            </w:r>
            <w:r>
              <w:t xml:space="preserve"> condition</w:t>
            </w:r>
          </w:p>
        </w:tc>
      </w:tr>
      <w:tr w:rsidR="000347FB" w:rsidTr="00622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757978" w:rsidP="006221FD">
            <w:pPr>
              <w:rPr>
                <w:b w:val="0"/>
              </w:rPr>
            </w:pPr>
            <w:r>
              <w:rPr>
                <w:b w:val="0"/>
              </w:rPr>
              <w:t>Paraneoplastic neurological syndromes</w:t>
            </w:r>
          </w:p>
        </w:tc>
        <w:tc>
          <w:tcPr>
            <w:tcW w:w="108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757978" w:rsidP="00757978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 proposed that this condition will no longer be supported for funded access to immunoglobulin treatment as there are more effective treatments for this condition</w:t>
            </w:r>
          </w:p>
        </w:tc>
      </w:tr>
      <w:tr w:rsidR="000347FB" w:rsidTr="00622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757978" w:rsidP="006221FD">
            <w:pPr>
              <w:rPr>
                <w:b w:val="0"/>
              </w:rPr>
            </w:pPr>
            <w:r>
              <w:rPr>
                <w:b w:val="0"/>
              </w:rPr>
              <w:t>Sjogren’s syndrome associated neuropathy</w:t>
            </w:r>
          </w:p>
          <w:p w:rsidR="006E0F5B" w:rsidRDefault="006E0F5B" w:rsidP="006221FD">
            <w:pPr>
              <w:rPr>
                <w:b w:val="0"/>
              </w:rPr>
            </w:pPr>
          </w:p>
          <w:p w:rsidR="00757978" w:rsidRDefault="00757978" w:rsidP="006221FD">
            <w:pPr>
              <w:rPr>
                <w:b w:val="0"/>
              </w:rPr>
            </w:pPr>
            <w:r>
              <w:rPr>
                <w:b w:val="0"/>
              </w:rPr>
              <w:t>(formerly Sjogren’s syndrome)</w:t>
            </w:r>
          </w:p>
        </w:tc>
        <w:tc>
          <w:tcPr>
            <w:tcW w:w="1080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347FB" w:rsidRDefault="00757978" w:rsidP="005513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name has been changed to reflect that treatment </w:t>
            </w:r>
            <w:r w:rsidR="0058459D">
              <w:t xml:space="preserve">with Ig therapy </w:t>
            </w:r>
            <w:r>
              <w:t xml:space="preserve">is only appropriate for Sjogren’s syndrome </w:t>
            </w:r>
            <w:r w:rsidR="0058459D">
              <w:t xml:space="preserve">associated </w:t>
            </w:r>
            <w:r>
              <w:t>neuropathy (other than vasculitic</w:t>
            </w:r>
            <w:r w:rsidR="0058459D">
              <w:t xml:space="preserve"> neuropathy</w:t>
            </w:r>
            <w:r>
              <w:t>) and not other manifestations of the disease</w:t>
            </w:r>
          </w:p>
          <w:p w:rsidR="00757978" w:rsidRDefault="00757978" w:rsidP="005513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Two indications have been defined to manage primary neuropathy and relapse after discontinued use</w:t>
            </w:r>
          </w:p>
          <w:p w:rsidR="00757978" w:rsidRDefault="00757978" w:rsidP="00757978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Patients will be required to be assessed using a formal assessment method (Modified Rankin Score or other)</w:t>
            </w:r>
          </w:p>
          <w:p w:rsidR="00757978" w:rsidRDefault="00757978" w:rsidP="005513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Diagnosis </w:t>
            </w:r>
            <w:r w:rsidR="0058459D">
              <w:t>is required by a neurologist, clinical</w:t>
            </w:r>
            <w:r>
              <w:t xml:space="preserve"> immunologist</w:t>
            </w:r>
            <w:r w:rsidR="0058459D">
              <w:t xml:space="preserve"> or rheumatologist</w:t>
            </w:r>
            <w:r>
              <w:t xml:space="preserve"> and review is required </w:t>
            </w:r>
            <w:r w:rsidR="0058459D">
              <w:t xml:space="preserve">by one of these specialists </w:t>
            </w:r>
            <w:r>
              <w:t>within the first four months and annually thereafter</w:t>
            </w:r>
          </w:p>
          <w:p w:rsidR="00757978" w:rsidRDefault="00757978" w:rsidP="005513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Improvement must be demonstrated at review for authorisation of continued treatment</w:t>
            </w:r>
          </w:p>
          <w:p w:rsidR="00170907" w:rsidRDefault="00170907" w:rsidP="005513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trial of weaning should be considered two years after relapse</w:t>
            </w:r>
          </w:p>
        </w:tc>
      </w:tr>
    </w:tbl>
    <w:p w:rsidR="006221FD" w:rsidRPr="006221FD" w:rsidRDefault="006221FD" w:rsidP="006221FD"/>
    <w:sectPr w:rsidR="006221FD" w:rsidRPr="006221FD" w:rsidSect="006221FD">
      <w:footerReference w:type="default" r:id="rId9"/>
      <w:pgSz w:w="16838" w:h="11906" w:orient="landscape"/>
      <w:pgMar w:top="1440" w:right="1440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FD" w:rsidRDefault="006221FD" w:rsidP="00856708">
      <w:pPr>
        <w:spacing w:after="0"/>
      </w:pPr>
      <w:r>
        <w:separator/>
      </w:r>
    </w:p>
  </w:endnote>
  <w:endnote w:type="continuationSeparator" w:id="0">
    <w:p w:rsidR="006221FD" w:rsidRDefault="006221FD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  <w:proofErr w:type="spellStart"/>
    <w:r w:rsidRPr="00856708">
      <w:rPr>
        <w:sz w:val="20"/>
        <w:szCs w:val="20"/>
      </w:rPr>
      <w:t>pg</w:t>
    </w:r>
    <w:proofErr w:type="spellEnd"/>
    <w:r w:rsidRPr="00856708">
      <w:rPr>
        <w:sz w:val="20"/>
        <w:szCs w:val="20"/>
      </w:rPr>
      <w:t xml:space="preserve">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11117F">
      <w:rPr>
        <w:noProof/>
        <w:sz w:val="20"/>
        <w:szCs w:val="20"/>
      </w:rPr>
      <w:t>3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FD" w:rsidRDefault="006221FD" w:rsidP="00856708">
      <w:pPr>
        <w:spacing w:after="0"/>
      </w:pPr>
      <w:r>
        <w:separator/>
      </w:r>
    </w:p>
  </w:footnote>
  <w:footnote w:type="continuationSeparator" w:id="0">
    <w:p w:rsidR="006221FD" w:rsidRDefault="006221FD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4044D21"/>
    <w:multiLevelType w:val="hybridMultilevel"/>
    <w:tmpl w:val="4544A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62B2B"/>
    <w:multiLevelType w:val="hybridMultilevel"/>
    <w:tmpl w:val="B21E9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332688"/>
    <w:multiLevelType w:val="hybridMultilevel"/>
    <w:tmpl w:val="CA220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410BF"/>
    <w:multiLevelType w:val="hybridMultilevel"/>
    <w:tmpl w:val="632018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4F1159"/>
    <w:multiLevelType w:val="hybridMultilevel"/>
    <w:tmpl w:val="6AC439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FD"/>
    <w:rsid w:val="000347FB"/>
    <w:rsid w:val="00036EDC"/>
    <w:rsid w:val="000D41FA"/>
    <w:rsid w:val="000F3267"/>
    <w:rsid w:val="0011117F"/>
    <w:rsid w:val="00111639"/>
    <w:rsid w:val="0012295C"/>
    <w:rsid w:val="00170907"/>
    <w:rsid w:val="00193DD7"/>
    <w:rsid w:val="001D6111"/>
    <w:rsid w:val="002537F2"/>
    <w:rsid w:val="00295CD3"/>
    <w:rsid w:val="00395813"/>
    <w:rsid w:val="003D27F1"/>
    <w:rsid w:val="00496AAD"/>
    <w:rsid w:val="004D4636"/>
    <w:rsid w:val="004E476A"/>
    <w:rsid w:val="004F67CD"/>
    <w:rsid w:val="00525AD1"/>
    <w:rsid w:val="00540020"/>
    <w:rsid w:val="005513E7"/>
    <w:rsid w:val="0058459D"/>
    <w:rsid w:val="006221FD"/>
    <w:rsid w:val="006E0F5B"/>
    <w:rsid w:val="00757978"/>
    <w:rsid w:val="00794514"/>
    <w:rsid w:val="00810616"/>
    <w:rsid w:val="00856708"/>
    <w:rsid w:val="00893E0A"/>
    <w:rsid w:val="00951B85"/>
    <w:rsid w:val="009E38CC"/>
    <w:rsid w:val="00B16C0B"/>
    <w:rsid w:val="00B3726E"/>
    <w:rsid w:val="00C150BA"/>
    <w:rsid w:val="00CD5218"/>
    <w:rsid w:val="00D0206B"/>
    <w:rsid w:val="00D03B62"/>
    <w:rsid w:val="00D972A0"/>
    <w:rsid w:val="00E94519"/>
    <w:rsid w:val="00F4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styleId="LightList-Accent1">
    <w:name w:val="Light List Accent 1"/>
    <w:basedOn w:val="TableNormal"/>
    <w:uiPriority w:val="61"/>
    <w:rsid w:val="006221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47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FB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styleId="LightList-Accent1">
    <w:name w:val="Light List Accent 1"/>
    <w:basedOn w:val="TableNormal"/>
    <w:uiPriority w:val="61"/>
    <w:rsid w:val="006221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47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FB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500D-3BAC-4C12-909B-34C37EF5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886</Words>
  <Characters>5569</Characters>
  <Application>Microsoft Office Word</Application>
  <DocSecurity>0</DocSecurity>
  <Lines>108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Cameron</dc:creator>
  <cp:lastModifiedBy>Administrator</cp:lastModifiedBy>
  <cp:revision>13</cp:revision>
  <cp:lastPrinted>2017-09-11T00:31:00Z</cp:lastPrinted>
  <dcterms:created xsi:type="dcterms:W3CDTF">2017-03-15T21:02:00Z</dcterms:created>
  <dcterms:modified xsi:type="dcterms:W3CDTF">2017-09-11T00:32:00Z</dcterms:modified>
</cp:coreProperties>
</file>