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2B3ED4" w:rsidRDefault="00253413" w:rsidP="002B3ED4">
      <w:pPr>
        <w:ind w:left="-284"/>
        <w:rPr>
          <w:rFonts w:ascii="Arial" w:hAnsi="Arial" w:cs="Arial"/>
          <w:sz w:val="28"/>
        </w:rPr>
      </w:pPr>
      <w:bookmarkStart w:id="0" w:name="_GoBack"/>
      <w:bookmarkEnd w:id="0"/>
      <w:r w:rsidRPr="002B3ED4">
        <w:rPr>
          <w:rFonts w:ascii="Arial" w:hAnsi="Arial" w:cs="Arial"/>
          <w:sz w:val="28"/>
        </w:rPr>
        <w:t xml:space="preserve">2017 (v3.0) Proposed changes to </w:t>
      </w:r>
      <w:r w:rsidR="00493B08" w:rsidRPr="002B3ED4">
        <w:rPr>
          <w:rFonts w:ascii="Arial" w:hAnsi="Arial" w:cs="Arial"/>
          <w:sz w:val="28"/>
        </w:rPr>
        <w:t xml:space="preserve">v2.1 of </w:t>
      </w:r>
      <w:r w:rsidRPr="002B3ED4">
        <w:rPr>
          <w:rFonts w:ascii="Arial" w:hAnsi="Arial" w:cs="Arial"/>
          <w:sz w:val="28"/>
        </w:rPr>
        <w:t>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4112"/>
        <w:gridCol w:w="10489"/>
      </w:tblGrid>
      <w:tr w:rsidR="008612AB" w:rsidRPr="00447869" w:rsidTr="00832D0D">
        <w:trPr>
          <w:tblHeader/>
        </w:trPr>
        <w:tc>
          <w:tcPr>
            <w:tcW w:w="14601" w:type="dxa"/>
            <w:gridSpan w:val="2"/>
            <w:shd w:val="clear" w:color="auto" w:fill="DBE5F1" w:themeFill="accent1" w:themeFillTint="33"/>
          </w:tcPr>
          <w:p w:rsidR="002D66F2" w:rsidRDefault="00253413" w:rsidP="00AB3C69">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2D66F2">
              <w:rPr>
                <w:rFonts w:asciiTheme="minorHAnsi" w:eastAsia="Times New Roman" w:hAnsiTheme="minorHAnsi" w:cs="Times New Roman"/>
                <w:b/>
                <w:bCs/>
                <w:lang w:eastAsia="en-AU"/>
              </w:rPr>
              <w:t>3</w:t>
            </w:r>
            <w:r w:rsidR="00C93490">
              <w:rPr>
                <w:rFonts w:asciiTheme="minorHAnsi" w:eastAsia="Times New Roman" w:hAnsiTheme="minorHAnsi" w:cs="Times New Roman"/>
                <w:b/>
                <w:bCs/>
                <w:lang w:eastAsia="en-AU"/>
              </w:rPr>
              <w:t>.0</w:t>
            </w:r>
            <w:r w:rsidR="002D66F2">
              <w:rPr>
                <w:rFonts w:asciiTheme="minorHAnsi" w:eastAsia="Times New Roman" w:hAnsiTheme="minorHAnsi" w:cs="Times New Roman"/>
                <w:b/>
                <w:bCs/>
                <w:lang w:eastAsia="en-AU"/>
              </w:rPr>
              <w:t xml:space="preserve"> CONDITION NAME: Neuromyelitis Optica Spectrum Disorders (NMOSD)</w:t>
            </w:r>
          </w:p>
          <w:p w:rsidR="008612AB" w:rsidRPr="00447869" w:rsidRDefault="00253413" w:rsidP="00AB3C69">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832D0D">
              <w:rPr>
                <w:rFonts w:asciiTheme="minorHAnsi" w:eastAsia="Times New Roman" w:hAnsiTheme="minorHAnsi" w:cs="Times New Roman"/>
                <w:b/>
                <w:bCs/>
                <w:lang w:eastAsia="en-AU"/>
              </w:rPr>
              <w:t xml:space="preserve"> </w:t>
            </w:r>
            <w:r w:rsidR="00AB3C69">
              <w:rPr>
                <w:rFonts w:asciiTheme="minorHAnsi" w:eastAsia="Times New Roman" w:hAnsiTheme="minorHAnsi" w:cs="Times New Roman"/>
                <w:b/>
                <w:bCs/>
                <w:lang w:eastAsia="en-AU"/>
              </w:rPr>
              <w:t xml:space="preserve">Devic Disease </w:t>
            </w:r>
            <w:r w:rsidR="00AB3C69" w:rsidRPr="00AB3C69">
              <w:rPr>
                <w:rFonts w:asciiTheme="minorHAnsi" w:eastAsia="Times New Roman" w:hAnsiTheme="minorHAnsi" w:cs="Times New Roman"/>
                <w:b/>
                <w:bCs/>
                <w:lang w:eastAsia="en-AU"/>
              </w:rPr>
              <w:t>(neuromyelitis optica)</w:t>
            </w:r>
          </w:p>
        </w:tc>
      </w:tr>
      <w:tr w:rsidR="00642A5C" w:rsidRPr="00447869" w:rsidTr="00FC291B">
        <w:trPr>
          <w:tblHeader/>
        </w:trPr>
        <w:tc>
          <w:tcPr>
            <w:tcW w:w="4112" w:type="dxa"/>
            <w:shd w:val="clear" w:color="auto" w:fill="auto"/>
          </w:tcPr>
          <w:p w:rsidR="002D66F2" w:rsidRDefault="00253413" w:rsidP="002D66F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rsidR="00253413" w:rsidRPr="009305F7" w:rsidRDefault="00253413" w:rsidP="002D66F2">
            <w:pPr>
              <w:spacing w:before="120" w:after="120"/>
              <w:rPr>
                <w:rFonts w:asciiTheme="minorHAnsi" w:eastAsia="Times New Roman" w:hAnsiTheme="minorHAnsi" w:cs="Times New Roman"/>
                <w:bCs/>
                <w:i/>
                <w:lang w:eastAsia="en-AU"/>
              </w:rPr>
            </w:pPr>
            <w:r>
              <w:rPr>
                <w:rFonts w:asciiTheme="minorHAnsi" w:eastAsia="Times New Roman" w:hAnsiTheme="minorHAnsi" w:cs="Times New Roman"/>
                <w:b/>
                <w:bCs/>
                <w:lang w:eastAsia="en-AU"/>
              </w:rPr>
              <w:t xml:space="preserve">To retain </w:t>
            </w:r>
            <w:r w:rsidRPr="00253413">
              <w:rPr>
                <w:rFonts w:asciiTheme="minorHAnsi" w:eastAsia="Times New Roman" w:hAnsiTheme="minorHAnsi" w:cs="Times New Roman"/>
                <w:b/>
                <w:bCs/>
                <w:lang w:eastAsia="en-AU"/>
              </w:rPr>
              <w:t>Neuromyelitis Optica Spectrum Disorders (NMOSD)</w:t>
            </w:r>
            <w:r>
              <w:rPr>
                <w:rFonts w:asciiTheme="minorHAnsi" w:eastAsia="Times New Roman" w:hAnsiTheme="minorHAnsi" w:cs="Times New Roman"/>
                <w:b/>
                <w:bCs/>
                <w:lang w:eastAsia="en-AU"/>
              </w:rPr>
              <w:t xml:space="preserve"> </w:t>
            </w:r>
            <w:r w:rsidR="00493B08">
              <w:rPr>
                <w:rFonts w:asciiTheme="minorHAnsi" w:eastAsia="Times New Roman" w:hAnsiTheme="minorHAnsi" w:cs="Times New Roman"/>
                <w:b/>
                <w:bCs/>
                <w:lang w:eastAsia="en-AU"/>
              </w:rPr>
              <w:t xml:space="preserve">(previously named Devic disease) </w:t>
            </w:r>
            <w:r>
              <w:rPr>
                <w:rFonts w:asciiTheme="minorHAnsi" w:eastAsia="Times New Roman" w:hAnsiTheme="minorHAnsi" w:cs="Times New Roman"/>
                <w:b/>
                <w:bCs/>
                <w:lang w:eastAsia="en-AU"/>
              </w:rPr>
              <w:t xml:space="preserve">in </w:t>
            </w:r>
            <w:r w:rsidR="009305F7" w:rsidRPr="009305F7">
              <w:rPr>
                <w:rFonts w:asciiTheme="minorHAnsi" w:eastAsia="Times New Roman" w:hAnsiTheme="minorHAnsi" w:cs="Times New Roman"/>
                <w:b/>
                <w:bCs/>
                <w:i/>
                <w:lang w:eastAsia="en-AU"/>
              </w:rPr>
              <w:t xml:space="preserve">Exceptional circumstances only </w:t>
            </w:r>
            <w:r w:rsidR="00493B08">
              <w:rPr>
                <w:rFonts w:asciiTheme="minorHAnsi" w:eastAsia="Times New Roman" w:hAnsiTheme="minorHAnsi" w:cs="Times New Roman"/>
                <w:b/>
                <w:bCs/>
                <w:lang w:eastAsia="en-AU"/>
              </w:rPr>
              <w:t>with changes as outlined.</w:t>
            </w:r>
            <w:r w:rsidRPr="009305F7">
              <w:rPr>
                <w:rFonts w:asciiTheme="minorHAnsi" w:eastAsia="Times New Roman" w:hAnsiTheme="minorHAnsi" w:cs="Times New Roman"/>
                <w:b/>
                <w:bCs/>
                <w:i/>
                <w:lang w:eastAsia="en-AU"/>
              </w:rPr>
              <w:t xml:space="preserve"> </w:t>
            </w:r>
          </w:p>
          <w:p w:rsidR="003E3235" w:rsidRPr="00C92149" w:rsidRDefault="003E3235" w:rsidP="00184922">
            <w:pPr>
              <w:spacing w:before="120" w:after="120"/>
              <w:rPr>
                <w:rFonts w:asciiTheme="minorHAnsi" w:eastAsia="Times New Roman" w:hAnsiTheme="minorHAnsi" w:cs="Times New Roman"/>
                <w:bCs/>
                <w:lang w:eastAsia="en-AU"/>
              </w:rPr>
            </w:pPr>
          </w:p>
        </w:tc>
        <w:tc>
          <w:tcPr>
            <w:tcW w:w="10489"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2D66F2" w:rsidRPr="002D66F2" w:rsidRDefault="002D66F2" w:rsidP="002D66F2">
            <w:pPr>
              <w:spacing w:before="120" w:after="120"/>
              <w:rPr>
                <w:rFonts w:asciiTheme="minorHAnsi" w:eastAsia="Times New Roman" w:hAnsiTheme="minorHAnsi" w:cs="Times New Roman"/>
                <w:bCs/>
                <w:lang w:eastAsia="en-AU"/>
              </w:rPr>
            </w:pPr>
            <w:r w:rsidRPr="002D66F2">
              <w:rPr>
                <w:rFonts w:asciiTheme="minorHAnsi" w:eastAsia="Times New Roman" w:hAnsiTheme="minorHAnsi" w:cs="Times New Roman"/>
                <w:bCs/>
                <w:lang w:eastAsia="en-AU"/>
              </w:rPr>
              <w:t xml:space="preserve">The recommended changes are supported by factors including that: </w:t>
            </w:r>
          </w:p>
          <w:p w:rsidR="002D66F2" w:rsidRPr="002D66F2" w:rsidRDefault="002D66F2" w:rsidP="002D66F2">
            <w:pPr>
              <w:pStyle w:val="ListParagraph"/>
              <w:numPr>
                <w:ilvl w:val="0"/>
                <w:numId w:val="46"/>
              </w:numPr>
              <w:spacing w:before="120" w:after="120"/>
              <w:rPr>
                <w:rFonts w:asciiTheme="minorHAnsi" w:eastAsia="Times New Roman" w:hAnsiTheme="minorHAnsi" w:cs="Times New Roman"/>
                <w:bCs/>
                <w:lang w:eastAsia="en-AU"/>
              </w:rPr>
            </w:pPr>
            <w:r w:rsidRPr="002D66F2">
              <w:rPr>
                <w:rFonts w:asciiTheme="minorHAnsi" w:eastAsia="Times New Roman" w:hAnsiTheme="minorHAnsi" w:cs="Times New Roman"/>
                <w:bCs/>
                <w:lang w:eastAsia="en-AU"/>
              </w:rPr>
              <w:t>NMOSD is a relatively rare and devastating condition characterised by recurrent bouts of optic neuritis and myelitis, which is recognised as being a</w:t>
            </w:r>
            <w:r w:rsidR="00FB2F0A">
              <w:rPr>
                <w:rFonts w:asciiTheme="minorHAnsi" w:eastAsia="Times New Roman" w:hAnsiTheme="minorHAnsi" w:cs="Times New Roman"/>
                <w:bCs/>
                <w:lang w:eastAsia="en-AU"/>
              </w:rPr>
              <w:t>n</w:t>
            </w:r>
            <w:r w:rsidRPr="002D66F2">
              <w:rPr>
                <w:rFonts w:asciiTheme="minorHAnsi" w:eastAsia="Times New Roman" w:hAnsiTheme="minorHAnsi" w:cs="Times New Roman"/>
                <w:bCs/>
                <w:lang w:eastAsia="en-AU"/>
              </w:rPr>
              <w:t xml:space="preserve"> entity </w:t>
            </w:r>
            <w:r w:rsidR="00FB2F0A">
              <w:rPr>
                <w:rFonts w:asciiTheme="minorHAnsi" w:eastAsia="Times New Roman" w:hAnsiTheme="minorHAnsi" w:cs="Times New Roman"/>
                <w:bCs/>
                <w:lang w:eastAsia="en-AU"/>
              </w:rPr>
              <w:t>distinct</w:t>
            </w:r>
            <w:r w:rsidR="00FB2F0A" w:rsidRPr="002D66F2">
              <w:rPr>
                <w:rFonts w:asciiTheme="minorHAnsi" w:eastAsia="Times New Roman" w:hAnsiTheme="minorHAnsi" w:cs="Times New Roman"/>
                <w:bCs/>
                <w:lang w:eastAsia="en-AU"/>
              </w:rPr>
              <w:t xml:space="preserve"> </w:t>
            </w:r>
            <w:r w:rsidRPr="002D66F2">
              <w:rPr>
                <w:rFonts w:asciiTheme="minorHAnsi" w:eastAsia="Times New Roman" w:hAnsiTheme="minorHAnsi" w:cs="Times New Roman"/>
                <w:bCs/>
                <w:lang w:eastAsia="en-AU"/>
              </w:rPr>
              <w:t xml:space="preserve">from </w:t>
            </w:r>
            <w:r w:rsidR="00FB2F0A">
              <w:rPr>
                <w:rFonts w:asciiTheme="minorHAnsi" w:eastAsia="Times New Roman" w:hAnsiTheme="minorHAnsi" w:cs="Times New Roman"/>
                <w:bCs/>
                <w:lang w:eastAsia="en-AU"/>
              </w:rPr>
              <w:t>m</w:t>
            </w:r>
            <w:r w:rsidRPr="002D66F2">
              <w:rPr>
                <w:rFonts w:asciiTheme="minorHAnsi" w:eastAsia="Times New Roman" w:hAnsiTheme="minorHAnsi" w:cs="Times New Roman"/>
                <w:bCs/>
                <w:lang w:eastAsia="en-AU"/>
              </w:rPr>
              <w:t>ultiple sclerosis requiring different treatment.</w:t>
            </w:r>
          </w:p>
          <w:p w:rsidR="002D66F2" w:rsidRPr="002D66F2" w:rsidRDefault="002D66F2" w:rsidP="002D66F2">
            <w:pPr>
              <w:pStyle w:val="ListParagraph"/>
              <w:numPr>
                <w:ilvl w:val="0"/>
                <w:numId w:val="46"/>
              </w:numPr>
              <w:spacing w:before="120" w:after="120"/>
              <w:rPr>
                <w:rFonts w:asciiTheme="minorHAnsi" w:eastAsia="Times New Roman" w:hAnsiTheme="minorHAnsi" w:cs="Times New Roman"/>
                <w:bCs/>
                <w:lang w:eastAsia="en-AU"/>
              </w:rPr>
            </w:pPr>
            <w:r w:rsidRPr="002D66F2">
              <w:rPr>
                <w:rFonts w:asciiTheme="minorHAnsi" w:eastAsia="Times New Roman" w:hAnsiTheme="minorHAnsi" w:cs="Times New Roman"/>
                <w:bCs/>
                <w:lang w:eastAsia="en-AU"/>
              </w:rPr>
              <w:t>International consensus diagnostic criteria were revised in 2015 to include a broader group of patients and these criteria have been applied to the qualifying criteria</w:t>
            </w:r>
            <w:r w:rsidR="0088516F">
              <w:rPr>
                <w:rFonts w:asciiTheme="minorHAnsi" w:eastAsia="Times New Roman" w:hAnsiTheme="minorHAnsi" w:cs="Times New Roman"/>
                <w:bCs/>
                <w:lang w:eastAsia="en-AU"/>
              </w:rPr>
              <w:t xml:space="preserve"> (Wingerchuk et al</w:t>
            </w:r>
            <w:r w:rsidR="00E15DAA">
              <w:rPr>
                <w:rFonts w:asciiTheme="minorHAnsi" w:eastAsia="Times New Roman" w:hAnsiTheme="minorHAnsi" w:cs="Times New Roman"/>
                <w:bCs/>
                <w:lang w:eastAsia="en-AU"/>
              </w:rPr>
              <w:t>, 2015).</w:t>
            </w:r>
            <w:r w:rsidR="00FC291B">
              <w:rPr>
                <w:rFonts w:asciiTheme="minorHAnsi" w:eastAsia="Times New Roman" w:hAnsiTheme="minorHAnsi" w:cs="Times New Roman"/>
                <w:bCs/>
                <w:lang w:eastAsia="en-AU"/>
              </w:rPr>
              <w:t xml:space="preserve"> </w:t>
            </w:r>
          </w:p>
          <w:p w:rsidR="002D66F2" w:rsidRPr="002D66F2" w:rsidRDefault="002D66F2" w:rsidP="002D66F2">
            <w:pPr>
              <w:pStyle w:val="ListParagraph"/>
              <w:numPr>
                <w:ilvl w:val="0"/>
                <w:numId w:val="46"/>
              </w:numPr>
              <w:spacing w:before="120" w:after="120"/>
              <w:rPr>
                <w:rFonts w:asciiTheme="minorHAnsi" w:eastAsia="Times New Roman" w:hAnsiTheme="minorHAnsi" w:cs="Times New Roman"/>
                <w:bCs/>
                <w:lang w:eastAsia="en-AU"/>
              </w:rPr>
            </w:pPr>
            <w:r w:rsidRPr="002D66F2">
              <w:rPr>
                <w:rFonts w:asciiTheme="minorHAnsi" w:eastAsia="Times New Roman" w:hAnsiTheme="minorHAnsi" w:cs="Times New Roman"/>
                <w:bCs/>
                <w:lang w:eastAsia="en-AU"/>
              </w:rPr>
              <w:t>International expert opinion has also informed the recommendation of the treatment approach to anti-MOG positive and sero-negative patients.</w:t>
            </w:r>
          </w:p>
          <w:p w:rsidR="00FF4718" w:rsidRPr="006041DC" w:rsidRDefault="002D66F2" w:rsidP="002D66F2">
            <w:pPr>
              <w:pStyle w:val="ListParagraph"/>
              <w:numPr>
                <w:ilvl w:val="0"/>
                <w:numId w:val="46"/>
              </w:numPr>
              <w:spacing w:before="120" w:after="120"/>
              <w:rPr>
                <w:rFonts w:asciiTheme="minorHAnsi" w:eastAsia="Times New Roman" w:hAnsiTheme="minorHAnsi" w:cs="Times New Roman"/>
                <w:b/>
                <w:bCs/>
                <w:lang w:eastAsia="en-AU"/>
              </w:rPr>
            </w:pPr>
            <w:r w:rsidRPr="002D66F2">
              <w:rPr>
                <w:rFonts w:asciiTheme="minorHAnsi" w:eastAsia="Times New Roman" w:hAnsiTheme="minorHAnsi" w:cs="Times New Roman"/>
                <w:bCs/>
                <w:lang w:eastAsia="en-AU"/>
              </w:rPr>
              <w:t>Ig usage in Australia has been increasing over the last 2 years presumably</w:t>
            </w:r>
            <w:r w:rsidR="00FB2F0A">
              <w:rPr>
                <w:rFonts w:asciiTheme="minorHAnsi" w:eastAsia="Times New Roman" w:hAnsiTheme="minorHAnsi" w:cs="Times New Roman"/>
                <w:bCs/>
                <w:lang w:eastAsia="en-AU"/>
              </w:rPr>
              <w:t xml:space="preserve"> as a result of increased recognition of the disease </w:t>
            </w:r>
            <w:r w:rsidRPr="002D66F2">
              <w:rPr>
                <w:rFonts w:asciiTheme="minorHAnsi" w:eastAsia="Times New Roman" w:hAnsiTheme="minorHAnsi" w:cs="Times New Roman"/>
                <w:bCs/>
                <w:lang w:eastAsia="en-AU"/>
              </w:rPr>
              <w:t>and more appropriate treat</w:t>
            </w:r>
            <w:r w:rsidR="00FB2F0A">
              <w:rPr>
                <w:rFonts w:asciiTheme="minorHAnsi" w:eastAsia="Times New Roman" w:hAnsiTheme="minorHAnsi" w:cs="Times New Roman"/>
                <w:bCs/>
                <w:lang w:eastAsia="en-AU"/>
              </w:rPr>
              <w:t>ment</w:t>
            </w:r>
            <w:r w:rsidRPr="002D66F2">
              <w:rPr>
                <w:rFonts w:asciiTheme="minorHAnsi" w:eastAsia="Times New Roman" w:hAnsiTheme="minorHAnsi" w:cs="Times New Roman"/>
                <w:bCs/>
                <w:lang w:eastAsia="en-AU"/>
              </w:rPr>
              <w:t>.  More cost effective Ig use will be assured by the revised criteria which confirm compliance with the international diagnostic criteria and better control access to Ig therapy.</w:t>
            </w:r>
            <w:r w:rsidRPr="002D66F2">
              <w:rPr>
                <w:rFonts w:asciiTheme="minorHAnsi" w:eastAsia="Times New Roman" w:hAnsiTheme="minorHAnsi" w:cs="Times New Roman"/>
                <w:bCs/>
                <w:i/>
                <w:lang w:eastAsia="en-AU"/>
              </w:rPr>
              <w:t xml:space="preserve">  </w:t>
            </w:r>
          </w:p>
          <w:p w:rsidR="006041DC" w:rsidRPr="00C92149" w:rsidRDefault="006041DC" w:rsidP="002D66F2">
            <w:pPr>
              <w:pStyle w:val="ListParagraph"/>
              <w:numPr>
                <w:ilvl w:val="0"/>
                <w:numId w:val="46"/>
              </w:numPr>
              <w:spacing w:before="120" w:after="120"/>
              <w:rPr>
                <w:rFonts w:asciiTheme="minorHAnsi" w:eastAsia="Times New Roman" w:hAnsiTheme="minorHAnsi" w:cs="Times New Roman"/>
                <w:b/>
                <w:bCs/>
                <w:lang w:eastAsia="en-AU"/>
              </w:rPr>
            </w:pPr>
            <w:r w:rsidRPr="006041DC">
              <w:rPr>
                <w:rFonts w:asciiTheme="minorHAnsi" w:hAnsiTheme="minorHAnsi"/>
              </w:rPr>
              <w:t>While this condition is not listed in either the UK (UK Department of Health, 2011) or Canadian (Ontario Regional Blood Coordinating Network, 2016) guidelines, it is noted that very rare immune-mediated disorders with evidence of immunoglobulin efficacy are not necessarily listed in guidelines but may still be approved for funded use in those countries</w:t>
            </w:r>
            <w:r w:rsidR="001577EF">
              <w:rPr>
                <w:rFonts w:asciiTheme="minorHAnsi" w:hAnsiTheme="minorHAnsi"/>
              </w:rPr>
              <w:t>.</w:t>
            </w:r>
          </w:p>
        </w:tc>
      </w:tr>
      <w:tr w:rsidR="00631EAB" w:rsidRPr="00447869" w:rsidTr="008612AB">
        <w:trPr>
          <w:tblHeader/>
        </w:trPr>
        <w:tc>
          <w:tcPr>
            <w:tcW w:w="14601" w:type="dxa"/>
            <w:gridSpan w:val="2"/>
            <w:shd w:val="clear" w:color="auto" w:fill="auto"/>
          </w:tcPr>
          <w:p w:rsidR="00631EAB" w:rsidRDefault="00253413"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A9754F">
              <w:rPr>
                <w:rFonts w:asciiTheme="minorHAnsi" w:eastAsia="Times New Roman" w:hAnsiTheme="minorHAnsi" w:cs="Times New Roman"/>
                <w:b/>
                <w:bCs/>
                <w:lang w:eastAsia="en-AU"/>
              </w:rPr>
              <w:t>2.1 CONDITION CATEG</w:t>
            </w:r>
            <w:r w:rsidR="00631EAB">
              <w:rPr>
                <w:rFonts w:asciiTheme="minorHAnsi" w:eastAsia="Times New Roman" w:hAnsiTheme="minorHAnsi" w:cs="Times New Roman"/>
                <w:b/>
                <w:bCs/>
                <w:lang w:eastAsia="en-AU"/>
              </w:rPr>
              <w:t xml:space="preserve">ORY: </w:t>
            </w:r>
            <w:r w:rsidR="00493B08" w:rsidRPr="00EC2A5A">
              <w:rPr>
                <w:rFonts w:asciiTheme="minorHAnsi" w:eastAsia="Times New Roman" w:hAnsiTheme="minorHAnsi" w:cs="Times New Roman"/>
                <w:bCs/>
                <w:lang w:eastAsia="en-AU"/>
              </w:rPr>
              <w:t>Condition for which Ig use is in</w:t>
            </w:r>
            <w:r w:rsidR="00493B08">
              <w:rPr>
                <w:rFonts w:asciiTheme="minorHAnsi" w:eastAsia="Times New Roman" w:hAnsiTheme="minorHAnsi" w:cs="Times New Roman"/>
                <w:b/>
                <w:bCs/>
                <w:lang w:eastAsia="en-AU"/>
              </w:rPr>
              <w:t xml:space="preserve"> </w:t>
            </w:r>
            <w:r w:rsidR="00832D0D">
              <w:rPr>
                <w:rFonts w:asciiTheme="minorHAnsi" w:eastAsia="Times New Roman" w:hAnsiTheme="minorHAnsi" w:cs="Times New Roman"/>
                <w:bCs/>
                <w:lang w:eastAsia="en-AU"/>
              </w:rPr>
              <w:t xml:space="preserve">Exceptional </w:t>
            </w:r>
            <w:r>
              <w:rPr>
                <w:rFonts w:asciiTheme="minorHAnsi" w:eastAsia="Times New Roman" w:hAnsiTheme="minorHAnsi" w:cs="Times New Roman"/>
                <w:bCs/>
                <w:lang w:eastAsia="en-AU"/>
              </w:rPr>
              <w:t>c</w:t>
            </w:r>
            <w:r w:rsidR="00832D0D">
              <w:rPr>
                <w:rFonts w:asciiTheme="minorHAnsi" w:eastAsia="Times New Roman" w:hAnsiTheme="minorHAnsi" w:cs="Times New Roman"/>
                <w:bCs/>
                <w:lang w:eastAsia="en-AU"/>
              </w:rPr>
              <w:t xml:space="preserve">ircumstances </w:t>
            </w:r>
            <w:r>
              <w:rPr>
                <w:rFonts w:asciiTheme="minorHAnsi" w:eastAsia="Times New Roman" w:hAnsiTheme="minorHAnsi" w:cs="Times New Roman"/>
                <w:bCs/>
                <w:lang w:eastAsia="en-AU"/>
              </w:rPr>
              <w:t>o</w:t>
            </w:r>
            <w:r w:rsidR="00832D0D">
              <w:rPr>
                <w:rFonts w:asciiTheme="minorHAnsi" w:eastAsia="Times New Roman" w:hAnsiTheme="minorHAnsi" w:cs="Times New Roman"/>
                <w:bCs/>
                <w:lang w:eastAsia="en-AU"/>
              </w:rPr>
              <w:t>nly</w:t>
            </w:r>
            <w:r>
              <w:rPr>
                <w:rFonts w:asciiTheme="minorHAnsi" w:eastAsia="Times New Roman" w:hAnsiTheme="minorHAnsi" w:cs="Times New Roman"/>
                <w:bCs/>
                <w:lang w:eastAsia="en-AU"/>
              </w:rPr>
              <w:t xml:space="preserve"> (Chapter 7) </w:t>
            </w:r>
          </w:p>
          <w:p w:rsidR="002B3ED4" w:rsidRPr="002B3ED4" w:rsidRDefault="002B3ED4"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 xml:space="preserve">v3.0 CONDITION CATEGORY: </w:t>
            </w:r>
            <w:r w:rsidRPr="00EC2A5A">
              <w:rPr>
                <w:rFonts w:asciiTheme="minorHAnsi" w:eastAsia="Times New Roman" w:hAnsiTheme="minorHAnsi" w:cs="Times New Roman"/>
                <w:bCs/>
                <w:lang w:eastAsia="en-AU"/>
              </w:rPr>
              <w:t>Condition for which Ig use is in</w:t>
            </w:r>
            <w:r>
              <w:rPr>
                <w:rFonts w:asciiTheme="minorHAnsi" w:eastAsia="Times New Roman" w:hAnsiTheme="minorHAnsi" w:cs="Times New Roman"/>
                <w:b/>
                <w:bCs/>
                <w:lang w:eastAsia="en-AU"/>
              </w:rPr>
              <w:t xml:space="preserve"> </w:t>
            </w:r>
            <w:r>
              <w:rPr>
                <w:rFonts w:asciiTheme="minorHAnsi" w:eastAsia="Times New Roman" w:hAnsiTheme="minorHAnsi" w:cs="Times New Roman"/>
                <w:bCs/>
                <w:lang w:eastAsia="en-AU"/>
              </w:rPr>
              <w:t xml:space="preserve">Exceptional circumstances only (Chapter 7) </w:t>
            </w:r>
          </w:p>
        </w:tc>
      </w:tr>
      <w:tr w:rsidR="008612AB" w:rsidRPr="00447869" w:rsidTr="008612AB">
        <w:trPr>
          <w:tblHeader/>
        </w:trPr>
        <w:tc>
          <w:tcPr>
            <w:tcW w:w="14601" w:type="dxa"/>
            <w:gridSpan w:val="2"/>
            <w:shd w:val="clear" w:color="auto" w:fill="auto"/>
          </w:tcPr>
          <w:p w:rsidR="008612AB" w:rsidRPr="00447869" w:rsidRDefault="008612AB"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lastRenderedPageBreak/>
              <w:t>Role of Ig therapy:</w:t>
            </w:r>
            <w:r w:rsidR="002D66F2">
              <w:rPr>
                <w:rFonts w:asciiTheme="minorHAnsi" w:eastAsia="Times New Roman" w:hAnsiTheme="minorHAnsi" w:cs="Times New Roman"/>
                <w:b/>
                <w:bCs/>
                <w:lang w:eastAsia="en-AU"/>
              </w:rPr>
              <w:t xml:space="preserve"> </w:t>
            </w:r>
            <w:r w:rsidR="002D66F2" w:rsidRPr="002D4EF2">
              <w:rPr>
                <w:rFonts w:asciiTheme="minorHAnsi" w:eastAsia="Times New Roman" w:hAnsiTheme="minorHAnsi" w:cs="Times New Roman"/>
                <w:bCs/>
                <w:lang w:eastAsia="en-AU"/>
              </w:rPr>
              <w:t>First line treatment</w:t>
            </w:r>
            <w:r w:rsidR="002D66F2">
              <w:rPr>
                <w:rFonts w:asciiTheme="minorHAnsi" w:eastAsia="Times New Roman" w:hAnsiTheme="minorHAnsi" w:cs="Times New Roman"/>
                <w:b/>
                <w:bCs/>
                <w:lang w:eastAsia="en-AU"/>
              </w:rPr>
              <w:t xml:space="preserve"> </w:t>
            </w:r>
            <w:r w:rsidR="002D66F2">
              <w:rPr>
                <w:rFonts w:asciiTheme="minorHAnsi" w:hAnsiTheme="minorHAnsi" w:cs="Lucida Grande"/>
                <w:color w:val="000000"/>
              </w:rPr>
              <w:t xml:space="preserve">is with </w:t>
            </w:r>
            <w:r w:rsidR="002D66F2" w:rsidRPr="009F4CE0">
              <w:rPr>
                <w:rFonts w:asciiTheme="minorHAnsi" w:hAnsiTheme="minorHAnsi" w:cs="Lucida Grande"/>
                <w:color w:val="000000"/>
              </w:rPr>
              <w:t xml:space="preserve">intravenous corticosteroids </w:t>
            </w:r>
            <w:r w:rsidR="002D66F2">
              <w:rPr>
                <w:rFonts w:asciiTheme="minorHAnsi" w:hAnsiTheme="minorHAnsi" w:cs="Lucida Grande"/>
                <w:color w:val="000000"/>
              </w:rPr>
              <w:t xml:space="preserve">and </w:t>
            </w:r>
            <w:r w:rsidR="002D66F2" w:rsidRPr="00EF7CA1">
              <w:rPr>
                <w:rFonts w:asciiTheme="minorHAnsi" w:hAnsiTheme="minorHAnsi" w:cs="Lucida Grande"/>
                <w:color w:val="000000"/>
              </w:rPr>
              <w:t>plasma exchange</w:t>
            </w:r>
            <w:r w:rsidR="002D66F2">
              <w:rPr>
                <w:rFonts w:asciiTheme="minorHAnsi" w:hAnsiTheme="minorHAnsi" w:cs="Lucida Grande"/>
                <w:color w:val="000000"/>
              </w:rPr>
              <w:t xml:space="preserve"> in acute attacks of NMOSD. </w:t>
            </w:r>
            <w:r w:rsidR="00F27C68">
              <w:rPr>
                <w:rFonts w:asciiTheme="minorHAnsi" w:hAnsiTheme="minorHAnsi" w:cs="Lucida Grande"/>
                <w:color w:val="000000"/>
              </w:rPr>
              <w:t>IVIg</w:t>
            </w:r>
            <w:r w:rsidR="002D66F2" w:rsidRPr="002D4EF2">
              <w:rPr>
                <w:rFonts w:asciiTheme="minorHAnsi" w:hAnsiTheme="minorHAnsi" w:cs="Lucida Grande"/>
                <w:color w:val="000000"/>
              </w:rPr>
              <w:t xml:space="preserve"> is </w:t>
            </w:r>
            <w:r w:rsidR="002D66F2">
              <w:rPr>
                <w:rFonts w:asciiTheme="minorHAnsi" w:hAnsiTheme="minorHAnsi" w:cs="Lucida Grande"/>
                <w:color w:val="000000"/>
              </w:rPr>
              <w:t xml:space="preserve">only </w:t>
            </w:r>
            <w:r w:rsidR="002D66F2" w:rsidRPr="002D4EF2">
              <w:rPr>
                <w:rFonts w:asciiTheme="minorHAnsi" w:hAnsiTheme="minorHAnsi" w:cs="Lucida Grande"/>
                <w:color w:val="000000"/>
              </w:rPr>
              <w:t xml:space="preserve">used </w:t>
            </w:r>
            <w:r w:rsidR="002D66F2" w:rsidRPr="00F364D7">
              <w:rPr>
                <w:rFonts w:asciiTheme="minorHAnsi" w:hAnsiTheme="minorHAnsi" w:cs="Lucida Grande"/>
                <w:color w:val="000000"/>
              </w:rPr>
              <w:t>when</w:t>
            </w:r>
            <w:r w:rsidR="002D66F2" w:rsidRPr="002D4EF2">
              <w:rPr>
                <w:rFonts w:asciiTheme="minorHAnsi" w:hAnsiTheme="minorHAnsi" w:cs="Lucida Grande"/>
                <w:color w:val="000000"/>
              </w:rPr>
              <w:t xml:space="preserve"> </w:t>
            </w:r>
            <w:r w:rsidR="002D66F2">
              <w:rPr>
                <w:rFonts w:asciiTheme="minorHAnsi" w:hAnsiTheme="minorHAnsi" w:cs="Lucida Grande"/>
                <w:color w:val="000000"/>
              </w:rPr>
              <w:t xml:space="preserve">there is significant disability and there is no response to first line therapy or </w:t>
            </w:r>
            <w:r w:rsidR="00CC5A07">
              <w:rPr>
                <w:rFonts w:asciiTheme="minorHAnsi" w:hAnsiTheme="minorHAnsi" w:cs="Lucida Grande"/>
                <w:color w:val="000000"/>
              </w:rPr>
              <w:t xml:space="preserve">when </w:t>
            </w:r>
            <w:r w:rsidR="002D66F2">
              <w:rPr>
                <w:rFonts w:asciiTheme="minorHAnsi" w:hAnsiTheme="minorHAnsi" w:cs="Lucida Grande"/>
                <w:color w:val="000000"/>
              </w:rPr>
              <w:t>first line treatments</w:t>
            </w:r>
            <w:r w:rsidR="002D66F2" w:rsidRPr="002D4EF2">
              <w:rPr>
                <w:rFonts w:asciiTheme="minorHAnsi" w:hAnsiTheme="minorHAnsi" w:cs="Lucida Grande"/>
                <w:color w:val="000000"/>
              </w:rPr>
              <w:t xml:space="preserve"> are contra-indicated (or plasmapheresis is unavailable). </w:t>
            </w:r>
            <w:r w:rsidR="002D66F2" w:rsidRPr="002D4EF2">
              <w:rPr>
                <w:rFonts w:asciiTheme="minorHAnsi" w:hAnsiTheme="minorHAnsi"/>
              </w:rPr>
              <w:t xml:space="preserve">Importantly, </w:t>
            </w:r>
            <w:r w:rsidR="00F27C68">
              <w:rPr>
                <w:rFonts w:asciiTheme="minorHAnsi" w:hAnsiTheme="minorHAnsi"/>
              </w:rPr>
              <w:t>IVIg</w:t>
            </w:r>
            <w:r w:rsidR="002D66F2" w:rsidRPr="002D4EF2">
              <w:rPr>
                <w:rFonts w:asciiTheme="minorHAnsi" w:hAnsiTheme="minorHAnsi"/>
              </w:rPr>
              <w:t xml:space="preserve"> does not generally have a role in chronic immune modulation of AQP4 antibody positive NMOSD.</w:t>
            </w:r>
            <w:r w:rsidR="002D66F2" w:rsidRPr="002D4EF2">
              <w:rPr>
                <w:rFonts w:asciiTheme="minorHAnsi" w:hAnsiTheme="minorHAnsi" w:cs="Arial"/>
              </w:rPr>
              <w:t xml:space="preserve"> </w:t>
            </w:r>
            <w:r w:rsidR="002D66F2" w:rsidRPr="002D4EF2">
              <w:rPr>
                <w:rFonts w:asciiTheme="minorHAnsi" w:hAnsiTheme="minorHAnsi"/>
              </w:rPr>
              <w:t xml:space="preserve">Chronic immune suppression is required for most </w:t>
            </w:r>
            <w:r w:rsidR="002D66F2">
              <w:rPr>
                <w:rFonts w:asciiTheme="minorHAnsi" w:hAnsiTheme="minorHAnsi"/>
              </w:rPr>
              <w:t xml:space="preserve">of these </w:t>
            </w:r>
            <w:r w:rsidR="002D66F2" w:rsidRPr="002D4EF2">
              <w:rPr>
                <w:rFonts w:asciiTheme="minorHAnsi" w:hAnsiTheme="minorHAnsi"/>
              </w:rPr>
              <w:t xml:space="preserve">patients, and immune suppressant agents such as azathioprine, mycophenolate mofetil, methotreaxate, rituximab and cyclophosphamide reduce annualized relapse rates in uncontrolled retrospective and prospective studies. A newer antigenic target, myelin oligodendrocyte glycoprotein (MOG) has been identified which corresponds to 20% of previously sero-negative patients and </w:t>
            </w:r>
            <w:r w:rsidR="002D66F2">
              <w:rPr>
                <w:rFonts w:asciiTheme="minorHAnsi" w:hAnsiTheme="minorHAnsi"/>
              </w:rPr>
              <w:t xml:space="preserve">antibodies to MOG </w:t>
            </w:r>
            <w:r w:rsidR="002D66F2" w:rsidRPr="002D4EF2">
              <w:rPr>
                <w:rFonts w:asciiTheme="minorHAnsi" w:hAnsiTheme="minorHAnsi"/>
              </w:rPr>
              <w:t>are more commonly detected in p</w:t>
            </w:r>
            <w:r w:rsidR="002D66F2">
              <w:rPr>
                <w:rFonts w:asciiTheme="minorHAnsi" w:hAnsiTheme="minorHAnsi"/>
              </w:rPr>
              <w:t>a</w:t>
            </w:r>
            <w:r w:rsidR="002D66F2" w:rsidRPr="002D4EF2">
              <w:rPr>
                <w:rFonts w:asciiTheme="minorHAnsi" w:hAnsiTheme="minorHAnsi"/>
              </w:rPr>
              <w:t xml:space="preserve">ediatric populations. The disease course is slightly different and literature is still emerging, however, a relapsing course with steroid dependence will require more than a single course </w:t>
            </w:r>
            <w:r w:rsidR="002D66F2">
              <w:rPr>
                <w:rFonts w:asciiTheme="minorHAnsi" w:hAnsiTheme="minorHAnsi"/>
              </w:rPr>
              <w:t>of Ig and/or</w:t>
            </w:r>
            <w:r w:rsidR="002D66F2" w:rsidRPr="002D4EF2">
              <w:rPr>
                <w:rFonts w:asciiTheme="minorHAnsi" w:hAnsiTheme="minorHAnsi"/>
              </w:rPr>
              <w:t xml:space="preserve"> immunosuppressant therapy.</w:t>
            </w:r>
          </w:p>
        </w:tc>
      </w:tr>
    </w:tbl>
    <w:p w:rsidR="005851ED" w:rsidRDefault="005851ED"/>
    <w:tbl>
      <w:tblPr>
        <w:tblStyle w:val="TableGrid"/>
        <w:tblW w:w="14601" w:type="dxa"/>
        <w:tblInd w:w="-318" w:type="dxa"/>
        <w:tblLook w:val="0680" w:firstRow="0" w:lastRow="0" w:firstColumn="1" w:lastColumn="0" w:noHBand="1" w:noVBand="1"/>
      </w:tblPr>
      <w:tblGrid>
        <w:gridCol w:w="1560"/>
        <w:gridCol w:w="2268"/>
        <w:gridCol w:w="2126"/>
        <w:gridCol w:w="2126"/>
        <w:gridCol w:w="2127"/>
        <w:gridCol w:w="4394"/>
      </w:tblGrid>
      <w:tr w:rsidR="00447869" w:rsidRPr="00853117" w:rsidTr="00832D0D">
        <w:trPr>
          <w:trHeight w:val="406"/>
          <w:tblHeader/>
        </w:trPr>
        <w:tc>
          <w:tcPr>
            <w:tcW w:w="1560"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2268" w:type="dxa"/>
            <w:shd w:val="clear" w:color="auto" w:fill="DBE5F1" w:themeFill="accent1" w:themeFillTint="33"/>
          </w:tcPr>
          <w:p w:rsidR="004A10A2" w:rsidRPr="00C92149" w:rsidRDefault="00493B08" w:rsidP="00631EAB">
            <w:pPr>
              <w:spacing w:before="120" w:after="120"/>
              <w:jc w:val="center"/>
              <w:rPr>
                <w:rFonts w:asciiTheme="minorHAnsi" w:hAnsiTheme="minorHAnsi"/>
                <w:b/>
                <w:sz w:val="20"/>
                <w:szCs w:val="18"/>
              </w:rPr>
            </w:pPr>
            <w:r>
              <w:rPr>
                <w:rFonts w:asciiTheme="minorHAnsi" w:hAnsiTheme="minorHAnsi"/>
                <w:b/>
                <w:sz w:val="20"/>
                <w:szCs w:val="18"/>
              </w:rPr>
              <w:t xml:space="preserve">CRITERIA </w:t>
            </w:r>
            <w:r w:rsidR="001C0052">
              <w:rPr>
                <w:rFonts w:asciiTheme="minorHAnsi" w:hAnsiTheme="minorHAnsi"/>
                <w:b/>
                <w:sz w:val="20"/>
                <w:szCs w:val="18"/>
              </w:rPr>
              <w:t>v</w:t>
            </w:r>
            <w:r w:rsidR="001E102B">
              <w:rPr>
                <w:rFonts w:asciiTheme="minorHAnsi" w:hAnsiTheme="minorHAnsi"/>
                <w:b/>
                <w:sz w:val="20"/>
                <w:szCs w:val="18"/>
              </w:rPr>
              <w:t xml:space="preserve">2.1 </w:t>
            </w:r>
          </w:p>
        </w:tc>
        <w:tc>
          <w:tcPr>
            <w:tcW w:w="6379" w:type="dxa"/>
            <w:gridSpan w:val="3"/>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94" w:type="dxa"/>
            <w:shd w:val="clear" w:color="auto" w:fill="DBE5F1" w:themeFill="accent1" w:themeFillTint="33"/>
          </w:tcPr>
          <w:p w:rsidR="00447869" w:rsidRPr="00C92149" w:rsidRDefault="0045644A">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00465F2B" w:rsidRPr="00465F2B">
              <w:rPr>
                <w:rFonts w:asciiTheme="minorHAnsi" w:eastAsia="Times New Roman" w:hAnsiTheme="minorHAnsi" w:cs="Times New Roman"/>
                <w:b/>
                <w:bCs/>
                <w:sz w:val="20"/>
                <w:szCs w:val="20"/>
                <w:lang w:eastAsia="en-AU"/>
              </w:rPr>
              <w:t xml:space="preserve"> RATIONALE FOR ADDITIONS/CLARIFICATIONS</w:t>
            </w:r>
          </w:p>
        </w:tc>
      </w:tr>
      <w:tr w:rsidR="00021243" w:rsidRPr="00447869" w:rsidTr="00C92149">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2268" w:type="dxa"/>
          </w:tcPr>
          <w:p w:rsidR="003A1F9D" w:rsidRPr="00AB3C69" w:rsidRDefault="00AB3C69" w:rsidP="003A1F9D">
            <w:pPr>
              <w:pStyle w:val="heading"/>
              <w:spacing w:before="0" w:beforeAutospacing="0" w:after="225" w:afterAutospacing="0" w:line="293" w:lineRule="atLeast"/>
              <w:rPr>
                <w:rFonts w:asciiTheme="minorHAnsi" w:hAnsiTheme="minorHAnsi" w:cs="Times New Roman"/>
                <w:bCs/>
                <w:color w:val="000000"/>
                <w:sz w:val="22"/>
                <w:szCs w:val="22"/>
              </w:rPr>
            </w:pPr>
            <w:r w:rsidRPr="00AB3C69">
              <w:rPr>
                <w:rFonts w:asciiTheme="minorHAnsi" w:hAnsiTheme="minorHAnsi" w:cs="Times New Roman"/>
                <w:bCs/>
                <w:color w:val="000000"/>
                <w:sz w:val="22"/>
                <w:szCs w:val="22"/>
              </w:rPr>
              <w:t>Devic disease (neuromyelitis optica)</w:t>
            </w:r>
          </w:p>
          <w:p w:rsidR="00021243" w:rsidRPr="00896241" w:rsidRDefault="00021243" w:rsidP="00021243">
            <w:pPr>
              <w:spacing w:before="120" w:after="120"/>
              <w:rPr>
                <w:rFonts w:asciiTheme="minorHAnsi" w:hAnsiTheme="minorHAnsi"/>
                <w:b/>
              </w:rPr>
            </w:pPr>
          </w:p>
        </w:tc>
        <w:tc>
          <w:tcPr>
            <w:tcW w:w="6379" w:type="dxa"/>
            <w:gridSpan w:val="3"/>
          </w:tcPr>
          <w:p w:rsidR="00021243" w:rsidRPr="00A370EC" w:rsidRDefault="00A370EC" w:rsidP="00021243">
            <w:pPr>
              <w:spacing w:before="120" w:after="120"/>
              <w:rPr>
                <w:rFonts w:asciiTheme="minorHAnsi" w:hAnsiTheme="minorHAnsi"/>
              </w:rPr>
            </w:pPr>
            <w:r w:rsidRPr="00A370EC">
              <w:rPr>
                <w:rFonts w:asciiTheme="minorHAnsi" w:hAnsiTheme="minorHAnsi"/>
              </w:rPr>
              <w:t>Neuromyelitis optica spectrum disorders</w:t>
            </w:r>
          </w:p>
        </w:tc>
        <w:tc>
          <w:tcPr>
            <w:tcW w:w="4394" w:type="dxa"/>
          </w:tcPr>
          <w:p w:rsidR="005960E7" w:rsidRPr="00C92149" w:rsidRDefault="00D16AB2"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The revised name more accurately reflects the condition for which Ig therapy is warranted.</w:t>
            </w:r>
          </w:p>
        </w:tc>
      </w:tr>
      <w:tr w:rsidR="00447869" w:rsidRPr="00447869" w:rsidTr="00C92149">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2268" w:type="dxa"/>
          </w:tcPr>
          <w:p w:rsidR="00447869" w:rsidRPr="00447869" w:rsidRDefault="00AB3C69" w:rsidP="00021243">
            <w:pPr>
              <w:spacing w:before="120" w:after="120"/>
              <w:rPr>
                <w:rFonts w:asciiTheme="minorHAnsi" w:hAnsiTheme="minorHAnsi"/>
              </w:rPr>
            </w:pPr>
            <w:r>
              <w:rPr>
                <w:rFonts w:asciiTheme="minorHAnsi" w:hAnsiTheme="minorHAnsi"/>
              </w:rPr>
              <w:t xml:space="preserve">Neurology </w:t>
            </w:r>
          </w:p>
        </w:tc>
        <w:tc>
          <w:tcPr>
            <w:tcW w:w="6379" w:type="dxa"/>
            <w:gridSpan w:val="3"/>
          </w:tcPr>
          <w:p w:rsidR="00447869" w:rsidRPr="00447869" w:rsidRDefault="00A370EC" w:rsidP="00A370EC">
            <w:pPr>
              <w:tabs>
                <w:tab w:val="left" w:pos="1050"/>
              </w:tabs>
              <w:spacing w:before="120" w:after="120"/>
              <w:rPr>
                <w:rFonts w:asciiTheme="minorHAnsi" w:hAnsiTheme="minorHAnsi"/>
              </w:rPr>
            </w:pPr>
            <w:r>
              <w:rPr>
                <w:rFonts w:asciiTheme="minorHAnsi" w:hAnsiTheme="minorHAnsi"/>
              </w:rPr>
              <w:t xml:space="preserve">Neurology </w:t>
            </w:r>
          </w:p>
        </w:tc>
        <w:tc>
          <w:tcPr>
            <w:tcW w:w="4394" w:type="dxa"/>
          </w:tcPr>
          <w:p w:rsidR="00447869" w:rsidRPr="009208EC" w:rsidRDefault="00447869" w:rsidP="00021243">
            <w:pPr>
              <w:spacing w:before="120" w:after="120"/>
              <w:rPr>
                <w:rFonts w:asciiTheme="minorHAnsi" w:hAnsiTheme="minorHAnsi"/>
                <w:szCs w:val="20"/>
              </w:rPr>
            </w:pPr>
          </w:p>
        </w:tc>
      </w:tr>
      <w:tr w:rsidR="00021243" w:rsidRPr="00447869" w:rsidTr="00C92149">
        <w:tc>
          <w:tcPr>
            <w:tcW w:w="1560" w:type="dxa"/>
            <w:shd w:val="clear" w:color="auto" w:fill="D9D9D9" w:themeFill="background1" w:themeFillShade="D9"/>
          </w:tcPr>
          <w:p w:rsidR="00021243" w:rsidRPr="00447869" w:rsidRDefault="00253413" w:rsidP="00021243">
            <w:pPr>
              <w:spacing w:before="120" w:after="120"/>
              <w:rPr>
                <w:rFonts w:asciiTheme="minorHAnsi" w:hAnsiTheme="minorHAnsi"/>
              </w:rPr>
            </w:pPr>
            <w:r>
              <w:rPr>
                <w:rFonts w:asciiTheme="minorHAnsi" w:hAnsiTheme="minorHAnsi"/>
                <w:b/>
              </w:rPr>
              <w:t xml:space="preserve">Category </w:t>
            </w:r>
          </w:p>
        </w:tc>
        <w:tc>
          <w:tcPr>
            <w:tcW w:w="2268" w:type="dxa"/>
          </w:tcPr>
          <w:p w:rsidR="00021243" w:rsidRPr="00447869" w:rsidRDefault="00253413" w:rsidP="009161C5">
            <w:pPr>
              <w:spacing w:before="120" w:after="120"/>
              <w:rPr>
                <w:rFonts w:asciiTheme="minorHAnsi" w:hAnsiTheme="minorHAnsi"/>
              </w:rPr>
            </w:pPr>
            <w:r w:rsidRPr="00565AC8">
              <w:rPr>
                <w:rFonts w:asciiTheme="minorHAnsi" w:hAnsiTheme="minorHAnsi"/>
                <w:i/>
              </w:rPr>
              <w:t>Exceptional circumstances only</w:t>
            </w:r>
            <w:r>
              <w:rPr>
                <w:rFonts w:asciiTheme="minorHAnsi" w:hAnsiTheme="minorHAnsi"/>
              </w:rPr>
              <w:t xml:space="preserve"> </w:t>
            </w:r>
          </w:p>
        </w:tc>
        <w:tc>
          <w:tcPr>
            <w:tcW w:w="6379" w:type="dxa"/>
            <w:gridSpan w:val="3"/>
          </w:tcPr>
          <w:p w:rsidR="00021243" w:rsidRPr="00447869" w:rsidRDefault="009161C5" w:rsidP="009161C5">
            <w:pPr>
              <w:spacing w:before="120" w:after="120"/>
              <w:rPr>
                <w:rFonts w:asciiTheme="minorHAnsi" w:hAnsiTheme="minorHAnsi"/>
              </w:rPr>
            </w:pPr>
            <w:r w:rsidRPr="00565AC8">
              <w:rPr>
                <w:rFonts w:asciiTheme="minorHAnsi" w:hAnsiTheme="minorHAnsi"/>
                <w:i/>
              </w:rPr>
              <w:t>Exceptional circumstances only</w:t>
            </w:r>
            <w:r>
              <w:rPr>
                <w:rFonts w:asciiTheme="minorHAnsi" w:hAnsiTheme="minorHAnsi"/>
              </w:rPr>
              <w:t xml:space="preserve"> </w:t>
            </w:r>
          </w:p>
        </w:tc>
        <w:tc>
          <w:tcPr>
            <w:tcW w:w="4394" w:type="dxa"/>
          </w:tcPr>
          <w:p w:rsidR="00021243" w:rsidRPr="009208EC" w:rsidRDefault="00021243" w:rsidP="00631EAB">
            <w:pPr>
              <w:spacing w:before="120" w:after="120"/>
              <w:rPr>
                <w:rFonts w:asciiTheme="minorHAnsi" w:hAnsiTheme="minorHAnsi"/>
                <w:szCs w:val="20"/>
              </w:rPr>
            </w:pPr>
          </w:p>
        </w:tc>
      </w:tr>
      <w:tr w:rsidR="00447869" w:rsidRPr="00447869" w:rsidTr="00C92149">
        <w:tc>
          <w:tcPr>
            <w:tcW w:w="1560" w:type="dxa"/>
            <w:shd w:val="clear" w:color="auto" w:fill="D9D9D9" w:themeFill="background1" w:themeFillShade="D9"/>
          </w:tcPr>
          <w:p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2268" w:type="dxa"/>
          </w:tcPr>
          <w:p w:rsidR="004A10A2" w:rsidRPr="00447869" w:rsidRDefault="00AB3C69" w:rsidP="008515FF">
            <w:pPr>
              <w:spacing w:before="120" w:after="120"/>
              <w:rPr>
                <w:rFonts w:asciiTheme="minorHAnsi" w:hAnsiTheme="minorHAnsi"/>
              </w:rPr>
            </w:pPr>
            <w:r w:rsidRPr="00AB3C69">
              <w:rPr>
                <w:rFonts w:asciiTheme="minorHAnsi" w:hAnsiTheme="minorHAnsi"/>
              </w:rPr>
              <w:t>Devic disease (neuromyelitis optica)</w:t>
            </w:r>
          </w:p>
        </w:tc>
        <w:tc>
          <w:tcPr>
            <w:tcW w:w="6379" w:type="dxa"/>
            <w:gridSpan w:val="3"/>
          </w:tcPr>
          <w:p w:rsidR="00A370EC" w:rsidRPr="00A370EC" w:rsidRDefault="00A370EC" w:rsidP="00A370EC">
            <w:pPr>
              <w:rPr>
                <w:rFonts w:asciiTheme="minorHAnsi" w:hAnsiTheme="minorHAnsi"/>
              </w:rPr>
            </w:pPr>
            <w:r w:rsidRPr="00A370EC">
              <w:rPr>
                <w:rFonts w:asciiTheme="minorHAnsi" w:hAnsiTheme="minorHAnsi"/>
              </w:rPr>
              <w:t>NMOSD –AQP4 ab positive</w:t>
            </w:r>
          </w:p>
          <w:p w:rsidR="00A370EC" w:rsidRPr="00A370EC" w:rsidRDefault="00A370EC" w:rsidP="00A370EC">
            <w:pPr>
              <w:rPr>
                <w:rFonts w:asciiTheme="minorHAnsi" w:hAnsiTheme="minorHAnsi"/>
              </w:rPr>
            </w:pPr>
            <w:r w:rsidRPr="00A370EC">
              <w:rPr>
                <w:rFonts w:asciiTheme="minorHAnsi" w:hAnsiTheme="minorHAnsi"/>
              </w:rPr>
              <w:t>NMO</w:t>
            </w:r>
          </w:p>
          <w:p w:rsidR="00A370EC" w:rsidRPr="00A370EC" w:rsidRDefault="00A370EC" w:rsidP="00A370EC">
            <w:pPr>
              <w:rPr>
                <w:rFonts w:asciiTheme="minorHAnsi" w:hAnsiTheme="minorHAnsi"/>
              </w:rPr>
            </w:pPr>
            <w:r w:rsidRPr="00A370EC">
              <w:rPr>
                <w:rFonts w:asciiTheme="minorHAnsi" w:hAnsiTheme="minorHAnsi"/>
              </w:rPr>
              <w:t>NMOSD-MOG ab positive</w:t>
            </w:r>
          </w:p>
          <w:p w:rsidR="00A370EC" w:rsidRPr="00A370EC" w:rsidRDefault="00A370EC" w:rsidP="00A370EC">
            <w:pPr>
              <w:rPr>
                <w:rFonts w:asciiTheme="minorHAnsi" w:hAnsiTheme="minorHAnsi"/>
              </w:rPr>
            </w:pPr>
            <w:r w:rsidRPr="00A370EC">
              <w:rPr>
                <w:rFonts w:asciiTheme="minorHAnsi" w:hAnsiTheme="minorHAnsi"/>
              </w:rPr>
              <w:t>NMOSD - seronegative</w:t>
            </w:r>
          </w:p>
          <w:p w:rsidR="00447869" w:rsidRPr="00447869" w:rsidRDefault="00A370EC" w:rsidP="00A370EC">
            <w:pPr>
              <w:rPr>
                <w:rFonts w:asciiTheme="minorHAnsi" w:hAnsiTheme="minorHAnsi"/>
              </w:rPr>
            </w:pPr>
            <w:r w:rsidRPr="00A370EC">
              <w:rPr>
                <w:rFonts w:asciiTheme="minorHAnsi" w:hAnsiTheme="minorHAnsi"/>
              </w:rPr>
              <w:t>LETMS</w:t>
            </w:r>
          </w:p>
        </w:tc>
        <w:tc>
          <w:tcPr>
            <w:tcW w:w="4394" w:type="dxa"/>
          </w:tcPr>
          <w:p w:rsidR="00447869" w:rsidRPr="00C92149" w:rsidRDefault="00D16AB2" w:rsidP="00176B2C">
            <w:pPr>
              <w:spacing w:before="120" w:after="120"/>
              <w:rPr>
                <w:rFonts w:asciiTheme="minorHAnsi" w:hAnsiTheme="minorHAnsi"/>
                <w:szCs w:val="20"/>
              </w:rPr>
            </w:pPr>
            <w:r>
              <w:rPr>
                <w:rFonts w:asciiTheme="minorHAnsi" w:hAnsiTheme="minorHAnsi"/>
                <w:szCs w:val="20"/>
              </w:rPr>
              <w:t xml:space="preserve">The </w:t>
            </w:r>
            <w:r w:rsidR="00EC2A5A">
              <w:rPr>
                <w:rFonts w:asciiTheme="minorHAnsi" w:hAnsiTheme="minorHAnsi"/>
                <w:szCs w:val="20"/>
              </w:rPr>
              <w:t>specific conditions</w:t>
            </w:r>
            <w:r>
              <w:rPr>
                <w:rFonts w:asciiTheme="minorHAnsi" w:hAnsiTheme="minorHAnsi"/>
                <w:szCs w:val="20"/>
              </w:rPr>
              <w:t xml:space="preserve"> have been more clearly articulated</w:t>
            </w:r>
            <w:r w:rsidR="005916CB">
              <w:rPr>
                <w:rFonts w:asciiTheme="minorHAnsi" w:hAnsiTheme="minorHAnsi"/>
                <w:szCs w:val="20"/>
              </w:rPr>
              <w:t xml:space="preserve"> and reflect diagnoses within the spectrum and differing serology</w:t>
            </w:r>
            <w:r w:rsidR="00176B2C">
              <w:rPr>
                <w:rFonts w:asciiTheme="minorHAnsi" w:hAnsiTheme="minorHAnsi"/>
                <w:szCs w:val="20"/>
              </w:rPr>
              <w:t xml:space="preserve"> results</w:t>
            </w:r>
            <w:r w:rsidR="005916CB">
              <w:rPr>
                <w:rFonts w:asciiTheme="minorHAnsi" w:hAnsiTheme="minorHAnsi"/>
                <w:szCs w:val="20"/>
              </w:rPr>
              <w:t xml:space="preserve">. </w:t>
            </w:r>
          </w:p>
        </w:tc>
      </w:tr>
      <w:tr w:rsidR="00021243" w:rsidRPr="00447869" w:rsidTr="00C92149">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rsidR="00021243" w:rsidRPr="00447869" w:rsidRDefault="00021243" w:rsidP="00021243">
            <w:pPr>
              <w:spacing w:before="120" w:after="120"/>
              <w:rPr>
                <w:rFonts w:asciiTheme="minorHAnsi" w:hAnsiTheme="minorHAnsi"/>
              </w:rPr>
            </w:pPr>
          </w:p>
        </w:tc>
        <w:tc>
          <w:tcPr>
            <w:tcW w:w="2268" w:type="dxa"/>
          </w:tcPr>
          <w:p w:rsidR="00021243" w:rsidRPr="00447869" w:rsidRDefault="00AB3C69" w:rsidP="00021243">
            <w:pPr>
              <w:spacing w:before="120" w:after="120"/>
              <w:rPr>
                <w:rFonts w:asciiTheme="minorHAnsi" w:hAnsiTheme="minorHAnsi"/>
              </w:rPr>
            </w:pPr>
            <w:r w:rsidRPr="00AB3C69">
              <w:rPr>
                <w:rFonts w:asciiTheme="minorHAnsi" w:hAnsiTheme="minorHAnsi"/>
              </w:rPr>
              <w:t>Insufficient data (Category 4a)</w:t>
            </w:r>
          </w:p>
        </w:tc>
        <w:tc>
          <w:tcPr>
            <w:tcW w:w="6379" w:type="dxa"/>
            <w:gridSpan w:val="3"/>
          </w:tcPr>
          <w:p w:rsidR="00021243" w:rsidRPr="00447869" w:rsidRDefault="00282F66" w:rsidP="008515FF">
            <w:pPr>
              <w:spacing w:before="120" w:after="120"/>
              <w:rPr>
                <w:rFonts w:asciiTheme="minorHAnsi" w:hAnsiTheme="minorHAnsi"/>
              </w:rPr>
            </w:pPr>
            <w:r>
              <w:t xml:space="preserve"> </w:t>
            </w:r>
            <w:r w:rsidR="00E15DAA">
              <w:t xml:space="preserve">Insufficient data (Category </w:t>
            </w:r>
            <w:r w:rsidR="00A370EC">
              <w:t>4a</w:t>
            </w:r>
            <w:r w:rsidR="00E15DAA">
              <w:t>)</w:t>
            </w:r>
          </w:p>
        </w:tc>
        <w:tc>
          <w:tcPr>
            <w:tcW w:w="4394" w:type="dxa"/>
          </w:tcPr>
          <w:p w:rsidR="00021243" w:rsidRPr="009208EC" w:rsidRDefault="00D16AB2" w:rsidP="00021243">
            <w:pPr>
              <w:spacing w:before="120" w:after="120"/>
              <w:rPr>
                <w:rFonts w:asciiTheme="minorHAnsi" w:hAnsiTheme="minorHAnsi"/>
                <w:szCs w:val="20"/>
              </w:rPr>
            </w:pPr>
            <w:r>
              <w:rPr>
                <w:rFonts w:asciiTheme="minorHAnsi" w:hAnsiTheme="minorHAnsi"/>
                <w:szCs w:val="20"/>
              </w:rPr>
              <w:t>No change</w:t>
            </w:r>
          </w:p>
        </w:tc>
      </w:tr>
      <w:tr w:rsidR="00AB120F" w:rsidRPr="00447869" w:rsidTr="00C92149">
        <w:tc>
          <w:tcPr>
            <w:tcW w:w="1560" w:type="dxa"/>
            <w:shd w:val="clear" w:color="auto" w:fill="D9D9D9" w:themeFill="background1" w:themeFillShade="D9"/>
          </w:tcPr>
          <w:p w:rsidR="00AB120F" w:rsidRPr="00447869" w:rsidRDefault="00AB120F" w:rsidP="00CE69D0">
            <w:pPr>
              <w:spacing w:before="120" w:after="120"/>
              <w:rPr>
                <w:rFonts w:asciiTheme="minorHAnsi" w:hAnsiTheme="minorHAnsi"/>
                <w:b/>
              </w:rPr>
            </w:pPr>
            <w:r w:rsidRPr="00447869">
              <w:rPr>
                <w:rFonts w:asciiTheme="minorHAnsi" w:hAnsiTheme="minorHAnsi"/>
                <w:b/>
              </w:rPr>
              <w:t xml:space="preserve">Justification </w:t>
            </w:r>
            <w:r w:rsidRPr="00447869">
              <w:rPr>
                <w:rFonts w:asciiTheme="minorHAnsi" w:hAnsiTheme="minorHAnsi"/>
                <w:b/>
              </w:rPr>
              <w:lastRenderedPageBreak/>
              <w:t>for Evidence Category</w:t>
            </w:r>
          </w:p>
          <w:p w:rsidR="00AB120F" w:rsidRPr="00447869" w:rsidRDefault="00AB120F" w:rsidP="00CE69D0">
            <w:pPr>
              <w:spacing w:before="120" w:after="120"/>
              <w:rPr>
                <w:rFonts w:asciiTheme="minorHAnsi" w:hAnsiTheme="minorHAnsi"/>
              </w:rPr>
            </w:pPr>
          </w:p>
        </w:tc>
        <w:tc>
          <w:tcPr>
            <w:tcW w:w="2268" w:type="dxa"/>
          </w:tcPr>
          <w:p w:rsidR="00AB120F" w:rsidRPr="00447869" w:rsidRDefault="00AB120F" w:rsidP="00CE69D0">
            <w:pPr>
              <w:spacing w:before="120" w:after="120"/>
              <w:rPr>
                <w:rFonts w:asciiTheme="minorHAnsi" w:hAnsiTheme="minorHAnsi"/>
              </w:rPr>
            </w:pPr>
            <w:r>
              <w:rPr>
                <w:rFonts w:asciiTheme="minorHAnsi" w:hAnsiTheme="minorHAnsi"/>
              </w:rPr>
              <w:lastRenderedPageBreak/>
              <w:t xml:space="preserve"> </w:t>
            </w:r>
          </w:p>
        </w:tc>
        <w:tc>
          <w:tcPr>
            <w:tcW w:w="6379" w:type="dxa"/>
            <w:gridSpan w:val="3"/>
          </w:tcPr>
          <w:p w:rsidR="00AB120F" w:rsidRPr="00447869" w:rsidRDefault="00853673" w:rsidP="0088516F">
            <w:pPr>
              <w:spacing w:before="120" w:after="120"/>
              <w:rPr>
                <w:rFonts w:asciiTheme="minorHAnsi" w:hAnsiTheme="minorHAnsi"/>
              </w:rPr>
            </w:pPr>
            <w:r w:rsidRPr="00853673">
              <w:rPr>
                <w:rFonts w:asciiTheme="minorHAnsi" w:hAnsiTheme="minorHAnsi"/>
              </w:rPr>
              <w:t xml:space="preserve">There is significant anecdotal evidence to support the use of </w:t>
            </w:r>
            <w:r w:rsidR="00F27C68">
              <w:rPr>
                <w:rFonts w:asciiTheme="minorHAnsi" w:hAnsiTheme="minorHAnsi"/>
              </w:rPr>
              <w:t>IVIg</w:t>
            </w:r>
            <w:r w:rsidRPr="00853673">
              <w:rPr>
                <w:rFonts w:asciiTheme="minorHAnsi" w:hAnsiTheme="minorHAnsi"/>
              </w:rPr>
              <w:t xml:space="preserve"> in </w:t>
            </w:r>
            <w:r w:rsidRPr="00853673">
              <w:rPr>
                <w:rFonts w:asciiTheme="minorHAnsi" w:hAnsiTheme="minorHAnsi"/>
              </w:rPr>
              <w:lastRenderedPageBreak/>
              <w:t xml:space="preserve">the treatment of acute attacks of NMOSD if plasma exchange and/or intravenous corticosteroids are contra-indicated or have failed. There is no evidence for the use of </w:t>
            </w:r>
            <w:r w:rsidR="00F27C68">
              <w:rPr>
                <w:rFonts w:asciiTheme="minorHAnsi" w:hAnsiTheme="minorHAnsi"/>
              </w:rPr>
              <w:t>IVIg</w:t>
            </w:r>
            <w:r w:rsidRPr="00853673">
              <w:rPr>
                <w:rFonts w:asciiTheme="minorHAnsi" w:hAnsiTheme="minorHAnsi"/>
              </w:rPr>
              <w:t xml:space="preserve"> as long-term therapy or prophylaxis.  Two very s</w:t>
            </w:r>
            <w:r w:rsidR="0088516F">
              <w:rPr>
                <w:rFonts w:asciiTheme="minorHAnsi" w:hAnsiTheme="minorHAnsi"/>
              </w:rPr>
              <w:t>mall studies (Viswanathan et al</w:t>
            </w:r>
            <w:r w:rsidRPr="00853673">
              <w:rPr>
                <w:rFonts w:asciiTheme="minorHAnsi" w:hAnsiTheme="minorHAnsi"/>
              </w:rPr>
              <w:t>, 2015 and Elsone et al</w:t>
            </w:r>
            <w:r w:rsidR="00E15DAA">
              <w:rPr>
                <w:rFonts w:asciiTheme="minorHAnsi" w:hAnsiTheme="minorHAnsi"/>
              </w:rPr>
              <w:t>,</w:t>
            </w:r>
            <w:r w:rsidRPr="00853673">
              <w:rPr>
                <w:rFonts w:asciiTheme="minorHAnsi" w:hAnsiTheme="minorHAnsi"/>
              </w:rPr>
              <w:t xml:space="preserve"> 2014), show that </w:t>
            </w:r>
            <w:r w:rsidR="00F27C68">
              <w:rPr>
                <w:rFonts w:asciiTheme="minorHAnsi" w:hAnsiTheme="minorHAnsi"/>
              </w:rPr>
              <w:t>IVIg</w:t>
            </w:r>
            <w:r w:rsidRPr="00853673">
              <w:rPr>
                <w:rFonts w:asciiTheme="minorHAnsi" w:hAnsiTheme="minorHAnsi"/>
              </w:rPr>
              <w:t xml:space="preserve"> may be effective in reducing relapse risk although both are of limited significance.</w:t>
            </w:r>
          </w:p>
        </w:tc>
        <w:tc>
          <w:tcPr>
            <w:tcW w:w="4394" w:type="dxa"/>
          </w:tcPr>
          <w:p w:rsidR="00AB120F" w:rsidRPr="00C92149" w:rsidRDefault="00D16AB2" w:rsidP="00CE69D0">
            <w:pPr>
              <w:spacing w:before="120" w:after="120"/>
              <w:rPr>
                <w:rFonts w:asciiTheme="minorHAnsi" w:hAnsiTheme="minorHAnsi"/>
                <w:szCs w:val="20"/>
              </w:rPr>
            </w:pPr>
            <w:r>
              <w:rPr>
                <w:rFonts w:asciiTheme="minorHAnsi" w:hAnsiTheme="minorHAnsi"/>
                <w:szCs w:val="20"/>
              </w:rPr>
              <w:lastRenderedPageBreak/>
              <w:t>No change</w:t>
            </w:r>
          </w:p>
        </w:tc>
      </w:tr>
      <w:tr w:rsidR="00AB120F" w:rsidRPr="00447869" w:rsidTr="00C92149">
        <w:tc>
          <w:tcPr>
            <w:tcW w:w="1560" w:type="dxa"/>
            <w:shd w:val="clear" w:color="auto" w:fill="D9D9D9" w:themeFill="background1" w:themeFillShade="D9"/>
          </w:tcPr>
          <w:p w:rsidR="00AB120F" w:rsidRPr="00447869" w:rsidRDefault="00AB120F" w:rsidP="0088516F">
            <w:pPr>
              <w:spacing w:before="120" w:after="120"/>
              <w:rPr>
                <w:rFonts w:asciiTheme="minorHAnsi" w:hAnsiTheme="minorHAnsi"/>
              </w:rPr>
            </w:pPr>
            <w:r w:rsidRPr="00447869">
              <w:rPr>
                <w:rFonts w:asciiTheme="minorHAnsi" w:hAnsiTheme="minorHAnsi"/>
                <w:b/>
              </w:rPr>
              <w:lastRenderedPageBreak/>
              <w:t>Indications</w:t>
            </w:r>
          </w:p>
        </w:tc>
        <w:tc>
          <w:tcPr>
            <w:tcW w:w="2268" w:type="dxa"/>
          </w:tcPr>
          <w:p w:rsidR="00AB120F" w:rsidRPr="00447869" w:rsidRDefault="00AB120F" w:rsidP="00CE69D0">
            <w:pPr>
              <w:spacing w:before="120" w:after="120"/>
              <w:rPr>
                <w:rFonts w:asciiTheme="minorHAnsi" w:hAnsiTheme="minorHAnsi"/>
              </w:rPr>
            </w:pPr>
            <w:r>
              <w:t xml:space="preserve"> </w:t>
            </w:r>
          </w:p>
        </w:tc>
        <w:tc>
          <w:tcPr>
            <w:tcW w:w="6379" w:type="dxa"/>
            <w:gridSpan w:val="3"/>
          </w:tcPr>
          <w:p w:rsidR="00853673" w:rsidRPr="00565AC8" w:rsidRDefault="00853673" w:rsidP="00E15DAA">
            <w:pPr>
              <w:spacing w:before="120" w:after="120"/>
              <w:rPr>
                <w:rFonts w:asciiTheme="minorHAnsi" w:hAnsiTheme="minorHAnsi"/>
                <w:b/>
              </w:rPr>
            </w:pPr>
            <w:r w:rsidRPr="00565AC8">
              <w:rPr>
                <w:rFonts w:asciiTheme="minorHAnsi" w:hAnsiTheme="minorHAnsi"/>
                <w:b/>
              </w:rPr>
              <w:t xml:space="preserve">Acute relapse of NMOSD with significant disability and corticosteroids and/or plasmapheresis have failed, are contraindicated or unavailable </w:t>
            </w:r>
          </w:p>
          <w:p w:rsidR="00853673" w:rsidRPr="00565AC8" w:rsidRDefault="00853673" w:rsidP="00176B2C">
            <w:pPr>
              <w:spacing w:before="120" w:after="120"/>
              <w:rPr>
                <w:rFonts w:asciiTheme="minorHAnsi" w:hAnsiTheme="minorHAnsi"/>
                <w:b/>
              </w:rPr>
            </w:pPr>
          </w:p>
          <w:p w:rsidR="00AB120F" w:rsidRPr="00E15DAA" w:rsidRDefault="00853673" w:rsidP="00D44C46">
            <w:pPr>
              <w:spacing w:before="120" w:after="120"/>
              <w:rPr>
                <w:rFonts w:asciiTheme="minorHAnsi" w:hAnsiTheme="minorHAnsi"/>
              </w:rPr>
            </w:pPr>
            <w:r w:rsidRPr="00565AC8">
              <w:rPr>
                <w:rFonts w:asciiTheme="minorHAnsi" w:hAnsiTheme="minorHAnsi"/>
                <w:b/>
              </w:rPr>
              <w:t xml:space="preserve">Further significant relapse post Ig therapy with significant disability and </w:t>
            </w:r>
            <w:r w:rsidR="00D44C46">
              <w:rPr>
                <w:rFonts w:asciiTheme="minorHAnsi" w:hAnsiTheme="minorHAnsi"/>
                <w:b/>
              </w:rPr>
              <w:t>resistant</w:t>
            </w:r>
            <w:r w:rsidR="00D44C46" w:rsidRPr="00565AC8">
              <w:rPr>
                <w:rFonts w:asciiTheme="minorHAnsi" w:hAnsiTheme="minorHAnsi"/>
                <w:b/>
              </w:rPr>
              <w:t xml:space="preserve"> </w:t>
            </w:r>
            <w:r w:rsidRPr="00565AC8">
              <w:rPr>
                <w:rFonts w:asciiTheme="minorHAnsi" w:hAnsiTheme="minorHAnsi"/>
                <w:b/>
              </w:rPr>
              <w:t>to corticosteroids and other immunosuppressant agents</w:t>
            </w:r>
          </w:p>
        </w:tc>
        <w:tc>
          <w:tcPr>
            <w:tcW w:w="4394" w:type="dxa"/>
          </w:tcPr>
          <w:p w:rsidR="00AB120F" w:rsidRPr="00C92149" w:rsidRDefault="00D16AB2" w:rsidP="00CE69D0">
            <w:pPr>
              <w:spacing w:before="120" w:after="120"/>
              <w:rPr>
                <w:sz w:val="20"/>
                <w:szCs w:val="20"/>
              </w:rPr>
            </w:pPr>
            <w:r w:rsidRPr="00D16AB2">
              <w:rPr>
                <w:szCs w:val="20"/>
              </w:rPr>
              <w:t xml:space="preserve">Two indications have been defined to </w:t>
            </w:r>
            <w:r w:rsidR="00CC5A07">
              <w:rPr>
                <w:szCs w:val="20"/>
              </w:rPr>
              <w:t xml:space="preserve">both manage initial treatment and </w:t>
            </w:r>
            <w:r w:rsidR="00176B2C">
              <w:rPr>
                <w:szCs w:val="20"/>
              </w:rPr>
              <w:t>support</w:t>
            </w:r>
            <w:r w:rsidR="00176B2C" w:rsidRPr="00176B2C">
              <w:t xml:space="preserve"> </w:t>
            </w:r>
            <w:r w:rsidR="00CC5A07">
              <w:rPr>
                <w:rFonts w:asciiTheme="minorHAnsi" w:hAnsiTheme="minorHAnsi"/>
              </w:rPr>
              <w:t xml:space="preserve">treating </w:t>
            </w:r>
            <w:r w:rsidR="00CC5A07" w:rsidRPr="00CC5A07">
              <w:rPr>
                <w:rFonts w:asciiTheme="minorHAnsi" w:hAnsiTheme="minorHAnsi"/>
              </w:rPr>
              <w:t>relapse</w:t>
            </w:r>
            <w:r w:rsidR="00CC5A07">
              <w:rPr>
                <w:rFonts w:asciiTheme="minorHAnsi" w:hAnsiTheme="minorHAnsi"/>
              </w:rPr>
              <w:t>, which is</w:t>
            </w:r>
            <w:r w:rsidR="00CC5A07" w:rsidRPr="00CC5A07">
              <w:rPr>
                <w:rFonts w:asciiTheme="minorHAnsi" w:hAnsiTheme="minorHAnsi"/>
              </w:rPr>
              <w:t xml:space="preserve"> </w:t>
            </w:r>
            <w:r w:rsidR="00176B2C" w:rsidRPr="00E15DAA">
              <w:rPr>
                <w:rFonts w:asciiTheme="minorHAnsi" w:hAnsiTheme="minorHAnsi"/>
              </w:rPr>
              <w:t xml:space="preserve">likely to </w:t>
            </w:r>
            <w:r w:rsidR="00CC5A07">
              <w:rPr>
                <w:rFonts w:asciiTheme="minorHAnsi" w:hAnsiTheme="minorHAnsi"/>
              </w:rPr>
              <w:t>occur in</w:t>
            </w:r>
            <w:r w:rsidR="00CC5A07" w:rsidRPr="00CC5A07">
              <w:rPr>
                <w:rFonts w:asciiTheme="minorHAnsi" w:hAnsiTheme="minorHAnsi"/>
              </w:rPr>
              <w:t xml:space="preserve"> MOG ab positive patients</w:t>
            </w:r>
            <w:r w:rsidR="00176B2C" w:rsidRPr="00E15DAA">
              <w:rPr>
                <w:rFonts w:asciiTheme="minorHAnsi" w:hAnsiTheme="minorHAnsi"/>
              </w:rPr>
              <w:t xml:space="preserve"> who are steroid resistant</w:t>
            </w:r>
            <w:r w:rsidRPr="00E15DAA">
              <w:t>.</w:t>
            </w:r>
          </w:p>
          <w:p w:rsidR="00AB120F" w:rsidRPr="00C92149" w:rsidRDefault="00AB120F" w:rsidP="00CE69D0">
            <w:pPr>
              <w:spacing w:before="120" w:after="120"/>
              <w:rPr>
                <w:rFonts w:asciiTheme="minorHAnsi" w:hAnsiTheme="minorHAnsi"/>
                <w:sz w:val="20"/>
                <w:szCs w:val="20"/>
              </w:rPr>
            </w:pPr>
          </w:p>
        </w:tc>
      </w:tr>
      <w:tr w:rsidR="00BA76E3" w:rsidRPr="00447869" w:rsidTr="00E15DAA">
        <w:trPr>
          <w:trHeight w:val="801"/>
        </w:trPr>
        <w:tc>
          <w:tcPr>
            <w:tcW w:w="1560" w:type="dxa"/>
            <w:shd w:val="clear" w:color="auto" w:fill="D9D9D9" w:themeFill="background1" w:themeFillShade="D9"/>
          </w:tcPr>
          <w:p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rsidR="00BA76E3" w:rsidRPr="00447869" w:rsidRDefault="00BA76E3" w:rsidP="00282F66">
            <w:pPr>
              <w:spacing w:before="120" w:after="120"/>
              <w:rPr>
                <w:rFonts w:asciiTheme="minorHAnsi" w:hAnsiTheme="minorHAnsi"/>
              </w:rPr>
            </w:pPr>
          </w:p>
        </w:tc>
        <w:tc>
          <w:tcPr>
            <w:tcW w:w="2268" w:type="dxa"/>
          </w:tcPr>
          <w:p w:rsidR="00BA76E3" w:rsidRPr="00E15DAA" w:rsidRDefault="00AB3C69" w:rsidP="008515FF">
            <w:pPr>
              <w:pStyle w:val="heading"/>
              <w:spacing w:before="0" w:beforeAutospacing="0" w:after="225" w:afterAutospacing="0" w:line="293" w:lineRule="atLeast"/>
              <w:rPr>
                <w:rFonts w:asciiTheme="minorHAnsi" w:hAnsiTheme="minorHAnsi"/>
                <w:sz w:val="22"/>
                <w:szCs w:val="22"/>
              </w:rPr>
            </w:pPr>
            <w:r w:rsidRPr="00E15DAA">
              <w:rPr>
                <w:rFonts w:asciiTheme="minorHAnsi" w:hAnsiTheme="minorHAnsi" w:cs="Times New Roman"/>
                <w:color w:val="000000"/>
                <w:sz w:val="22"/>
                <w:szCs w:val="22"/>
              </w:rPr>
              <w:t xml:space="preserve">Devic disease is an idiopathic inflammatory demyelinating disorder of the central nervous system characterised by recurrent bouts of optic neuritis and myelitis. It is distinct from multiple sclerosis and evidence of B-cell autoimmunity has been found. A </w:t>
            </w:r>
            <w:r w:rsidRPr="00E15DAA">
              <w:rPr>
                <w:rFonts w:asciiTheme="minorHAnsi" w:hAnsiTheme="minorHAnsi" w:cs="Times New Roman"/>
                <w:color w:val="000000"/>
                <w:sz w:val="22"/>
                <w:szCs w:val="22"/>
              </w:rPr>
              <w:lastRenderedPageBreak/>
              <w:t>circulatory antibody to aquaporin-4 is found in many patients, providing further evidence of B-cell autoimmunity in its pathogenesis and suggestive of a role for intravenous immunoglobulin (</w:t>
            </w:r>
            <w:r w:rsidR="00F27C68">
              <w:rPr>
                <w:rFonts w:asciiTheme="minorHAnsi" w:hAnsiTheme="minorHAnsi" w:cs="Times New Roman"/>
                <w:color w:val="000000"/>
                <w:sz w:val="22"/>
                <w:szCs w:val="22"/>
              </w:rPr>
              <w:t>IVIg</w:t>
            </w:r>
            <w:r w:rsidRPr="00E15DAA">
              <w:rPr>
                <w:rFonts w:asciiTheme="minorHAnsi" w:hAnsiTheme="minorHAnsi" w:cs="Times New Roman"/>
                <w:color w:val="000000"/>
                <w:sz w:val="22"/>
                <w:szCs w:val="22"/>
              </w:rPr>
              <w:t xml:space="preserve">) therapy. Single case reports of various therapies, including </w:t>
            </w:r>
            <w:r w:rsidR="00F27C68">
              <w:rPr>
                <w:rFonts w:asciiTheme="minorHAnsi" w:hAnsiTheme="minorHAnsi" w:cs="Times New Roman"/>
                <w:color w:val="000000"/>
                <w:sz w:val="22"/>
                <w:szCs w:val="22"/>
              </w:rPr>
              <w:t>IVIg</w:t>
            </w:r>
            <w:r w:rsidRPr="00E15DAA">
              <w:rPr>
                <w:rFonts w:asciiTheme="minorHAnsi" w:hAnsiTheme="minorHAnsi" w:cs="Times New Roman"/>
                <w:color w:val="000000"/>
                <w:sz w:val="22"/>
                <w:szCs w:val="22"/>
              </w:rPr>
              <w:t>, have shown variable benefit in this otherwise devastating disorder.</w:t>
            </w:r>
          </w:p>
        </w:tc>
        <w:tc>
          <w:tcPr>
            <w:tcW w:w="6379" w:type="dxa"/>
            <w:gridSpan w:val="3"/>
          </w:tcPr>
          <w:p w:rsidR="00D16AB2" w:rsidRDefault="00282F66" w:rsidP="00853673">
            <w:pPr>
              <w:rPr>
                <w:rFonts w:asciiTheme="minorHAnsi" w:eastAsia="Times New Roman" w:hAnsiTheme="minorHAnsi" w:cs="Times New Roman"/>
                <w:color w:val="000000"/>
                <w:lang w:eastAsia="en-AU"/>
              </w:rPr>
            </w:pPr>
            <w:r w:rsidRPr="00282F66">
              <w:rPr>
                <w:rFonts w:asciiTheme="minorHAnsi" w:eastAsia="Times New Roman" w:hAnsiTheme="minorHAnsi" w:cs="Times New Roman"/>
                <w:color w:val="000000"/>
                <w:lang w:eastAsia="en-AU"/>
              </w:rPr>
              <w:lastRenderedPageBreak/>
              <w:t xml:space="preserve"> </w:t>
            </w:r>
            <w:r w:rsidR="00853673" w:rsidRPr="00853673">
              <w:rPr>
                <w:rFonts w:asciiTheme="minorHAnsi" w:eastAsia="Times New Roman" w:hAnsiTheme="minorHAnsi" w:cs="Times New Roman"/>
                <w:color w:val="000000"/>
                <w:lang w:eastAsia="en-AU"/>
              </w:rPr>
              <w:t xml:space="preserve">NMOSD is an idiopathic, antibody mediated astrocytopathy of the central nervous system, characterised by recurrent bouts of optic neuritis and myelitis. It is distinct from multiple sclerosis and evidence of B-cell autoimmunity has been found. A circulatory antibody to aquaporin-4 is found in many patients providing further evidence of B-cell autoimmunity in its pathogenesis and suggestive of a role for </w:t>
            </w:r>
            <w:r w:rsidR="00F27C68">
              <w:rPr>
                <w:rFonts w:asciiTheme="minorHAnsi" w:eastAsia="Times New Roman" w:hAnsiTheme="minorHAnsi" w:cs="Times New Roman"/>
                <w:color w:val="000000"/>
                <w:lang w:eastAsia="en-AU"/>
              </w:rPr>
              <w:t>IVIg</w:t>
            </w:r>
            <w:r w:rsidR="00853673" w:rsidRPr="00853673">
              <w:rPr>
                <w:rFonts w:asciiTheme="minorHAnsi" w:eastAsia="Times New Roman" w:hAnsiTheme="minorHAnsi" w:cs="Times New Roman"/>
                <w:color w:val="000000"/>
                <w:lang w:eastAsia="en-AU"/>
              </w:rPr>
              <w:t xml:space="preserve"> therapy. Single case reports of various therapies, including </w:t>
            </w:r>
            <w:r w:rsidR="00F27C68">
              <w:rPr>
                <w:rFonts w:asciiTheme="minorHAnsi" w:eastAsia="Times New Roman" w:hAnsiTheme="minorHAnsi" w:cs="Times New Roman"/>
                <w:color w:val="000000"/>
                <w:lang w:eastAsia="en-AU"/>
              </w:rPr>
              <w:t>IVIg</w:t>
            </w:r>
            <w:r w:rsidR="00853673" w:rsidRPr="00853673">
              <w:rPr>
                <w:rFonts w:asciiTheme="minorHAnsi" w:eastAsia="Times New Roman" w:hAnsiTheme="minorHAnsi" w:cs="Times New Roman"/>
                <w:color w:val="000000"/>
                <w:lang w:eastAsia="en-AU"/>
              </w:rPr>
              <w:t xml:space="preserve">, have shown variable benefit in this otherwise devastating disorder. </w:t>
            </w:r>
          </w:p>
          <w:p w:rsidR="00D16AB2" w:rsidRDefault="00D16AB2" w:rsidP="00853673">
            <w:pPr>
              <w:rPr>
                <w:rFonts w:asciiTheme="minorHAnsi" w:eastAsia="Times New Roman" w:hAnsiTheme="minorHAnsi" w:cs="Times New Roman"/>
                <w:color w:val="000000"/>
                <w:lang w:eastAsia="en-AU"/>
              </w:rPr>
            </w:pPr>
          </w:p>
          <w:p w:rsidR="00853673" w:rsidRDefault="00853673" w:rsidP="00853673">
            <w:pPr>
              <w:rPr>
                <w:rFonts w:asciiTheme="minorHAnsi" w:eastAsia="Times New Roman" w:hAnsiTheme="minorHAnsi" w:cs="Times New Roman"/>
                <w:color w:val="000000"/>
                <w:lang w:eastAsia="en-AU"/>
              </w:rPr>
            </w:pPr>
            <w:r w:rsidRPr="00853673">
              <w:rPr>
                <w:rFonts w:asciiTheme="minorHAnsi" w:eastAsia="Times New Roman" w:hAnsiTheme="minorHAnsi" w:cs="Times New Roman"/>
                <w:color w:val="000000"/>
                <w:lang w:eastAsia="en-AU"/>
              </w:rPr>
              <w:t xml:space="preserve">Diagnostic criteria have been published in 2015 by the International panel for </w:t>
            </w:r>
            <w:r w:rsidR="0088516F">
              <w:rPr>
                <w:rFonts w:asciiTheme="minorHAnsi" w:eastAsia="Times New Roman" w:hAnsiTheme="minorHAnsi" w:cs="Times New Roman"/>
                <w:color w:val="000000"/>
                <w:lang w:eastAsia="en-AU"/>
              </w:rPr>
              <w:t>NMO diagnosis (Winderchuk et al</w:t>
            </w:r>
            <w:r w:rsidR="00E15DAA">
              <w:rPr>
                <w:rFonts w:asciiTheme="minorHAnsi" w:eastAsia="Times New Roman" w:hAnsiTheme="minorHAnsi" w:cs="Times New Roman"/>
                <w:color w:val="000000"/>
                <w:lang w:eastAsia="en-AU"/>
              </w:rPr>
              <w:t>, 2015</w:t>
            </w:r>
            <w:r w:rsidRPr="00853673">
              <w:rPr>
                <w:rFonts w:asciiTheme="minorHAnsi" w:eastAsia="Times New Roman" w:hAnsiTheme="minorHAnsi" w:cs="Times New Roman"/>
                <w:color w:val="000000"/>
                <w:lang w:eastAsia="en-AU"/>
              </w:rPr>
              <w:t xml:space="preserve">).There are only small retrospective case series of </w:t>
            </w:r>
            <w:r w:rsidR="00F27C68">
              <w:rPr>
                <w:rFonts w:asciiTheme="minorHAnsi" w:eastAsia="Times New Roman" w:hAnsiTheme="minorHAnsi" w:cs="Times New Roman"/>
                <w:color w:val="000000"/>
                <w:lang w:eastAsia="en-AU"/>
              </w:rPr>
              <w:t>IVIg</w:t>
            </w:r>
            <w:r w:rsidRPr="00853673">
              <w:rPr>
                <w:rFonts w:asciiTheme="minorHAnsi" w:eastAsia="Times New Roman" w:hAnsiTheme="minorHAnsi" w:cs="Times New Roman"/>
                <w:color w:val="000000"/>
                <w:lang w:eastAsia="en-AU"/>
              </w:rPr>
              <w:t xml:space="preserve"> for this condition, with no RCTs. Recent work has clearly defined that plasma exchange and intravenous corticosteroids are the treatment of choice for acute attacks (Kleiter et al, 2016). Chronic immune suppression is required </w:t>
            </w:r>
            <w:r w:rsidRPr="00853673">
              <w:rPr>
                <w:rFonts w:asciiTheme="minorHAnsi" w:eastAsia="Times New Roman" w:hAnsiTheme="minorHAnsi" w:cs="Times New Roman"/>
                <w:color w:val="000000"/>
                <w:lang w:eastAsia="en-AU"/>
              </w:rPr>
              <w:lastRenderedPageBreak/>
              <w:t xml:space="preserve">for most patients with AQP4 ab NMOSD, and immune suppressant agents such as azathioprine, mycophenolatemofetil, methotreaxate, rituximab and cyclophosphamide reduce annualized relapse rates in uncontrolled retrospective and prospective studies. </w:t>
            </w:r>
            <w:r w:rsidR="00F27C68">
              <w:rPr>
                <w:rFonts w:asciiTheme="minorHAnsi" w:eastAsia="Times New Roman" w:hAnsiTheme="minorHAnsi" w:cs="Times New Roman"/>
                <w:color w:val="000000"/>
                <w:lang w:eastAsia="en-AU"/>
              </w:rPr>
              <w:t>IVIg</w:t>
            </w:r>
            <w:r w:rsidRPr="00853673">
              <w:rPr>
                <w:rFonts w:asciiTheme="minorHAnsi" w:eastAsia="Times New Roman" w:hAnsiTheme="minorHAnsi" w:cs="Times New Roman"/>
                <w:color w:val="000000"/>
                <w:lang w:eastAsia="en-AU"/>
              </w:rPr>
              <w:t xml:space="preserve"> does not generally have a role in chronic immune modulation of AQP4 ab NMOSD.</w:t>
            </w:r>
          </w:p>
          <w:p w:rsidR="00853673" w:rsidRPr="00853673" w:rsidRDefault="00853673" w:rsidP="00853673">
            <w:pPr>
              <w:rPr>
                <w:rFonts w:asciiTheme="minorHAnsi" w:eastAsia="Times New Roman" w:hAnsiTheme="minorHAnsi" w:cs="Times New Roman"/>
                <w:color w:val="000000"/>
                <w:lang w:eastAsia="en-AU"/>
              </w:rPr>
            </w:pPr>
          </w:p>
          <w:p w:rsidR="008515FF" w:rsidRPr="00282F66" w:rsidRDefault="00853673" w:rsidP="00853673">
            <w:pPr>
              <w:rPr>
                <w:rFonts w:asciiTheme="minorHAnsi" w:hAnsiTheme="minorHAnsi" w:cs="Lucida Grande"/>
                <w:color w:val="000000"/>
              </w:rPr>
            </w:pPr>
            <w:r w:rsidRPr="00853673">
              <w:rPr>
                <w:rFonts w:asciiTheme="minorHAnsi" w:eastAsia="Times New Roman" w:hAnsiTheme="minorHAnsi" w:cs="Times New Roman"/>
                <w:color w:val="000000"/>
                <w:lang w:eastAsia="en-AU"/>
              </w:rPr>
              <w:t>A newer antigenic target, myelin oligodendrocyte glycoprotein (MOG) has been identified which accounts for 20% of previously sero-negative patients and is more commonly detected in paediatric populations. The disease course is slightly different and literature is still emerging, however, a relapsing course with steroid dependence will require more than a single course of Ig, and/or immunosuppressant therapy.</w:t>
            </w:r>
          </w:p>
          <w:p w:rsidR="00BA76E3" w:rsidRPr="00447869" w:rsidRDefault="00BA76E3" w:rsidP="005960E7">
            <w:pPr>
              <w:rPr>
                <w:rFonts w:asciiTheme="minorHAnsi" w:hAnsiTheme="minorHAnsi"/>
              </w:rPr>
            </w:pPr>
          </w:p>
        </w:tc>
        <w:tc>
          <w:tcPr>
            <w:tcW w:w="4394" w:type="dxa"/>
          </w:tcPr>
          <w:p w:rsidR="00BA76E3" w:rsidRPr="00C92149" w:rsidRDefault="00D16AB2" w:rsidP="00176B2C">
            <w:pPr>
              <w:spacing w:before="120" w:after="120"/>
              <w:rPr>
                <w:rFonts w:asciiTheme="minorHAnsi" w:hAnsiTheme="minorHAnsi"/>
                <w:sz w:val="20"/>
                <w:szCs w:val="20"/>
              </w:rPr>
            </w:pPr>
            <w:r w:rsidRPr="00D16AB2">
              <w:rPr>
                <w:rFonts w:asciiTheme="minorHAnsi" w:hAnsiTheme="minorHAnsi"/>
                <w:szCs w:val="20"/>
              </w:rPr>
              <w:lastRenderedPageBreak/>
              <w:t xml:space="preserve">Two paragraphs were added to incorporate more recent publications relating to diagnostic criteria and </w:t>
            </w:r>
            <w:r w:rsidR="003A7A58">
              <w:rPr>
                <w:rFonts w:asciiTheme="minorHAnsi" w:hAnsiTheme="minorHAnsi"/>
                <w:szCs w:val="20"/>
              </w:rPr>
              <w:t xml:space="preserve">new </w:t>
            </w:r>
            <w:r w:rsidRPr="00D16AB2">
              <w:rPr>
                <w:rFonts w:asciiTheme="minorHAnsi" w:hAnsiTheme="minorHAnsi"/>
                <w:szCs w:val="20"/>
              </w:rPr>
              <w:t>information about myelin oligodendrocyte glycoprotein</w:t>
            </w:r>
            <w:r>
              <w:rPr>
                <w:rFonts w:asciiTheme="minorHAnsi" w:hAnsiTheme="minorHAnsi"/>
                <w:sz w:val="20"/>
                <w:szCs w:val="20"/>
              </w:rPr>
              <w:t xml:space="preserve">.  </w:t>
            </w:r>
            <w:r w:rsidR="00176B2C" w:rsidRPr="00176B2C">
              <w:rPr>
                <w:rFonts w:asciiTheme="minorHAnsi" w:hAnsiTheme="minorHAnsi"/>
              </w:rPr>
              <w:t xml:space="preserve">Background is provided explaining that steroid dependent </w:t>
            </w:r>
            <w:r w:rsidR="00176B2C">
              <w:rPr>
                <w:rFonts w:asciiTheme="minorHAnsi" w:hAnsiTheme="minorHAnsi"/>
              </w:rPr>
              <w:t>MOG antibody positive</w:t>
            </w:r>
            <w:r w:rsidR="00176B2C" w:rsidRPr="00176B2C">
              <w:rPr>
                <w:rFonts w:asciiTheme="minorHAnsi" w:hAnsiTheme="minorHAnsi"/>
              </w:rPr>
              <w:t xml:space="preserve"> patients may be treated with additional Ig therapy, not necessarily in combination with immunosuppression (unlike AQP4 positive disease).</w:t>
            </w:r>
          </w:p>
        </w:tc>
      </w:tr>
      <w:tr w:rsidR="00176B2C" w:rsidRPr="00853117" w:rsidTr="0088516F">
        <w:trPr>
          <w:trHeight w:val="828"/>
        </w:trPr>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2268" w:type="dxa"/>
            <w:vMerge w:val="restart"/>
          </w:tcPr>
          <w:p w:rsidR="00447869" w:rsidRPr="00447869" w:rsidRDefault="00282F66" w:rsidP="00021243">
            <w:pPr>
              <w:spacing w:before="120" w:after="120"/>
              <w:rPr>
                <w:rFonts w:asciiTheme="minorHAnsi" w:hAnsiTheme="minorHAnsi"/>
                <w:b/>
              </w:rPr>
            </w:pPr>
            <w:r>
              <w:t xml:space="preserve"> </w:t>
            </w:r>
          </w:p>
        </w:tc>
        <w:tc>
          <w:tcPr>
            <w:tcW w:w="2126" w:type="dxa"/>
          </w:tcPr>
          <w:p w:rsidR="00447869" w:rsidRPr="00447869" w:rsidRDefault="00447869" w:rsidP="00021243">
            <w:pPr>
              <w:spacing w:before="120" w:after="120"/>
              <w:rPr>
                <w:rFonts w:asciiTheme="minorHAnsi" w:hAnsiTheme="minorHAnsi"/>
              </w:rPr>
            </w:pPr>
            <w:r w:rsidRPr="00447869">
              <w:rPr>
                <w:rFonts w:asciiTheme="minorHAnsi" w:hAnsiTheme="minorHAnsi"/>
              </w:rPr>
              <w:t>Yes</w:t>
            </w:r>
          </w:p>
        </w:tc>
        <w:tc>
          <w:tcPr>
            <w:tcW w:w="2126"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127" w:type="dxa"/>
          </w:tcPr>
          <w:p w:rsidR="00447869" w:rsidRPr="00447869" w:rsidRDefault="00853673" w:rsidP="00853673">
            <w:pPr>
              <w:spacing w:before="120" w:after="120"/>
              <w:jc w:val="center"/>
              <w:rPr>
                <w:rFonts w:asciiTheme="minorHAnsi" w:hAnsiTheme="minorHAnsi"/>
              </w:rPr>
            </w:pPr>
            <w:r>
              <w:rPr>
                <w:rFonts w:asciiTheme="minorHAnsi" w:hAnsiTheme="minorHAnsi"/>
              </w:rPr>
              <w:t>Neurology</w:t>
            </w:r>
          </w:p>
        </w:tc>
        <w:tc>
          <w:tcPr>
            <w:tcW w:w="4394" w:type="dxa"/>
            <w:vMerge w:val="restart"/>
          </w:tcPr>
          <w:p w:rsidR="00447869" w:rsidRPr="00C92149" w:rsidRDefault="007A4F3B" w:rsidP="008515FF">
            <w:pPr>
              <w:spacing w:before="120" w:after="120"/>
              <w:ind w:right="90"/>
              <w:rPr>
                <w:rFonts w:asciiTheme="minorHAnsi" w:hAnsiTheme="minorHAnsi"/>
                <w:szCs w:val="20"/>
              </w:rPr>
            </w:pPr>
            <w:r>
              <w:rPr>
                <w:rFonts w:asciiTheme="minorHAnsi" w:hAnsiTheme="minorHAnsi"/>
                <w:szCs w:val="20"/>
              </w:rPr>
              <w:t xml:space="preserve">This condition must now be diagnosed by a neurologist for access to Ig. The tests required to demonstrate disease severity are commonly used within this discipline. </w:t>
            </w:r>
          </w:p>
        </w:tc>
      </w:tr>
      <w:tr w:rsidR="00176B2C" w:rsidRPr="00853117" w:rsidTr="0088516F">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2268" w:type="dxa"/>
            <w:vMerge/>
          </w:tcPr>
          <w:p w:rsidR="00447869" w:rsidRPr="00447869" w:rsidRDefault="00447869" w:rsidP="00021243">
            <w:pPr>
              <w:spacing w:before="120" w:after="120"/>
              <w:rPr>
                <w:rFonts w:asciiTheme="minorHAnsi" w:hAnsiTheme="minorHAnsi"/>
              </w:rPr>
            </w:pPr>
          </w:p>
        </w:tc>
        <w:tc>
          <w:tcPr>
            <w:tcW w:w="2126" w:type="dxa"/>
          </w:tcPr>
          <w:p w:rsidR="00447869" w:rsidRPr="00447869" w:rsidRDefault="00447869" w:rsidP="00021243">
            <w:pPr>
              <w:spacing w:before="120" w:after="120"/>
              <w:rPr>
                <w:rFonts w:asciiTheme="minorHAnsi" w:hAnsiTheme="minorHAnsi"/>
              </w:rPr>
            </w:pPr>
            <w:r w:rsidRPr="00447869">
              <w:rPr>
                <w:rFonts w:asciiTheme="minorHAnsi" w:hAnsiTheme="minorHAnsi"/>
              </w:rPr>
              <w:t>No</w:t>
            </w:r>
          </w:p>
        </w:tc>
        <w:tc>
          <w:tcPr>
            <w:tcW w:w="2126"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127" w:type="dxa"/>
          </w:tcPr>
          <w:p w:rsidR="00447869" w:rsidRPr="00447869" w:rsidRDefault="00447869" w:rsidP="00021243">
            <w:pPr>
              <w:spacing w:before="120" w:after="120"/>
              <w:rPr>
                <w:rFonts w:asciiTheme="minorHAnsi" w:hAnsiTheme="minorHAnsi"/>
              </w:rPr>
            </w:pPr>
          </w:p>
        </w:tc>
        <w:tc>
          <w:tcPr>
            <w:tcW w:w="4394" w:type="dxa"/>
            <w:vMerge/>
          </w:tcPr>
          <w:p w:rsidR="00447869" w:rsidRPr="00C92149" w:rsidRDefault="00447869" w:rsidP="00021243">
            <w:pPr>
              <w:spacing w:before="120" w:after="120"/>
              <w:rPr>
                <w:rFonts w:asciiTheme="minorHAnsi" w:hAnsiTheme="minorHAnsi"/>
                <w:szCs w:val="20"/>
              </w:rPr>
            </w:pPr>
          </w:p>
        </w:tc>
      </w:tr>
      <w:tr w:rsidR="00447869" w:rsidRPr="00853117" w:rsidTr="00C92149">
        <w:tc>
          <w:tcPr>
            <w:tcW w:w="1560" w:type="dxa"/>
            <w:shd w:val="clear" w:color="auto" w:fill="D9D9D9" w:themeFill="background1" w:themeFillShade="D9"/>
          </w:tcPr>
          <w:p w:rsidR="00447869" w:rsidRPr="00447869" w:rsidRDefault="00447869" w:rsidP="00BA7639">
            <w:pPr>
              <w:spacing w:before="120" w:after="120"/>
              <w:rPr>
                <w:rFonts w:asciiTheme="minorHAnsi" w:hAnsiTheme="minorHAnsi"/>
              </w:rPr>
            </w:pPr>
            <w:r w:rsidRPr="00447869">
              <w:rPr>
                <w:rFonts w:asciiTheme="minorHAnsi" w:hAnsiTheme="minorHAnsi"/>
                <w:b/>
              </w:rPr>
              <w:t>Exclusion Criteria</w:t>
            </w:r>
          </w:p>
        </w:tc>
        <w:tc>
          <w:tcPr>
            <w:tcW w:w="2268" w:type="dxa"/>
          </w:tcPr>
          <w:p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6379" w:type="dxa"/>
            <w:gridSpan w:val="3"/>
          </w:tcPr>
          <w:p w:rsidR="00447869" w:rsidRPr="00447869" w:rsidRDefault="00447869" w:rsidP="00021243">
            <w:pPr>
              <w:spacing w:before="120" w:after="120"/>
              <w:rPr>
                <w:rFonts w:asciiTheme="minorHAnsi" w:hAnsiTheme="minorHAnsi"/>
                <w:strike/>
              </w:rPr>
            </w:pPr>
          </w:p>
        </w:tc>
        <w:tc>
          <w:tcPr>
            <w:tcW w:w="4394" w:type="dxa"/>
          </w:tcPr>
          <w:p w:rsidR="00447869" w:rsidRPr="00C92149" w:rsidRDefault="00447869" w:rsidP="003A1F9D">
            <w:pPr>
              <w:spacing w:before="120" w:after="120"/>
              <w:rPr>
                <w:rFonts w:asciiTheme="minorHAnsi" w:hAnsiTheme="minorHAnsi"/>
                <w:szCs w:val="20"/>
              </w:rPr>
            </w:pPr>
          </w:p>
        </w:tc>
      </w:tr>
      <w:tr w:rsidR="00021243" w:rsidRPr="00853117" w:rsidTr="00C92149">
        <w:tc>
          <w:tcPr>
            <w:tcW w:w="1560" w:type="dxa"/>
            <w:shd w:val="clear" w:color="auto" w:fill="D9D9D9" w:themeFill="background1" w:themeFillShade="D9"/>
          </w:tcPr>
          <w:p w:rsidR="00021243" w:rsidRPr="00E15DAA" w:rsidRDefault="00021243" w:rsidP="00E15DAA">
            <w:pPr>
              <w:rPr>
                <w:b/>
              </w:rPr>
            </w:pPr>
            <w:r w:rsidRPr="00E15DAA">
              <w:rPr>
                <w:b/>
              </w:rPr>
              <w:t>Qualifying Criteria</w:t>
            </w:r>
          </w:p>
        </w:tc>
        <w:tc>
          <w:tcPr>
            <w:tcW w:w="2268" w:type="dxa"/>
          </w:tcPr>
          <w:p w:rsidR="00021243" w:rsidRPr="00EB78FB" w:rsidRDefault="00021243" w:rsidP="00021243">
            <w:pPr>
              <w:pStyle w:val="Default"/>
              <w:spacing w:before="120" w:after="120"/>
              <w:rPr>
                <w:rFonts w:ascii="Calibri" w:hAnsi="Calibri"/>
                <w:b/>
                <w:sz w:val="22"/>
                <w:szCs w:val="22"/>
              </w:rPr>
            </w:pPr>
          </w:p>
          <w:p w:rsidR="00021243" w:rsidRPr="00447869" w:rsidRDefault="00021243" w:rsidP="00021243">
            <w:pPr>
              <w:spacing w:before="120" w:after="120"/>
              <w:rPr>
                <w:rFonts w:asciiTheme="minorHAnsi" w:hAnsiTheme="minorHAnsi"/>
              </w:rPr>
            </w:pPr>
          </w:p>
        </w:tc>
        <w:tc>
          <w:tcPr>
            <w:tcW w:w="6379" w:type="dxa"/>
            <w:gridSpan w:val="3"/>
          </w:tcPr>
          <w:p w:rsidR="00853673" w:rsidRPr="0088516F" w:rsidRDefault="00853673" w:rsidP="00853673">
            <w:pPr>
              <w:pStyle w:val="ListParagraph"/>
              <w:spacing w:before="100" w:beforeAutospacing="1"/>
              <w:ind w:left="34"/>
              <w:rPr>
                <w:rFonts w:asciiTheme="minorHAnsi" w:hAnsiTheme="minorHAnsi"/>
                <w:b/>
              </w:rPr>
            </w:pPr>
            <w:r w:rsidRPr="00853673">
              <w:rPr>
                <w:rFonts w:asciiTheme="minorHAnsi" w:hAnsiTheme="minorHAnsi"/>
                <w:b/>
              </w:rPr>
              <w:lastRenderedPageBreak/>
              <w:t xml:space="preserve">Acute relapse of NMOSD with significant disability and corticosteroids and/or plasmapheresis have failed, are </w:t>
            </w:r>
            <w:r w:rsidRPr="00853673">
              <w:rPr>
                <w:rFonts w:asciiTheme="minorHAnsi" w:hAnsiTheme="minorHAnsi"/>
                <w:b/>
              </w:rPr>
              <w:lastRenderedPageBreak/>
              <w:t>contraindicated or unavailable</w:t>
            </w:r>
          </w:p>
          <w:p w:rsidR="00880ECB" w:rsidRDefault="00853673" w:rsidP="00F331DF">
            <w:pPr>
              <w:pStyle w:val="ListParagraph"/>
              <w:numPr>
                <w:ilvl w:val="0"/>
                <w:numId w:val="47"/>
              </w:numPr>
              <w:spacing w:before="100" w:beforeAutospacing="1"/>
              <w:rPr>
                <w:rFonts w:asciiTheme="minorHAnsi" w:hAnsiTheme="minorHAnsi"/>
              </w:rPr>
            </w:pPr>
            <w:r w:rsidRPr="00853673">
              <w:rPr>
                <w:rFonts w:asciiTheme="minorHAnsi" w:hAnsiTheme="minorHAnsi"/>
              </w:rPr>
              <w:t>Diagnosis of NMOSD consistent with criteria of the International panel for NMO diagnosis and significant disability as measured by Expanded Disability Status Scale score of at least 2 points.</w:t>
            </w:r>
          </w:p>
          <w:p w:rsidR="00853673" w:rsidRDefault="00853673" w:rsidP="00853673">
            <w:pPr>
              <w:pStyle w:val="ListParagraph"/>
              <w:spacing w:before="100" w:beforeAutospacing="1"/>
              <w:rPr>
                <w:rFonts w:asciiTheme="minorHAnsi" w:hAnsiTheme="minorHAnsi"/>
              </w:rPr>
            </w:pPr>
          </w:p>
          <w:p w:rsidR="00853673" w:rsidRPr="00853673" w:rsidRDefault="00853673" w:rsidP="0088516F">
            <w:pPr>
              <w:pStyle w:val="ListParagraph"/>
              <w:spacing w:before="100" w:beforeAutospacing="1"/>
              <w:ind w:left="34"/>
              <w:rPr>
                <w:rFonts w:asciiTheme="minorHAnsi" w:hAnsiTheme="minorHAnsi"/>
              </w:rPr>
            </w:pPr>
            <w:r w:rsidRPr="00853673">
              <w:rPr>
                <w:rFonts w:asciiTheme="minorHAnsi" w:hAnsiTheme="minorHAnsi"/>
              </w:rPr>
              <w:t>AND</w:t>
            </w:r>
          </w:p>
          <w:p w:rsidR="0088516F" w:rsidRDefault="00853673" w:rsidP="0088516F">
            <w:pPr>
              <w:pStyle w:val="ListParagraph"/>
              <w:numPr>
                <w:ilvl w:val="0"/>
                <w:numId w:val="47"/>
              </w:numPr>
              <w:spacing w:before="100" w:beforeAutospacing="1"/>
              <w:rPr>
                <w:rFonts w:asciiTheme="minorHAnsi" w:hAnsiTheme="minorHAnsi"/>
              </w:rPr>
            </w:pPr>
            <w:r w:rsidRPr="00853673">
              <w:rPr>
                <w:rFonts w:asciiTheme="minorHAnsi" w:hAnsiTheme="minorHAnsi"/>
              </w:rPr>
              <w:t>Presence of  AQP4-IgG or MOG IgG antibodies</w:t>
            </w:r>
          </w:p>
          <w:p w:rsidR="00853673" w:rsidRPr="0088516F" w:rsidRDefault="00853673" w:rsidP="0088516F">
            <w:pPr>
              <w:pStyle w:val="ListParagraph"/>
              <w:spacing w:before="100" w:beforeAutospacing="1"/>
              <w:jc w:val="center"/>
              <w:rPr>
                <w:rFonts w:asciiTheme="minorHAnsi" w:hAnsiTheme="minorHAnsi"/>
              </w:rPr>
            </w:pPr>
            <w:r w:rsidRPr="0088516F">
              <w:rPr>
                <w:rFonts w:asciiTheme="minorHAnsi" w:hAnsiTheme="minorHAnsi"/>
              </w:rPr>
              <w:t>OR</w:t>
            </w:r>
          </w:p>
          <w:p w:rsidR="00853673" w:rsidRDefault="00853673" w:rsidP="00853673">
            <w:pPr>
              <w:pStyle w:val="ListParagraph"/>
              <w:numPr>
                <w:ilvl w:val="0"/>
                <w:numId w:val="47"/>
              </w:numPr>
              <w:spacing w:before="100" w:beforeAutospacing="1"/>
              <w:rPr>
                <w:rFonts w:asciiTheme="minorHAnsi" w:hAnsiTheme="minorHAnsi"/>
              </w:rPr>
            </w:pPr>
            <w:r w:rsidRPr="00853673">
              <w:rPr>
                <w:rFonts w:asciiTheme="minorHAnsi" w:hAnsiTheme="minorHAnsi"/>
              </w:rPr>
              <w:t>Diagnosis of sero-negative NMOSD or testing unavailable. (Note: Multiple Sclerosis has been excluded or is considered unlikely)</w:t>
            </w:r>
          </w:p>
          <w:p w:rsidR="00853673" w:rsidRPr="00853673" w:rsidRDefault="00853673" w:rsidP="0088516F">
            <w:pPr>
              <w:spacing w:before="100" w:beforeAutospacing="1"/>
              <w:rPr>
                <w:rFonts w:asciiTheme="minorHAnsi" w:hAnsiTheme="minorHAnsi"/>
              </w:rPr>
            </w:pPr>
            <w:r w:rsidRPr="00853673">
              <w:rPr>
                <w:rFonts w:asciiTheme="minorHAnsi" w:hAnsiTheme="minorHAnsi"/>
              </w:rPr>
              <w:t>AND</w:t>
            </w:r>
          </w:p>
          <w:p w:rsidR="0088516F" w:rsidRDefault="00853673" w:rsidP="0088516F">
            <w:pPr>
              <w:pStyle w:val="ListParagraph"/>
              <w:numPr>
                <w:ilvl w:val="0"/>
                <w:numId w:val="47"/>
              </w:numPr>
              <w:rPr>
                <w:rFonts w:asciiTheme="minorHAnsi" w:hAnsiTheme="minorHAnsi"/>
              </w:rPr>
            </w:pPr>
            <w:r w:rsidRPr="00853673">
              <w:rPr>
                <w:rFonts w:asciiTheme="minorHAnsi" w:hAnsiTheme="minorHAnsi"/>
              </w:rPr>
              <w:t>No clinical response has been achieved following standard steroid therapy.</w:t>
            </w:r>
          </w:p>
          <w:p w:rsidR="00853673" w:rsidRPr="0088516F" w:rsidRDefault="00853673" w:rsidP="0088516F">
            <w:pPr>
              <w:pStyle w:val="ListParagraph"/>
              <w:jc w:val="center"/>
              <w:rPr>
                <w:rFonts w:asciiTheme="minorHAnsi" w:hAnsiTheme="minorHAnsi"/>
              </w:rPr>
            </w:pPr>
            <w:r w:rsidRPr="0088516F">
              <w:rPr>
                <w:rFonts w:asciiTheme="minorHAnsi" w:hAnsiTheme="minorHAnsi"/>
              </w:rPr>
              <w:t>OR</w:t>
            </w:r>
          </w:p>
          <w:p w:rsidR="00853673" w:rsidRDefault="00853673" w:rsidP="00853673">
            <w:pPr>
              <w:pStyle w:val="ListParagraph"/>
              <w:numPr>
                <w:ilvl w:val="0"/>
                <w:numId w:val="47"/>
              </w:numPr>
              <w:spacing w:before="100" w:beforeAutospacing="1"/>
              <w:rPr>
                <w:rFonts w:asciiTheme="minorHAnsi" w:hAnsiTheme="minorHAnsi"/>
              </w:rPr>
            </w:pPr>
            <w:r w:rsidRPr="00853673">
              <w:rPr>
                <w:rFonts w:asciiTheme="minorHAnsi" w:hAnsiTheme="minorHAnsi"/>
              </w:rPr>
              <w:t>Steroid therapy is contraindicated</w:t>
            </w:r>
          </w:p>
          <w:p w:rsidR="00853673" w:rsidRPr="00853673" w:rsidRDefault="00853673" w:rsidP="0088516F">
            <w:pPr>
              <w:spacing w:before="100" w:beforeAutospacing="1"/>
              <w:rPr>
                <w:rFonts w:asciiTheme="minorHAnsi" w:hAnsiTheme="minorHAnsi"/>
              </w:rPr>
            </w:pPr>
            <w:r w:rsidRPr="00853673">
              <w:rPr>
                <w:rFonts w:asciiTheme="minorHAnsi" w:hAnsiTheme="minorHAnsi"/>
              </w:rPr>
              <w:t>AND</w:t>
            </w:r>
          </w:p>
          <w:p w:rsidR="0088516F" w:rsidRDefault="00853673" w:rsidP="0088516F">
            <w:pPr>
              <w:pStyle w:val="ListParagraph"/>
              <w:numPr>
                <w:ilvl w:val="0"/>
                <w:numId w:val="47"/>
              </w:numPr>
              <w:rPr>
                <w:rFonts w:asciiTheme="minorHAnsi" w:hAnsiTheme="minorHAnsi"/>
              </w:rPr>
            </w:pPr>
            <w:r w:rsidRPr="00853673">
              <w:rPr>
                <w:rFonts w:asciiTheme="minorHAnsi" w:hAnsiTheme="minorHAnsi"/>
              </w:rPr>
              <w:t>Plasmapheresis therapy is ineffective or contra-indicated</w:t>
            </w:r>
          </w:p>
          <w:p w:rsidR="00853673" w:rsidRPr="0088516F" w:rsidRDefault="00853673" w:rsidP="0088516F">
            <w:pPr>
              <w:pStyle w:val="ListParagraph"/>
              <w:jc w:val="center"/>
              <w:rPr>
                <w:rFonts w:asciiTheme="minorHAnsi" w:hAnsiTheme="minorHAnsi"/>
              </w:rPr>
            </w:pPr>
            <w:r w:rsidRPr="0088516F">
              <w:rPr>
                <w:rFonts w:asciiTheme="minorHAnsi" w:hAnsiTheme="minorHAnsi"/>
              </w:rPr>
              <w:t>OR</w:t>
            </w:r>
          </w:p>
          <w:p w:rsidR="00F331DF" w:rsidRPr="0088516F" w:rsidRDefault="00853673" w:rsidP="00853673">
            <w:pPr>
              <w:pStyle w:val="ListParagraph"/>
              <w:numPr>
                <w:ilvl w:val="0"/>
                <w:numId w:val="47"/>
              </w:numPr>
              <w:spacing w:before="100" w:beforeAutospacing="1"/>
              <w:rPr>
                <w:rFonts w:asciiTheme="minorHAnsi" w:hAnsiTheme="minorHAnsi"/>
              </w:rPr>
            </w:pPr>
            <w:r w:rsidRPr="00853673">
              <w:rPr>
                <w:rFonts w:asciiTheme="minorHAnsi" w:hAnsiTheme="minorHAnsi"/>
              </w:rPr>
              <w:t>Plasmapheresis treatment is unavailable</w:t>
            </w:r>
          </w:p>
          <w:p w:rsidR="00853673" w:rsidRPr="00853673" w:rsidRDefault="00853673" w:rsidP="00853673">
            <w:pPr>
              <w:spacing w:before="100" w:beforeAutospacing="1"/>
              <w:rPr>
                <w:rFonts w:asciiTheme="minorHAnsi" w:hAnsiTheme="minorHAnsi"/>
                <w:b/>
              </w:rPr>
            </w:pPr>
            <w:r w:rsidRPr="00853673">
              <w:rPr>
                <w:rFonts w:asciiTheme="minorHAnsi" w:hAnsiTheme="minorHAnsi"/>
                <w:b/>
              </w:rPr>
              <w:t>Further significant relapse post Ig therapy with significant disability and resistant to corticosteroids and other immunosuppressant agents</w:t>
            </w:r>
          </w:p>
          <w:p w:rsidR="00853673" w:rsidRDefault="00853673" w:rsidP="00853673">
            <w:pPr>
              <w:pStyle w:val="ListParagraph"/>
              <w:numPr>
                <w:ilvl w:val="0"/>
                <w:numId w:val="47"/>
              </w:numPr>
              <w:spacing w:before="100" w:beforeAutospacing="1"/>
              <w:rPr>
                <w:rFonts w:asciiTheme="minorHAnsi" w:hAnsiTheme="minorHAnsi"/>
              </w:rPr>
            </w:pPr>
            <w:r w:rsidRPr="00853673">
              <w:rPr>
                <w:rFonts w:asciiTheme="minorHAnsi" w:hAnsiTheme="minorHAnsi"/>
              </w:rPr>
              <w:t xml:space="preserve">Diagnosis is consistent with criteria of the International panel for NMO diagnosis and further relapse with significant disability as measured by Expanded Disability Status Scale </w:t>
            </w:r>
            <w:r w:rsidRPr="00853673">
              <w:rPr>
                <w:rFonts w:asciiTheme="minorHAnsi" w:hAnsiTheme="minorHAnsi"/>
              </w:rPr>
              <w:lastRenderedPageBreak/>
              <w:t>score of at least 2 points.</w:t>
            </w:r>
          </w:p>
          <w:p w:rsidR="00853673" w:rsidRPr="00853673" w:rsidRDefault="00853673" w:rsidP="0088516F">
            <w:pPr>
              <w:spacing w:before="100" w:beforeAutospacing="1"/>
              <w:rPr>
                <w:rFonts w:asciiTheme="minorHAnsi" w:hAnsiTheme="minorHAnsi"/>
              </w:rPr>
            </w:pPr>
            <w:r>
              <w:rPr>
                <w:rFonts w:asciiTheme="minorHAnsi" w:hAnsiTheme="minorHAnsi"/>
              </w:rPr>
              <w:t>AND</w:t>
            </w:r>
          </w:p>
          <w:p w:rsidR="00853673" w:rsidRDefault="00853673" w:rsidP="00E15DAA">
            <w:pPr>
              <w:pStyle w:val="ListParagraph"/>
              <w:numPr>
                <w:ilvl w:val="0"/>
                <w:numId w:val="47"/>
              </w:numPr>
              <w:rPr>
                <w:rFonts w:asciiTheme="minorHAnsi" w:hAnsiTheme="minorHAnsi"/>
              </w:rPr>
            </w:pPr>
            <w:r w:rsidRPr="00853673">
              <w:rPr>
                <w:rFonts w:asciiTheme="minorHAnsi" w:hAnsiTheme="minorHAnsi"/>
              </w:rPr>
              <w:t xml:space="preserve">Improvement was demonstrated in the severity of symptoms and degree of disability following Ig treatment as measured by EDSS compared to the pre-treatment qualifying assessment  </w:t>
            </w:r>
          </w:p>
          <w:p w:rsidR="00853673" w:rsidRPr="00853673" w:rsidRDefault="00853673" w:rsidP="0088516F">
            <w:pPr>
              <w:spacing w:before="100" w:beforeAutospacing="1"/>
              <w:rPr>
                <w:rFonts w:asciiTheme="minorHAnsi" w:hAnsiTheme="minorHAnsi"/>
              </w:rPr>
            </w:pPr>
            <w:r w:rsidRPr="00853673">
              <w:rPr>
                <w:rFonts w:asciiTheme="minorHAnsi" w:hAnsiTheme="minorHAnsi"/>
              </w:rPr>
              <w:t>AND</w:t>
            </w:r>
          </w:p>
          <w:p w:rsidR="00853673" w:rsidRDefault="00853673" w:rsidP="00E15DAA">
            <w:pPr>
              <w:pStyle w:val="ListParagraph"/>
              <w:numPr>
                <w:ilvl w:val="0"/>
                <w:numId w:val="47"/>
              </w:numPr>
              <w:rPr>
                <w:rFonts w:asciiTheme="minorHAnsi" w:hAnsiTheme="minorHAnsi"/>
              </w:rPr>
            </w:pPr>
            <w:r w:rsidRPr="00853673">
              <w:rPr>
                <w:rFonts w:asciiTheme="minorHAnsi" w:hAnsiTheme="minorHAnsi"/>
              </w:rPr>
              <w:t>No clinical response has been achieved following standard steroid therapy.</w:t>
            </w:r>
          </w:p>
          <w:p w:rsidR="00853673" w:rsidRDefault="00853673" w:rsidP="00E15DAA">
            <w:pPr>
              <w:jc w:val="center"/>
              <w:rPr>
                <w:rFonts w:asciiTheme="minorHAnsi" w:hAnsiTheme="minorHAnsi"/>
              </w:rPr>
            </w:pPr>
            <w:r w:rsidRPr="00853673">
              <w:rPr>
                <w:rFonts w:asciiTheme="minorHAnsi" w:hAnsiTheme="minorHAnsi"/>
              </w:rPr>
              <w:t>OR</w:t>
            </w:r>
          </w:p>
          <w:p w:rsidR="00853673" w:rsidRDefault="00853673" w:rsidP="00E15DAA">
            <w:pPr>
              <w:pStyle w:val="ListParagraph"/>
              <w:numPr>
                <w:ilvl w:val="0"/>
                <w:numId w:val="47"/>
              </w:numPr>
              <w:spacing w:before="120" w:after="120"/>
              <w:ind w:left="714" w:hanging="357"/>
              <w:rPr>
                <w:rFonts w:asciiTheme="minorHAnsi" w:hAnsiTheme="minorHAnsi"/>
              </w:rPr>
            </w:pPr>
            <w:r w:rsidRPr="00853673">
              <w:rPr>
                <w:rFonts w:asciiTheme="minorHAnsi" w:hAnsiTheme="minorHAnsi"/>
              </w:rPr>
              <w:t>Steroid therapy is contraindicated</w:t>
            </w:r>
          </w:p>
          <w:p w:rsidR="00853673" w:rsidRPr="00853673" w:rsidRDefault="00853673" w:rsidP="0088516F">
            <w:pPr>
              <w:rPr>
                <w:rFonts w:asciiTheme="minorHAnsi" w:hAnsiTheme="minorHAnsi"/>
              </w:rPr>
            </w:pPr>
            <w:r w:rsidRPr="00853673">
              <w:rPr>
                <w:rFonts w:asciiTheme="minorHAnsi" w:hAnsiTheme="minorHAnsi"/>
              </w:rPr>
              <w:t>AND</w:t>
            </w:r>
          </w:p>
          <w:p w:rsidR="00853673" w:rsidRDefault="00853673" w:rsidP="00E15DAA">
            <w:pPr>
              <w:pStyle w:val="ListParagraph"/>
              <w:numPr>
                <w:ilvl w:val="0"/>
                <w:numId w:val="47"/>
              </w:numPr>
              <w:rPr>
                <w:rFonts w:asciiTheme="minorHAnsi" w:hAnsiTheme="minorHAnsi"/>
              </w:rPr>
            </w:pPr>
            <w:r w:rsidRPr="00853673">
              <w:rPr>
                <w:rFonts w:asciiTheme="minorHAnsi" w:hAnsiTheme="minorHAnsi"/>
              </w:rPr>
              <w:t>No clinical response following treatment with prolonged plasma exchange and/or at least 2  Immunosuppressant agents</w:t>
            </w:r>
          </w:p>
          <w:p w:rsidR="00BA7639" w:rsidRPr="00853673" w:rsidRDefault="00853673" w:rsidP="00E15DAA">
            <w:pPr>
              <w:spacing w:before="100" w:beforeAutospacing="1" w:after="100" w:afterAutospacing="1"/>
              <w:rPr>
                <w:rFonts w:asciiTheme="minorHAnsi" w:hAnsiTheme="minorHAnsi"/>
                <w:b/>
              </w:rPr>
            </w:pPr>
            <w:r w:rsidRPr="00853673">
              <w:rPr>
                <w:rFonts w:asciiTheme="minorHAnsi" w:hAnsiTheme="minorHAnsi"/>
                <w:b/>
              </w:rPr>
              <w:t>Ig therapy for steroid resistant NMOSD is recommended to be used as combination therapy</w:t>
            </w:r>
          </w:p>
        </w:tc>
        <w:tc>
          <w:tcPr>
            <w:tcW w:w="4394" w:type="dxa"/>
          </w:tcPr>
          <w:p w:rsidR="00880ECB" w:rsidRDefault="00282F66" w:rsidP="00E15DAA">
            <w:pPr>
              <w:spacing w:after="120"/>
              <w:rPr>
                <w:rFonts w:asciiTheme="minorHAnsi" w:hAnsiTheme="minorHAnsi"/>
                <w:szCs w:val="20"/>
              </w:rPr>
            </w:pPr>
            <w:r w:rsidRPr="009208EC">
              <w:rPr>
                <w:szCs w:val="20"/>
              </w:rPr>
              <w:lastRenderedPageBreak/>
              <w:t xml:space="preserve"> </w:t>
            </w:r>
            <w:r w:rsidR="00F42E61">
              <w:rPr>
                <w:rFonts w:asciiTheme="minorHAnsi" w:hAnsiTheme="minorHAnsi"/>
                <w:szCs w:val="20"/>
              </w:rPr>
              <w:t xml:space="preserve">Evidence items supporting the criteria include confirming compliance with the diagnostic </w:t>
            </w:r>
            <w:r w:rsidR="00F42E61">
              <w:rPr>
                <w:rFonts w:asciiTheme="minorHAnsi" w:hAnsiTheme="minorHAnsi"/>
                <w:szCs w:val="20"/>
              </w:rPr>
              <w:lastRenderedPageBreak/>
              <w:t>criteria as determined by international consensus in 2015</w:t>
            </w:r>
            <w:r w:rsidR="008D3B4A">
              <w:rPr>
                <w:rFonts w:asciiTheme="minorHAnsi" w:hAnsiTheme="minorHAnsi"/>
                <w:szCs w:val="20"/>
              </w:rPr>
              <w:t xml:space="preserve"> (Wingerchuk et al</w:t>
            </w:r>
            <w:r w:rsidR="00E15DAA">
              <w:rPr>
                <w:rFonts w:asciiTheme="minorHAnsi" w:hAnsiTheme="minorHAnsi"/>
                <w:szCs w:val="20"/>
              </w:rPr>
              <w:t xml:space="preserve">, 2015) </w:t>
            </w:r>
            <w:r w:rsidR="00F42E61">
              <w:rPr>
                <w:rFonts w:asciiTheme="minorHAnsi" w:hAnsiTheme="minorHAnsi"/>
                <w:szCs w:val="20"/>
              </w:rPr>
              <w:t xml:space="preserve">and a text description of the key symptoms. Standardisation of the assessment method for the level of disability has been defined and will be accessible within BloodSTAR. </w:t>
            </w:r>
          </w:p>
          <w:p w:rsidR="00F42E61" w:rsidRDefault="00F42E61"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88516F" w:rsidRDefault="0088516F"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r>
              <w:rPr>
                <w:rFonts w:asciiTheme="minorHAnsi" w:hAnsiTheme="minorHAnsi"/>
                <w:szCs w:val="20"/>
              </w:rPr>
              <w:t xml:space="preserve">Consistency with the required diagnostic criteria is confirmed. </w:t>
            </w:r>
          </w:p>
          <w:p w:rsidR="00BA7639" w:rsidRDefault="00BA7639" w:rsidP="003A1F9D">
            <w:pPr>
              <w:spacing w:before="120" w:after="120"/>
              <w:rPr>
                <w:rFonts w:asciiTheme="minorHAnsi" w:hAnsiTheme="minorHAnsi"/>
                <w:szCs w:val="20"/>
              </w:rPr>
            </w:pPr>
          </w:p>
          <w:p w:rsidR="00F42E61" w:rsidRDefault="00F42E61"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88516F" w:rsidRDefault="0088516F"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r>
              <w:rPr>
                <w:rFonts w:asciiTheme="minorHAnsi" w:hAnsiTheme="minorHAnsi"/>
                <w:szCs w:val="20"/>
              </w:rPr>
              <w:t xml:space="preserve">Confirmation that the patient did respond to previous Ig therapy. </w:t>
            </w: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Default="00BA7639" w:rsidP="003A1F9D">
            <w:pPr>
              <w:spacing w:before="120" w:after="120"/>
              <w:rPr>
                <w:rFonts w:asciiTheme="minorHAnsi" w:hAnsiTheme="minorHAnsi"/>
                <w:szCs w:val="20"/>
              </w:rPr>
            </w:pPr>
          </w:p>
          <w:p w:rsidR="00BA7639" w:rsidRPr="00C92149" w:rsidRDefault="00BA7639" w:rsidP="00BA7639">
            <w:pPr>
              <w:spacing w:before="120" w:after="120"/>
              <w:rPr>
                <w:rFonts w:asciiTheme="minorHAnsi" w:hAnsiTheme="minorHAnsi"/>
                <w:szCs w:val="20"/>
              </w:rPr>
            </w:pPr>
            <w:r>
              <w:rPr>
                <w:rFonts w:asciiTheme="minorHAnsi" w:hAnsiTheme="minorHAnsi"/>
                <w:szCs w:val="20"/>
              </w:rPr>
              <w:t>Script advising that Ig therapy should be used in combination with immunosup</w:t>
            </w:r>
            <w:r w:rsidR="001863E7">
              <w:rPr>
                <w:rFonts w:asciiTheme="minorHAnsi" w:hAnsiTheme="minorHAnsi"/>
                <w:szCs w:val="20"/>
              </w:rPr>
              <w:t>p</w:t>
            </w:r>
            <w:r>
              <w:rPr>
                <w:rFonts w:asciiTheme="minorHAnsi" w:hAnsiTheme="minorHAnsi"/>
                <w:szCs w:val="20"/>
              </w:rPr>
              <w:t xml:space="preserve">ressant medications. </w:t>
            </w:r>
          </w:p>
        </w:tc>
      </w:tr>
      <w:tr w:rsidR="00021243" w:rsidRPr="00853117" w:rsidTr="00C92149">
        <w:tc>
          <w:tcPr>
            <w:tcW w:w="1560" w:type="dxa"/>
            <w:shd w:val="clear" w:color="auto" w:fill="D9D9D9" w:themeFill="background1" w:themeFillShade="D9"/>
          </w:tcPr>
          <w:p w:rsidR="00021243" w:rsidRPr="00E15DAA" w:rsidRDefault="00021243" w:rsidP="00E15DAA">
            <w:pPr>
              <w:rPr>
                <w:b/>
              </w:rPr>
            </w:pPr>
            <w:r w:rsidRPr="00E15DAA">
              <w:rPr>
                <w:b/>
              </w:rPr>
              <w:lastRenderedPageBreak/>
              <w:t>Review Criteria</w:t>
            </w:r>
          </w:p>
        </w:tc>
        <w:tc>
          <w:tcPr>
            <w:tcW w:w="2268" w:type="dxa"/>
          </w:tcPr>
          <w:p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rsidR="00021243" w:rsidRPr="00447869" w:rsidRDefault="00021243" w:rsidP="00021243">
            <w:pPr>
              <w:spacing w:before="120" w:after="120"/>
              <w:rPr>
                <w:rFonts w:asciiTheme="minorHAnsi" w:hAnsiTheme="minorHAnsi"/>
              </w:rPr>
            </w:pPr>
          </w:p>
        </w:tc>
        <w:tc>
          <w:tcPr>
            <w:tcW w:w="6379" w:type="dxa"/>
            <w:gridSpan w:val="3"/>
          </w:tcPr>
          <w:p w:rsidR="00853673" w:rsidRPr="00853673" w:rsidRDefault="00282F66" w:rsidP="00853673">
            <w:pPr>
              <w:spacing w:before="120" w:after="120"/>
              <w:rPr>
                <w:b/>
              </w:rPr>
            </w:pPr>
            <w:r>
              <w:rPr>
                <w:b/>
              </w:rPr>
              <w:t xml:space="preserve"> </w:t>
            </w:r>
            <w:r w:rsidR="00853673" w:rsidRPr="00853673">
              <w:rPr>
                <w:b/>
              </w:rPr>
              <w:t>Acute relapse of NMOSD with significant disability and corticosteroids and/or plasmapheresis have failed, are contraindicated or unavailable</w:t>
            </w:r>
          </w:p>
          <w:p w:rsidR="00853673" w:rsidRPr="00853673" w:rsidRDefault="00853673" w:rsidP="0088516F">
            <w:pPr>
              <w:tabs>
                <w:tab w:val="left" w:pos="4650"/>
              </w:tabs>
            </w:pPr>
            <w:r w:rsidRPr="00853673">
              <w:t xml:space="preserve">Review is not mandated for this condition. </w:t>
            </w:r>
          </w:p>
          <w:p w:rsidR="00853673" w:rsidRPr="00853673" w:rsidRDefault="00853673" w:rsidP="00853673">
            <w:pPr>
              <w:spacing w:before="120" w:after="120"/>
            </w:pPr>
            <w:r w:rsidRPr="00853673">
              <w:t xml:space="preserve">Clinical effectiveness of Ig therapy can be demonstrated by: </w:t>
            </w:r>
          </w:p>
          <w:p w:rsidR="00021243" w:rsidRPr="00853673" w:rsidRDefault="00853673" w:rsidP="00853673">
            <w:pPr>
              <w:pStyle w:val="ListParagraph"/>
              <w:numPr>
                <w:ilvl w:val="0"/>
                <w:numId w:val="47"/>
              </w:numPr>
              <w:spacing w:before="120" w:after="120"/>
              <w:rPr>
                <w:rFonts w:asciiTheme="minorHAnsi" w:eastAsia="Times New Roman" w:hAnsiTheme="minorHAnsi" w:cs="Times New Roman"/>
                <w:color w:val="000000"/>
                <w:lang w:eastAsia="en-AU"/>
              </w:rPr>
            </w:pPr>
            <w:r w:rsidRPr="00853673">
              <w:t xml:space="preserve">Post Ig treatment improvement in the severity of symptoms and degree of disability as assessed by EDSS compared to </w:t>
            </w:r>
            <w:r w:rsidRPr="00853673">
              <w:lastRenderedPageBreak/>
              <w:t>the qualifying assessment</w:t>
            </w:r>
          </w:p>
          <w:p w:rsidR="00853673" w:rsidRPr="00853673" w:rsidRDefault="00853673" w:rsidP="00853673">
            <w:pPr>
              <w:pStyle w:val="ListParagraph"/>
              <w:spacing w:before="120" w:after="120"/>
              <w:rPr>
                <w:rFonts w:asciiTheme="minorHAnsi" w:eastAsia="Times New Roman" w:hAnsiTheme="minorHAnsi" w:cs="Times New Roman"/>
                <w:color w:val="000000"/>
                <w:lang w:eastAsia="en-AU"/>
              </w:rPr>
            </w:pPr>
          </w:p>
          <w:p w:rsidR="00853673" w:rsidRDefault="00853673" w:rsidP="00853673">
            <w:pPr>
              <w:spacing w:before="120" w:after="120"/>
            </w:pPr>
            <w:r w:rsidRPr="00853673">
              <w:rPr>
                <w:b/>
              </w:rPr>
              <w:t>Further significant relapse post Ig therapy with significant disability and resistant to corticosteroids and other immunosuppressant agents</w:t>
            </w:r>
          </w:p>
          <w:p w:rsidR="00853673" w:rsidRDefault="000611ED" w:rsidP="00853673">
            <w:pPr>
              <w:spacing w:before="120" w:after="120"/>
            </w:pPr>
            <w:r>
              <w:t>Review by a N</w:t>
            </w:r>
            <w:r w:rsidR="00853673">
              <w:t xml:space="preserve">eurologist is required within 6 months of treatment and six monthly thereafter. Documentation of clinical effectiveness is necessary for continuation of Ig therapy.  </w:t>
            </w:r>
          </w:p>
          <w:p w:rsidR="00F331DF" w:rsidRDefault="00F331DF" w:rsidP="00853673">
            <w:pPr>
              <w:spacing w:before="120" w:after="120"/>
            </w:pPr>
          </w:p>
          <w:p w:rsidR="00853673" w:rsidRPr="00E15DAA" w:rsidRDefault="00853673" w:rsidP="00853673">
            <w:pPr>
              <w:spacing w:before="120" w:after="120"/>
              <w:rPr>
                <w:b/>
              </w:rPr>
            </w:pPr>
            <w:r w:rsidRPr="00E15DAA">
              <w:rPr>
                <w:b/>
              </w:rPr>
              <w:t>On review of the initial authorisation period</w:t>
            </w:r>
          </w:p>
          <w:p w:rsidR="00853673" w:rsidRDefault="00853673" w:rsidP="00853673">
            <w:pPr>
              <w:spacing w:before="120" w:after="120"/>
            </w:pPr>
            <w:r>
              <w:t xml:space="preserve">Clinical effectiveness of Ig therapy can be demonstrated by: </w:t>
            </w:r>
          </w:p>
          <w:p w:rsidR="00021243" w:rsidRDefault="00853673" w:rsidP="00853673">
            <w:pPr>
              <w:pStyle w:val="ListParagraph"/>
              <w:numPr>
                <w:ilvl w:val="0"/>
                <w:numId w:val="47"/>
              </w:numPr>
              <w:spacing w:before="120" w:after="120"/>
            </w:pPr>
            <w:r>
              <w:t>Post Ig treatment improvement in the severity of symptoms and degree of disability as assessed by EDSS compared to qualifying</w:t>
            </w:r>
          </w:p>
          <w:p w:rsidR="00F331DF" w:rsidRDefault="00F331DF" w:rsidP="00F331DF">
            <w:pPr>
              <w:pStyle w:val="ListParagraph"/>
              <w:spacing w:before="120" w:after="120"/>
            </w:pPr>
          </w:p>
          <w:p w:rsidR="00F331DF" w:rsidRPr="00E15DAA" w:rsidRDefault="00853673" w:rsidP="00853673">
            <w:pPr>
              <w:spacing w:before="120" w:after="120"/>
              <w:rPr>
                <w:rFonts w:asciiTheme="minorHAnsi" w:hAnsiTheme="minorHAnsi"/>
                <w:b/>
              </w:rPr>
            </w:pPr>
            <w:r w:rsidRPr="00E15DAA">
              <w:rPr>
                <w:rFonts w:asciiTheme="minorHAnsi" w:hAnsiTheme="minorHAnsi"/>
                <w:b/>
              </w:rPr>
              <w:t>On review of a continuing authorisation period</w:t>
            </w:r>
          </w:p>
          <w:p w:rsidR="00853673" w:rsidRPr="00853673" w:rsidRDefault="00853673" w:rsidP="00853673">
            <w:pPr>
              <w:spacing w:before="120" w:after="120"/>
              <w:rPr>
                <w:rFonts w:asciiTheme="minorHAnsi" w:hAnsiTheme="minorHAnsi"/>
              </w:rPr>
            </w:pPr>
            <w:r w:rsidRPr="00853673">
              <w:rPr>
                <w:rFonts w:asciiTheme="minorHAnsi" w:hAnsiTheme="minorHAnsi"/>
              </w:rPr>
              <w:t xml:space="preserve">Clinical effectiveness of Ig therapy can be demonstrated by: </w:t>
            </w:r>
          </w:p>
          <w:p w:rsidR="00021243" w:rsidRDefault="00853673" w:rsidP="00853673">
            <w:pPr>
              <w:pStyle w:val="ListParagraph"/>
              <w:numPr>
                <w:ilvl w:val="0"/>
                <w:numId w:val="47"/>
              </w:numPr>
              <w:spacing w:before="120" w:after="120"/>
              <w:rPr>
                <w:rFonts w:asciiTheme="minorHAnsi" w:hAnsiTheme="minorHAnsi"/>
              </w:rPr>
            </w:pPr>
            <w:r w:rsidRPr="00853673">
              <w:rPr>
                <w:rFonts w:asciiTheme="minorHAnsi" w:hAnsiTheme="minorHAnsi"/>
              </w:rPr>
              <w:t>Improvement in the severity of symptoms and degree of disability as assessed by EDSS compared to the previous review</w:t>
            </w:r>
          </w:p>
          <w:p w:rsidR="00853673" w:rsidRPr="00853673" w:rsidRDefault="00853673" w:rsidP="0088516F">
            <w:pPr>
              <w:spacing w:before="120" w:after="120"/>
              <w:rPr>
                <w:rFonts w:asciiTheme="minorHAnsi" w:hAnsiTheme="minorHAnsi"/>
              </w:rPr>
            </w:pPr>
            <w:r w:rsidRPr="00853673">
              <w:rPr>
                <w:rFonts w:asciiTheme="minorHAnsi" w:hAnsiTheme="minorHAnsi"/>
              </w:rPr>
              <w:t>AND</w:t>
            </w:r>
          </w:p>
          <w:p w:rsidR="00853673" w:rsidRPr="0088516F" w:rsidRDefault="00853673" w:rsidP="0088516F">
            <w:pPr>
              <w:pStyle w:val="ListParagraph"/>
              <w:numPr>
                <w:ilvl w:val="0"/>
                <w:numId w:val="47"/>
              </w:numPr>
              <w:spacing w:before="120" w:after="120"/>
              <w:rPr>
                <w:rFonts w:asciiTheme="minorHAnsi" w:hAnsiTheme="minorHAnsi"/>
              </w:rPr>
            </w:pPr>
            <w:r w:rsidRPr="0088516F">
              <w:rPr>
                <w:rFonts w:asciiTheme="minorHAnsi" w:hAnsiTheme="minorHAnsi"/>
              </w:rPr>
              <w:t>A trial of Ig  weaning is planned for clinically stable patients to identify those in remission, or a valid reason provided as to why a trial is not planned or is contraindicated at this time</w:t>
            </w:r>
          </w:p>
          <w:p w:rsidR="00853673" w:rsidRPr="00853673" w:rsidRDefault="00853673" w:rsidP="00853673">
            <w:pPr>
              <w:spacing w:before="120" w:after="120"/>
              <w:rPr>
                <w:rFonts w:asciiTheme="minorHAnsi" w:hAnsiTheme="minorHAnsi"/>
                <w:b/>
              </w:rPr>
            </w:pPr>
            <w:r w:rsidRPr="00853673">
              <w:rPr>
                <w:rFonts w:asciiTheme="minorHAnsi" w:hAnsiTheme="minorHAnsi"/>
                <w:b/>
              </w:rPr>
              <w:t xml:space="preserve">A trial of Ig weaning should be considered annually in stable </w:t>
            </w:r>
            <w:r w:rsidRPr="00853673">
              <w:rPr>
                <w:rFonts w:asciiTheme="minorHAnsi" w:hAnsiTheme="minorHAnsi"/>
                <w:b/>
              </w:rPr>
              <w:lastRenderedPageBreak/>
              <w:t>patients on maintenance therapy to identify patients who are in remission.</w:t>
            </w:r>
          </w:p>
        </w:tc>
        <w:tc>
          <w:tcPr>
            <w:tcW w:w="4394" w:type="dxa"/>
          </w:tcPr>
          <w:p w:rsidR="00BD6C2D" w:rsidRDefault="003C6DE3" w:rsidP="005351C3">
            <w:pPr>
              <w:spacing w:before="120" w:after="120"/>
              <w:rPr>
                <w:rFonts w:asciiTheme="minorHAnsi" w:hAnsiTheme="minorHAnsi"/>
                <w:szCs w:val="20"/>
              </w:rPr>
            </w:pPr>
            <w:r>
              <w:rPr>
                <w:rFonts w:asciiTheme="minorHAnsi" w:hAnsiTheme="minorHAnsi"/>
                <w:szCs w:val="20"/>
              </w:rPr>
              <w:lastRenderedPageBreak/>
              <w:t>Review is not required for the first indication as one-off treatment is given. Outcome measures have been defined</w:t>
            </w:r>
            <w:r w:rsidR="005351C3">
              <w:rPr>
                <w:rFonts w:asciiTheme="minorHAnsi" w:hAnsiTheme="minorHAnsi"/>
                <w:szCs w:val="20"/>
              </w:rPr>
              <w:t xml:space="preserve">. </w:t>
            </w:r>
          </w:p>
          <w:p w:rsidR="003C6DE3" w:rsidRDefault="003C6DE3" w:rsidP="005351C3">
            <w:pPr>
              <w:spacing w:before="120" w:after="120"/>
              <w:rPr>
                <w:rFonts w:asciiTheme="minorHAnsi" w:hAnsiTheme="minorHAnsi"/>
                <w:szCs w:val="20"/>
              </w:rPr>
            </w:pPr>
          </w:p>
          <w:p w:rsidR="003C6DE3" w:rsidRDefault="003C6DE3" w:rsidP="005351C3">
            <w:pPr>
              <w:spacing w:before="120" w:after="120"/>
              <w:rPr>
                <w:rFonts w:asciiTheme="minorHAnsi" w:hAnsiTheme="minorHAnsi"/>
                <w:szCs w:val="20"/>
              </w:rPr>
            </w:pPr>
          </w:p>
          <w:p w:rsidR="003C6DE3" w:rsidRDefault="003C6DE3" w:rsidP="005351C3">
            <w:pPr>
              <w:spacing w:before="120" w:after="120"/>
              <w:rPr>
                <w:rFonts w:asciiTheme="minorHAnsi" w:hAnsiTheme="minorHAnsi"/>
                <w:szCs w:val="20"/>
              </w:rPr>
            </w:pPr>
          </w:p>
          <w:p w:rsidR="003C6DE3" w:rsidRDefault="003C6DE3" w:rsidP="005351C3">
            <w:pPr>
              <w:spacing w:before="120" w:after="120"/>
              <w:rPr>
                <w:rFonts w:asciiTheme="minorHAnsi" w:hAnsiTheme="minorHAnsi"/>
                <w:szCs w:val="20"/>
              </w:rPr>
            </w:pPr>
            <w:r>
              <w:rPr>
                <w:rFonts w:asciiTheme="minorHAnsi" w:hAnsiTheme="minorHAnsi"/>
                <w:szCs w:val="20"/>
              </w:rPr>
              <w:t xml:space="preserve">Once a patient has qualified for Ig therapy to </w:t>
            </w:r>
            <w:r>
              <w:rPr>
                <w:rFonts w:asciiTheme="minorHAnsi" w:hAnsiTheme="minorHAnsi"/>
                <w:szCs w:val="20"/>
              </w:rPr>
              <w:lastRenderedPageBreak/>
              <w:t xml:space="preserve">treat relapse, initial review at six months will confirm that a clinical response has been demonstrated by improvement in symptoms compared to the qualifying assessment and as assessed by an increase in EDSS Score of at least one full point. </w:t>
            </w:r>
          </w:p>
          <w:p w:rsidR="003C6DE3" w:rsidRDefault="003C6DE3" w:rsidP="005351C3">
            <w:pPr>
              <w:spacing w:before="120" w:after="120"/>
              <w:rPr>
                <w:rFonts w:asciiTheme="minorHAnsi" w:hAnsiTheme="minorHAnsi"/>
                <w:szCs w:val="20"/>
              </w:rPr>
            </w:pPr>
          </w:p>
          <w:p w:rsidR="007A3F6F" w:rsidRDefault="007A3F6F" w:rsidP="005351C3">
            <w:pPr>
              <w:spacing w:before="120" w:after="120"/>
              <w:rPr>
                <w:rFonts w:asciiTheme="minorHAnsi" w:hAnsiTheme="minorHAnsi"/>
                <w:szCs w:val="20"/>
              </w:rPr>
            </w:pPr>
          </w:p>
          <w:p w:rsidR="007A3F6F" w:rsidRDefault="007A3F6F" w:rsidP="005351C3">
            <w:pPr>
              <w:spacing w:before="120" w:after="120"/>
              <w:rPr>
                <w:rFonts w:asciiTheme="minorHAnsi" w:hAnsiTheme="minorHAnsi"/>
                <w:szCs w:val="20"/>
              </w:rPr>
            </w:pPr>
          </w:p>
          <w:p w:rsidR="007A3F6F" w:rsidRDefault="007A3F6F" w:rsidP="005351C3">
            <w:pPr>
              <w:spacing w:before="120" w:after="120"/>
              <w:rPr>
                <w:rFonts w:asciiTheme="minorHAnsi" w:hAnsiTheme="minorHAnsi"/>
                <w:szCs w:val="20"/>
              </w:rPr>
            </w:pPr>
          </w:p>
          <w:p w:rsidR="007A3F6F" w:rsidRDefault="007A3F6F" w:rsidP="005351C3">
            <w:pPr>
              <w:spacing w:before="120" w:after="120"/>
              <w:rPr>
                <w:rFonts w:asciiTheme="minorHAnsi" w:hAnsiTheme="minorHAnsi"/>
                <w:szCs w:val="20"/>
              </w:rPr>
            </w:pPr>
            <w:r>
              <w:rPr>
                <w:rFonts w:asciiTheme="minorHAnsi" w:hAnsiTheme="minorHAnsi"/>
                <w:szCs w:val="20"/>
              </w:rPr>
              <w:t xml:space="preserve">Further improvement needs to be demonstrated at the continuing review, six months later. </w:t>
            </w:r>
          </w:p>
          <w:p w:rsidR="007A3F6F" w:rsidRDefault="007A3F6F" w:rsidP="005351C3">
            <w:pPr>
              <w:spacing w:before="120" w:after="120"/>
              <w:rPr>
                <w:rFonts w:asciiTheme="minorHAnsi" w:hAnsiTheme="minorHAnsi"/>
                <w:szCs w:val="20"/>
              </w:rPr>
            </w:pPr>
          </w:p>
          <w:p w:rsidR="007A3F6F" w:rsidRPr="00C92149" w:rsidRDefault="0005110B" w:rsidP="0005110B">
            <w:pPr>
              <w:spacing w:before="120" w:after="120"/>
              <w:rPr>
                <w:rFonts w:asciiTheme="minorHAnsi" w:hAnsiTheme="minorHAnsi"/>
                <w:szCs w:val="20"/>
              </w:rPr>
            </w:pPr>
            <w:r>
              <w:rPr>
                <w:rFonts w:asciiTheme="minorHAnsi" w:hAnsiTheme="minorHAnsi"/>
                <w:szCs w:val="20"/>
              </w:rPr>
              <w:t xml:space="preserve">A trial of weaning has been defined for stable patients to identify patients in remission.  </w:t>
            </w:r>
          </w:p>
        </w:tc>
      </w:tr>
      <w:tr w:rsidR="00AF2B13" w:rsidRPr="00853117" w:rsidTr="00C92149">
        <w:tc>
          <w:tcPr>
            <w:tcW w:w="1560" w:type="dxa"/>
            <w:shd w:val="clear" w:color="auto" w:fill="D9D9D9" w:themeFill="background1" w:themeFillShade="D9"/>
          </w:tcPr>
          <w:p w:rsidR="00AF2B13" w:rsidRPr="003065D1" w:rsidRDefault="00AF2B13" w:rsidP="00AF2B13">
            <w:pPr>
              <w:rPr>
                <w:rFonts w:asciiTheme="minorHAnsi" w:hAnsiTheme="minorHAnsi"/>
                <w:b/>
              </w:rPr>
            </w:pPr>
            <w:r w:rsidRPr="003065D1">
              <w:rPr>
                <w:b/>
              </w:rPr>
              <w:lastRenderedPageBreak/>
              <w:t>Dose</w:t>
            </w:r>
          </w:p>
        </w:tc>
        <w:tc>
          <w:tcPr>
            <w:tcW w:w="2268" w:type="dxa"/>
          </w:tcPr>
          <w:p w:rsidR="00AF2B13" w:rsidRPr="00447869" w:rsidRDefault="00AF2B13" w:rsidP="00AF2B13">
            <w:pPr>
              <w:spacing w:before="120" w:after="120"/>
              <w:rPr>
                <w:rFonts w:asciiTheme="minorHAnsi" w:hAnsiTheme="minorHAnsi"/>
                <w:b/>
              </w:rPr>
            </w:pPr>
            <w:r>
              <w:rPr>
                <w:rFonts w:cs="DIN-Medium"/>
                <w:color w:val="000000"/>
                <w:sz w:val="18"/>
                <w:szCs w:val="18"/>
              </w:rPr>
              <w:t xml:space="preserve"> </w:t>
            </w:r>
          </w:p>
        </w:tc>
        <w:tc>
          <w:tcPr>
            <w:tcW w:w="6379" w:type="dxa"/>
            <w:gridSpan w:val="3"/>
          </w:tcPr>
          <w:p w:rsidR="00AF2B13" w:rsidRPr="00853673" w:rsidRDefault="00AF2B13" w:rsidP="00AF2B13">
            <w:pPr>
              <w:spacing w:before="120" w:after="120"/>
              <w:rPr>
                <w:rFonts w:asciiTheme="minorHAnsi" w:hAnsiTheme="minorHAnsi"/>
                <w:b/>
              </w:rPr>
            </w:pPr>
            <w:r w:rsidRPr="00853673">
              <w:rPr>
                <w:rFonts w:asciiTheme="minorHAnsi" w:hAnsiTheme="minorHAnsi"/>
                <w:b/>
              </w:rPr>
              <w:t>Acute relapse of NMOSD with significant disability and corticosteroids and/or plasmapheresis have failed, are contraindicated or unavailable</w:t>
            </w:r>
          </w:p>
          <w:p w:rsidR="00AF2B13" w:rsidRPr="00853673" w:rsidRDefault="00AF2B13" w:rsidP="00AF2B13">
            <w:pPr>
              <w:spacing w:before="120" w:after="120"/>
              <w:rPr>
                <w:rFonts w:asciiTheme="minorHAnsi" w:hAnsiTheme="minorHAnsi"/>
              </w:rPr>
            </w:pPr>
            <w:r w:rsidRPr="00E15DAA">
              <w:rPr>
                <w:rFonts w:asciiTheme="minorHAnsi" w:hAnsiTheme="minorHAnsi"/>
                <w:b/>
              </w:rPr>
              <w:t>Induction dose</w:t>
            </w:r>
            <w:r w:rsidRPr="00853673">
              <w:rPr>
                <w:rFonts w:asciiTheme="minorHAnsi" w:hAnsiTheme="minorHAnsi"/>
              </w:rPr>
              <w:t xml:space="preserve">– 2 g/kg in divided doses over 2 to 5 days  </w:t>
            </w:r>
          </w:p>
          <w:p w:rsidR="00AF2B13" w:rsidRPr="0088516F" w:rsidRDefault="00AF2B13" w:rsidP="00AF2B13">
            <w:pPr>
              <w:spacing w:before="120" w:after="120"/>
              <w:rPr>
                <w:rFonts w:asciiTheme="minorHAnsi" w:hAnsiTheme="minorHAnsi"/>
              </w:rPr>
            </w:pPr>
            <w:r w:rsidRPr="0088516F">
              <w:rPr>
                <w:rFonts w:asciiTheme="minorHAnsi" w:hAnsiTheme="minorHAnsi"/>
              </w:rPr>
              <w:t>The aim should be to use the lowest dose possible that achieves the appropriate clinical outcome for each patient.</w:t>
            </w:r>
          </w:p>
          <w:p w:rsidR="00AF2B13" w:rsidRPr="00E15DAA" w:rsidRDefault="00AF2B13" w:rsidP="00AF2B13">
            <w:pPr>
              <w:spacing w:before="120" w:after="120"/>
              <w:rPr>
                <w:rFonts w:asciiTheme="minorHAnsi" w:hAnsiTheme="minorHAnsi"/>
                <w:b/>
              </w:rPr>
            </w:pPr>
            <w:r w:rsidRPr="00E15DAA">
              <w:rPr>
                <w:rFonts w:asciiTheme="minorHAnsi" w:hAnsiTheme="minorHAnsi"/>
                <w:b/>
              </w:rPr>
              <w:t>Refer to the current product information sheet for further information</w:t>
            </w:r>
            <w:r>
              <w:rPr>
                <w:rFonts w:asciiTheme="minorHAnsi" w:hAnsiTheme="minorHAnsi"/>
                <w:b/>
              </w:rPr>
              <w:t xml:space="preserve"> on dose, administration and contraindications</w:t>
            </w:r>
            <w:r w:rsidRPr="00E15DAA">
              <w:rPr>
                <w:rFonts w:asciiTheme="minorHAnsi" w:hAnsiTheme="minorHAnsi"/>
                <w:b/>
              </w:rPr>
              <w:t>.</w:t>
            </w:r>
          </w:p>
          <w:p w:rsidR="00AF2B13" w:rsidRPr="00853673" w:rsidRDefault="00AF2B13" w:rsidP="00AF2B13">
            <w:pPr>
              <w:spacing w:before="120" w:after="120"/>
              <w:rPr>
                <w:rFonts w:asciiTheme="minorHAnsi" w:hAnsiTheme="minorHAnsi"/>
              </w:rPr>
            </w:pPr>
          </w:p>
          <w:p w:rsidR="00AF2B13" w:rsidRPr="00853673" w:rsidRDefault="00AF2B13" w:rsidP="00AF2B13">
            <w:pPr>
              <w:spacing w:before="120" w:after="120"/>
              <w:rPr>
                <w:rFonts w:asciiTheme="minorHAnsi" w:hAnsiTheme="minorHAnsi"/>
                <w:b/>
              </w:rPr>
            </w:pPr>
            <w:r w:rsidRPr="00853673">
              <w:rPr>
                <w:rFonts w:asciiTheme="minorHAnsi" w:hAnsiTheme="minorHAnsi"/>
                <w:b/>
              </w:rPr>
              <w:t>Further significant relapse post Ig therapy with significant disability and resistant to corticosteroids and other immunosuppressant agents</w:t>
            </w:r>
          </w:p>
          <w:p w:rsidR="00AF2B13" w:rsidRPr="00853673" w:rsidRDefault="00AF2B13" w:rsidP="00AF2B13">
            <w:pPr>
              <w:spacing w:before="120" w:after="120"/>
              <w:rPr>
                <w:rFonts w:asciiTheme="minorHAnsi" w:hAnsiTheme="minorHAnsi"/>
              </w:rPr>
            </w:pPr>
            <w:r w:rsidRPr="00E15DAA">
              <w:rPr>
                <w:rFonts w:asciiTheme="minorHAnsi" w:hAnsiTheme="minorHAnsi"/>
                <w:b/>
              </w:rPr>
              <w:t>Induction dose</w:t>
            </w:r>
            <w:r w:rsidRPr="00853673">
              <w:rPr>
                <w:rFonts w:asciiTheme="minorHAnsi" w:hAnsiTheme="minorHAnsi"/>
              </w:rPr>
              <w:t xml:space="preserve">– 2 g/kg in divided doses over 2 to 5 days  </w:t>
            </w:r>
          </w:p>
          <w:p w:rsidR="00AF2B13" w:rsidRPr="00853673" w:rsidRDefault="00AF2B13" w:rsidP="00AF2B13">
            <w:pPr>
              <w:spacing w:before="120" w:after="120"/>
              <w:rPr>
                <w:rFonts w:asciiTheme="minorHAnsi" w:hAnsiTheme="minorHAnsi"/>
              </w:rPr>
            </w:pPr>
            <w:r w:rsidRPr="00E15DAA">
              <w:rPr>
                <w:rFonts w:asciiTheme="minorHAnsi" w:hAnsiTheme="minorHAnsi"/>
                <w:b/>
              </w:rPr>
              <w:t>Maintenance dose</w:t>
            </w:r>
            <w:r w:rsidRPr="00853673">
              <w:rPr>
                <w:rFonts w:asciiTheme="minorHAnsi" w:hAnsiTheme="minorHAnsi"/>
              </w:rPr>
              <w:t xml:space="preserve"> – 1 g/kg in single or divided doses over 2 to 5 days</w:t>
            </w:r>
            <w:r>
              <w:rPr>
                <w:rFonts w:asciiTheme="minorHAnsi" w:hAnsiTheme="minorHAnsi"/>
              </w:rPr>
              <w:t>, four to six weekly</w:t>
            </w:r>
            <w:r w:rsidRPr="00853673">
              <w:rPr>
                <w:rFonts w:asciiTheme="minorHAnsi" w:hAnsiTheme="minorHAnsi"/>
              </w:rPr>
              <w:t xml:space="preserve">. Ig therapy is intended to be used in combination with an immunosuppressant agent  </w:t>
            </w:r>
          </w:p>
          <w:p w:rsidR="00AF2B13" w:rsidRPr="0088516F" w:rsidRDefault="00AF2B13" w:rsidP="00AF2B13">
            <w:pPr>
              <w:spacing w:before="120" w:after="120"/>
              <w:rPr>
                <w:rFonts w:asciiTheme="minorHAnsi" w:hAnsiTheme="minorHAnsi"/>
              </w:rPr>
            </w:pPr>
            <w:r w:rsidRPr="0088516F">
              <w:rPr>
                <w:rFonts w:asciiTheme="minorHAnsi" w:hAnsiTheme="minorHAnsi"/>
              </w:rPr>
              <w:t>The aim should be to use the lowest dose possible that achieves the appropriate clinical outcome for each patient.</w:t>
            </w:r>
          </w:p>
          <w:p w:rsidR="00AF2B13" w:rsidRPr="00447869" w:rsidRDefault="00AF2B13" w:rsidP="00AF2B13">
            <w:pPr>
              <w:spacing w:before="120" w:after="120"/>
              <w:rPr>
                <w:rFonts w:asciiTheme="minorHAnsi" w:hAnsiTheme="minorHAnsi"/>
              </w:rPr>
            </w:pPr>
            <w:r w:rsidRPr="00E15DAA">
              <w:rPr>
                <w:rFonts w:asciiTheme="minorHAnsi" w:hAnsiTheme="minorHAnsi"/>
                <w:b/>
              </w:rPr>
              <w:t>Refer to the current product information sheet for further information</w:t>
            </w:r>
            <w:r>
              <w:rPr>
                <w:rFonts w:asciiTheme="minorHAnsi" w:hAnsiTheme="minorHAnsi"/>
                <w:b/>
              </w:rPr>
              <w:t xml:space="preserve"> on dose, administration and contraindications</w:t>
            </w:r>
            <w:r w:rsidRPr="00E15DAA">
              <w:rPr>
                <w:rFonts w:asciiTheme="minorHAnsi" w:hAnsiTheme="minorHAnsi"/>
                <w:b/>
              </w:rPr>
              <w:t>.</w:t>
            </w:r>
          </w:p>
        </w:tc>
        <w:tc>
          <w:tcPr>
            <w:tcW w:w="4394" w:type="dxa"/>
          </w:tcPr>
          <w:p w:rsidR="00AF2B13" w:rsidRDefault="00AF2B13" w:rsidP="00AF2B13">
            <w:pPr>
              <w:spacing w:before="120" w:after="120"/>
              <w:rPr>
                <w:rFonts w:asciiTheme="minorHAnsi" w:hAnsiTheme="minorHAnsi"/>
                <w:szCs w:val="20"/>
              </w:rPr>
            </w:pPr>
            <w:r>
              <w:rPr>
                <w:rFonts w:asciiTheme="minorHAnsi" w:hAnsiTheme="minorHAnsi"/>
                <w:szCs w:val="20"/>
              </w:rPr>
              <w:t>Dosing has been developed after consultation of the literature and agreed by expert consensus.</w:t>
            </w:r>
          </w:p>
          <w:p w:rsidR="00AF2B13" w:rsidRDefault="00AF2B13" w:rsidP="00AF2B13">
            <w:pPr>
              <w:spacing w:before="120" w:after="120"/>
              <w:rPr>
                <w:rFonts w:asciiTheme="minorHAnsi" w:hAnsiTheme="minorHAnsi"/>
                <w:szCs w:val="20"/>
              </w:rPr>
            </w:pPr>
            <w:r>
              <w:rPr>
                <w:rFonts w:asciiTheme="minorHAnsi" w:hAnsiTheme="minorHAnsi"/>
                <w:szCs w:val="20"/>
              </w:rPr>
              <w:t xml:space="preserve">Acute relapse is supported by a single one-off dose while maintenance is also defined for managing relapse, with control limits extending below 1 g/kg to support weaning.  Access to an additional induction dose is supported in case a further relapse should occur while on maintenance therapy. </w:t>
            </w:r>
          </w:p>
          <w:p w:rsidR="00AF2B13" w:rsidRDefault="00AF2B13" w:rsidP="00AF2B13">
            <w:pPr>
              <w:spacing w:before="120" w:after="120"/>
              <w:rPr>
                <w:rFonts w:asciiTheme="minorHAnsi" w:hAnsiTheme="minorHAnsi"/>
                <w:szCs w:val="20"/>
              </w:rPr>
            </w:pPr>
          </w:p>
          <w:p w:rsidR="00AF2B13" w:rsidRDefault="00AF2B13" w:rsidP="00AF2B13">
            <w:pPr>
              <w:spacing w:before="120" w:after="120"/>
              <w:rPr>
                <w:rFonts w:asciiTheme="minorHAnsi" w:hAnsiTheme="minorHAnsi"/>
                <w:szCs w:val="20"/>
              </w:rPr>
            </w:pPr>
          </w:p>
          <w:p w:rsidR="00AF2B13" w:rsidRPr="00C92149" w:rsidRDefault="00AF2B13" w:rsidP="00AF2B13">
            <w:pPr>
              <w:spacing w:before="120" w:after="120"/>
              <w:rPr>
                <w:rFonts w:asciiTheme="minorHAnsi" w:hAnsiTheme="minorHAnsi"/>
                <w:szCs w:val="20"/>
              </w:rPr>
            </w:pPr>
          </w:p>
        </w:tc>
      </w:tr>
    </w:tbl>
    <w:p w:rsidR="00AF2B13" w:rsidRDefault="00AF2B13">
      <w:pPr>
        <w:rPr>
          <w:bCs/>
        </w:rPr>
      </w:pPr>
    </w:p>
    <w:p w:rsidR="005351C3" w:rsidRDefault="005351C3">
      <w:r>
        <w:rPr>
          <w:bCs/>
        </w:rPr>
        <w:br w:type="page"/>
      </w:r>
    </w:p>
    <w:p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rsidP="008B4F54">
            <w:pPr>
              <w:spacing w:before="120" w:after="120"/>
              <w:jc w:val="center"/>
              <w:rPr>
                <w:rFonts w:asciiTheme="minorHAnsi" w:hAnsiTheme="minorHAnsi"/>
                <w:b/>
              </w:rPr>
            </w:pPr>
            <w:r>
              <w:rPr>
                <w:rFonts w:asciiTheme="minorHAnsi" w:hAnsiTheme="minorHAnsi"/>
                <w:b/>
              </w:rPr>
              <w:t>(</w:t>
            </w:r>
            <w:r w:rsidR="00E0526A">
              <w:rPr>
                <w:rFonts w:asciiTheme="minorHAnsi" w:hAnsiTheme="minorHAnsi"/>
                <w:b/>
              </w:rPr>
              <w:t xml:space="preserve">most </w:t>
            </w:r>
            <w:r>
              <w:rPr>
                <w:rFonts w:asciiTheme="minorHAnsi" w:hAnsiTheme="minorHAnsi"/>
                <w:b/>
              </w:rPr>
              <w:t>recent update</w:t>
            </w:r>
            <w:r w:rsidR="00E0526A">
              <w:rPr>
                <w:rFonts w:asciiTheme="minorHAnsi" w:hAnsiTheme="minorHAnsi"/>
                <w:b/>
              </w:rPr>
              <w:t>:</w:t>
            </w:r>
            <w:r>
              <w:rPr>
                <w:rFonts w:asciiTheme="minorHAnsi" w:hAnsiTheme="minorHAnsi"/>
                <w:b/>
              </w:rPr>
              <w:t xml:space="preserve"> </w:t>
            </w:r>
            <w:r w:rsidR="008B4F54">
              <w:rPr>
                <w:rFonts w:asciiTheme="minorHAnsi" w:hAnsiTheme="minorHAnsi"/>
                <w:b/>
              </w:rPr>
              <w:t>Feb</w:t>
            </w:r>
            <w:r w:rsidR="00E0526A">
              <w:rPr>
                <w:rFonts w:asciiTheme="minorHAnsi" w:hAnsiTheme="minorHAnsi"/>
                <w:b/>
              </w:rPr>
              <w:t>ruary</w:t>
            </w:r>
            <w:r w:rsidR="008B4F54">
              <w:rPr>
                <w:rFonts w:asciiTheme="minorHAnsi" w:hAnsiTheme="minorHAnsi"/>
                <w:b/>
              </w:rPr>
              <w:t xml:space="preserve"> 2016</w:t>
            </w:r>
            <w:r>
              <w:rPr>
                <w:rFonts w:asciiTheme="minorHAnsi" w:hAnsiTheme="minorHAnsi"/>
                <w:b/>
              </w:rPr>
              <w:t>)</w:t>
            </w:r>
          </w:p>
        </w:tc>
      </w:tr>
      <w:tr w:rsidR="008612AB" w:rsidRPr="00255740" w:rsidTr="008612AB">
        <w:tc>
          <w:tcPr>
            <w:tcW w:w="14601" w:type="dxa"/>
          </w:tcPr>
          <w:p w:rsidR="00853673" w:rsidRDefault="0088516F" w:rsidP="00E15DAA">
            <w:pPr>
              <w:spacing w:before="120" w:after="120"/>
              <w:ind w:left="360"/>
              <w:rPr>
                <w:rFonts w:asciiTheme="minorHAnsi" w:hAnsiTheme="minorHAnsi"/>
              </w:rPr>
            </w:pPr>
            <w:r>
              <w:rPr>
                <w:rFonts w:asciiTheme="minorHAnsi" w:hAnsiTheme="minorHAnsi"/>
              </w:rPr>
              <w:t>Elsone</w:t>
            </w:r>
            <w:r w:rsidR="00853673" w:rsidRPr="00E15DAA">
              <w:rPr>
                <w:rFonts w:asciiTheme="minorHAnsi" w:hAnsiTheme="minorHAnsi"/>
              </w:rPr>
              <w:t xml:space="preserve"> L</w:t>
            </w:r>
            <w:r>
              <w:rPr>
                <w:rFonts w:asciiTheme="minorHAnsi" w:hAnsiTheme="minorHAnsi"/>
              </w:rPr>
              <w:t>, Panicker</w:t>
            </w:r>
            <w:r w:rsidR="00853673" w:rsidRPr="00E15DAA">
              <w:rPr>
                <w:rFonts w:asciiTheme="minorHAnsi" w:hAnsiTheme="minorHAnsi"/>
              </w:rPr>
              <w:t xml:space="preserve"> J</w:t>
            </w:r>
            <w:r>
              <w:rPr>
                <w:rFonts w:asciiTheme="minorHAnsi" w:hAnsiTheme="minorHAnsi"/>
              </w:rPr>
              <w:t>, Mutch</w:t>
            </w:r>
            <w:r w:rsidR="00853673" w:rsidRPr="00E15DAA">
              <w:rPr>
                <w:rFonts w:asciiTheme="minorHAnsi" w:hAnsiTheme="minorHAnsi"/>
              </w:rPr>
              <w:t xml:space="preserve"> K</w:t>
            </w:r>
            <w:r>
              <w:rPr>
                <w:rFonts w:asciiTheme="minorHAnsi" w:hAnsiTheme="minorHAnsi"/>
              </w:rPr>
              <w:t>, Boggild</w:t>
            </w:r>
            <w:r w:rsidR="00853673" w:rsidRPr="00E15DAA">
              <w:rPr>
                <w:rFonts w:asciiTheme="minorHAnsi" w:hAnsiTheme="minorHAnsi"/>
              </w:rPr>
              <w:t xml:space="preserve"> M</w:t>
            </w:r>
            <w:r>
              <w:rPr>
                <w:rFonts w:asciiTheme="minorHAnsi" w:hAnsiTheme="minorHAnsi"/>
              </w:rPr>
              <w:t>, Appleton</w:t>
            </w:r>
            <w:r w:rsidR="00853673" w:rsidRPr="00E15DAA">
              <w:rPr>
                <w:rFonts w:asciiTheme="minorHAnsi" w:hAnsiTheme="minorHAnsi"/>
              </w:rPr>
              <w:t xml:space="preserve"> R</w:t>
            </w:r>
            <w:r>
              <w:rPr>
                <w:rFonts w:asciiTheme="minorHAnsi" w:hAnsiTheme="minorHAnsi"/>
              </w:rPr>
              <w:t xml:space="preserve"> and Jacob A</w:t>
            </w:r>
            <w:r w:rsidR="00853673" w:rsidRPr="00E15DAA">
              <w:rPr>
                <w:rFonts w:asciiTheme="minorHAnsi" w:hAnsiTheme="minorHAnsi"/>
              </w:rPr>
              <w:t xml:space="preserve"> </w:t>
            </w:r>
            <w:r w:rsidR="00E15DAA">
              <w:rPr>
                <w:rFonts w:asciiTheme="minorHAnsi" w:hAnsiTheme="minorHAnsi"/>
              </w:rPr>
              <w:t>(</w:t>
            </w:r>
            <w:r w:rsidR="00853673" w:rsidRPr="00E15DAA">
              <w:rPr>
                <w:rFonts w:asciiTheme="minorHAnsi" w:hAnsiTheme="minorHAnsi"/>
              </w:rPr>
              <w:t>2014</w:t>
            </w:r>
            <w:r>
              <w:rPr>
                <w:rFonts w:asciiTheme="minorHAnsi" w:hAnsiTheme="minorHAnsi"/>
              </w:rPr>
              <w:t>)</w:t>
            </w:r>
            <w:r w:rsidR="00853673" w:rsidRPr="00E15DAA">
              <w:rPr>
                <w:rFonts w:asciiTheme="minorHAnsi" w:hAnsiTheme="minorHAnsi"/>
              </w:rPr>
              <w:t xml:space="preserve"> Role of intravenous immunoglobulin in the treatment of acute relapses of neuromyelitis optica: experience in 10 patients. </w:t>
            </w:r>
            <w:r w:rsidR="00E15DAA" w:rsidRPr="00E15DAA">
              <w:rPr>
                <w:rFonts w:asciiTheme="minorHAnsi" w:hAnsiTheme="minorHAnsi"/>
                <w:i/>
              </w:rPr>
              <w:t>Multiple Sclerosis</w:t>
            </w:r>
            <w:r w:rsidR="00E15DAA">
              <w:rPr>
                <w:rFonts w:asciiTheme="minorHAnsi" w:hAnsiTheme="minorHAnsi"/>
              </w:rPr>
              <w:t>,</w:t>
            </w:r>
            <w:r w:rsidR="00853673" w:rsidRPr="00E15DAA">
              <w:rPr>
                <w:rFonts w:asciiTheme="minorHAnsi" w:hAnsiTheme="minorHAnsi"/>
              </w:rPr>
              <w:t xml:space="preserve"> 20</w:t>
            </w:r>
            <w:r w:rsidR="00E15DAA">
              <w:rPr>
                <w:rFonts w:asciiTheme="minorHAnsi" w:hAnsiTheme="minorHAnsi"/>
              </w:rPr>
              <w:t>(</w:t>
            </w:r>
            <w:r w:rsidR="00853673" w:rsidRPr="00E15DAA">
              <w:rPr>
                <w:rFonts w:asciiTheme="minorHAnsi" w:hAnsiTheme="minorHAnsi"/>
              </w:rPr>
              <w:t>4</w:t>
            </w:r>
            <w:r w:rsidR="00E15DAA">
              <w:rPr>
                <w:rFonts w:asciiTheme="minorHAnsi" w:hAnsiTheme="minorHAnsi"/>
              </w:rPr>
              <w:t>)</w:t>
            </w:r>
            <w:r>
              <w:rPr>
                <w:rFonts w:asciiTheme="minorHAnsi" w:hAnsiTheme="minorHAnsi"/>
              </w:rPr>
              <w:t>:</w:t>
            </w:r>
            <w:r w:rsidR="00853673" w:rsidRPr="00E15DAA">
              <w:rPr>
                <w:rFonts w:asciiTheme="minorHAnsi" w:hAnsiTheme="minorHAnsi"/>
              </w:rPr>
              <w:t>501-4</w:t>
            </w:r>
            <w:r w:rsidR="00E15DAA">
              <w:rPr>
                <w:rFonts w:asciiTheme="minorHAnsi" w:hAnsiTheme="minorHAnsi"/>
              </w:rPr>
              <w:t>.</w:t>
            </w:r>
          </w:p>
          <w:p w:rsidR="0088516F" w:rsidRPr="0088516F" w:rsidRDefault="0005348B" w:rsidP="00E15DAA">
            <w:pPr>
              <w:spacing w:before="120" w:after="120"/>
              <w:ind w:left="360"/>
              <w:rPr>
                <w:rFonts w:asciiTheme="minorHAnsi" w:hAnsiTheme="minorHAnsi"/>
                <w:color w:val="808080" w:themeColor="background1" w:themeShade="80"/>
              </w:rPr>
            </w:pPr>
            <w:hyperlink r:id="rId13" w:history="1">
              <w:r w:rsidR="0088516F" w:rsidRPr="0088516F">
                <w:rPr>
                  <w:rStyle w:val="Hyperlink"/>
                  <w:rFonts w:asciiTheme="minorHAnsi" w:hAnsiTheme="minorHAnsi"/>
                  <w:color w:val="808080" w:themeColor="background1" w:themeShade="80"/>
                </w:rPr>
                <w:t>http://journals.sagepub.com/doi/abs/10.1177/1352458513495938</w:t>
              </w:r>
            </w:hyperlink>
          </w:p>
          <w:p w:rsidR="00853673" w:rsidRDefault="0088516F" w:rsidP="00E15DAA">
            <w:pPr>
              <w:spacing w:before="120" w:after="120"/>
              <w:ind w:left="360"/>
              <w:rPr>
                <w:rFonts w:asciiTheme="minorHAnsi" w:hAnsiTheme="minorHAnsi"/>
              </w:rPr>
            </w:pPr>
            <w:r>
              <w:rPr>
                <w:rFonts w:asciiTheme="minorHAnsi" w:hAnsiTheme="minorHAnsi"/>
              </w:rPr>
              <w:t>Kleiter I</w:t>
            </w:r>
            <w:r w:rsidR="00853673" w:rsidRPr="00E15DAA">
              <w:rPr>
                <w:rFonts w:asciiTheme="minorHAnsi" w:hAnsiTheme="minorHAnsi"/>
              </w:rPr>
              <w:t>, Gahlen</w:t>
            </w:r>
            <w:r>
              <w:rPr>
                <w:rFonts w:asciiTheme="minorHAnsi" w:hAnsiTheme="minorHAnsi"/>
              </w:rPr>
              <w:t xml:space="preserve"> A, Borisow N, Fischer K, Wernecke KD</w:t>
            </w:r>
            <w:r w:rsidR="00E84D08">
              <w:rPr>
                <w:rFonts w:asciiTheme="minorHAnsi" w:hAnsiTheme="minorHAnsi"/>
              </w:rPr>
              <w:t>,</w:t>
            </w:r>
            <w:r>
              <w:rPr>
                <w:rFonts w:asciiTheme="minorHAnsi" w:hAnsiTheme="minorHAnsi"/>
              </w:rPr>
              <w:t xml:space="preserve"> Wegner B </w:t>
            </w:r>
            <w:r w:rsidR="00E04384">
              <w:rPr>
                <w:rFonts w:asciiTheme="minorHAnsi" w:hAnsiTheme="minorHAnsi"/>
              </w:rPr>
              <w:t>(</w:t>
            </w:r>
            <w:r w:rsidR="00853673" w:rsidRPr="00E15DAA">
              <w:rPr>
                <w:rFonts w:asciiTheme="minorHAnsi" w:hAnsiTheme="minorHAnsi"/>
              </w:rPr>
              <w:t>2016</w:t>
            </w:r>
            <w:r>
              <w:rPr>
                <w:rFonts w:asciiTheme="minorHAnsi" w:hAnsiTheme="minorHAnsi"/>
              </w:rPr>
              <w:t>)</w:t>
            </w:r>
            <w:r w:rsidR="00853673" w:rsidRPr="00E15DAA">
              <w:rPr>
                <w:rFonts w:asciiTheme="minorHAnsi" w:hAnsiTheme="minorHAnsi"/>
              </w:rPr>
              <w:t xml:space="preserve"> Neuromyelitis optica: Evaluation of 871 attacks and 1,153 treatment courses. </w:t>
            </w:r>
            <w:r w:rsidR="00853673" w:rsidRPr="00E04384">
              <w:rPr>
                <w:rFonts w:asciiTheme="minorHAnsi" w:hAnsiTheme="minorHAnsi"/>
                <w:i/>
              </w:rPr>
              <w:t>Ann</w:t>
            </w:r>
            <w:r w:rsidR="00E04384" w:rsidRPr="00E04384">
              <w:rPr>
                <w:rFonts w:asciiTheme="minorHAnsi" w:hAnsiTheme="minorHAnsi"/>
                <w:i/>
              </w:rPr>
              <w:t>als of Neurology</w:t>
            </w:r>
            <w:r w:rsidR="00E04384">
              <w:rPr>
                <w:rFonts w:asciiTheme="minorHAnsi" w:hAnsiTheme="minorHAnsi"/>
              </w:rPr>
              <w:t>,</w:t>
            </w:r>
            <w:r w:rsidR="00853673" w:rsidRPr="00E15DAA">
              <w:rPr>
                <w:rFonts w:asciiTheme="minorHAnsi" w:hAnsiTheme="minorHAnsi"/>
              </w:rPr>
              <w:t xml:space="preserve"> </w:t>
            </w:r>
            <w:r w:rsidR="00E04384">
              <w:rPr>
                <w:rFonts w:asciiTheme="minorHAnsi" w:hAnsiTheme="minorHAnsi"/>
              </w:rPr>
              <w:t>79(</w:t>
            </w:r>
            <w:r w:rsidR="00853673" w:rsidRPr="00E15DAA">
              <w:rPr>
                <w:rFonts w:asciiTheme="minorHAnsi" w:hAnsiTheme="minorHAnsi"/>
              </w:rPr>
              <w:t>2</w:t>
            </w:r>
            <w:r>
              <w:rPr>
                <w:rFonts w:asciiTheme="minorHAnsi" w:hAnsiTheme="minorHAnsi"/>
              </w:rPr>
              <w:t>):</w:t>
            </w:r>
            <w:r w:rsidR="00853673" w:rsidRPr="00E15DAA">
              <w:rPr>
                <w:rFonts w:asciiTheme="minorHAnsi" w:hAnsiTheme="minorHAnsi"/>
              </w:rPr>
              <w:t>206-16.</w:t>
            </w:r>
          </w:p>
          <w:p w:rsidR="0088516F" w:rsidRPr="0088516F" w:rsidRDefault="0005348B" w:rsidP="00E15DAA">
            <w:pPr>
              <w:spacing w:before="120" w:after="120"/>
              <w:ind w:left="360"/>
              <w:rPr>
                <w:rFonts w:asciiTheme="minorHAnsi" w:hAnsiTheme="minorHAnsi"/>
                <w:color w:val="808080" w:themeColor="background1" w:themeShade="80"/>
              </w:rPr>
            </w:pPr>
            <w:hyperlink r:id="rId14" w:history="1">
              <w:r w:rsidR="0088516F" w:rsidRPr="0088516F">
                <w:rPr>
                  <w:rStyle w:val="Hyperlink"/>
                  <w:rFonts w:asciiTheme="minorHAnsi" w:hAnsiTheme="minorHAnsi"/>
                  <w:color w:val="808080" w:themeColor="background1" w:themeShade="80"/>
                </w:rPr>
                <w:t>http://onlinelibrary.wiley.com/doi/10.1002/ana.24554/full</w:t>
              </w:r>
            </w:hyperlink>
          </w:p>
          <w:p w:rsidR="00853673" w:rsidRDefault="00853673" w:rsidP="00E15DAA">
            <w:pPr>
              <w:spacing w:before="120" w:after="120"/>
              <w:ind w:left="360"/>
              <w:rPr>
                <w:rFonts w:asciiTheme="minorHAnsi" w:hAnsiTheme="minorHAnsi"/>
              </w:rPr>
            </w:pPr>
            <w:r w:rsidRPr="00E15DAA">
              <w:rPr>
                <w:rFonts w:asciiTheme="minorHAnsi" w:hAnsiTheme="minorHAnsi"/>
              </w:rPr>
              <w:t>Kurtzke</w:t>
            </w:r>
            <w:r w:rsidR="0088516F">
              <w:rPr>
                <w:rFonts w:asciiTheme="minorHAnsi" w:hAnsiTheme="minorHAnsi"/>
              </w:rPr>
              <w:t xml:space="preserve"> JF (1983)</w:t>
            </w:r>
            <w:r w:rsidRPr="00E15DAA">
              <w:rPr>
                <w:rFonts w:asciiTheme="minorHAnsi" w:hAnsiTheme="minorHAnsi"/>
              </w:rPr>
              <w:t xml:space="preserve"> Rating neurologic impairment in multiple sclerosis. </w:t>
            </w:r>
            <w:r w:rsidRPr="001E39D0">
              <w:rPr>
                <w:rFonts w:asciiTheme="minorHAnsi" w:hAnsiTheme="minorHAnsi"/>
                <w:i/>
              </w:rPr>
              <w:t>Neurology</w:t>
            </w:r>
            <w:r w:rsidR="0088516F">
              <w:rPr>
                <w:rFonts w:asciiTheme="minorHAnsi" w:hAnsiTheme="minorHAnsi"/>
              </w:rPr>
              <w:t>, 33(11):</w:t>
            </w:r>
            <w:r w:rsidRPr="00E15DAA">
              <w:rPr>
                <w:rFonts w:asciiTheme="minorHAnsi" w:hAnsiTheme="minorHAnsi"/>
              </w:rPr>
              <w:t>1444-1452</w:t>
            </w:r>
            <w:r w:rsidR="001E39D0">
              <w:rPr>
                <w:rFonts w:asciiTheme="minorHAnsi" w:hAnsiTheme="minorHAnsi"/>
              </w:rPr>
              <w:t>.</w:t>
            </w:r>
            <w:r w:rsidRPr="00E15DAA">
              <w:rPr>
                <w:rFonts w:asciiTheme="minorHAnsi" w:hAnsiTheme="minorHAnsi"/>
              </w:rPr>
              <w:t xml:space="preserve"> </w:t>
            </w:r>
          </w:p>
          <w:p w:rsidR="0088516F" w:rsidRPr="0088516F" w:rsidRDefault="0005348B" w:rsidP="00E15DAA">
            <w:pPr>
              <w:spacing w:before="120" w:after="120"/>
              <w:ind w:left="360"/>
              <w:rPr>
                <w:rFonts w:asciiTheme="minorHAnsi" w:hAnsiTheme="minorHAnsi"/>
                <w:color w:val="808080" w:themeColor="background1" w:themeShade="80"/>
              </w:rPr>
            </w:pPr>
            <w:hyperlink r:id="rId15" w:history="1">
              <w:r w:rsidR="0088516F" w:rsidRPr="0088516F">
                <w:rPr>
                  <w:rStyle w:val="Hyperlink"/>
                  <w:rFonts w:asciiTheme="minorHAnsi" w:hAnsiTheme="minorHAnsi"/>
                  <w:color w:val="808080" w:themeColor="background1" w:themeShade="80"/>
                </w:rPr>
                <w:t>https://www.ncbi.nlm.nih.gov/pubmed/6685237</w:t>
              </w:r>
            </w:hyperlink>
          </w:p>
          <w:p w:rsidR="00853673" w:rsidRDefault="0088516F" w:rsidP="00E15DAA">
            <w:pPr>
              <w:spacing w:before="120" w:after="120"/>
              <w:ind w:left="360"/>
              <w:rPr>
                <w:rFonts w:asciiTheme="minorHAnsi" w:hAnsiTheme="minorHAnsi"/>
              </w:rPr>
            </w:pPr>
            <w:r>
              <w:rPr>
                <w:rFonts w:asciiTheme="minorHAnsi" w:hAnsiTheme="minorHAnsi"/>
              </w:rPr>
              <w:t xml:space="preserve">Lennon </w:t>
            </w:r>
            <w:r w:rsidR="00853673" w:rsidRPr="001E39D0">
              <w:rPr>
                <w:rFonts w:asciiTheme="minorHAnsi" w:hAnsiTheme="minorHAnsi"/>
              </w:rPr>
              <w:t>VA</w:t>
            </w:r>
            <w:r>
              <w:rPr>
                <w:rFonts w:asciiTheme="minorHAnsi" w:hAnsiTheme="minorHAnsi"/>
              </w:rPr>
              <w:t>, Wingerchuk</w:t>
            </w:r>
            <w:r w:rsidR="00853673" w:rsidRPr="001E39D0">
              <w:rPr>
                <w:rFonts w:asciiTheme="minorHAnsi" w:hAnsiTheme="minorHAnsi"/>
              </w:rPr>
              <w:t xml:space="preserve"> DM</w:t>
            </w:r>
            <w:r>
              <w:rPr>
                <w:rFonts w:asciiTheme="minorHAnsi" w:hAnsiTheme="minorHAnsi"/>
              </w:rPr>
              <w:t>, Kryzer</w:t>
            </w:r>
            <w:r w:rsidR="00853673" w:rsidRPr="001E39D0">
              <w:rPr>
                <w:rFonts w:asciiTheme="minorHAnsi" w:hAnsiTheme="minorHAnsi"/>
              </w:rPr>
              <w:t xml:space="preserve"> TJ, </w:t>
            </w:r>
            <w:r>
              <w:rPr>
                <w:rFonts w:asciiTheme="minorHAnsi" w:hAnsiTheme="minorHAnsi"/>
              </w:rPr>
              <w:t>Pittock SJ</w:t>
            </w:r>
            <w:r w:rsidR="001E39D0" w:rsidRPr="001E39D0">
              <w:rPr>
                <w:rFonts w:asciiTheme="minorHAnsi" w:hAnsiTheme="minorHAnsi"/>
              </w:rPr>
              <w:t>,</w:t>
            </w:r>
            <w:r>
              <w:rPr>
                <w:rFonts w:asciiTheme="minorHAnsi" w:hAnsiTheme="minorHAnsi"/>
              </w:rPr>
              <w:t xml:space="preserve"> Lucchinetti CF, Fujihara K </w:t>
            </w:r>
            <w:r w:rsidR="001E39D0" w:rsidRPr="001E39D0">
              <w:rPr>
                <w:rFonts w:asciiTheme="minorHAnsi" w:hAnsiTheme="minorHAnsi"/>
              </w:rPr>
              <w:t>(</w:t>
            </w:r>
            <w:r w:rsidR="00853673" w:rsidRPr="001E39D0">
              <w:rPr>
                <w:rFonts w:asciiTheme="minorHAnsi" w:hAnsiTheme="minorHAnsi"/>
              </w:rPr>
              <w:t>2004</w:t>
            </w:r>
            <w:r>
              <w:rPr>
                <w:rFonts w:asciiTheme="minorHAnsi" w:hAnsiTheme="minorHAnsi"/>
              </w:rPr>
              <w:t>)</w:t>
            </w:r>
            <w:r w:rsidR="001E39D0" w:rsidRPr="001E39D0">
              <w:rPr>
                <w:rFonts w:asciiTheme="minorHAnsi" w:hAnsiTheme="minorHAnsi"/>
              </w:rPr>
              <w:t xml:space="preserve"> </w:t>
            </w:r>
            <w:r w:rsidR="00853673" w:rsidRPr="00E15DAA">
              <w:rPr>
                <w:rFonts w:asciiTheme="minorHAnsi" w:hAnsiTheme="minorHAnsi"/>
              </w:rPr>
              <w:t>A serum autoantibody marker of neuromyelitis optica: disti</w:t>
            </w:r>
            <w:r w:rsidR="001E39D0">
              <w:rPr>
                <w:rFonts w:asciiTheme="minorHAnsi" w:hAnsiTheme="minorHAnsi"/>
              </w:rPr>
              <w:t>nction from multiple sclerosis.</w:t>
            </w:r>
            <w:r w:rsidR="00853673" w:rsidRPr="00E15DAA">
              <w:rPr>
                <w:rFonts w:asciiTheme="minorHAnsi" w:hAnsiTheme="minorHAnsi"/>
              </w:rPr>
              <w:t xml:space="preserve"> </w:t>
            </w:r>
            <w:r w:rsidR="00853673" w:rsidRPr="001E39D0">
              <w:rPr>
                <w:rFonts w:asciiTheme="minorHAnsi" w:hAnsiTheme="minorHAnsi"/>
                <w:i/>
              </w:rPr>
              <w:t>Lancet</w:t>
            </w:r>
            <w:r w:rsidR="00853673" w:rsidRPr="00E15DAA">
              <w:rPr>
                <w:rFonts w:asciiTheme="minorHAnsi" w:hAnsiTheme="minorHAnsi"/>
              </w:rPr>
              <w:t>, 364</w:t>
            </w:r>
            <w:r w:rsidR="001E39D0">
              <w:rPr>
                <w:rFonts w:asciiTheme="minorHAnsi" w:hAnsiTheme="minorHAnsi"/>
              </w:rPr>
              <w:t>(</w:t>
            </w:r>
            <w:r w:rsidR="00853673" w:rsidRPr="00E15DAA">
              <w:rPr>
                <w:rFonts w:asciiTheme="minorHAnsi" w:hAnsiTheme="minorHAnsi"/>
              </w:rPr>
              <w:t>9451</w:t>
            </w:r>
            <w:r w:rsidR="001E39D0">
              <w:rPr>
                <w:rFonts w:asciiTheme="minorHAnsi" w:hAnsiTheme="minorHAnsi"/>
              </w:rPr>
              <w:t>)</w:t>
            </w:r>
            <w:r>
              <w:rPr>
                <w:rFonts w:asciiTheme="minorHAnsi" w:hAnsiTheme="minorHAnsi"/>
              </w:rPr>
              <w:t>:</w:t>
            </w:r>
            <w:r w:rsidR="00853673" w:rsidRPr="00E15DAA">
              <w:rPr>
                <w:rFonts w:asciiTheme="minorHAnsi" w:hAnsiTheme="minorHAnsi"/>
              </w:rPr>
              <w:t>2106–12.</w:t>
            </w:r>
          </w:p>
          <w:p w:rsidR="0088516F" w:rsidRPr="0088516F" w:rsidRDefault="0005348B" w:rsidP="00E15DAA">
            <w:pPr>
              <w:spacing w:before="120" w:after="120"/>
              <w:ind w:left="360"/>
              <w:rPr>
                <w:rFonts w:asciiTheme="minorHAnsi" w:hAnsiTheme="minorHAnsi"/>
                <w:color w:val="808080" w:themeColor="background1" w:themeShade="80"/>
              </w:rPr>
            </w:pPr>
            <w:hyperlink r:id="rId16" w:history="1">
              <w:r w:rsidR="0088516F" w:rsidRPr="0088516F">
                <w:rPr>
                  <w:rStyle w:val="Hyperlink"/>
                  <w:rFonts w:asciiTheme="minorHAnsi" w:hAnsiTheme="minorHAnsi"/>
                  <w:color w:val="808080" w:themeColor="background1" w:themeShade="80"/>
                </w:rPr>
                <w:t>https://www.ncbi.nlm.nih.gov/pubmed/15589308</w:t>
              </w:r>
            </w:hyperlink>
          </w:p>
          <w:p w:rsidR="00853673" w:rsidRDefault="0088516F" w:rsidP="00E15DAA">
            <w:pPr>
              <w:spacing w:before="120" w:after="120"/>
              <w:ind w:left="360"/>
              <w:rPr>
                <w:rFonts w:asciiTheme="minorHAnsi" w:hAnsiTheme="minorHAnsi"/>
              </w:rPr>
            </w:pPr>
            <w:r>
              <w:rPr>
                <w:rFonts w:asciiTheme="minorHAnsi" w:hAnsiTheme="minorHAnsi"/>
              </w:rPr>
              <w:t>Lucchinetti</w:t>
            </w:r>
            <w:r w:rsidR="00853673" w:rsidRPr="00E15DAA">
              <w:rPr>
                <w:rFonts w:asciiTheme="minorHAnsi" w:hAnsiTheme="minorHAnsi"/>
              </w:rPr>
              <w:t xml:space="preserve"> CF</w:t>
            </w:r>
            <w:r>
              <w:rPr>
                <w:rFonts w:asciiTheme="minorHAnsi" w:hAnsiTheme="minorHAnsi"/>
              </w:rPr>
              <w:t>, Mandler</w:t>
            </w:r>
            <w:r w:rsidR="00853673" w:rsidRPr="00E15DAA">
              <w:rPr>
                <w:rFonts w:asciiTheme="minorHAnsi" w:hAnsiTheme="minorHAnsi"/>
              </w:rPr>
              <w:t xml:space="preserve"> RN</w:t>
            </w:r>
            <w:r>
              <w:rPr>
                <w:rFonts w:asciiTheme="minorHAnsi" w:hAnsiTheme="minorHAnsi"/>
              </w:rPr>
              <w:t>, McGavern</w:t>
            </w:r>
            <w:r w:rsidR="00853673" w:rsidRPr="00E15DAA">
              <w:rPr>
                <w:rFonts w:asciiTheme="minorHAnsi" w:hAnsiTheme="minorHAnsi"/>
              </w:rPr>
              <w:t xml:space="preserve"> D,</w:t>
            </w:r>
            <w:r w:rsidR="00E2558B">
              <w:rPr>
                <w:rFonts w:asciiTheme="minorHAnsi" w:hAnsiTheme="minorHAnsi"/>
              </w:rPr>
              <w:t xml:space="preserve"> Bruck W.</w:t>
            </w:r>
            <w:r w:rsidR="001E39D0">
              <w:rPr>
                <w:rFonts w:asciiTheme="minorHAnsi" w:hAnsiTheme="minorHAnsi"/>
              </w:rPr>
              <w:t xml:space="preserve"> Gl</w:t>
            </w:r>
            <w:r w:rsidR="00E2558B">
              <w:rPr>
                <w:rFonts w:asciiTheme="minorHAnsi" w:hAnsiTheme="minorHAnsi"/>
              </w:rPr>
              <w:t xml:space="preserve">eich G, Ransohoff RM </w:t>
            </w:r>
            <w:r w:rsidR="001E39D0">
              <w:rPr>
                <w:rFonts w:asciiTheme="minorHAnsi" w:hAnsiTheme="minorHAnsi"/>
              </w:rPr>
              <w:t>(</w:t>
            </w:r>
            <w:r w:rsidR="00853673" w:rsidRPr="00E15DAA">
              <w:rPr>
                <w:rFonts w:asciiTheme="minorHAnsi" w:hAnsiTheme="minorHAnsi"/>
              </w:rPr>
              <w:t>2002</w:t>
            </w:r>
            <w:r w:rsidR="00E2558B">
              <w:rPr>
                <w:rFonts w:asciiTheme="minorHAnsi" w:hAnsiTheme="minorHAnsi"/>
              </w:rPr>
              <w:t>)</w:t>
            </w:r>
            <w:r w:rsidR="001E39D0">
              <w:rPr>
                <w:rFonts w:asciiTheme="minorHAnsi" w:hAnsiTheme="minorHAnsi"/>
              </w:rPr>
              <w:t xml:space="preserve"> </w:t>
            </w:r>
            <w:r w:rsidR="00853673" w:rsidRPr="00E15DAA">
              <w:rPr>
                <w:rFonts w:asciiTheme="minorHAnsi" w:hAnsiTheme="minorHAnsi"/>
              </w:rPr>
              <w:t>A role for humoral mechanisms in the pathogenesis of</w:t>
            </w:r>
            <w:r w:rsidR="001E39D0">
              <w:rPr>
                <w:rFonts w:asciiTheme="minorHAnsi" w:hAnsiTheme="minorHAnsi"/>
              </w:rPr>
              <w:t xml:space="preserve"> Devic’s neuromyelitis optica. </w:t>
            </w:r>
            <w:r w:rsidR="00853673" w:rsidRPr="001E39D0">
              <w:rPr>
                <w:rFonts w:asciiTheme="minorHAnsi" w:hAnsiTheme="minorHAnsi"/>
                <w:i/>
              </w:rPr>
              <w:t>Brain</w:t>
            </w:r>
            <w:r w:rsidR="00E2558B">
              <w:rPr>
                <w:rFonts w:asciiTheme="minorHAnsi" w:hAnsiTheme="minorHAnsi"/>
              </w:rPr>
              <w:t>, 125:</w:t>
            </w:r>
            <w:r w:rsidR="00853673" w:rsidRPr="00E15DAA">
              <w:rPr>
                <w:rFonts w:asciiTheme="minorHAnsi" w:hAnsiTheme="minorHAnsi"/>
              </w:rPr>
              <w:t>1450–61.</w:t>
            </w:r>
          </w:p>
          <w:p w:rsidR="00E2558B" w:rsidRPr="00E2558B" w:rsidRDefault="0005348B" w:rsidP="00E15DAA">
            <w:pPr>
              <w:spacing w:before="120" w:after="120"/>
              <w:ind w:left="360"/>
              <w:rPr>
                <w:rFonts w:asciiTheme="minorHAnsi" w:hAnsiTheme="minorHAnsi"/>
                <w:color w:val="808080" w:themeColor="background1" w:themeShade="80"/>
              </w:rPr>
            </w:pPr>
            <w:hyperlink r:id="rId17" w:history="1">
              <w:r w:rsidR="00E2558B" w:rsidRPr="00E2558B">
                <w:rPr>
                  <w:rStyle w:val="Hyperlink"/>
                  <w:rFonts w:asciiTheme="minorHAnsi" w:hAnsiTheme="minorHAnsi"/>
                  <w:color w:val="808080" w:themeColor="background1" w:themeShade="80"/>
                </w:rPr>
                <w:t>https://www.ncbi.nlm.nih.gov/pubmed/12076996</w:t>
              </w:r>
            </w:hyperlink>
          </w:p>
          <w:p w:rsidR="00853673" w:rsidRDefault="00E2558B" w:rsidP="00E15DAA">
            <w:pPr>
              <w:spacing w:before="120" w:after="120"/>
              <w:ind w:left="360"/>
              <w:rPr>
                <w:rFonts w:asciiTheme="minorHAnsi" w:hAnsiTheme="minorHAnsi"/>
              </w:rPr>
            </w:pPr>
            <w:r>
              <w:rPr>
                <w:rFonts w:asciiTheme="minorHAnsi" w:hAnsiTheme="minorHAnsi"/>
              </w:rPr>
              <w:t>Minagar</w:t>
            </w:r>
            <w:r w:rsidR="00853673" w:rsidRPr="00E15DAA">
              <w:rPr>
                <w:rFonts w:asciiTheme="minorHAnsi" w:hAnsiTheme="minorHAnsi"/>
              </w:rPr>
              <w:t xml:space="preserve"> A</w:t>
            </w:r>
            <w:r>
              <w:rPr>
                <w:rFonts w:asciiTheme="minorHAnsi" w:hAnsiTheme="minorHAnsi"/>
              </w:rPr>
              <w:t>, Alexander</w:t>
            </w:r>
            <w:r w:rsidR="00853673" w:rsidRPr="00E15DAA">
              <w:rPr>
                <w:rFonts w:asciiTheme="minorHAnsi" w:hAnsiTheme="minorHAnsi"/>
              </w:rPr>
              <w:t xml:space="preserve"> JS</w:t>
            </w:r>
            <w:r>
              <w:rPr>
                <w:rFonts w:asciiTheme="minorHAnsi" w:hAnsiTheme="minorHAnsi"/>
              </w:rPr>
              <w:t>, Fowler</w:t>
            </w:r>
            <w:r w:rsidR="00853673" w:rsidRPr="00E15DAA">
              <w:rPr>
                <w:rFonts w:asciiTheme="minorHAnsi" w:hAnsiTheme="minorHAnsi"/>
              </w:rPr>
              <w:t xml:space="preserve"> MR, </w:t>
            </w:r>
            <w:r>
              <w:rPr>
                <w:rFonts w:asciiTheme="minorHAnsi" w:hAnsiTheme="minorHAnsi"/>
              </w:rPr>
              <w:t>Long AC and Kelley RE</w:t>
            </w:r>
            <w:r w:rsidR="00853673" w:rsidRPr="00E15DAA">
              <w:rPr>
                <w:rFonts w:asciiTheme="minorHAnsi" w:hAnsiTheme="minorHAnsi"/>
              </w:rPr>
              <w:t xml:space="preserve"> </w:t>
            </w:r>
            <w:r w:rsidR="001E39D0">
              <w:rPr>
                <w:rFonts w:asciiTheme="minorHAnsi" w:hAnsiTheme="minorHAnsi"/>
              </w:rPr>
              <w:t>(</w:t>
            </w:r>
            <w:r w:rsidR="00853673" w:rsidRPr="00E15DAA">
              <w:rPr>
                <w:rFonts w:asciiTheme="minorHAnsi" w:hAnsiTheme="minorHAnsi"/>
              </w:rPr>
              <w:t>2002</w:t>
            </w:r>
            <w:r>
              <w:rPr>
                <w:rFonts w:asciiTheme="minorHAnsi" w:hAnsiTheme="minorHAnsi"/>
              </w:rPr>
              <w:t>)</w:t>
            </w:r>
            <w:r w:rsidR="001E39D0">
              <w:rPr>
                <w:rFonts w:asciiTheme="minorHAnsi" w:hAnsiTheme="minorHAnsi"/>
              </w:rPr>
              <w:t xml:space="preserve"> </w:t>
            </w:r>
            <w:r w:rsidR="00853673" w:rsidRPr="00E15DAA">
              <w:rPr>
                <w:rFonts w:asciiTheme="minorHAnsi" w:hAnsiTheme="minorHAnsi"/>
              </w:rPr>
              <w:t>Devic disease: clinical course, pa</w:t>
            </w:r>
            <w:r>
              <w:rPr>
                <w:rFonts w:asciiTheme="minorHAnsi" w:hAnsiTheme="minorHAnsi"/>
              </w:rPr>
              <w:t xml:space="preserve">thophysiology, and management. </w:t>
            </w:r>
            <w:r w:rsidR="00853673" w:rsidRPr="001E39D0">
              <w:rPr>
                <w:rFonts w:asciiTheme="minorHAnsi" w:hAnsiTheme="minorHAnsi"/>
                <w:i/>
              </w:rPr>
              <w:t>Pathophysiology</w:t>
            </w:r>
            <w:r w:rsidR="00853673" w:rsidRPr="00E15DAA">
              <w:rPr>
                <w:rFonts w:asciiTheme="minorHAnsi" w:hAnsiTheme="minorHAnsi"/>
              </w:rPr>
              <w:t>, 9</w:t>
            </w:r>
            <w:r w:rsidR="001E39D0">
              <w:rPr>
                <w:rFonts w:asciiTheme="minorHAnsi" w:hAnsiTheme="minorHAnsi"/>
              </w:rPr>
              <w:t>(</w:t>
            </w:r>
            <w:r w:rsidR="00853673" w:rsidRPr="00E15DAA">
              <w:rPr>
                <w:rFonts w:asciiTheme="minorHAnsi" w:hAnsiTheme="minorHAnsi"/>
              </w:rPr>
              <w:t>1</w:t>
            </w:r>
            <w:r w:rsidR="001E39D0">
              <w:rPr>
                <w:rFonts w:asciiTheme="minorHAnsi" w:hAnsiTheme="minorHAnsi"/>
              </w:rPr>
              <w:t>)</w:t>
            </w:r>
            <w:r>
              <w:rPr>
                <w:rFonts w:asciiTheme="minorHAnsi" w:hAnsiTheme="minorHAnsi"/>
              </w:rPr>
              <w:t>:</w:t>
            </w:r>
            <w:r w:rsidR="00853673" w:rsidRPr="00E15DAA">
              <w:rPr>
                <w:rFonts w:asciiTheme="minorHAnsi" w:hAnsiTheme="minorHAnsi"/>
              </w:rPr>
              <w:t>33.</w:t>
            </w:r>
          </w:p>
          <w:p w:rsidR="00D138FF" w:rsidRPr="00F27C68" w:rsidRDefault="0005348B" w:rsidP="00E15DAA">
            <w:pPr>
              <w:spacing w:before="120" w:after="120"/>
              <w:ind w:left="360"/>
              <w:rPr>
                <w:rFonts w:asciiTheme="minorHAnsi" w:hAnsiTheme="minorHAnsi"/>
                <w:color w:val="808080" w:themeColor="background1" w:themeShade="80"/>
                <w:u w:val="single"/>
              </w:rPr>
            </w:pPr>
            <w:hyperlink r:id="rId18" w:history="1">
              <w:r w:rsidR="00E2558B" w:rsidRPr="00E2558B">
                <w:rPr>
                  <w:rStyle w:val="Hyperlink"/>
                  <w:rFonts w:asciiTheme="minorHAnsi" w:hAnsiTheme="minorHAnsi"/>
                  <w:color w:val="808080" w:themeColor="background1" w:themeShade="80"/>
                </w:rPr>
                <w:t>https://www.ncbi.nlm.nih.gov/pubmed/12385963</w:t>
              </w:r>
            </w:hyperlink>
          </w:p>
          <w:p w:rsidR="00D138FF" w:rsidRPr="00E2558B" w:rsidRDefault="00D138FF" w:rsidP="00E15DAA">
            <w:pPr>
              <w:spacing w:before="120" w:after="120"/>
              <w:ind w:left="360"/>
              <w:rPr>
                <w:rFonts w:asciiTheme="minorHAnsi" w:hAnsiTheme="minorHAnsi"/>
                <w:color w:val="808080" w:themeColor="background1" w:themeShade="80"/>
              </w:rPr>
            </w:pPr>
            <w:r w:rsidRPr="00D138FF">
              <w:rPr>
                <w:rFonts w:asciiTheme="minorHAnsi" w:hAnsiTheme="minorHAnsi"/>
              </w:rPr>
              <w:t>Ontario Regional Blood Coordinating Network (2016). Ontario Intravenous Immune Globulin (</w:t>
            </w:r>
            <w:r w:rsidR="00F27C68">
              <w:rPr>
                <w:rFonts w:asciiTheme="minorHAnsi" w:hAnsiTheme="minorHAnsi"/>
              </w:rPr>
              <w:t>IVIG</w:t>
            </w:r>
            <w:r w:rsidRPr="00D138FF">
              <w:rPr>
                <w:rFonts w:asciiTheme="minorHAnsi" w:hAnsiTheme="minorHAnsi"/>
              </w:rPr>
              <w:t xml:space="preserve">) Utilization Management Guidelines, Version 3.0. [online]. Available at: </w:t>
            </w:r>
            <w:r w:rsidRPr="00D138FF">
              <w:rPr>
                <w:rFonts w:asciiTheme="minorHAnsi" w:hAnsiTheme="minorHAnsi"/>
                <w:color w:val="808080" w:themeColor="background1" w:themeShade="80"/>
              </w:rPr>
              <w:t>http://transfusionontario.org/en/download/ontario-intravenous-immune-globulin-</w:t>
            </w:r>
            <w:r w:rsidR="00F27C68">
              <w:rPr>
                <w:rFonts w:asciiTheme="minorHAnsi" w:hAnsiTheme="minorHAnsi"/>
                <w:color w:val="808080" w:themeColor="background1" w:themeShade="80"/>
              </w:rPr>
              <w:t>IVIg</w:t>
            </w:r>
            <w:r w:rsidRPr="00D138FF">
              <w:rPr>
                <w:rFonts w:asciiTheme="minorHAnsi" w:hAnsiTheme="minorHAnsi"/>
                <w:color w:val="808080" w:themeColor="background1" w:themeShade="80"/>
              </w:rPr>
              <w:t>-utilization-management-guidelines-2/.</w:t>
            </w:r>
          </w:p>
          <w:p w:rsidR="00853673" w:rsidRDefault="00853673" w:rsidP="00E15DAA">
            <w:pPr>
              <w:spacing w:before="120" w:after="120"/>
              <w:ind w:left="360"/>
              <w:rPr>
                <w:rFonts w:asciiTheme="minorHAnsi" w:hAnsiTheme="minorHAnsi"/>
              </w:rPr>
            </w:pPr>
            <w:r w:rsidRPr="00E15DAA">
              <w:rPr>
                <w:rFonts w:asciiTheme="minorHAnsi" w:hAnsiTheme="minorHAnsi"/>
              </w:rPr>
              <w:t>Sato DK, Callegaro D</w:t>
            </w:r>
            <w:r w:rsidR="00E2558B">
              <w:rPr>
                <w:rFonts w:asciiTheme="minorHAnsi" w:hAnsiTheme="minorHAnsi"/>
              </w:rPr>
              <w:t>, Lana-Peixoto MA, Waters PJ, de Haider, FM (2014)</w:t>
            </w:r>
            <w:r w:rsidR="001E39D0" w:rsidRPr="00E15DAA">
              <w:rPr>
                <w:rFonts w:asciiTheme="minorHAnsi" w:hAnsiTheme="minorHAnsi"/>
              </w:rPr>
              <w:t xml:space="preserve"> </w:t>
            </w:r>
            <w:r w:rsidRPr="00E15DAA">
              <w:rPr>
                <w:rFonts w:asciiTheme="minorHAnsi" w:hAnsiTheme="minorHAnsi"/>
              </w:rPr>
              <w:t>Distinction between MOG antibody-positive and AQP4 antibody-p</w:t>
            </w:r>
            <w:r w:rsidR="001E39D0">
              <w:rPr>
                <w:rFonts w:asciiTheme="minorHAnsi" w:hAnsiTheme="minorHAnsi"/>
              </w:rPr>
              <w:t>ositive NMO spectrum disorders.</w:t>
            </w:r>
            <w:r w:rsidRPr="00E15DAA">
              <w:rPr>
                <w:rFonts w:asciiTheme="minorHAnsi" w:hAnsiTheme="minorHAnsi"/>
              </w:rPr>
              <w:t xml:space="preserve"> </w:t>
            </w:r>
            <w:r w:rsidRPr="001E39D0">
              <w:rPr>
                <w:rFonts w:asciiTheme="minorHAnsi" w:hAnsiTheme="minorHAnsi"/>
                <w:i/>
              </w:rPr>
              <w:t>Neurology</w:t>
            </w:r>
            <w:r w:rsidR="00FC291B" w:rsidRPr="00E15DAA">
              <w:rPr>
                <w:rFonts w:asciiTheme="minorHAnsi" w:hAnsiTheme="minorHAnsi"/>
              </w:rPr>
              <w:t xml:space="preserve">, </w:t>
            </w:r>
            <w:r w:rsidRPr="00E15DAA">
              <w:rPr>
                <w:rFonts w:asciiTheme="minorHAnsi" w:hAnsiTheme="minorHAnsi"/>
              </w:rPr>
              <w:t>82</w:t>
            </w:r>
            <w:r w:rsidR="00E2558B">
              <w:rPr>
                <w:rFonts w:asciiTheme="minorHAnsi" w:hAnsiTheme="minorHAnsi"/>
              </w:rPr>
              <w:t>(6):</w:t>
            </w:r>
            <w:r w:rsidRPr="00E15DAA">
              <w:rPr>
                <w:rFonts w:asciiTheme="minorHAnsi" w:hAnsiTheme="minorHAnsi"/>
              </w:rPr>
              <w:t>474-81</w:t>
            </w:r>
            <w:r w:rsidR="001E39D0">
              <w:rPr>
                <w:rFonts w:asciiTheme="minorHAnsi" w:hAnsiTheme="minorHAnsi"/>
              </w:rPr>
              <w:t>.</w:t>
            </w:r>
          </w:p>
          <w:p w:rsidR="00E2558B" w:rsidRPr="00E2558B" w:rsidRDefault="0005348B" w:rsidP="00E15DAA">
            <w:pPr>
              <w:spacing w:before="120" w:after="120"/>
              <w:ind w:left="360"/>
              <w:rPr>
                <w:rFonts w:asciiTheme="minorHAnsi" w:hAnsiTheme="minorHAnsi"/>
                <w:color w:val="808080" w:themeColor="background1" w:themeShade="80"/>
              </w:rPr>
            </w:pPr>
            <w:hyperlink r:id="rId19" w:history="1">
              <w:r w:rsidR="00E2558B" w:rsidRPr="00E2558B">
                <w:rPr>
                  <w:rStyle w:val="Hyperlink"/>
                  <w:rFonts w:asciiTheme="minorHAnsi" w:hAnsiTheme="minorHAnsi"/>
                  <w:color w:val="808080" w:themeColor="background1" w:themeShade="80"/>
                </w:rPr>
                <w:t>https://www.ncbi.nlm.nih.gov/pubmed/24415568</w:t>
              </w:r>
            </w:hyperlink>
          </w:p>
          <w:p w:rsidR="00853673" w:rsidRDefault="00E2558B" w:rsidP="00E15DAA">
            <w:pPr>
              <w:spacing w:before="120" w:after="120"/>
              <w:ind w:left="360"/>
              <w:rPr>
                <w:rFonts w:asciiTheme="minorHAnsi" w:hAnsiTheme="minorHAnsi"/>
              </w:rPr>
            </w:pPr>
            <w:r>
              <w:rPr>
                <w:rFonts w:asciiTheme="minorHAnsi" w:hAnsiTheme="minorHAnsi"/>
              </w:rPr>
              <w:t>Viswanathan</w:t>
            </w:r>
            <w:r w:rsidR="00853673" w:rsidRPr="00E15DAA">
              <w:rPr>
                <w:rFonts w:asciiTheme="minorHAnsi" w:hAnsiTheme="minorHAnsi"/>
              </w:rPr>
              <w:t xml:space="preserve"> S</w:t>
            </w:r>
            <w:r>
              <w:rPr>
                <w:rFonts w:asciiTheme="minorHAnsi" w:hAnsiTheme="minorHAnsi"/>
              </w:rPr>
              <w:t>, Wong</w:t>
            </w:r>
            <w:r w:rsidR="00853673" w:rsidRPr="00E15DAA">
              <w:rPr>
                <w:rFonts w:asciiTheme="minorHAnsi" w:hAnsiTheme="minorHAnsi"/>
              </w:rPr>
              <w:t xml:space="preserve"> </w:t>
            </w:r>
            <w:r w:rsidR="00FC291B" w:rsidRPr="00E15DAA">
              <w:rPr>
                <w:rFonts w:asciiTheme="minorHAnsi" w:hAnsiTheme="minorHAnsi"/>
              </w:rPr>
              <w:t>AH</w:t>
            </w:r>
            <w:r>
              <w:rPr>
                <w:rFonts w:asciiTheme="minorHAnsi" w:hAnsiTheme="minorHAnsi"/>
              </w:rPr>
              <w:t>, Quek</w:t>
            </w:r>
            <w:r w:rsidR="00FC291B" w:rsidRPr="00E15DAA">
              <w:rPr>
                <w:rFonts w:asciiTheme="minorHAnsi" w:hAnsiTheme="minorHAnsi"/>
              </w:rPr>
              <w:t xml:space="preserve"> AM and Yuki</w:t>
            </w:r>
            <w:r>
              <w:rPr>
                <w:rFonts w:asciiTheme="minorHAnsi" w:hAnsiTheme="minorHAnsi"/>
              </w:rPr>
              <w:t xml:space="preserve"> N</w:t>
            </w:r>
            <w:r w:rsidR="00FC291B" w:rsidRPr="00E15DAA">
              <w:rPr>
                <w:rFonts w:asciiTheme="minorHAnsi" w:hAnsiTheme="minorHAnsi"/>
              </w:rPr>
              <w:t xml:space="preserve"> </w:t>
            </w:r>
            <w:r w:rsidR="001E39D0">
              <w:rPr>
                <w:rFonts w:asciiTheme="minorHAnsi" w:hAnsiTheme="minorHAnsi"/>
              </w:rPr>
              <w:t>(</w:t>
            </w:r>
            <w:r w:rsidR="00FC291B" w:rsidRPr="00E15DAA">
              <w:rPr>
                <w:rFonts w:asciiTheme="minorHAnsi" w:hAnsiTheme="minorHAnsi"/>
              </w:rPr>
              <w:t>2015</w:t>
            </w:r>
            <w:r>
              <w:rPr>
                <w:rFonts w:asciiTheme="minorHAnsi" w:hAnsiTheme="minorHAnsi"/>
              </w:rPr>
              <w:t>)</w:t>
            </w:r>
            <w:r w:rsidR="00FC291B" w:rsidRPr="00E15DAA">
              <w:rPr>
                <w:rFonts w:asciiTheme="minorHAnsi" w:hAnsiTheme="minorHAnsi"/>
              </w:rPr>
              <w:t xml:space="preserve"> </w:t>
            </w:r>
            <w:r w:rsidR="00853673" w:rsidRPr="00E15DAA">
              <w:rPr>
                <w:rFonts w:asciiTheme="minorHAnsi" w:hAnsiTheme="minorHAnsi"/>
              </w:rPr>
              <w:t>Intravenous immunoglobulin may reduce relapse frequency in neuromyelitis optica.</w:t>
            </w:r>
            <w:r w:rsidR="001E39D0">
              <w:rPr>
                <w:rFonts w:asciiTheme="minorHAnsi" w:hAnsiTheme="minorHAnsi"/>
              </w:rPr>
              <w:t xml:space="preserve"> </w:t>
            </w:r>
            <w:r w:rsidR="00853673" w:rsidRPr="00E15DAA">
              <w:rPr>
                <w:rFonts w:asciiTheme="minorHAnsi" w:hAnsiTheme="minorHAnsi"/>
              </w:rPr>
              <w:t>J</w:t>
            </w:r>
            <w:r w:rsidR="001E39D0">
              <w:rPr>
                <w:rFonts w:asciiTheme="minorHAnsi" w:hAnsiTheme="minorHAnsi"/>
              </w:rPr>
              <w:t>ournal of</w:t>
            </w:r>
            <w:r w:rsidR="00853673" w:rsidRPr="00E15DAA">
              <w:rPr>
                <w:rFonts w:asciiTheme="minorHAnsi" w:hAnsiTheme="minorHAnsi"/>
              </w:rPr>
              <w:t xml:space="preserve"> </w:t>
            </w:r>
            <w:r w:rsidR="00853673" w:rsidRPr="00E15DAA">
              <w:rPr>
                <w:rFonts w:asciiTheme="minorHAnsi" w:hAnsiTheme="minorHAnsi"/>
              </w:rPr>
              <w:lastRenderedPageBreak/>
              <w:t>Neuroimmunol</w:t>
            </w:r>
            <w:r w:rsidR="001E39D0">
              <w:rPr>
                <w:rFonts w:asciiTheme="minorHAnsi" w:hAnsiTheme="minorHAnsi"/>
              </w:rPr>
              <w:t>ogy, 282(</w:t>
            </w:r>
            <w:r w:rsidR="00853673" w:rsidRPr="00E15DAA">
              <w:rPr>
                <w:rFonts w:asciiTheme="minorHAnsi" w:hAnsiTheme="minorHAnsi"/>
              </w:rPr>
              <w:t>5</w:t>
            </w:r>
            <w:r w:rsidR="001E39D0">
              <w:rPr>
                <w:rFonts w:asciiTheme="minorHAnsi" w:hAnsiTheme="minorHAnsi"/>
              </w:rPr>
              <w:t>)</w:t>
            </w:r>
            <w:r>
              <w:rPr>
                <w:rFonts w:asciiTheme="minorHAnsi" w:hAnsiTheme="minorHAnsi"/>
              </w:rPr>
              <w:t>:</w:t>
            </w:r>
            <w:r w:rsidR="00853673" w:rsidRPr="00E15DAA">
              <w:rPr>
                <w:rFonts w:asciiTheme="minorHAnsi" w:hAnsiTheme="minorHAnsi"/>
              </w:rPr>
              <w:t>92-6.</w:t>
            </w:r>
          </w:p>
          <w:p w:rsidR="00E2558B" w:rsidRPr="00E2558B" w:rsidRDefault="0005348B" w:rsidP="00E15DAA">
            <w:pPr>
              <w:spacing w:before="120" w:after="120"/>
              <w:ind w:left="360"/>
              <w:rPr>
                <w:rFonts w:asciiTheme="minorHAnsi" w:hAnsiTheme="minorHAnsi"/>
                <w:color w:val="808080" w:themeColor="background1" w:themeShade="80"/>
              </w:rPr>
            </w:pPr>
            <w:hyperlink r:id="rId20" w:history="1">
              <w:r w:rsidR="00E2558B" w:rsidRPr="00E2558B">
                <w:rPr>
                  <w:rStyle w:val="Hyperlink"/>
                  <w:rFonts w:asciiTheme="minorHAnsi" w:hAnsiTheme="minorHAnsi"/>
                  <w:color w:val="808080" w:themeColor="background1" w:themeShade="80"/>
                </w:rPr>
                <w:t>http://europepmc.org/abstract/med/25903734</w:t>
              </w:r>
            </w:hyperlink>
          </w:p>
          <w:p w:rsidR="00901F76" w:rsidRDefault="00853673" w:rsidP="00E2558B">
            <w:pPr>
              <w:spacing w:before="120" w:after="120"/>
              <w:ind w:left="360"/>
              <w:rPr>
                <w:rFonts w:asciiTheme="minorHAnsi" w:hAnsiTheme="minorHAnsi"/>
              </w:rPr>
            </w:pPr>
            <w:r w:rsidRPr="00E15DAA">
              <w:rPr>
                <w:rFonts w:asciiTheme="minorHAnsi" w:hAnsiTheme="minorHAnsi"/>
              </w:rPr>
              <w:t xml:space="preserve">Wingerchuk DM, Banwell B, Bennett JL, </w:t>
            </w:r>
            <w:r w:rsidR="007A103F">
              <w:rPr>
                <w:rFonts w:asciiTheme="minorHAnsi" w:hAnsiTheme="minorHAnsi"/>
              </w:rPr>
              <w:t>Cabre</w:t>
            </w:r>
            <w:r w:rsidR="00E2558B">
              <w:rPr>
                <w:rFonts w:asciiTheme="minorHAnsi" w:hAnsiTheme="minorHAnsi"/>
              </w:rPr>
              <w:t xml:space="preserve"> P, Carroll W, Chitnis T </w:t>
            </w:r>
            <w:r w:rsidR="007A103F">
              <w:rPr>
                <w:rFonts w:asciiTheme="minorHAnsi" w:hAnsiTheme="minorHAnsi"/>
              </w:rPr>
              <w:t>(</w:t>
            </w:r>
            <w:r w:rsidRPr="00E15DAA">
              <w:rPr>
                <w:rFonts w:asciiTheme="minorHAnsi" w:hAnsiTheme="minorHAnsi"/>
              </w:rPr>
              <w:t>2015</w:t>
            </w:r>
            <w:r w:rsidR="007A103F">
              <w:rPr>
                <w:rFonts w:asciiTheme="minorHAnsi" w:hAnsiTheme="minorHAnsi"/>
              </w:rPr>
              <w:t xml:space="preserve">). </w:t>
            </w:r>
            <w:r w:rsidRPr="00E15DAA">
              <w:rPr>
                <w:rFonts w:asciiTheme="minorHAnsi" w:hAnsiTheme="minorHAnsi"/>
              </w:rPr>
              <w:t>International consensus diagnostic criteria for neuromyelitis optica spectrum disorders, Interna</w:t>
            </w:r>
            <w:r w:rsidR="007A103F">
              <w:rPr>
                <w:rFonts w:asciiTheme="minorHAnsi" w:hAnsiTheme="minorHAnsi"/>
              </w:rPr>
              <w:t xml:space="preserve">tional Panel for NMO Diagnosis. </w:t>
            </w:r>
            <w:r w:rsidRPr="00E15DAA">
              <w:rPr>
                <w:rFonts w:asciiTheme="minorHAnsi" w:hAnsiTheme="minorHAnsi"/>
              </w:rPr>
              <w:t xml:space="preserve"> </w:t>
            </w:r>
            <w:r w:rsidRPr="007A103F">
              <w:rPr>
                <w:rFonts w:asciiTheme="minorHAnsi" w:hAnsiTheme="minorHAnsi"/>
                <w:i/>
              </w:rPr>
              <w:t>Neurology</w:t>
            </w:r>
            <w:r w:rsidR="007A103F">
              <w:rPr>
                <w:rFonts w:asciiTheme="minorHAnsi" w:hAnsiTheme="minorHAnsi"/>
              </w:rPr>
              <w:t>, 85(</w:t>
            </w:r>
            <w:r w:rsidRPr="00E15DAA">
              <w:rPr>
                <w:rFonts w:asciiTheme="minorHAnsi" w:hAnsiTheme="minorHAnsi"/>
              </w:rPr>
              <w:t>2</w:t>
            </w:r>
            <w:r w:rsidR="007A103F">
              <w:rPr>
                <w:rFonts w:asciiTheme="minorHAnsi" w:hAnsiTheme="minorHAnsi"/>
              </w:rPr>
              <w:t>)</w:t>
            </w:r>
            <w:r w:rsidR="00E2558B">
              <w:rPr>
                <w:rFonts w:asciiTheme="minorHAnsi" w:hAnsiTheme="minorHAnsi"/>
              </w:rPr>
              <w:t>:</w:t>
            </w:r>
            <w:r w:rsidRPr="00E15DAA">
              <w:rPr>
                <w:rFonts w:asciiTheme="minorHAnsi" w:hAnsiTheme="minorHAnsi"/>
              </w:rPr>
              <w:t>177-89.</w:t>
            </w:r>
          </w:p>
          <w:p w:rsidR="00D138FF" w:rsidRPr="00F27C68" w:rsidRDefault="0005348B" w:rsidP="00D138FF">
            <w:pPr>
              <w:spacing w:before="120" w:after="120"/>
              <w:ind w:left="360"/>
              <w:rPr>
                <w:rFonts w:asciiTheme="minorHAnsi" w:hAnsiTheme="minorHAnsi"/>
                <w:color w:val="808080" w:themeColor="background1" w:themeShade="80"/>
              </w:rPr>
            </w:pPr>
            <w:hyperlink r:id="rId21" w:history="1">
              <w:r w:rsidR="00E2558B" w:rsidRPr="00E2558B">
                <w:rPr>
                  <w:rStyle w:val="Hyperlink"/>
                  <w:rFonts w:asciiTheme="minorHAnsi" w:hAnsiTheme="minorHAnsi"/>
                  <w:color w:val="808080" w:themeColor="background1" w:themeShade="80"/>
                </w:rPr>
                <w:t>https://www.ncbi.nlm.nih.gov/pubmed/26092914</w:t>
              </w:r>
            </w:hyperlink>
          </w:p>
          <w:p w:rsidR="00D138FF" w:rsidRPr="00F27C68" w:rsidRDefault="00D138FF" w:rsidP="00D138FF">
            <w:pPr>
              <w:spacing w:before="120" w:after="120"/>
              <w:ind w:left="360"/>
              <w:rPr>
                <w:rFonts w:asciiTheme="minorHAnsi" w:hAnsiTheme="minorHAnsi"/>
                <w:color w:val="808080" w:themeColor="background1" w:themeShade="80"/>
              </w:rPr>
            </w:pPr>
            <w:r w:rsidRPr="00D138FF">
              <w:rPr>
                <w:rFonts w:asciiTheme="minorHAnsi" w:hAnsiTheme="minorHAnsi"/>
              </w:rPr>
              <w:t xml:space="preserve">UK Department of Health (2011) Clinical Guidelines for Immunoglobulin Use: Second Edition Update. Available at: </w:t>
            </w:r>
            <w:r w:rsidRPr="00D138FF">
              <w:rPr>
                <w:rFonts w:asciiTheme="minorHAnsi" w:hAnsiTheme="minorHAnsi"/>
                <w:color w:val="808080" w:themeColor="background1" w:themeShade="80"/>
              </w:rPr>
              <w:t>https://www.gov.uk/government/uploads/system/uploads/attachment_data/file/216671/dh_131107.pdf</w:t>
            </w:r>
          </w:p>
          <w:p w:rsidR="00E2558B" w:rsidRPr="00E15DAA" w:rsidRDefault="00D138FF" w:rsidP="00D138FF">
            <w:pPr>
              <w:spacing w:before="120" w:after="120"/>
              <w:ind w:left="360"/>
              <w:rPr>
                <w:rFonts w:asciiTheme="minorHAnsi" w:hAnsiTheme="minorHAnsi"/>
              </w:rPr>
            </w:pPr>
            <w:r w:rsidRPr="00D138FF">
              <w:rPr>
                <w:rFonts w:asciiTheme="minorHAnsi" w:hAnsiTheme="minorHAnsi"/>
              </w:rPr>
              <w:t xml:space="preserve">UK Department of Health (2011) Clinical Guidelines for Immunoglobulin Use: Second Edition Update: Summary Poster. Available at: </w:t>
            </w:r>
            <w:r w:rsidRPr="00D138FF">
              <w:rPr>
                <w:rFonts w:asciiTheme="minorHAnsi" w:hAnsiTheme="minorHAnsi"/>
                <w:color w:val="808080" w:themeColor="background1" w:themeShade="80"/>
              </w:rPr>
              <w:t>https://www.igd.nhs.uk/wp-content/uploads/2016/04/DemandManagementPoster_v4_February2016.pdf</w:t>
            </w: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559"/>
        <w:gridCol w:w="4536"/>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2D66F2" w:rsidP="00807CA7">
            <w:pPr>
              <w:spacing w:before="120" w:after="120"/>
              <w:rPr>
                <w:rFonts w:asciiTheme="minorHAnsi" w:hAnsiTheme="minorHAnsi"/>
              </w:rPr>
            </w:pPr>
            <w:r>
              <w:rPr>
                <w:rFonts w:asciiTheme="minorHAnsi" w:hAnsiTheme="minorHAnsi"/>
              </w:rPr>
              <w:t>The revised criteria provide significantly greater guidance for access to Ig therapy and patient management</w:t>
            </w:r>
            <w:r w:rsidR="006E5C04">
              <w:rPr>
                <w:rFonts w:asciiTheme="minorHAnsi" w:hAnsiTheme="minorHAnsi"/>
              </w:rPr>
              <w:t xml:space="preserve"> and a neurologist is required to diagnose </w:t>
            </w:r>
            <w:r w:rsidR="00790CE9">
              <w:rPr>
                <w:rFonts w:asciiTheme="minorHAnsi" w:hAnsiTheme="minorHAnsi"/>
              </w:rPr>
              <w:t xml:space="preserve">and manage patients with </w:t>
            </w:r>
            <w:r w:rsidR="006E5C04">
              <w:rPr>
                <w:rFonts w:asciiTheme="minorHAnsi" w:hAnsiTheme="minorHAnsi"/>
              </w:rPr>
              <w:t>the condition</w:t>
            </w:r>
            <w:r>
              <w:rPr>
                <w:rFonts w:asciiTheme="minorHAnsi" w:hAnsiTheme="minorHAnsi"/>
              </w:rPr>
              <w:t xml:space="preserve">. There will be increased data entry required (e.g. compliance with the international consensus diagnostic criteria) compared to the previous Ig request process. Patients will be required to be assessed at qualifying </w:t>
            </w:r>
            <w:r w:rsidR="003F40F7">
              <w:rPr>
                <w:rFonts w:asciiTheme="minorHAnsi" w:hAnsiTheme="minorHAnsi"/>
              </w:rPr>
              <w:t>(</w:t>
            </w:r>
            <w:r>
              <w:rPr>
                <w:rFonts w:asciiTheme="minorHAnsi" w:hAnsiTheme="minorHAnsi"/>
              </w:rPr>
              <w:t>and review</w:t>
            </w:r>
            <w:r w:rsidR="003F40F7">
              <w:rPr>
                <w:rFonts w:asciiTheme="minorHAnsi" w:hAnsiTheme="minorHAnsi"/>
              </w:rPr>
              <w:t xml:space="preserve"> for relapse)</w:t>
            </w:r>
            <w:r>
              <w:rPr>
                <w:rFonts w:asciiTheme="minorHAnsi" w:hAnsiTheme="minorHAnsi"/>
              </w:rPr>
              <w:t xml:space="preserve"> using an Expanded Disability Status Scale, which is routinely used by Neu</w:t>
            </w:r>
            <w:r w:rsidR="0082326F">
              <w:rPr>
                <w:rFonts w:asciiTheme="minorHAnsi" w:hAnsiTheme="minorHAnsi"/>
              </w:rPr>
              <w:t>rologists in the assessment of m</w:t>
            </w:r>
            <w:r>
              <w:rPr>
                <w:rFonts w:asciiTheme="minorHAnsi" w:hAnsiTheme="minorHAnsi"/>
              </w:rPr>
              <w:t xml:space="preserve">ultiple sclerosis and </w:t>
            </w:r>
            <w:r w:rsidR="00807CA7">
              <w:rPr>
                <w:rFonts w:asciiTheme="minorHAnsi" w:hAnsiTheme="minorHAnsi"/>
              </w:rPr>
              <w:t xml:space="preserve">more information will be available from </w:t>
            </w:r>
            <w:r>
              <w:rPr>
                <w:rFonts w:asciiTheme="minorHAnsi" w:hAnsiTheme="minorHAnsi"/>
              </w:rPr>
              <w:t>within the BloodS</w:t>
            </w:r>
            <w:r w:rsidR="00C93490">
              <w:rPr>
                <w:rFonts w:asciiTheme="minorHAnsi" w:hAnsiTheme="minorHAnsi"/>
              </w:rPr>
              <w:t xml:space="preserve">TAR </w:t>
            </w:r>
            <w:r w:rsidR="00253413">
              <w:rPr>
                <w:rFonts w:asciiTheme="minorHAnsi" w:hAnsiTheme="minorHAnsi"/>
              </w:rPr>
              <w:t>v</w:t>
            </w:r>
            <w:r w:rsidR="00C93490">
              <w:rPr>
                <w:rFonts w:asciiTheme="minorHAnsi" w:hAnsiTheme="minorHAnsi"/>
              </w:rPr>
              <w:t>3.0</w:t>
            </w:r>
            <w:r>
              <w:rPr>
                <w:rFonts w:asciiTheme="minorHAnsi" w:hAnsiTheme="minorHAnsi"/>
              </w:rPr>
              <w:t xml:space="preserve"> system. Where access to ongoing Ig therapy is approved, patients will be reviewed six monthly and weaning from Ig must be considered after 12 months’ treatment to identify those patients in remission.</w:t>
            </w:r>
            <w:r w:rsidR="00790CE9">
              <w:rPr>
                <w:rFonts w:asciiTheme="minorHAnsi" w:hAnsiTheme="minorHAnsi"/>
              </w:rPr>
              <w:t xml:space="preserve"> If a patient relapses, a further request may be made. </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832D0D">
        <w:tc>
          <w:tcPr>
            <w:tcW w:w="3545" w:type="dxa"/>
            <w:gridSpan w:val="2"/>
            <w:shd w:val="clear" w:color="auto" w:fill="auto"/>
          </w:tcPr>
          <w:p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820BC1" w:rsidRDefault="00820BC1" w:rsidP="00A05092">
            <w:pPr>
              <w:spacing w:before="120" w:after="120"/>
              <w:rPr>
                <w:rFonts w:asciiTheme="minorHAnsi" w:hAnsiTheme="minorHAnsi"/>
              </w:rPr>
            </w:pPr>
            <w:r w:rsidRPr="006D67CF">
              <w:rPr>
                <w:rFonts w:asciiTheme="minorHAnsi" w:hAnsiTheme="minorHAnsi"/>
              </w:rPr>
              <w:t>There is not anticipated to be any</w:t>
            </w:r>
            <w:r>
              <w:rPr>
                <w:rFonts w:asciiTheme="minorHAnsi" w:hAnsiTheme="minorHAnsi"/>
              </w:rPr>
              <w:t xml:space="preserve"> significant</w:t>
            </w:r>
            <w:r w:rsidRPr="006D67CF">
              <w:rPr>
                <w:rFonts w:asciiTheme="minorHAnsi" w:hAnsiTheme="minorHAnsi"/>
              </w:rPr>
              <w:t xml:space="preserve"> impact on patients</w:t>
            </w:r>
            <w:r>
              <w:rPr>
                <w:rFonts w:asciiTheme="minorHAnsi" w:hAnsiTheme="minorHAnsi"/>
              </w:rPr>
              <w:t xml:space="preserve"> as a result of these criteria given that the proposed changes align with the expected clinical management of patients with this rare condition. </w:t>
            </w:r>
            <w:r w:rsidR="00AE630A">
              <w:rPr>
                <w:rFonts w:asciiTheme="minorHAnsi" w:hAnsiTheme="minorHAnsi"/>
              </w:rPr>
              <w:t xml:space="preserve">The formal access criteria proposed </w:t>
            </w:r>
            <w:r w:rsidR="006E5C04">
              <w:rPr>
                <w:rFonts w:asciiTheme="minorHAnsi" w:hAnsiTheme="minorHAnsi"/>
              </w:rPr>
              <w:t>require that a neurologist makes the diagnosis</w:t>
            </w:r>
            <w:r>
              <w:rPr>
                <w:rFonts w:asciiTheme="minorHAnsi" w:hAnsiTheme="minorHAnsi"/>
              </w:rPr>
              <w:t xml:space="preserve"> and manages the treatment</w:t>
            </w:r>
            <w:r w:rsidR="006E5C04">
              <w:rPr>
                <w:rFonts w:asciiTheme="minorHAnsi" w:hAnsiTheme="minorHAnsi"/>
              </w:rPr>
              <w:t xml:space="preserve">. This is because it is a very rare condition that can be </w:t>
            </w:r>
            <w:r>
              <w:rPr>
                <w:rFonts w:asciiTheme="minorHAnsi" w:hAnsiTheme="minorHAnsi"/>
              </w:rPr>
              <w:t xml:space="preserve">misdiagnosed as </w:t>
            </w:r>
            <w:r w:rsidR="006E5C04">
              <w:rPr>
                <w:rFonts w:asciiTheme="minorHAnsi" w:hAnsiTheme="minorHAnsi"/>
              </w:rPr>
              <w:t xml:space="preserve">Multiple sclerosis and it is important that the correct treatment is being given to patients. Ig therapy is only </w:t>
            </w:r>
            <w:r>
              <w:rPr>
                <w:rFonts w:asciiTheme="minorHAnsi" w:hAnsiTheme="minorHAnsi"/>
              </w:rPr>
              <w:t xml:space="preserve">indicated </w:t>
            </w:r>
            <w:r w:rsidR="006E5C04">
              <w:rPr>
                <w:rFonts w:asciiTheme="minorHAnsi" w:hAnsiTheme="minorHAnsi"/>
              </w:rPr>
              <w:t>after patients have not responded to other treatments or they are unavailable or inappropriate.  Most patients will respond to</w:t>
            </w:r>
            <w:r w:rsidR="00F912A3">
              <w:rPr>
                <w:rFonts w:asciiTheme="minorHAnsi" w:hAnsiTheme="minorHAnsi"/>
              </w:rPr>
              <w:t xml:space="preserve"> the initial treatment with</w:t>
            </w:r>
            <w:r w:rsidR="006E5C04">
              <w:rPr>
                <w:rFonts w:asciiTheme="minorHAnsi" w:hAnsiTheme="minorHAnsi"/>
              </w:rPr>
              <w:t xml:space="preserve"> Ig therapy, and, if symptoms return after treatment, a further request for ongoing Ig therapy can be made. </w:t>
            </w:r>
            <w:r w:rsidR="00D53A5F">
              <w:rPr>
                <w:rFonts w:asciiTheme="minorHAnsi" w:hAnsiTheme="minorHAnsi"/>
              </w:rPr>
              <w:t xml:space="preserve">In the setting of </w:t>
            </w:r>
            <w:r w:rsidR="00F912A3">
              <w:rPr>
                <w:rFonts w:asciiTheme="minorHAnsi" w:hAnsiTheme="minorHAnsi"/>
              </w:rPr>
              <w:t>ongoing</w:t>
            </w:r>
            <w:r w:rsidR="00D53A5F">
              <w:rPr>
                <w:rFonts w:asciiTheme="minorHAnsi" w:hAnsiTheme="minorHAnsi"/>
              </w:rPr>
              <w:t xml:space="preserve"> therapy, Ig</w:t>
            </w:r>
            <w:r w:rsidR="00F912A3">
              <w:rPr>
                <w:rFonts w:asciiTheme="minorHAnsi" w:hAnsiTheme="minorHAnsi"/>
              </w:rPr>
              <w:t xml:space="preserve"> is</w:t>
            </w:r>
            <w:r w:rsidR="00D53A5F">
              <w:rPr>
                <w:rFonts w:asciiTheme="minorHAnsi" w:hAnsiTheme="minorHAnsi"/>
              </w:rPr>
              <w:t xml:space="preserve"> recommended to be given in combination with a second medication</w:t>
            </w:r>
            <w:r w:rsidR="00F912A3">
              <w:rPr>
                <w:rFonts w:asciiTheme="minorHAnsi" w:hAnsiTheme="minorHAnsi"/>
              </w:rPr>
              <w:t xml:space="preserve">. </w:t>
            </w:r>
          </w:p>
          <w:p w:rsidR="00832D0D" w:rsidRDefault="00820BC1" w:rsidP="00D53A5F">
            <w:pPr>
              <w:spacing w:before="120" w:after="120"/>
              <w:rPr>
                <w:rFonts w:asciiTheme="minorHAnsi" w:hAnsiTheme="minorHAnsi"/>
              </w:rPr>
            </w:pPr>
            <w:r>
              <w:rPr>
                <w:rFonts w:asciiTheme="minorHAnsi" w:hAnsiTheme="minorHAnsi"/>
              </w:rPr>
              <w:t xml:space="preserve">For existing patients on Ig </w:t>
            </w:r>
            <w:r w:rsidR="00F912A3">
              <w:rPr>
                <w:rFonts w:asciiTheme="minorHAnsi" w:hAnsiTheme="minorHAnsi"/>
              </w:rPr>
              <w:t xml:space="preserve">maintenance </w:t>
            </w:r>
            <w:r>
              <w:rPr>
                <w:rFonts w:asciiTheme="minorHAnsi" w:hAnsiTheme="minorHAnsi"/>
              </w:rPr>
              <w:t xml:space="preserve">therapy, six monthly reviews are required to assess the </w:t>
            </w:r>
            <w:r w:rsidR="00D53A5F">
              <w:rPr>
                <w:rFonts w:asciiTheme="minorHAnsi" w:hAnsiTheme="minorHAnsi"/>
              </w:rPr>
              <w:t xml:space="preserve">effectiveness of </w:t>
            </w:r>
            <w:r w:rsidR="00F912A3">
              <w:rPr>
                <w:rFonts w:asciiTheme="minorHAnsi" w:hAnsiTheme="minorHAnsi"/>
              </w:rPr>
              <w:t>the</w:t>
            </w:r>
            <w:r w:rsidR="00D53A5F">
              <w:rPr>
                <w:rFonts w:asciiTheme="minorHAnsi" w:hAnsiTheme="minorHAnsi"/>
              </w:rPr>
              <w:t xml:space="preserve"> treatment to improve the severity of symptoms and degree of disability</w:t>
            </w:r>
            <w:r>
              <w:rPr>
                <w:rFonts w:asciiTheme="minorHAnsi" w:hAnsiTheme="minorHAnsi"/>
              </w:rPr>
              <w:t xml:space="preserve">. </w:t>
            </w:r>
            <w:r w:rsidR="002D66F2">
              <w:rPr>
                <w:rFonts w:asciiTheme="minorHAnsi" w:hAnsiTheme="minorHAnsi"/>
              </w:rPr>
              <w:t xml:space="preserve">Given that patients will already </w:t>
            </w:r>
            <w:r>
              <w:rPr>
                <w:rFonts w:asciiTheme="minorHAnsi" w:hAnsiTheme="minorHAnsi"/>
              </w:rPr>
              <w:t>require regular</w:t>
            </w:r>
            <w:r w:rsidR="002D66F2">
              <w:rPr>
                <w:rFonts w:asciiTheme="minorHAnsi" w:hAnsiTheme="minorHAnsi"/>
              </w:rPr>
              <w:t xml:space="preserve"> review</w:t>
            </w:r>
            <w:r>
              <w:rPr>
                <w:rFonts w:asciiTheme="minorHAnsi" w:hAnsiTheme="minorHAnsi"/>
              </w:rPr>
              <w:t xml:space="preserve"> </w:t>
            </w:r>
            <w:r w:rsidR="00F912A3">
              <w:rPr>
                <w:rFonts w:asciiTheme="minorHAnsi" w:hAnsiTheme="minorHAnsi"/>
              </w:rPr>
              <w:t xml:space="preserve"> </w:t>
            </w:r>
            <w:r w:rsidR="00AE630A">
              <w:rPr>
                <w:rFonts w:asciiTheme="minorHAnsi" w:hAnsiTheme="minorHAnsi"/>
              </w:rPr>
              <w:t xml:space="preserve">by their </w:t>
            </w:r>
            <w:r w:rsidR="006E5C04">
              <w:rPr>
                <w:rFonts w:asciiTheme="minorHAnsi" w:hAnsiTheme="minorHAnsi"/>
              </w:rPr>
              <w:t>neurologist</w:t>
            </w:r>
            <w:r w:rsidR="002D66F2">
              <w:rPr>
                <w:rFonts w:asciiTheme="minorHAnsi" w:hAnsiTheme="minorHAnsi"/>
              </w:rPr>
              <w:t xml:space="preserve">, </w:t>
            </w:r>
            <w:r w:rsidR="00D53A5F">
              <w:rPr>
                <w:rFonts w:asciiTheme="minorHAnsi" w:hAnsiTheme="minorHAnsi"/>
              </w:rPr>
              <w:t xml:space="preserve"> this requirement will not place an added burden on patients</w:t>
            </w:r>
            <w:r w:rsidR="002D66F2">
              <w:rPr>
                <w:rFonts w:asciiTheme="minorHAnsi" w:hAnsiTheme="minorHAnsi"/>
              </w:rPr>
              <w:t xml:space="preserve">. </w:t>
            </w:r>
            <w:r w:rsidR="003F40F7">
              <w:rPr>
                <w:rFonts w:asciiTheme="minorHAnsi" w:hAnsiTheme="minorHAnsi"/>
              </w:rPr>
              <w:t xml:space="preserve">If patients relapse while </w:t>
            </w:r>
            <w:r w:rsidR="002C2D97">
              <w:rPr>
                <w:rFonts w:asciiTheme="minorHAnsi" w:hAnsiTheme="minorHAnsi"/>
              </w:rPr>
              <w:t xml:space="preserve">they are </w:t>
            </w:r>
            <w:r w:rsidR="003F40F7">
              <w:rPr>
                <w:rFonts w:asciiTheme="minorHAnsi" w:hAnsiTheme="minorHAnsi"/>
              </w:rPr>
              <w:t>on maintenance therapy, a</w:t>
            </w:r>
            <w:r w:rsidR="002C2D97">
              <w:rPr>
                <w:rFonts w:asciiTheme="minorHAnsi" w:hAnsiTheme="minorHAnsi"/>
              </w:rPr>
              <w:t>n extra</w:t>
            </w:r>
            <w:r w:rsidR="003F40F7">
              <w:rPr>
                <w:rFonts w:asciiTheme="minorHAnsi" w:hAnsiTheme="minorHAnsi"/>
              </w:rPr>
              <w:t xml:space="preserve"> </w:t>
            </w:r>
            <w:r w:rsidR="001E57CF">
              <w:rPr>
                <w:rFonts w:asciiTheme="minorHAnsi" w:hAnsiTheme="minorHAnsi"/>
              </w:rPr>
              <w:t xml:space="preserve">Ig </w:t>
            </w:r>
            <w:r w:rsidR="003F40F7">
              <w:rPr>
                <w:rFonts w:asciiTheme="minorHAnsi" w:hAnsiTheme="minorHAnsi"/>
              </w:rPr>
              <w:t xml:space="preserve">dose </w:t>
            </w:r>
            <w:r w:rsidR="002C2D97">
              <w:rPr>
                <w:rFonts w:asciiTheme="minorHAnsi" w:hAnsiTheme="minorHAnsi"/>
              </w:rPr>
              <w:t xml:space="preserve">can </w:t>
            </w:r>
            <w:r w:rsidR="003F40F7">
              <w:rPr>
                <w:rFonts w:asciiTheme="minorHAnsi" w:hAnsiTheme="minorHAnsi"/>
              </w:rPr>
              <w:t xml:space="preserve">be requested. </w:t>
            </w:r>
            <w:r w:rsidR="00A05092">
              <w:rPr>
                <w:rFonts w:asciiTheme="minorHAnsi" w:hAnsiTheme="minorHAnsi"/>
              </w:rPr>
              <w:t xml:space="preserve">A trial of reducing dose and then stopping Ig therapy will be considered by doctors after at least twelve months treatment and when patients are well and stable to test whether the disease </w:t>
            </w:r>
            <w:r>
              <w:rPr>
                <w:rFonts w:asciiTheme="minorHAnsi" w:hAnsiTheme="minorHAnsi"/>
              </w:rPr>
              <w:t>is in remission</w:t>
            </w:r>
            <w:r w:rsidR="00A05092">
              <w:rPr>
                <w:rFonts w:asciiTheme="minorHAnsi" w:hAnsiTheme="minorHAnsi"/>
              </w:rPr>
              <w:t xml:space="preserve">. </w:t>
            </w:r>
            <w:r w:rsidR="002C2D97">
              <w:rPr>
                <w:rFonts w:asciiTheme="minorHAnsi" w:hAnsiTheme="minorHAnsi"/>
              </w:rPr>
              <w:t xml:space="preserve">  If, patients relapse </w:t>
            </w:r>
            <w:r w:rsidR="001E57CF">
              <w:rPr>
                <w:rFonts w:asciiTheme="minorHAnsi" w:hAnsiTheme="minorHAnsi"/>
              </w:rPr>
              <w:t>after</w:t>
            </w:r>
            <w:r w:rsidR="002C2D97">
              <w:rPr>
                <w:rFonts w:asciiTheme="minorHAnsi" w:hAnsiTheme="minorHAnsi"/>
              </w:rPr>
              <w:t xml:space="preserve"> Ig treatment has been stopped, a further request to restart</w:t>
            </w:r>
            <w:r w:rsidR="00A05092">
              <w:rPr>
                <w:rFonts w:asciiTheme="minorHAnsi" w:hAnsiTheme="minorHAnsi"/>
              </w:rPr>
              <w:t xml:space="preserve"> ongoing</w:t>
            </w:r>
            <w:r w:rsidR="002C2D97">
              <w:rPr>
                <w:rFonts w:asciiTheme="minorHAnsi" w:hAnsiTheme="minorHAnsi"/>
              </w:rPr>
              <w:t xml:space="preserve"> Ig therapy can be made.</w:t>
            </w:r>
          </w:p>
          <w:p w:rsidR="00D53A5F" w:rsidRDefault="00D53A5F" w:rsidP="00D53A5F">
            <w:pPr>
              <w:spacing w:before="120" w:after="120"/>
              <w:rPr>
                <w:rFonts w:asciiTheme="minorHAnsi" w:hAnsiTheme="minorHAnsi"/>
              </w:rPr>
            </w:pPr>
            <w:r>
              <w:rPr>
                <w:rFonts w:asciiTheme="minorHAnsi" w:hAnsiTheme="minorHAnsi"/>
              </w:rPr>
              <w:t xml:space="preserve">New patients authorised to receive ongoing Ig therapy will require an initial check after the first six months of Ig treatment to confirm that Ig therapy is improving the severity of symptoms and degree of disability. If improvement has been demonstrated after six months ongoing treatment, Ig therapy will be </w:t>
            </w:r>
            <w:r w:rsidR="00F912A3">
              <w:rPr>
                <w:rFonts w:asciiTheme="minorHAnsi" w:hAnsiTheme="minorHAnsi"/>
              </w:rPr>
              <w:t>continued;</w:t>
            </w:r>
            <w:r>
              <w:rPr>
                <w:rFonts w:asciiTheme="minorHAnsi" w:hAnsiTheme="minorHAnsi"/>
              </w:rPr>
              <w:t xml:space="preserve"> otherwise a different treatment would be required.</w:t>
            </w:r>
            <w:r w:rsidR="00F912A3">
              <w:rPr>
                <w:rFonts w:asciiTheme="minorHAnsi" w:hAnsiTheme="minorHAnsi"/>
              </w:rPr>
              <w:t xml:space="preserve"> The ongoing arrangements for maintenance therapy are as outlined above for existing patients.</w:t>
            </w:r>
          </w:p>
          <w:p w:rsidR="00D53A5F" w:rsidRPr="00832D0D" w:rsidRDefault="00D53A5F" w:rsidP="00D53A5F">
            <w:pPr>
              <w:spacing w:before="120" w:after="120"/>
              <w:rPr>
                <w:rFonts w:asciiTheme="minorHAnsi" w:hAnsiTheme="minorHAnsi"/>
              </w:rPr>
            </w:pPr>
          </w:p>
        </w:tc>
      </w:tr>
      <w:tr w:rsidR="002D66F2" w:rsidRPr="00021243" w:rsidTr="00832D0D">
        <w:tc>
          <w:tcPr>
            <w:tcW w:w="3545" w:type="dxa"/>
            <w:gridSpan w:val="2"/>
            <w:shd w:val="clear" w:color="auto" w:fill="auto"/>
          </w:tcPr>
          <w:p w:rsidR="002D66F2" w:rsidRDefault="002D66F2" w:rsidP="004A10A2">
            <w:pPr>
              <w:spacing w:before="120" w:after="120"/>
              <w:rPr>
                <w:rFonts w:asciiTheme="minorHAnsi" w:hAnsiTheme="minorHAnsi"/>
                <w:b/>
              </w:rPr>
            </w:pPr>
            <w:r>
              <w:rPr>
                <w:rFonts w:asciiTheme="minorHAnsi" w:hAnsiTheme="minorHAnsi"/>
                <w:b/>
              </w:rPr>
              <w:lastRenderedPageBreak/>
              <w:t>Impact on demand:</w:t>
            </w:r>
          </w:p>
        </w:tc>
        <w:tc>
          <w:tcPr>
            <w:tcW w:w="11056" w:type="dxa"/>
            <w:gridSpan w:val="5"/>
            <w:shd w:val="clear" w:color="auto" w:fill="auto"/>
          </w:tcPr>
          <w:p w:rsidR="002D66F2" w:rsidRDefault="002D66F2" w:rsidP="003F40F7">
            <w:pPr>
              <w:spacing w:before="120" w:after="120"/>
              <w:rPr>
                <w:rFonts w:asciiTheme="minorHAnsi" w:hAnsiTheme="minorHAnsi"/>
              </w:rPr>
            </w:pPr>
            <w:r>
              <w:rPr>
                <w:rFonts w:asciiTheme="minorHAnsi" w:hAnsiTheme="minorHAnsi"/>
              </w:rPr>
              <w:t xml:space="preserve">In line with the recognition of the broader diagnostic criteria for NMOSD, there has been an increase in demand for Ig therapy since 2013-14. Given that the current </w:t>
            </w:r>
            <w:r w:rsidRPr="00BE4FB0">
              <w:rPr>
                <w:rFonts w:asciiTheme="minorHAnsi" w:hAnsiTheme="minorHAnsi"/>
                <w:i/>
              </w:rPr>
              <w:t>Criteria</w:t>
            </w:r>
            <w:r>
              <w:rPr>
                <w:rFonts w:asciiTheme="minorHAnsi" w:hAnsiTheme="minorHAnsi"/>
              </w:rPr>
              <w:t xml:space="preserve"> do not provide any guidance regarding appropriate access or treatment periods, the revised criteria </w:t>
            </w:r>
            <w:r w:rsidR="003F40F7">
              <w:rPr>
                <w:rFonts w:asciiTheme="minorHAnsi" w:hAnsiTheme="minorHAnsi"/>
              </w:rPr>
              <w:t xml:space="preserve">are likely to </w:t>
            </w:r>
            <w:r>
              <w:rPr>
                <w:rFonts w:asciiTheme="minorHAnsi" w:hAnsiTheme="minorHAnsi"/>
              </w:rPr>
              <w:t xml:space="preserve">improve the cost effectiveness of Ig use and may reduce demand, relative to what it might have been prescribed. However, despite being increasingly recognised, given the relatively low prevalence, there is unlikely to be any measurable impact on overall demand.  </w:t>
            </w:r>
          </w:p>
        </w:tc>
      </w:tr>
      <w:tr w:rsidR="004D6C44" w:rsidRPr="00853117" w:rsidTr="004D6C44">
        <w:tc>
          <w:tcPr>
            <w:tcW w:w="2161" w:type="dxa"/>
            <w:shd w:val="clear" w:color="auto" w:fill="auto"/>
          </w:tcPr>
          <w:p w:rsidR="004D6C44" w:rsidRPr="00C92149" w:rsidRDefault="004D6C44" w:rsidP="004A10A2">
            <w:pPr>
              <w:spacing w:before="120" w:after="120"/>
              <w:rPr>
                <w:rFonts w:asciiTheme="minorHAnsi" w:hAnsiTheme="minorHAnsi"/>
                <w:b/>
                <w:sz w:val="18"/>
                <w:szCs w:val="18"/>
              </w:rPr>
            </w:pPr>
          </w:p>
        </w:tc>
        <w:tc>
          <w:tcPr>
            <w:tcW w:w="1384" w:type="dxa"/>
            <w:shd w:val="clear" w:color="auto" w:fill="auto"/>
          </w:tcPr>
          <w:p w:rsidR="004D6C44" w:rsidRPr="00C92149" w:rsidRDefault="004D6C44" w:rsidP="00775472">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4D6C44" w:rsidRPr="00C92149" w:rsidRDefault="004D6C44" w:rsidP="00775472">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4D6C44" w:rsidRPr="00C92149" w:rsidRDefault="004D6C44" w:rsidP="00775472">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4D6C44" w:rsidRPr="00C92149" w:rsidRDefault="004D6C44" w:rsidP="00775472">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559" w:type="dxa"/>
            <w:shd w:val="clear" w:color="auto" w:fill="auto"/>
          </w:tcPr>
          <w:p w:rsidR="004D6C44" w:rsidRPr="004D6C44" w:rsidRDefault="004D6C44" w:rsidP="004D6C44">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536" w:type="dxa"/>
            <w:vMerge w:val="restart"/>
            <w:shd w:val="clear" w:color="auto" w:fill="auto"/>
          </w:tcPr>
          <w:p w:rsidR="002D66F2" w:rsidRPr="00E15DAA" w:rsidRDefault="002D66F2" w:rsidP="004D6C44">
            <w:pPr>
              <w:rPr>
                <w:rFonts w:asciiTheme="minorHAnsi" w:hAnsiTheme="minorHAnsi"/>
                <w:sz w:val="18"/>
                <w:szCs w:val="18"/>
              </w:rPr>
            </w:pPr>
          </w:p>
          <w:p w:rsidR="004D6C44" w:rsidRPr="00E15DAA" w:rsidRDefault="004D6C44" w:rsidP="004D6C44">
            <w:pPr>
              <w:rPr>
                <w:rFonts w:asciiTheme="minorHAnsi" w:hAnsiTheme="minorHAnsi"/>
                <w:sz w:val="18"/>
                <w:szCs w:val="18"/>
              </w:rPr>
            </w:pPr>
            <w:r w:rsidRPr="00E15DAA">
              <w:rPr>
                <w:rFonts w:asciiTheme="minorHAnsi" w:hAnsiTheme="minorHAnsi"/>
                <w:sz w:val="18"/>
                <w:szCs w:val="18"/>
              </w:rPr>
              <w:t xml:space="preserve">The </w:t>
            </w:r>
            <w:r w:rsidR="00253413" w:rsidRPr="00253413">
              <w:rPr>
                <w:rFonts w:asciiTheme="minorHAnsi" w:hAnsiTheme="minorHAnsi"/>
                <w:sz w:val="18"/>
                <w:szCs w:val="18"/>
              </w:rPr>
              <w:t xml:space="preserve">Specialist Working Group </w:t>
            </w:r>
            <w:r w:rsidRPr="00E15DAA">
              <w:rPr>
                <w:rFonts w:asciiTheme="minorHAnsi" w:hAnsiTheme="minorHAnsi"/>
                <w:sz w:val="18"/>
                <w:szCs w:val="18"/>
              </w:rPr>
              <w:t xml:space="preserve"> estimated magnitude of effect:</w:t>
            </w:r>
          </w:p>
          <w:p w:rsidR="004D6C44" w:rsidRPr="00E15DAA" w:rsidRDefault="004D6C44" w:rsidP="004D6C44">
            <w:pPr>
              <w:rPr>
                <w:rFonts w:asciiTheme="minorHAnsi" w:hAnsiTheme="minorHAnsi"/>
                <w:sz w:val="18"/>
                <w:szCs w:val="18"/>
              </w:rPr>
            </w:pPr>
            <w:r w:rsidRPr="00E15DAA">
              <w:rPr>
                <w:rFonts w:asciiTheme="minorHAnsi" w:hAnsiTheme="minorHAnsi"/>
                <w:sz w:val="18"/>
                <w:szCs w:val="18"/>
              </w:rPr>
              <w:t>No impact</w:t>
            </w:r>
            <w:r w:rsidR="00806F8F">
              <w:rPr>
                <w:rFonts w:asciiTheme="minorHAnsi" w:hAnsiTheme="minorHAnsi"/>
                <w:sz w:val="18"/>
                <w:szCs w:val="18"/>
              </w:rPr>
              <w:t xml:space="preserve"> against projected demand</w:t>
            </w:r>
          </w:p>
          <w:p w:rsidR="004D6C44" w:rsidRPr="00C92149" w:rsidRDefault="004D6C44" w:rsidP="004A10A2">
            <w:pPr>
              <w:spacing w:before="120" w:after="120"/>
              <w:rPr>
                <w:rFonts w:asciiTheme="minorHAnsi" w:hAnsiTheme="minorHAnsi"/>
                <w:b/>
                <w:sz w:val="18"/>
                <w:szCs w:val="18"/>
              </w:rPr>
            </w:pPr>
          </w:p>
        </w:tc>
      </w:tr>
      <w:tr w:rsidR="004D6C44" w:rsidRPr="00853117" w:rsidTr="00A05A54">
        <w:tc>
          <w:tcPr>
            <w:tcW w:w="2161" w:type="dxa"/>
            <w:shd w:val="clear" w:color="auto" w:fill="auto"/>
          </w:tcPr>
          <w:p w:rsidR="004D6C44" w:rsidRPr="00C92149" w:rsidRDefault="004D6C44"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center"/>
          </w:tcPr>
          <w:p w:rsidR="004D6C44" w:rsidRPr="00775472" w:rsidRDefault="004D6C44" w:rsidP="00A05A54">
            <w:pPr>
              <w:spacing w:before="120" w:after="120"/>
              <w:jc w:val="right"/>
              <w:rPr>
                <w:rFonts w:asciiTheme="minorHAnsi" w:hAnsiTheme="minorHAnsi" w:cs="Helvetica"/>
                <w:b/>
                <w:color w:val="333333"/>
                <w:sz w:val="18"/>
                <w:szCs w:val="18"/>
              </w:rPr>
            </w:pPr>
            <w:r w:rsidRPr="00775472">
              <w:rPr>
                <w:rFonts w:asciiTheme="minorHAnsi" w:hAnsiTheme="minorHAnsi" w:cs="Helvetica"/>
                <w:b/>
                <w:color w:val="333333"/>
                <w:sz w:val="18"/>
                <w:szCs w:val="18"/>
              </w:rPr>
              <w:t>16</w:t>
            </w:r>
          </w:p>
        </w:tc>
        <w:tc>
          <w:tcPr>
            <w:tcW w:w="1593" w:type="dxa"/>
            <w:shd w:val="clear" w:color="auto" w:fill="auto"/>
            <w:vAlign w:val="center"/>
          </w:tcPr>
          <w:p w:rsidR="004D6C44" w:rsidRPr="00775472" w:rsidRDefault="004D6C44" w:rsidP="00A05A54">
            <w:pPr>
              <w:spacing w:before="120" w:after="120"/>
              <w:jc w:val="right"/>
              <w:rPr>
                <w:rFonts w:asciiTheme="minorHAnsi" w:hAnsiTheme="minorHAnsi" w:cs="Helvetica"/>
                <w:b/>
                <w:color w:val="333333"/>
                <w:sz w:val="18"/>
                <w:szCs w:val="18"/>
              </w:rPr>
            </w:pPr>
            <w:r w:rsidRPr="00775472">
              <w:rPr>
                <w:rFonts w:asciiTheme="minorHAnsi" w:hAnsiTheme="minorHAnsi" w:cs="Helvetica"/>
                <w:b/>
                <w:color w:val="333333"/>
                <w:sz w:val="18"/>
                <w:szCs w:val="18"/>
              </w:rPr>
              <w:t>19</w:t>
            </w:r>
          </w:p>
        </w:tc>
        <w:tc>
          <w:tcPr>
            <w:tcW w:w="1667" w:type="dxa"/>
            <w:shd w:val="clear" w:color="auto" w:fill="auto"/>
            <w:vAlign w:val="center"/>
          </w:tcPr>
          <w:p w:rsidR="004D6C44" w:rsidRPr="00775472" w:rsidRDefault="004D6C44" w:rsidP="00A05A54">
            <w:pPr>
              <w:spacing w:before="120" w:after="120"/>
              <w:jc w:val="right"/>
              <w:rPr>
                <w:rFonts w:asciiTheme="minorHAnsi" w:hAnsiTheme="minorHAnsi" w:cs="Helvetica"/>
                <w:b/>
                <w:color w:val="333333"/>
                <w:sz w:val="18"/>
                <w:szCs w:val="18"/>
              </w:rPr>
            </w:pPr>
            <w:r w:rsidRPr="00775472">
              <w:rPr>
                <w:rFonts w:asciiTheme="minorHAnsi" w:hAnsiTheme="minorHAnsi" w:cs="Helvetica"/>
                <w:b/>
                <w:color w:val="333333"/>
                <w:sz w:val="18"/>
                <w:szCs w:val="18"/>
              </w:rPr>
              <w:t>24</w:t>
            </w:r>
          </w:p>
        </w:tc>
        <w:tc>
          <w:tcPr>
            <w:tcW w:w="1701" w:type="dxa"/>
            <w:shd w:val="clear" w:color="auto" w:fill="auto"/>
            <w:vAlign w:val="center"/>
          </w:tcPr>
          <w:p w:rsidR="004D6C44" w:rsidRPr="00775472" w:rsidRDefault="004D6C44" w:rsidP="00A05A54">
            <w:pPr>
              <w:spacing w:before="120" w:after="120"/>
              <w:jc w:val="right"/>
              <w:rPr>
                <w:rFonts w:asciiTheme="minorHAnsi" w:hAnsiTheme="minorHAnsi" w:cs="Helvetica"/>
                <w:b/>
                <w:color w:val="333333"/>
                <w:sz w:val="18"/>
                <w:szCs w:val="18"/>
              </w:rPr>
            </w:pPr>
            <w:r w:rsidRPr="00775472">
              <w:rPr>
                <w:rFonts w:asciiTheme="minorHAnsi" w:hAnsiTheme="minorHAnsi" w:cs="Helvetica"/>
                <w:b/>
                <w:color w:val="333333"/>
                <w:sz w:val="18"/>
                <w:szCs w:val="18"/>
              </w:rPr>
              <w:t>29</w:t>
            </w:r>
          </w:p>
        </w:tc>
        <w:tc>
          <w:tcPr>
            <w:tcW w:w="1559" w:type="dxa"/>
            <w:shd w:val="clear" w:color="auto" w:fill="auto"/>
            <w:vAlign w:val="center"/>
          </w:tcPr>
          <w:p w:rsidR="004D6C44" w:rsidRPr="004D6C44" w:rsidRDefault="009F2B06" w:rsidP="00A05A54">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42</w:t>
            </w:r>
          </w:p>
        </w:tc>
        <w:tc>
          <w:tcPr>
            <w:tcW w:w="4536" w:type="dxa"/>
            <w:vMerge/>
            <w:shd w:val="clear" w:color="auto" w:fill="auto"/>
          </w:tcPr>
          <w:p w:rsidR="004D6C44" w:rsidRPr="00C92149" w:rsidRDefault="004D6C44" w:rsidP="004A10A2">
            <w:pPr>
              <w:spacing w:before="120" w:after="120"/>
              <w:rPr>
                <w:rFonts w:asciiTheme="minorHAnsi" w:hAnsiTheme="minorHAnsi"/>
                <w:b/>
                <w:sz w:val="18"/>
                <w:szCs w:val="18"/>
              </w:rPr>
            </w:pPr>
          </w:p>
        </w:tc>
      </w:tr>
      <w:tr w:rsidR="004D6C44" w:rsidRPr="00853117" w:rsidTr="00A05A54">
        <w:trPr>
          <w:trHeight w:val="535"/>
        </w:trPr>
        <w:tc>
          <w:tcPr>
            <w:tcW w:w="2161" w:type="dxa"/>
            <w:shd w:val="clear" w:color="auto" w:fill="auto"/>
          </w:tcPr>
          <w:p w:rsidR="004D6C44" w:rsidRPr="00C92149" w:rsidRDefault="004D6C44"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center"/>
          </w:tcPr>
          <w:p w:rsidR="004D6C44" w:rsidRPr="00775472" w:rsidRDefault="004D6C44" w:rsidP="00A05A54">
            <w:pPr>
              <w:spacing w:before="120" w:after="120"/>
              <w:jc w:val="right"/>
              <w:rPr>
                <w:rFonts w:asciiTheme="minorHAnsi" w:hAnsiTheme="minorHAnsi" w:cs="Helvetica"/>
                <w:b/>
                <w:color w:val="333333"/>
                <w:sz w:val="18"/>
                <w:szCs w:val="18"/>
              </w:rPr>
            </w:pPr>
            <w:r w:rsidRPr="00775472">
              <w:rPr>
                <w:rFonts w:asciiTheme="minorHAnsi" w:hAnsiTheme="minorHAnsi" w:cs="Helvetica"/>
                <w:b/>
                <w:color w:val="333333"/>
                <w:sz w:val="18"/>
                <w:szCs w:val="18"/>
              </w:rPr>
              <w:t>3,541</w:t>
            </w:r>
          </w:p>
        </w:tc>
        <w:tc>
          <w:tcPr>
            <w:tcW w:w="1593" w:type="dxa"/>
            <w:shd w:val="clear" w:color="auto" w:fill="auto"/>
            <w:vAlign w:val="center"/>
          </w:tcPr>
          <w:p w:rsidR="004D6C44" w:rsidRPr="00775472" w:rsidRDefault="004D6C44" w:rsidP="00A05A54">
            <w:pPr>
              <w:spacing w:before="120" w:after="120"/>
              <w:jc w:val="right"/>
              <w:rPr>
                <w:rFonts w:asciiTheme="minorHAnsi" w:hAnsiTheme="minorHAnsi" w:cs="Helvetica"/>
                <w:b/>
                <w:color w:val="333333"/>
                <w:sz w:val="18"/>
                <w:szCs w:val="18"/>
              </w:rPr>
            </w:pPr>
            <w:r w:rsidRPr="00775472">
              <w:rPr>
                <w:rFonts w:asciiTheme="minorHAnsi" w:hAnsiTheme="minorHAnsi" w:cs="Helvetica"/>
                <w:b/>
                <w:color w:val="333333"/>
                <w:sz w:val="18"/>
                <w:szCs w:val="18"/>
              </w:rPr>
              <w:t>5,385</w:t>
            </w:r>
          </w:p>
        </w:tc>
        <w:tc>
          <w:tcPr>
            <w:tcW w:w="1667" w:type="dxa"/>
            <w:shd w:val="clear" w:color="auto" w:fill="auto"/>
            <w:vAlign w:val="center"/>
          </w:tcPr>
          <w:p w:rsidR="004D6C44" w:rsidRPr="00775472" w:rsidRDefault="004D6C44" w:rsidP="00A05A54">
            <w:pPr>
              <w:spacing w:before="120" w:after="120"/>
              <w:jc w:val="right"/>
              <w:rPr>
                <w:rFonts w:asciiTheme="minorHAnsi" w:hAnsiTheme="minorHAnsi" w:cs="Helvetica"/>
                <w:b/>
                <w:color w:val="333333"/>
                <w:sz w:val="18"/>
                <w:szCs w:val="18"/>
              </w:rPr>
            </w:pPr>
            <w:r w:rsidRPr="00775472">
              <w:rPr>
                <w:rFonts w:asciiTheme="minorHAnsi" w:hAnsiTheme="minorHAnsi" w:cs="Helvetica"/>
                <w:b/>
                <w:color w:val="333333"/>
                <w:sz w:val="18"/>
                <w:szCs w:val="18"/>
              </w:rPr>
              <w:t>7,151</w:t>
            </w:r>
          </w:p>
        </w:tc>
        <w:tc>
          <w:tcPr>
            <w:tcW w:w="1701" w:type="dxa"/>
            <w:shd w:val="clear" w:color="auto" w:fill="auto"/>
            <w:vAlign w:val="center"/>
          </w:tcPr>
          <w:p w:rsidR="004D6C44" w:rsidRPr="00775472" w:rsidRDefault="004D6C44" w:rsidP="00A05A54">
            <w:pPr>
              <w:spacing w:before="120" w:after="120"/>
              <w:jc w:val="right"/>
              <w:rPr>
                <w:rFonts w:asciiTheme="minorHAnsi" w:hAnsiTheme="minorHAnsi" w:cs="Helvetica"/>
                <w:b/>
                <w:color w:val="333333"/>
                <w:sz w:val="18"/>
                <w:szCs w:val="18"/>
              </w:rPr>
            </w:pPr>
            <w:r w:rsidRPr="00775472">
              <w:rPr>
                <w:rFonts w:asciiTheme="minorHAnsi" w:hAnsiTheme="minorHAnsi" w:cs="Helvetica"/>
                <w:b/>
                <w:color w:val="333333"/>
                <w:sz w:val="18"/>
                <w:szCs w:val="18"/>
              </w:rPr>
              <w:t>8,821</w:t>
            </w:r>
          </w:p>
        </w:tc>
        <w:tc>
          <w:tcPr>
            <w:tcW w:w="1559" w:type="dxa"/>
            <w:shd w:val="clear" w:color="auto" w:fill="auto"/>
            <w:vAlign w:val="center"/>
          </w:tcPr>
          <w:p w:rsidR="004D6C44" w:rsidRPr="004D6C44" w:rsidRDefault="009F2B06" w:rsidP="00A05A54">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12,477</w:t>
            </w:r>
          </w:p>
        </w:tc>
        <w:tc>
          <w:tcPr>
            <w:tcW w:w="4536" w:type="dxa"/>
            <w:vMerge/>
            <w:shd w:val="clear" w:color="auto" w:fill="auto"/>
          </w:tcPr>
          <w:p w:rsidR="004D6C44" w:rsidRPr="00C92149" w:rsidRDefault="004D6C44" w:rsidP="004A10A2">
            <w:pPr>
              <w:spacing w:before="120" w:after="120"/>
              <w:rPr>
                <w:rFonts w:asciiTheme="minorHAnsi" w:hAnsiTheme="minorHAnsi"/>
                <w:b/>
                <w:sz w:val="18"/>
                <w:szCs w:val="18"/>
              </w:rPr>
            </w:pPr>
          </w:p>
        </w:tc>
      </w:tr>
      <w:tr w:rsidR="004D6C44" w:rsidRPr="00853117" w:rsidTr="00A05A54">
        <w:tc>
          <w:tcPr>
            <w:tcW w:w="2161" w:type="dxa"/>
            <w:shd w:val="clear" w:color="auto" w:fill="auto"/>
          </w:tcPr>
          <w:p w:rsidR="004D6C44" w:rsidRPr="00C92149" w:rsidRDefault="004D6C44"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center"/>
          </w:tcPr>
          <w:p w:rsidR="004D6C44" w:rsidRPr="00775472" w:rsidRDefault="00CA4999" w:rsidP="00A05A54">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C31D9D">
              <w:rPr>
                <w:rFonts w:asciiTheme="minorHAnsi" w:hAnsiTheme="minorHAnsi" w:cs="Helvetica"/>
                <w:b/>
                <w:color w:val="333333"/>
                <w:sz w:val="18"/>
                <w:szCs w:val="18"/>
              </w:rPr>
              <w:t>1</w:t>
            </w:r>
            <w:r w:rsidR="004D6C44" w:rsidRPr="00775472">
              <w:rPr>
                <w:rFonts w:asciiTheme="minorHAnsi" w:hAnsiTheme="minorHAnsi" w:cs="Helvetica"/>
                <w:b/>
                <w:color w:val="333333"/>
                <w:sz w:val="18"/>
                <w:szCs w:val="18"/>
              </w:rPr>
              <w:t>%</w:t>
            </w:r>
          </w:p>
        </w:tc>
        <w:tc>
          <w:tcPr>
            <w:tcW w:w="1593" w:type="dxa"/>
            <w:shd w:val="clear" w:color="auto" w:fill="auto"/>
            <w:vAlign w:val="center"/>
          </w:tcPr>
          <w:p w:rsidR="004D6C44" w:rsidRPr="00775472" w:rsidRDefault="00CA4999" w:rsidP="00A05A54">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C31D9D">
              <w:rPr>
                <w:rFonts w:asciiTheme="minorHAnsi" w:hAnsiTheme="minorHAnsi" w:cs="Helvetica"/>
                <w:b/>
                <w:color w:val="333333"/>
                <w:sz w:val="18"/>
                <w:szCs w:val="18"/>
              </w:rPr>
              <w:t>5</w:t>
            </w:r>
            <w:r w:rsidR="004D6C44" w:rsidRPr="00775472">
              <w:rPr>
                <w:rFonts w:asciiTheme="minorHAnsi" w:hAnsiTheme="minorHAnsi" w:cs="Helvetica"/>
                <w:b/>
                <w:color w:val="333333"/>
                <w:sz w:val="18"/>
                <w:szCs w:val="18"/>
              </w:rPr>
              <w:t>%</w:t>
            </w:r>
          </w:p>
        </w:tc>
        <w:tc>
          <w:tcPr>
            <w:tcW w:w="1667" w:type="dxa"/>
            <w:shd w:val="clear" w:color="auto" w:fill="auto"/>
            <w:vAlign w:val="center"/>
          </w:tcPr>
          <w:p w:rsidR="004D6C44" w:rsidRPr="00775472" w:rsidRDefault="00CA4999" w:rsidP="00A05A54">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C31D9D">
              <w:rPr>
                <w:rFonts w:asciiTheme="minorHAnsi" w:hAnsiTheme="minorHAnsi" w:cs="Helvetica"/>
                <w:b/>
                <w:color w:val="333333"/>
                <w:sz w:val="18"/>
                <w:szCs w:val="18"/>
              </w:rPr>
              <w:t>8</w:t>
            </w:r>
            <w:r w:rsidR="004D6C44" w:rsidRPr="00775472">
              <w:rPr>
                <w:rFonts w:asciiTheme="minorHAnsi" w:hAnsiTheme="minorHAnsi" w:cs="Helvetica"/>
                <w:b/>
                <w:color w:val="333333"/>
                <w:sz w:val="18"/>
                <w:szCs w:val="18"/>
              </w:rPr>
              <w:t>%</w:t>
            </w:r>
          </w:p>
        </w:tc>
        <w:tc>
          <w:tcPr>
            <w:tcW w:w="1701" w:type="dxa"/>
            <w:shd w:val="clear" w:color="auto" w:fill="auto"/>
            <w:vAlign w:val="center"/>
          </w:tcPr>
          <w:p w:rsidR="004D6C44" w:rsidRPr="00775472" w:rsidRDefault="00CA4999" w:rsidP="00C31D9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r w:rsidR="00C31D9D">
              <w:rPr>
                <w:rFonts w:asciiTheme="minorHAnsi" w:hAnsiTheme="minorHAnsi" w:cs="Helvetica"/>
                <w:b/>
                <w:color w:val="333333"/>
                <w:sz w:val="18"/>
                <w:szCs w:val="18"/>
              </w:rPr>
              <w:t>2</w:t>
            </w:r>
            <w:r w:rsidR="004D6C44" w:rsidRPr="00775472">
              <w:rPr>
                <w:rFonts w:asciiTheme="minorHAnsi" w:hAnsiTheme="minorHAnsi" w:cs="Helvetica"/>
                <w:b/>
                <w:color w:val="333333"/>
                <w:sz w:val="18"/>
                <w:szCs w:val="18"/>
              </w:rPr>
              <w:t>%</w:t>
            </w:r>
          </w:p>
        </w:tc>
        <w:tc>
          <w:tcPr>
            <w:tcW w:w="1559" w:type="dxa"/>
            <w:shd w:val="clear" w:color="auto" w:fill="auto"/>
            <w:vAlign w:val="center"/>
          </w:tcPr>
          <w:p w:rsidR="004D6C44" w:rsidRPr="004D6C44" w:rsidRDefault="009F2B06" w:rsidP="00A05A54">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0.25%</w:t>
            </w:r>
          </w:p>
        </w:tc>
        <w:tc>
          <w:tcPr>
            <w:tcW w:w="4536" w:type="dxa"/>
            <w:vMerge/>
            <w:shd w:val="clear" w:color="auto" w:fill="auto"/>
          </w:tcPr>
          <w:p w:rsidR="004D6C44" w:rsidRPr="00C92149" w:rsidRDefault="004D6C44" w:rsidP="004A10A2">
            <w:pPr>
              <w:spacing w:before="120" w:after="120"/>
              <w:rPr>
                <w:rFonts w:asciiTheme="minorHAnsi" w:hAnsiTheme="minorHAnsi"/>
                <w:b/>
                <w:sz w:val="18"/>
                <w:szCs w:val="18"/>
              </w:rPr>
            </w:pPr>
          </w:p>
        </w:tc>
      </w:tr>
      <w:tr w:rsidR="00775472" w:rsidRPr="00021243" w:rsidTr="005D45E6">
        <w:tc>
          <w:tcPr>
            <w:tcW w:w="14601" w:type="dxa"/>
            <w:gridSpan w:val="7"/>
            <w:shd w:val="clear" w:color="auto" w:fill="F79646" w:themeFill="accent6"/>
          </w:tcPr>
          <w:p w:rsidR="00775472" w:rsidRDefault="00253413" w:rsidP="005D45E6">
            <w:pPr>
              <w:spacing w:before="120" w:after="120"/>
              <w:rPr>
                <w:rFonts w:asciiTheme="minorHAnsi" w:hAnsiTheme="minorHAnsi"/>
                <w:b/>
              </w:rPr>
            </w:pPr>
            <w:r w:rsidRPr="00253413">
              <w:rPr>
                <w:rFonts w:asciiTheme="minorHAnsi" w:hAnsiTheme="minorHAnsi"/>
                <w:b/>
              </w:rPr>
              <w:t xml:space="preserve">Specialist Working Group </w:t>
            </w:r>
            <w:r w:rsidR="00775472">
              <w:rPr>
                <w:rFonts w:asciiTheme="minorHAnsi" w:hAnsiTheme="minorHAnsi"/>
                <w:b/>
              </w:rPr>
              <w:t>knowledge development opportunities and recommendations</w:t>
            </w:r>
            <w:r w:rsidR="002D66F2">
              <w:rPr>
                <w:rFonts w:asciiTheme="minorHAnsi" w:hAnsiTheme="minorHAnsi"/>
                <w:b/>
              </w:rPr>
              <w:t xml:space="preserve"> relevant to the transition to </w:t>
            </w:r>
            <w:r>
              <w:rPr>
                <w:rFonts w:asciiTheme="minorHAnsi" w:hAnsiTheme="minorHAnsi"/>
                <w:b/>
              </w:rPr>
              <w:t>v</w:t>
            </w:r>
            <w:r w:rsidR="002D66F2">
              <w:rPr>
                <w:rFonts w:asciiTheme="minorHAnsi" w:hAnsiTheme="minorHAnsi"/>
                <w:b/>
              </w:rPr>
              <w:t>3</w:t>
            </w:r>
            <w:r w:rsidR="00C93490">
              <w:rPr>
                <w:rFonts w:asciiTheme="minorHAnsi" w:hAnsiTheme="minorHAnsi"/>
                <w:b/>
              </w:rPr>
              <w:t>.0</w:t>
            </w:r>
          </w:p>
        </w:tc>
      </w:tr>
      <w:tr w:rsidR="00775472" w:rsidRPr="00021243" w:rsidTr="005D45E6">
        <w:tc>
          <w:tcPr>
            <w:tcW w:w="14601" w:type="dxa"/>
            <w:gridSpan w:val="7"/>
            <w:shd w:val="clear" w:color="auto" w:fill="auto"/>
          </w:tcPr>
          <w:p w:rsidR="00775472" w:rsidRPr="002506FF" w:rsidRDefault="002D66F2" w:rsidP="009337F4">
            <w:pPr>
              <w:spacing w:before="120" w:after="120"/>
              <w:rPr>
                <w:rFonts w:asciiTheme="minorHAnsi" w:hAnsiTheme="minorHAnsi"/>
              </w:rPr>
            </w:pPr>
            <w:r>
              <w:rPr>
                <w:rFonts w:asciiTheme="minorHAnsi" w:hAnsiTheme="minorHAnsi"/>
              </w:rPr>
              <w:t>None</w:t>
            </w:r>
            <w:r w:rsidR="00331B4A">
              <w:rPr>
                <w:rFonts w:asciiTheme="minorHAnsi" w:hAnsiTheme="minorHAnsi"/>
              </w:rPr>
              <w:t xml:space="preserve"> identified</w:t>
            </w:r>
            <w:r>
              <w:rPr>
                <w:rFonts w:asciiTheme="minorHAnsi" w:hAnsiTheme="minorHAnsi"/>
              </w:rPr>
              <w:t xml:space="preserve"> at this time. </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B5068F">
              <w:rPr>
                <w:rFonts w:asciiTheme="minorHAnsi" w:hAnsiTheme="minorHAnsi"/>
                <w:b/>
              </w:rPr>
              <w:t>PUBLIC CONSULTATION</w:t>
            </w:r>
            <w:r>
              <w:rPr>
                <w:rFonts w:asciiTheme="minorHAnsi" w:hAnsiTheme="minorHAnsi"/>
                <w:b/>
              </w:rPr>
              <w:t xml:space="preserve"> DOCUMENT</w:t>
            </w:r>
          </w:p>
          <w:p w:rsidR="000E09C4" w:rsidRPr="00021243" w:rsidRDefault="00B5068F" w:rsidP="002506FF">
            <w:pPr>
              <w:spacing w:before="120" w:after="120"/>
              <w:jc w:val="center"/>
              <w:rPr>
                <w:rFonts w:asciiTheme="minorHAnsi" w:hAnsiTheme="minorHAnsi"/>
                <w:b/>
              </w:rPr>
            </w:pPr>
            <w:r>
              <w:rPr>
                <w:rFonts w:asciiTheme="minorHAnsi" w:hAnsiTheme="minorHAnsi"/>
                <w:b/>
              </w:rPr>
              <w:t>Next review</w:t>
            </w:r>
            <w:r w:rsidR="002D66F2">
              <w:rPr>
                <w:rFonts w:asciiTheme="minorHAnsi" w:hAnsiTheme="minorHAnsi"/>
                <w:b/>
              </w:rPr>
              <w:t>:</w:t>
            </w:r>
            <w:r w:rsidR="000E09C4">
              <w:rPr>
                <w:rFonts w:asciiTheme="minorHAnsi" w:hAnsiTheme="minorHAnsi"/>
                <w:b/>
              </w:rPr>
              <w:t xml:space="preserve"> </w:t>
            </w:r>
            <w:r w:rsidR="002D66F2">
              <w:rPr>
                <w:rFonts w:asciiTheme="minorHAnsi" w:hAnsiTheme="minorHAnsi"/>
                <w:b/>
              </w:rPr>
              <w:t xml:space="preserve">Twelve to eighteen months from BloodSTAR </w:t>
            </w:r>
            <w:r w:rsidR="00253413">
              <w:rPr>
                <w:rFonts w:asciiTheme="minorHAnsi" w:hAnsiTheme="minorHAnsi"/>
                <w:b/>
              </w:rPr>
              <w:t>v</w:t>
            </w:r>
            <w:r w:rsidR="002D66F2">
              <w:rPr>
                <w:rFonts w:asciiTheme="minorHAnsi" w:hAnsiTheme="minorHAnsi"/>
                <w:b/>
              </w:rPr>
              <w:t>3</w:t>
            </w:r>
            <w:r w:rsidR="00C93490">
              <w:rPr>
                <w:rFonts w:asciiTheme="minorHAnsi" w:hAnsiTheme="minorHAnsi"/>
                <w:b/>
              </w:rPr>
              <w:t>.0</w:t>
            </w:r>
            <w:r w:rsidR="002D66F2">
              <w:rPr>
                <w:rFonts w:asciiTheme="minorHAnsi" w:hAnsiTheme="minorHAnsi"/>
                <w:b/>
              </w:rPr>
              <w:t xml:space="preserve"> implementation</w:t>
            </w:r>
          </w:p>
        </w:tc>
      </w:tr>
    </w:tbl>
    <w:p w:rsidR="009C1E09" w:rsidRDefault="009C1E09" w:rsidP="002506FF">
      <w:pPr>
        <w:jc w:val="center"/>
      </w:pPr>
    </w:p>
    <w:p w:rsidR="006627B5" w:rsidRPr="00FD2CCD" w:rsidRDefault="006627B5">
      <w:pPr>
        <w:spacing w:line="276" w:lineRule="auto"/>
      </w:pPr>
    </w:p>
    <w:sectPr w:rsidR="006627B5" w:rsidRPr="00FD2CCD" w:rsidSect="000E09C4">
      <w:headerReference w:type="first" r:id="rId22"/>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80" w:rsidRDefault="00232580" w:rsidP="00856708">
      <w:pPr>
        <w:spacing w:after="0"/>
      </w:pPr>
      <w:r>
        <w:separator/>
      </w:r>
    </w:p>
  </w:endnote>
  <w:endnote w:type="continuationSeparator" w:id="0">
    <w:p w:rsidR="00232580" w:rsidRDefault="00232580"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734621"/>
      <w:docPartObj>
        <w:docPartGallery w:val="Page Numbers (Bottom of Page)"/>
        <w:docPartUnique/>
      </w:docPartObj>
    </w:sdtPr>
    <w:sdtEndPr>
      <w:rPr>
        <w:noProof/>
      </w:rPr>
    </w:sdtEndPr>
    <w:sdtContent>
      <w:p w:rsidR="001A2C7B" w:rsidRDefault="001A2C7B">
        <w:pPr>
          <w:pStyle w:val="Footer"/>
          <w:jc w:val="right"/>
        </w:pPr>
        <w:r>
          <w:fldChar w:fldCharType="begin"/>
        </w:r>
        <w:r>
          <w:instrText xml:space="preserve"> PAGE   \* MERGEFORMAT </w:instrText>
        </w:r>
        <w:r>
          <w:fldChar w:fldCharType="separate"/>
        </w:r>
        <w:r w:rsidR="0005348B">
          <w:rPr>
            <w:noProof/>
          </w:rPr>
          <w:t>2</w:t>
        </w:r>
        <w:r>
          <w:rPr>
            <w:noProof/>
          </w:rPr>
          <w:fldChar w:fldCharType="end"/>
        </w:r>
      </w:p>
    </w:sdtContent>
  </w:sdt>
  <w:p w:rsidR="00853117" w:rsidRPr="00856708" w:rsidRDefault="00853117" w:rsidP="00C92149">
    <w:pPr>
      <w:pStyle w:val="Footer"/>
      <w:tabs>
        <w:tab w:val="clear" w:pos="9026"/>
        <w:tab w:val="right" w:pos="13608"/>
      </w:tabs>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075317"/>
      <w:docPartObj>
        <w:docPartGallery w:val="Page Numbers (Bottom of Page)"/>
        <w:docPartUnique/>
      </w:docPartObj>
    </w:sdtPr>
    <w:sdtEndPr>
      <w:rPr>
        <w:noProof/>
      </w:rPr>
    </w:sdtEndPr>
    <w:sdtContent>
      <w:p w:rsidR="001A2C7B" w:rsidRDefault="001A2C7B">
        <w:pPr>
          <w:pStyle w:val="Footer"/>
          <w:jc w:val="right"/>
        </w:pPr>
        <w:r>
          <w:fldChar w:fldCharType="begin"/>
        </w:r>
        <w:r>
          <w:instrText xml:space="preserve"> PAGE   \* MERGEFORMAT </w:instrText>
        </w:r>
        <w:r>
          <w:fldChar w:fldCharType="separate"/>
        </w:r>
        <w:r w:rsidR="0005348B">
          <w:rPr>
            <w:noProof/>
          </w:rPr>
          <w:t>1</w:t>
        </w:r>
        <w:r>
          <w:rPr>
            <w:noProof/>
          </w:rPr>
          <w:fldChar w:fldCharType="end"/>
        </w:r>
      </w:p>
    </w:sdtContent>
  </w:sdt>
  <w:p w:rsidR="002F160C" w:rsidRPr="001A2C7B" w:rsidRDefault="002F160C" w:rsidP="001A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80" w:rsidRDefault="00232580" w:rsidP="00856708">
      <w:pPr>
        <w:spacing w:after="0"/>
      </w:pPr>
      <w:r>
        <w:separator/>
      </w:r>
    </w:p>
  </w:footnote>
  <w:footnote w:type="continuationSeparator" w:id="0">
    <w:p w:rsidR="00232580" w:rsidRDefault="00232580"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7B" w:rsidRPr="002F160C" w:rsidRDefault="00806F8F" w:rsidP="001A2C7B">
    <w:pPr>
      <w:pStyle w:val="Footer"/>
      <w:tabs>
        <w:tab w:val="clear" w:pos="9026"/>
        <w:tab w:val="right" w:pos="13608"/>
      </w:tabs>
      <w:rPr>
        <w:sz w:val="20"/>
        <w:szCs w:val="20"/>
      </w:rPr>
    </w:pPr>
    <w:r>
      <w:rPr>
        <w:sz w:val="20"/>
        <w:szCs w:val="20"/>
      </w:rPr>
      <w:t>PUBLIC CONSULTATION 2017</w:t>
    </w:r>
    <w:r w:rsidR="001A2C7B">
      <w:rPr>
        <w:sz w:val="20"/>
        <w:szCs w:val="20"/>
      </w:rPr>
      <w:t xml:space="preserve"> - </w:t>
    </w:r>
    <w:r w:rsidR="001A2C7B" w:rsidRPr="002F160C">
      <w:rPr>
        <w:sz w:val="20"/>
        <w:szCs w:val="20"/>
      </w:rPr>
      <w:t>Neuromyelitis optica spectrum disord</w:t>
    </w:r>
    <w:r w:rsidR="008D3B4A">
      <w:rPr>
        <w:sz w:val="20"/>
        <w:szCs w:val="20"/>
      </w:rPr>
      <w:t>ers (previously known as Devic</w:t>
    </w:r>
    <w:r w:rsidR="001A2C7B" w:rsidRPr="002F160C">
      <w:rPr>
        <w:sz w:val="20"/>
        <w:szCs w:val="20"/>
      </w:rPr>
      <w:t xml:space="preserve"> disease)</w:t>
    </w:r>
  </w:p>
  <w:p w:rsidR="001A2C7B" w:rsidRDefault="001A2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7B" w:rsidRPr="002F160C" w:rsidRDefault="00806F8F" w:rsidP="001A2C7B">
    <w:pPr>
      <w:pStyle w:val="Footer"/>
      <w:tabs>
        <w:tab w:val="clear" w:pos="9026"/>
        <w:tab w:val="right" w:pos="13608"/>
      </w:tabs>
      <w:rPr>
        <w:sz w:val="20"/>
        <w:szCs w:val="20"/>
      </w:rPr>
    </w:pPr>
    <w:r>
      <w:rPr>
        <w:sz w:val="20"/>
        <w:szCs w:val="20"/>
      </w:rPr>
      <w:t>PUBLIC CONSULTATION 2017</w:t>
    </w:r>
    <w:r w:rsidR="001A2C7B">
      <w:rPr>
        <w:sz w:val="20"/>
        <w:szCs w:val="20"/>
      </w:rPr>
      <w:t xml:space="preserve"> - </w:t>
    </w:r>
    <w:r w:rsidR="001A2C7B" w:rsidRPr="002F160C">
      <w:rPr>
        <w:sz w:val="20"/>
        <w:szCs w:val="20"/>
      </w:rPr>
      <w:t>Neuromyelitis optica spectrum disord</w:t>
    </w:r>
    <w:r w:rsidR="008D3B4A">
      <w:rPr>
        <w:sz w:val="20"/>
        <w:szCs w:val="20"/>
      </w:rPr>
      <w:t>ers (previously known as Devic</w:t>
    </w:r>
    <w:r w:rsidR="001A2C7B" w:rsidRPr="002F160C">
      <w:rPr>
        <w:sz w:val="20"/>
        <w:szCs w:val="20"/>
      </w:rPr>
      <w:t xml:space="preserve"> disease)</w:t>
    </w:r>
  </w:p>
  <w:p w:rsidR="001A2C7B" w:rsidRDefault="001A2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C4" w:rsidRDefault="004B2658" w:rsidP="00C93490">
    <w:pPr>
      <w:spacing w:before="120" w:after="120"/>
    </w:pPr>
    <w:r>
      <w:rPr>
        <w:sz w:val="20"/>
        <w:szCs w:val="20"/>
      </w:rPr>
      <w:t xml:space="preserve">PUBLIC CONSULTATION 2017 - </w:t>
    </w:r>
    <w:r w:rsidRPr="002F160C">
      <w:rPr>
        <w:sz w:val="20"/>
        <w:szCs w:val="20"/>
      </w:rPr>
      <w:t>Neuromyelitis optica spectrum disord</w:t>
    </w:r>
    <w:r w:rsidR="00AF2B13">
      <w:rPr>
        <w:sz w:val="20"/>
        <w:szCs w:val="20"/>
      </w:rPr>
      <w:t>ers (previously known as Devic</w:t>
    </w:r>
    <w:r w:rsidRPr="002F160C">
      <w:rPr>
        <w:sz w:val="20"/>
        <w:szCs w:val="20"/>
      </w:rPr>
      <w:t xml:space="preserve"> disease)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865E6C"/>
    <w:multiLevelType w:val="hybridMultilevel"/>
    <w:tmpl w:val="5A0E3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6E0B73"/>
    <w:multiLevelType w:val="hybridMultilevel"/>
    <w:tmpl w:val="EFC02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BC2F8E"/>
    <w:multiLevelType w:val="hybridMultilevel"/>
    <w:tmpl w:val="36EE9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7">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6">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BDA63DF"/>
    <w:multiLevelType w:val="hybridMultilevel"/>
    <w:tmpl w:val="07106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nsid w:val="74715313"/>
    <w:multiLevelType w:val="hybridMultilevel"/>
    <w:tmpl w:val="90465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4"/>
  </w:num>
  <w:num w:numId="4">
    <w:abstractNumId w:val="40"/>
  </w:num>
  <w:num w:numId="5">
    <w:abstractNumId w:val="18"/>
  </w:num>
  <w:num w:numId="6">
    <w:abstractNumId w:val="2"/>
  </w:num>
  <w:num w:numId="7">
    <w:abstractNumId w:val="1"/>
  </w:num>
  <w:num w:numId="8">
    <w:abstractNumId w:val="4"/>
  </w:num>
  <w:num w:numId="9">
    <w:abstractNumId w:val="0"/>
  </w:num>
  <w:num w:numId="10">
    <w:abstractNumId w:val="45"/>
  </w:num>
  <w:num w:numId="11">
    <w:abstractNumId w:val="30"/>
  </w:num>
  <w:num w:numId="12">
    <w:abstractNumId w:val="36"/>
  </w:num>
  <w:num w:numId="13">
    <w:abstractNumId w:val="15"/>
  </w:num>
  <w:num w:numId="14">
    <w:abstractNumId w:val="23"/>
  </w:num>
  <w:num w:numId="15">
    <w:abstractNumId w:val="14"/>
  </w:num>
  <w:num w:numId="16">
    <w:abstractNumId w:val="39"/>
  </w:num>
  <w:num w:numId="17">
    <w:abstractNumId w:val="5"/>
  </w:num>
  <w:num w:numId="18">
    <w:abstractNumId w:val="19"/>
  </w:num>
  <w:num w:numId="19">
    <w:abstractNumId w:val="34"/>
  </w:num>
  <w:num w:numId="20">
    <w:abstractNumId w:val="47"/>
  </w:num>
  <w:num w:numId="21">
    <w:abstractNumId w:val="16"/>
  </w:num>
  <w:num w:numId="22">
    <w:abstractNumId w:val="35"/>
  </w:num>
  <w:num w:numId="23">
    <w:abstractNumId w:val="13"/>
  </w:num>
  <w:num w:numId="24">
    <w:abstractNumId w:val="3"/>
  </w:num>
  <w:num w:numId="25">
    <w:abstractNumId w:val="37"/>
  </w:num>
  <w:num w:numId="26">
    <w:abstractNumId w:val="26"/>
  </w:num>
  <w:num w:numId="27">
    <w:abstractNumId w:val="42"/>
  </w:num>
  <w:num w:numId="28">
    <w:abstractNumId w:val="31"/>
  </w:num>
  <w:num w:numId="29">
    <w:abstractNumId w:val="32"/>
  </w:num>
  <w:num w:numId="30">
    <w:abstractNumId w:val="10"/>
  </w:num>
  <w:num w:numId="31">
    <w:abstractNumId w:val="11"/>
  </w:num>
  <w:num w:numId="32">
    <w:abstractNumId w:val="29"/>
  </w:num>
  <w:num w:numId="33">
    <w:abstractNumId w:val="46"/>
  </w:num>
  <w:num w:numId="34">
    <w:abstractNumId w:val="22"/>
  </w:num>
  <w:num w:numId="35">
    <w:abstractNumId w:val="33"/>
  </w:num>
  <w:num w:numId="36">
    <w:abstractNumId w:val="21"/>
  </w:num>
  <w:num w:numId="37">
    <w:abstractNumId w:val="17"/>
  </w:num>
  <w:num w:numId="38">
    <w:abstractNumId w:val="25"/>
  </w:num>
  <w:num w:numId="39">
    <w:abstractNumId w:val="28"/>
  </w:num>
  <w:num w:numId="40">
    <w:abstractNumId w:val="9"/>
  </w:num>
  <w:num w:numId="41">
    <w:abstractNumId w:val="41"/>
  </w:num>
  <w:num w:numId="42">
    <w:abstractNumId w:val="44"/>
  </w:num>
  <w:num w:numId="43">
    <w:abstractNumId w:val="27"/>
  </w:num>
  <w:num w:numId="44">
    <w:abstractNumId w:val="6"/>
  </w:num>
  <w:num w:numId="45">
    <w:abstractNumId w:val="48"/>
  </w:num>
  <w:num w:numId="46">
    <w:abstractNumId w:val="12"/>
  </w:num>
  <w:num w:numId="47">
    <w:abstractNumId w:val="38"/>
  </w:num>
  <w:num w:numId="48">
    <w:abstractNumId w:val="7"/>
  </w:num>
  <w:num w:numId="49">
    <w:abstractNumId w:val="4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36EDC"/>
    <w:rsid w:val="000508A4"/>
    <w:rsid w:val="0005110B"/>
    <w:rsid w:val="0005348B"/>
    <w:rsid w:val="000611ED"/>
    <w:rsid w:val="0007639A"/>
    <w:rsid w:val="000A3A69"/>
    <w:rsid w:val="000A65C9"/>
    <w:rsid w:val="000B27A7"/>
    <w:rsid w:val="000D5D89"/>
    <w:rsid w:val="000E09C4"/>
    <w:rsid w:val="000E4D1E"/>
    <w:rsid w:val="00111487"/>
    <w:rsid w:val="00153753"/>
    <w:rsid w:val="001577EF"/>
    <w:rsid w:val="00165F48"/>
    <w:rsid w:val="0017270F"/>
    <w:rsid w:val="00176B2C"/>
    <w:rsid w:val="00184922"/>
    <w:rsid w:val="001849B2"/>
    <w:rsid w:val="00184E12"/>
    <w:rsid w:val="001863E7"/>
    <w:rsid w:val="00186CF7"/>
    <w:rsid w:val="001A2460"/>
    <w:rsid w:val="001A2C7B"/>
    <w:rsid w:val="001B216B"/>
    <w:rsid w:val="001C0052"/>
    <w:rsid w:val="001C45B4"/>
    <w:rsid w:val="001E102B"/>
    <w:rsid w:val="001E39D0"/>
    <w:rsid w:val="001E57CF"/>
    <w:rsid w:val="0021213D"/>
    <w:rsid w:val="00216823"/>
    <w:rsid w:val="002306B2"/>
    <w:rsid w:val="00232580"/>
    <w:rsid w:val="00236B19"/>
    <w:rsid w:val="00240825"/>
    <w:rsid w:val="002506FF"/>
    <w:rsid w:val="00253413"/>
    <w:rsid w:val="002537F2"/>
    <w:rsid w:val="00255740"/>
    <w:rsid w:val="00275679"/>
    <w:rsid w:val="00282F66"/>
    <w:rsid w:val="002936DD"/>
    <w:rsid w:val="00295CD3"/>
    <w:rsid w:val="002B3ED4"/>
    <w:rsid w:val="002C2D97"/>
    <w:rsid w:val="002D2007"/>
    <w:rsid w:val="002D66F2"/>
    <w:rsid w:val="002F160C"/>
    <w:rsid w:val="002F3325"/>
    <w:rsid w:val="003065D1"/>
    <w:rsid w:val="00320BEB"/>
    <w:rsid w:val="00327526"/>
    <w:rsid w:val="0033060E"/>
    <w:rsid w:val="00331B4A"/>
    <w:rsid w:val="00395032"/>
    <w:rsid w:val="003A1F9D"/>
    <w:rsid w:val="003A7A58"/>
    <w:rsid w:val="003C6DE3"/>
    <w:rsid w:val="003D1795"/>
    <w:rsid w:val="003D27F1"/>
    <w:rsid w:val="003E3235"/>
    <w:rsid w:val="003F11F8"/>
    <w:rsid w:val="003F40F7"/>
    <w:rsid w:val="00403201"/>
    <w:rsid w:val="00433C78"/>
    <w:rsid w:val="00445EDE"/>
    <w:rsid w:val="00447869"/>
    <w:rsid w:val="00454FA8"/>
    <w:rsid w:val="0045644A"/>
    <w:rsid w:val="00460325"/>
    <w:rsid w:val="00463B0C"/>
    <w:rsid w:val="00465F2B"/>
    <w:rsid w:val="0047615E"/>
    <w:rsid w:val="004856E4"/>
    <w:rsid w:val="00493B08"/>
    <w:rsid w:val="004A10A2"/>
    <w:rsid w:val="004B14F4"/>
    <w:rsid w:val="004B2658"/>
    <w:rsid w:val="004D4636"/>
    <w:rsid w:val="004D6C44"/>
    <w:rsid w:val="004E4A52"/>
    <w:rsid w:val="005023CE"/>
    <w:rsid w:val="00525C51"/>
    <w:rsid w:val="00531E6D"/>
    <w:rsid w:val="005351C3"/>
    <w:rsid w:val="00540020"/>
    <w:rsid w:val="00543C69"/>
    <w:rsid w:val="005546AE"/>
    <w:rsid w:val="005629EE"/>
    <w:rsid w:val="00565AC8"/>
    <w:rsid w:val="00584BEC"/>
    <w:rsid w:val="005851ED"/>
    <w:rsid w:val="005916CB"/>
    <w:rsid w:val="005960E7"/>
    <w:rsid w:val="005D2C3D"/>
    <w:rsid w:val="005E04F6"/>
    <w:rsid w:val="00602D7D"/>
    <w:rsid w:val="006041DC"/>
    <w:rsid w:val="006201B1"/>
    <w:rsid w:val="00631EAB"/>
    <w:rsid w:val="006427C2"/>
    <w:rsid w:val="00642A5C"/>
    <w:rsid w:val="00644285"/>
    <w:rsid w:val="00657F36"/>
    <w:rsid w:val="006627B5"/>
    <w:rsid w:val="006631E9"/>
    <w:rsid w:val="00666AA5"/>
    <w:rsid w:val="00670D34"/>
    <w:rsid w:val="006855AF"/>
    <w:rsid w:val="00695219"/>
    <w:rsid w:val="006B0323"/>
    <w:rsid w:val="006B4C33"/>
    <w:rsid w:val="006D2521"/>
    <w:rsid w:val="006D2FA8"/>
    <w:rsid w:val="006D36A9"/>
    <w:rsid w:val="006E5C04"/>
    <w:rsid w:val="006F1FA7"/>
    <w:rsid w:val="006F485E"/>
    <w:rsid w:val="00702EB0"/>
    <w:rsid w:val="0075469F"/>
    <w:rsid w:val="00775472"/>
    <w:rsid w:val="00787242"/>
    <w:rsid w:val="00790CE9"/>
    <w:rsid w:val="007A103F"/>
    <w:rsid w:val="007A3F6F"/>
    <w:rsid w:val="007A4F3B"/>
    <w:rsid w:val="007B0C7B"/>
    <w:rsid w:val="007B2100"/>
    <w:rsid w:val="007C7B0F"/>
    <w:rsid w:val="007F3022"/>
    <w:rsid w:val="007F6210"/>
    <w:rsid w:val="008041F6"/>
    <w:rsid w:val="00806F8F"/>
    <w:rsid w:val="00807CA7"/>
    <w:rsid w:val="00820BC1"/>
    <w:rsid w:val="0082326F"/>
    <w:rsid w:val="00832D0D"/>
    <w:rsid w:val="00847EC8"/>
    <w:rsid w:val="008515FF"/>
    <w:rsid w:val="00853117"/>
    <w:rsid w:val="00853673"/>
    <w:rsid w:val="00856708"/>
    <w:rsid w:val="008612AB"/>
    <w:rsid w:val="008723C9"/>
    <w:rsid w:val="00880ECB"/>
    <w:rsid w:val="0088516F"/>
    <w:rsid w:val="00893E0A"/>
    <w:rsid w:val="00896241"/>
    <w:rsid w:val="008B1889"/>
    <w:rsid w:val="008B4F54"/>
    <w:rsid w:val="008D3B4A"/>
    <w:rsid w:val="00901446"/>
    <w:rsid w:val="00901F76"/>
    <w:rsid w:val="009025B7"/>
    <w:rsid w:val="009161C5"/>
    <w:rsid w:val="009208EC"/>
    <w:rsid w:val="009305F7"/>
    <w:rsid w:val="00933536"/>
    <w:rsid w:val="009337F4"/>
    <w:rsid w:val="009347BC"/>
    <w:rsid w:val="0093594E"/>
    <w:rsid w:val="00951B85"/>
    <w:rsid w:val="00982D63"/>
    <w:rsid w:val="009A54B2"/>
    <w:rsid w:val="009B04BD"/>
    <w:rsid w:val="009C1E09"/>
    <w:rsid w:val="009E38CC"/>
    <w:rsid w:val="009F2B06"/>
    <w:rsid w:val="009F4509"/>
    <w:rsid w:val="00A0276B"/>
    <w:rsid w:val="00A0352E"/>
    <w:rsid w:val="00A05092"/>
    <w:rsid w:val="00A05745"/>
    <w:rsid w:val="00A05A54"/>
    <w:rsid w:val="00A21B15"/>
    <w:rsid w:val="00A23D1D"/>
    <w:rsid w:val="00A31C82"/>
    <w:rsid w:val="00A357C4"/>
    <w:rsid w:val="00A370EC"/>
    <w:rsid w:val="00A57566"/>
    <w:rsid w:val="00A57D60"/>
    <w:rsid w:val="00A7510F"/>
    <w:rsid w:val="00A80A19"/>
    <w:rsid w:val="00A81C38"/>
    <w:rsid w:val="00A8544D"/>
    <w:rsid w:val="00A9754F"/>
    <w:rsid w:val="00AA19C1"/>
    <w:rsid w:val="00AA48C6"/>
    <w:rsid w:val="00AB120F"/>
    <w:rsid w:val="00AB3C69"/>
    <w:rsid w:val="00AD086B"/>
    <w:rsid w:val="00AD4362"/>
    <w:rsid w:val="00AE5015"/>
    <w:rsid w:val="00AE630A"/>
    <w:rsid w:val="00AE63FA"/>
    <w:rsid w:val="00AF2B13"/>
    <w:rsid w:val="00B27930"/>
    <w:rsid w:val="00B35BD7"/>
    <w:rsid w:val="00B3726E"/>
    <w:rsid w:val="00B5068F"/>
    <w:rsid w:val="00BA56C7"/>
    <w:rsid w:val="00BA7639"/>
    <w:rsid w:val="00BA76E3"/>
    <w:rsid w:val="00BD2291"/>
    <w:rsid w:val="00BD6C2D"/>
    <w:rsid w:val="00BD7111"/>
    <w:rsid w:val="00BD735D"/>
    <w:rsid w:val="00C21002"/>
    <w:rsid w:val="00C24E0B"/>
    <w:rsid w:val="00C30FD5"/>
    <w:rsid w:val="00C31D9D"/>
    <w:rsid w:val="00C34D27"/>
    <w:rsid w:val="00C364CA"/>
    <w:rsid w:val="00C51E04"/>
    <w:rsid w:val="00C92149"/>
    <w:rsid w:val="00C93490"/>
    <w:rsid w:val="00CA4321"/>
    <w:rsid w:val="00CA4999"/>
    <w:rsid w:val="00CB47C1"/>
    <w:rsid w:val="00CB50C5"/>
    <w:rsid w:val="00CC12B9"/>
    <w:rsid w:val="00CC5A07"/>
    <w:rsid w:val="00CD5856"/>
    <w:rsid w:val="00CD7B8A"/>
    <w:rsid w:val="00CE07FE"/>
    <w:rsid w:val="00D138FF"/>
    <w:rsid w:val="00D16AB2"/>
    <w:rsid w:val="00D16B82"/>
    <w:rsid w:val="00D17E7A"/>
    <w:rsid w:val="00D17FEC"/>
    <w:rsid w:val="00D21493"/>
    <w:rsid w:val="00D24193"/>
    <w:rsid w:val="00D44C46"/>
    <w:rsid w:val="00D53A5F"/>
    <w:rsid w:val="00D67CFD"/>
    <w:rsid w:val="00D874FD"/>
    <w:rsid w:val="00D96987"/>
    <w:rsid w:val="00DB17C2"/>
    <w:rsid w:val="00DB1925"/>
    <w:rsid w:val="00DD166F"/>
    <w:rsid w:val="00E04384"/>
    <w:rsid w:val="00E0526A"/>
    <w:rsid w:val="00E15DAA"/>
    <w:rsid w:val="00E2558B"/>
    <w:rsid w:val="00E337E6"/>
    <w:rsid w:val="00E62E16"/>
    <w:rsid w:val="00E672AA"/>
    <w:rsid w:val="00E712B5"/>
    <w:rsid w:val="00E84D08"/>
    <w:rsid w:val="00EA2E82"/>
    <w:rsid w:val="00EB78FB"/>
    <w:rsid w:val="00EC0889"/>
    <w:rsid w:val="00EC2A5A"/>
    <w:rsid w:val="00F27C68"/>
    <w:rsid w:val="00F331DF"/>
    <w:rsid w:val="00F42816"/>
    <w:rsid w:val="00F42E61"/>
    <w:rsid w:val="00F66136"/>
    <w:rsid w:val="00F70578"/>
    <w:rsid w:val="00F912A3"/>
    <w:rsid w:val="00FB2F0A"/>
    <w:rsid w:val="00FC0E9B"/>
    <w:rsid w:val="00FC291B"/>
    <w:rsid w:val="00FC5CB0"/>
    <w:rsid w:val="00FD2CCD"/>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8851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8851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 w:id="205265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urnals.sagepub.com/doi/abs/10.1177/1352458513495938" TargetMode="External"/><Relationship Id="rId18" Type="http://schemas.openxmlformats.org/officeDocument/2006/relationships/hyperlink" Target="https://www.ncbi.nlm.nih.gov/pubmed/12385963" TargetMode="External"/><Relationship Id="rId3" Type="http://schemas.openxmlformats.org/officeDocument/2006/relationships/styles" Target="styles.xml"/><Relationship Id="rId21" Type="http://schemas.openxmlformats.org/officeDocument/2006/relationships/hyperlink" Target="https://www.ncbi.nlm.nih.gov/pubmed/2609291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12076996" TargetMode="External"/><Relationship Id="rId2" Type="http://schemas.openxmlformats.org/officeDocument/2006/relationships/numbering" Target="numbering.xml"/><Relationship Id="rId16" Type="http://schemas.openxmlformats.org/officeDocument/2006/relationships/hyperlink" Target="https://www.ncbi.nlm.nih.gov/pubmed/15589308" TargetMode="External"/><Relationship Id="rId20" Type="http://schemas.openxmlformats.org/officeDocument/2006/relationships/hyperlink" Target="http://europepmc.org/abstract/med/259037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cbi.nlm.nih.gov/pubmed/6685237"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cbi.nlm.nih.gov/pubmed/2441556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library.wiley.com/doi/10.1002/ana.24554/ful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A6E9-9CDA-49C8-A452-DFC04722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3172</Words>
  <Characters>18082</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2017-04-11T00:00:00Z</cp:lastPrinted>
  <dcterms:created xsi:type="dcterms:W3CDTF">2017-09-08T03:03:00Z</dcterms:created>
  <dcterms:modified xsi:type="dcterms:W3CDTF">2017-09-08T03:03:00Z</dcterms:modified>
</cp:coreProperties>
</file>