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93" w:rsidRDefault="00F50793" w:rsidP="00F50793">
      <w:pPr>
        <w:pStyle w:val="Heading4"/>
        <w:tabs>
          <w:tab w:val="left" w:pos="709"/>
        </w:tabs>
        <w:ind w:left="-426"/>
      </w:pPr>
      <w:bookmarkStart w:id="0" w:name="_GoBack"/>
      <w:bookmarkEnd w:id="0"/>
    </w:p>
    <w:p w:rsidR="00447869" w:rsidRPr="00BF758B" w:rsidRDefault="00F50793" w:rsidP="00B3221F">
      <w:pPr>
        <w:ind w:left="-284"/>
        <w:rPr>
          <w:rFonts w:ascii="Arial" w:hAnsi="Arial" w:cs="Arial"/>
          <w:sz w:val="28"/>
        </w:rPr>
      </w:pPr>
      <w:r w:rsidRPr="00BF758B">
        <w:rPr>
          <w:rFonts w:ascii="Arial" w:hAnsi="Arial" w:cs="Arial"/>
          <w:sz w:val="28"/>
        </w:rPr>
        <w:t>2017 (v3.0) Proposed changes to</w:t>
      </w:r>
      <w:r w:rsidR="00970002" w:rsidRPr="00BF758B">
        <w:rPr>
          <w:rFonts w:ascii="Arial" w:hAnsi="Arial" w:cs="Arial"/>
          <w:sz w:val="28"/>
        </w:rPr>
        <w:t xml:space="preserve"> v2.1 of</w:t>
      </w:r>
      <w:r w:rsidRPr="00BF758B">
        <w:rPr>
          <w:rFonts w:ascii="Arial" w:hAnsi="Arial" w:cs="Arial"/>
          <w:sz w:val="28"/>
        </w:rPr>
        <w:t xml:space="preserve">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559"/>
        <w:gridCol w:w="10206"/>
      </w:tblGrid>
      <w:tr w:rsidR="00793EB5" w:rsidRPr="00447869" w:rsidTr="0082688C">
        <w:tc>
          <w:tcPr>
            <w:tcW w:w="4395" w:type="dxa"/>
            <w:gridSpan w:val="2"/>
            <w:shd w:val="clear" w:color="auto" w:fill="DBE5F1" w:themeFill="accent1" w:themeFillTint="33"/>
          </w:tcPr>
          <w:p w:rsidR="00793EB5" w:rsidRPr="00447869" w:rsidRDefault="00793EB5" w:rsidP="0097000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C8433A">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0206" w:type="dxa"/>
            <w:shd w:val="clear" w:color="auto" w:fill="DBE5F1" w:themeFill="accent1" w:themeFillTint="33"/>
          </w:tcPr>
          <w:p w:rsidR="0082688C" w:rsidRPr="0082688C" w:rsidRDefault="004703BD" w:rsidP="0082688C">
            <w:pPr>
              <w:rPr>
                <w:rFonts w:asciiTheme="minorHAnsi" w:hAnsiTheme="minorHAnsi" w:cs="Lucida Grande"/>
                <w:b/>
                <w:color w:val="000000"/>
              </w:rPr>
            </w:pPr>
            <w:r w:rsidRPr="0082688C">
              <w:rPr>
                <w:rFonts w:asciiTheme="minorHAnsi" w:eastAsia="Times New Roman" w:hAnsiTheme="minorHAnsi" w:cs="Times New Roman"/>
                <w:b/>
                <w:bCs/>
                <w:lang w:eastAsia="en-AU"/>
              </w:rPr>
              <w:t>Paraneoplastic neurological syndromes</w:t>
            </w:r>
            <w:r w:rsidR="0082688C" w:rsidRPr="0082688C">
              <w:rPr>
                <w:rFonts w:asciiTheme="minorHAnsi" w:hAnsiTheme="minorHAnsi" w:cs="Lucida Grande"/>
                <w:b/>
                <w:color w:val="000000"/>
              </w:rPr>
              <w:t xml:space="preserve"> </w:t>
            </w:r>
          </w:p>
          <w:p w:rsidR="0082688C" w:rsidRPr="00221D9C" w:rsidRDefault="0082688C" w:rsidP="0082688C">
            <w:pPr>
              <w:pStyle w:val="ListParagraph"/>
              <w:numPr>
                <w:ilvl w:val="0"/>
                <w:numId w:val="46"/>
              </w:numPr>
              <w:rPr>
                <w:rFonts w:asciiTheme="minorHAnsi" w:hAnsiTheme="minorHAnsi" w:cs="Lucida Grande"/>
                <w:b/>
                <w:color w:val="000000"/>
              </w:rPr>
            </w:pPr>
            <w:r w:rsidRPr="00221D9C">
              <w:rPr>
                <w:rFonts w:asciiTheme="minorHAnsi" w:hAnsiTheme="minorHAnsi" w:cs="Lucida Grande"/>
                <w:b/>
                <w:color w:val="000000"/>
              </w:rPr>
              <w:t xml:space="preserve">Paraneoplastic subacute sensory neuropathy  </w:t>
            </w:r>
          </w:p>
          <w:p w:rsidR="0082688C" w:rsidRPr="00221D9C" w:rsidRDefault="0082688C" w:rsidP="0082688C">
            <w:pPr>
              <w:pStyle w:val="ListParagraph"/>
              <w:numPr>
                <w:ilvl w:val="0"/>
                <w:numId w:val="46"/>
              </w:numPr>
              <w:rPr>
                <w:rFonts w:asciiTheme="minorHAnsi" w:hAnsiTheme="minorHAnsi" w:cs="Lucida Grande"/>
                <w:b/>
                <w:color w:val="000000"/>
              </w:rPr>
            </w:pPr>
            <w:r w:rsidRPr="00221D9C">
              <w:rPr>
                <w:rFonts w:asciiTheme="minorHAnsi" w:hAnsiTheme="minorHAnsi" w:cs="Lucida Grande"/>
                <w:b/>
                <w:color w:val="000000"/>
              </w:rPr>
              <w:t>Paraneopla</w:t>
            </w:r>
            <w:r>
              <w:rPr>
                <w:rFonts w:asciiTheme="minorHAnsi" w:hAnsiTheme="minorHAnsi" w:cs="Lucida Grande"/>
                <w:b/>
                <w:color w:val="000000"/>
              </w:rPr>
              <w:t xml:space="preserve">stic cerebellar degeneration </w:t>
            </w:r>
            <w:r w:rsidRPr="00221D9C">
              <w:rPr>
                <w:rFonts w:asciiTheme="minorHAnsi" w:hAnsiTheme="minorHAnsi" w:cs="Lucida Grande"/>
                <w:b/>
                <w:color w:val="000000"/>
              </w:rPr>
              <w:t xml:space="preserve"> </w:t>
            </w:r>
          </w:p>
          <w:p w:rsidR="00793EB5" w:rsidRPr="00447869" w:rsidRDefault="00793EB5" w:rsidP="007830E1">
            <w:pPr>
              <w:spacing w:before="120" w:after="120"/>
              <w:rPr>
                <w:rFonts w:asciiTheme="minorHAnsi" w:eastAsia="Times New Roman" w:hAnsiTheme="minorHAnsi" w:cs="Times New Roman"/>
                <w:b/>
                <w:bCs/>
                <w:lang w:eastAsia="en-AU"/>
              </w:rPr>
            </w:pPr>
          </w:p>
        </w:tc>
      </w:tr>
      <w:tr w:rsidR="00642A5C" w:rsidRPr="00447869" w:rsidTr="0082688C">
        <w:tc>
          <w:tcPr>
            <w:tcW w:w="4395" w:type="dxa"/>
            <w:gridSpan w:val="2"/>
            <w:shd w:val="clear" w:color="auto" w:fill="auto"/>
          </w:tcPr>
          <w:p w:rsidR="00C8433A" w:rsidRDefault="00C8433A" w:rsidP="0082688C">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C8433A" w:rsidRPr="00C8433A" w:rsidRDefault="00C8433A" w:rsidP="0082688C">
            <w:pPr>
              <w:spacing w:before="120" w:after="120"/>
              <w:rPr>
                <w:rFonts w:asciiTheme="minorHAnsi" w:eastAsia="Times New Roman" w:hAnsiTheme="minorHAnsi" w:cs="Times New Roman"/>
                <w:b/>
                <w:bCs/>
                <w:i/>
                <w:lang w:eastAsia="en-AU"/>
              </w:rPr>
            </w:pPr>
            <w:r>
              <w:rPr>
                <w:rFonts w:asciiTheme="minorHAnsi" w:eastAsia="Times New Roman" w:hAnsiTheme="minorHAnsi" w:cs="Times New Roman"/>
                <w:b/>
                <w:bCs/>
                <w:lang w:eastAsia="en-AU"/>
              </w:rPr>
              <w:t xml:space="preserve">To </w:t>
            </w:r>
            <w:r w:rsidR="00970002">
              <w:rPr>
                <w:rFonts w:asciiTheme="minorHAnsi" w:eastAsia="Times New Roman" w:hAnsiTheme="minorHAnsi" w:cs="Times New Roman"/>
                <w:b/>
                <w:bCs/>
                <w:lang w:eastAsia="en-AU"/>
              </w:rPr>
              <w:t>move paraneoplastic neurological syndromes</w:t>
            </w:r>
            <w:r>
              <w:rPr>
                <w:rFonts w:asciiTheme="minorHAnsi" w:eastAsia="Times New Roman" w:hAnsiTheme="minorHAnsi" w:cs="Times New Roman"/>
                <w:b/>
                <w:bCs/>
                <w:lang w:eastAsia="en-AU"/>
              </w:rPr>
              <w:t xml:space="preserve"> from </w:t>
            </w:r>
            <w:r w:rsidRPr="00C8433A">
              <w:rPr>
                <w:rFonts w:asciiTheme="minorHAnsi" w:eastAsia="Times New Roman" w:hAnsiTheme="minorHAnsi" w:cs="Times New Roman"/>
                <w:b/>
                <w:bCs/>
                <w:i/>
                <w:lang w:eastAsia="en-AU"/>
              </w:rPr>
              <w:t xml:space="preserve">Exceptional </w:t>
            </w:r>
            <w:r w:rsidR="0082314D">
              <w:rPr>
                <w:rFonts w:asciiTheme="minorHAnsi" w:eastAsia="Times New Roman" w:hAnsiTheme="minorHAnsi" w:cs="Times New Roman"/>
                <w:b/>
                <w:bCs/>
                <w:i/>
                <w:lang w:eastAsia="en-AU"/>
              </w:rPr>
              <w:t>c</w:t>
            </w:r>
            <w:r w:rsidRPr="00C8433A">
              <w:rPr>
                <w:rFonts w:asciiTheme="minorHAnsi" w:eastAsia="Times New Roman" w:hAnsiTheme="minorHAnsi" w:cs="Times New Roman"/>
                <w:b/>
                <w:bCs/>
                <w:i/>
                <w:lang w:eastAsia="en-AU"/>
              </w:rPr>
              <w:t>ircumstances</w:t>
            </w:r>
            <w:r w:rsidR="0082314D">
              <w:rPr>
                <w:rFonts w:asciiTheme="minorHAnsi" w:eastAsia="Times New Roman" w:hAnsiTheme="minorHAnsi" w:cs="Times New Roman"/>
                <w:b/>
                <w:bCs/>
                <w:i/>
                <w:lang w:eastAsia="en-AU"/>
              </w:rPr>
              <w:t xml:space="preserve"> o</w:t>
            </w:r>
            <w:r w:rsidR="002A0241">
              <w:rPr>
                <w:rFonts w:asciiTheme="minorHAnsi" w:eastAsia="Times New Roman" w:hAnsiTheme="minorHAnsi" w:cs="Times New Roman"/>
                <w:b/>
                <w:bCs/>
                <w:i/>
                <w:lang w:eastAsia="en-AU"/>
              </w:rPr>
              <w:t xml:space="preserve">nly </w:t>
            </w:r>
            <w:r>
              <w:rPr>
                <w:rFonts w:asciiTheme="minorHAnsi" w:eastAsia="Times New Roman" w:hAnsiTheme="minorHAnsi" w:cs="Times New Roman"/>
                <w:b/>
                <w:bCs/>
                <w:lang w:eastAsia="en-AU"/>
              </w:rPr>
              <w:t xml:space="preserve">to </w:t>
            </w:r>
            <w:r w:rsidRPr="00C8433A">
              <w:rPr>
                <w:rFonts w:asciiTheme="minorHAnsi" w:eastAsia="Times New Roman" w:hAnsiTheme="minorHAnsi" w:cs="Times New Roman"/>
                <w:b/>
                <w:bCs/>
                <w:i/>
                <w:lang w:eastAsia="en-AU"/>
              </w:rPr>
              <w:t xml:space="preserve">Not </w:t>
            </w:r>
            <w:r w:rsidR="0082314D">
              <w:rPr>
                <w:rFonts w:asciiTheme="minorHAnsi" w:eastAsia="Times New Roman" w:hAnsiTheme="minorHAnsi" w:cs="Times New Roman"/>
                <w:b/>
                <w:bCs/>
                <w:i/>
                <w:lang w:eastAsia="en-AU"/>
              </w:rPr>
              <w:t>s</w:t>
            </w:r>
            <w:r w:rsidRPr="00C8433A">
              <w:rPr>
                <w:rFonts w:asciiTheme="minorHAnsi" w:eastAsia="Times New Roman" w:hAnsiTheme="minorHAnsi" w:cs="Times New Roman"/>
                <w:b/>
                <w:bCs/>
                <w:i/>
                <w:lang w:eastAsia="en-AU"/>
              </w:rPr>
              <w:t xml:space="preserve">upported </w:t>
            </w:r>
          </w:p>
          <w:p w:rsidR="0082688C" w:rsidRDefault="0082688C" w:rsidP="0082688C">
            <w:pPr>
              <w:rPr>
                <w:rFonts w:asciiTheme="minorHAnsi" w:eastAsia="Times New Roman" w:hAnsiTheme="minorHAnsi" w:cs="Times New Roman"/>
                <w:b/>
                <w:bCs/>
                <w:lang w:eastAsia="en-AU"/>
              </w:rPr>
            </w:pPr>
          </w:p>
          <w:p w:rsidR="0082688C" w:rsidRDefault="0082688C" w:rsidP="0082688C">
            <w:pPr>
              <w:rPr>
                <w:rFonts w:asciiTheme="minorHAnsi" w:hAnsiTheme="minorHAnsi" w:cs="Lucida Grande"/>
                <w:color w:val="000000"/>
              </w:rPr>
            </w:pPr>
            <w:r>
              <w:rPr>
                <w:rFonts w:asciiTheme="minorHAnsi" w:eastAsia="Times New Roman" w:hAnsiTheme="minorHAnsi" w:cs="Times New Roman"/>
                <w:b/>
                <w:bCs/>
                <w:lang w:eastAsia="en-AU"/>
              </w:rPr>
              <w:t xml:space="preserve">Note: </w:t>
            </w:r>
            <w:r w:rsidRPr="00F363B9">
              <w:rPr>
                <w:rFonts w:asciiTheme="minorHAnsi" w:hAnsiTheme="minorHAnsi" w:cs="Lucida Grande"/>
                <w:color w:val="000000"/>
              </w:rPr>
              <w:t xml:space="preserve">The </w:t>
            </w:r>
            <w:r w:rsidR="00C8433A">
              <w:rPr>
                <w:rFonts w:asciiTheme="minorHAnsi" w:hAnsiTheme="minorHAnsi" w:cs="Lucida Grande"/>
                <w:color w:val="000000"/>
              </w:rPr>
              <w:t>c</w:t>
            </w:r>
            <w:r w:rsidRPr="00A57A89">
              <w:rPr>
                <w:rFonts w:asciiTheme="minorHAnsi" w:hAnsiTheme="minorHAnsi" w:cs="Lucida Grande"/>
                <w:color w:val="000000"/>
              </w:rPr>
              <w:t>linical conditions included in this category are</w:t>
            </w:r>
            <w:r>
              <w:rPr>
                <w:rFonts w:asciiTheme="minorHAnsi" w:hAnsiTheme="minorHAnsi" w:cs="Lucida Grande"/>
                <w:color w:val="000000"/>
              </w:rPr>
              <w:t>:</w:t>
            </w:r>
          </w:p>
          <w:p w:rsidR="00F97B76" w:rsidRDefault="0082688C" w:rsidP="00F97B76">
            <w:pPr>
              <w:pStyle w:val="ListParagraph"/>
              <w:numPr>
                <w:ilvl w:val="0"/>
                <w:numId w:val="47"/>
              </w:numPr>
              <w:ind w:left="360"/>
              <w:rPr>
                <w:rFonts w:asciiTheme="minorHAnsi" w:hAnsiTheme="minorHAnsi" w:cs="Lucida Grande"/>
                <w:color w:val="000000"/>
              </w:rPr>
            </w:pPr>
            <w:r w:rsidRPr="00AB7BDA">
              <w:rPr>
                <w:rFonts w:asciiTheme="minorHAnsi" w:hAnsiTheme="minorHAnsi" w:cs="Lucida Grande"/>
                <w:color w:val="000000"/>
              </w:rPr>
              <w:t>Paraneoplastic subacute s</w:t>
            </w:r>
            <w:r>
              <w:rPr>
                <w:rFonts w:asciiTheme="minorHAnsi" w:hAnsiTheme="minorHAnsi" w:cs="Lucida Grande"/>
                <w:color w:val="000000"/>
              </w:rPr>
              <w:t xml:space="preserve">ensory neuropathy </w:t>
            </w:r>
            <w:r w:rsidR="00F97B76">
              <w:rPr>
                <w:rFonts w:asciiTheme="minorHAnsi" w:hAnsiTheme="minorHAnsi" w:cs="Lucida Grande"/>
                <w:color w:val="000000"/>
              </w:rPr>
              <w:t>(anti-Hu, Ri, CV2/CRMP5 in 80% patients)</w:t>
            </w:r>
          </w:p>
          <w:p w:rsidR="003E3235" w:rsidRPr="00F97B76" w:rsidRDefault="00F97B76" w:rsidP="00F97B76">
            <w:pPr>
              <w:pStyle w:val="ListParagraph"/>
              <w:numPr>
                <w:ilvl w:val="0"/>
                <w:numId w:val="47"/>
              </w:numPr>
              <w:ind w:left="360"/>
              <w:rPr>
                <w:rFonts w:asciiTheme="minorHAnsi" w:hAnsiTheme="minorHAnsi" w:cs="Lucida Grande"/>
                <w:color w:val="000000"/>
              </w:rPr>
            </w:pPr>
            <w:r w:rsidRPr="00F97B76">
              <w:rPr>
                <w:rFonts w:asciiTheme="minorHAnsi" w:hAnsiTheme="minorHAnsi" w:cs="Lucida Grande"/>
                <w:color w:val="000000"/>
              </w:rPr>
              <w:t>Paraneoplastic cerebellar degeneration (anti-Yo, Ma2, Hu, Ri in 60% patients)</w:t>
            </w:r>
          </w:p>
        </w:tc>
        <w:tc>
          <w:tcPr>
            <w:tcW w:w="10206"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82688C" w:rsidRPr="004813E2" w:rsidRDefault="0082688C" w:rsidP="0082688C">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recommendation is supported by factors including that: </w:t>
            </w:r>
          </w:p>
          <w:p w:rsidR="0082688C" w:rsidRPr="00F363B9" w:rsidRDefault="004E6425" w:rsidP="0082688C">
            <w:pPr>
              <w:pStyle w:val="ListParagraph"/>
              <w:numPr>
                <w:ilvl w:val="0"/>
                <w:numId w:val="48"/>
              </w:numPr>
              <w:spacing w:line="276" w:lineRule="auto"/>
              <w:rPr>
                <w:rFonts w:asciiTheme="minorHAnsi" w:hAnsiTheme="minorHAnsi" w:cs="Lucida Grande"/>
                <w:color w:val="000000"/>
              </w:rPr>
            </w:pPr>
            <w:r>
              <w:rPr>
                <w:rFonts w:asciiTheme="minorHAnsi" w:hAnsiTheme="minorHAnsi" w:cs="Lucida Grande"/>
                <w:color w:val="000000"/>
              </w:rPr>
              <w:t xml:space="preserve">These </w:t>
            </w:r>
            <w:r w:rsidR="00C911D2">
              <w:rPr>
                <w:rFonts w:asciiTheme="minorHAnsi" w:hAnsiTheme="minorHAnsi" w:cs="Lucida Grande"/>
                <w:color w:val="000000"/>
              </w:rPr>
              <w:t>specific p</w:t>
            </w:r>
            <w:r w:rsidR="0082688C" w:rsidRPr="00F363B9">
              <w:rPr>
                <w:rFonts w:asciiTheme="minorHAnsi" w:hAnsiTheme="minorHAnsi" w:cs="Lucida Grande"/>
                <w:color w:val="000000"/>
              </w:rPr>
              <w:t>araneoplastic neurologic syndromes</w:t>
            </w:r>
            <w:r>
              <w:rPr>
                <w:rFonts w:asciiTheme="minorHAnsi" w:hAnsiTheme="minorHAnsi" w:cs="Lucida Grande"/>
                <w:color w:val="000000"/>
              </w:rPr>
              <w:t xml:space="preserve"> are</w:t>
            </w:r>
            <w:r w:rsidR="0082688C" w:rsidRPr="00F363B9">
              <w:rPr>
                <w:rFonts w:asciiTheme="minorHAnsi" w:hAnsiTheme="minorHAnsi" w:cs="Lucida Grande"/>
                <w:color w:val="000000"/>
              </w:rPr>
              <w:t xml:space="preserve"> usually associated with onconeural antibodies directed against intracellular antigens (Hu, Ri, Ma2, CV2/CRMP5, </w:t>
            </w:r>
            <w:r w:rsidR="00F97B76">
              <w:rPr>
                <w:rFonts w:asciiTheme="minorHAnsi" w:hAnsiTheme="minorHAnsi" w:cs="Lucida Grande"/>
                <w:color w:val="000000"/>
              </w:rPr>
              <w:t>Yo</w:t>
            </w:r>
            <w:r w:rsidR="0082688C" w:rsidRPr="00F363B9">
              <w:rPr>
                <w:rFonts w:asciiTheme="minorHAnsi" w:hAnsiTheme="minorHAnsi" w:cs="Lucida Grande"/>
                <w:color w:val="000000"/>
              </w:rPr>
              <w:t xml:space="preserve">). Response to immune therapy is poor in these disorders, likely due to </w:t>
            </w:r>
            <w:r w:rsidR="00F97B76">
              <w:rPr>
                <w:rFonts w:asciiTheme="minorHAnsi" w:hAnsiTheme="minorHAnsi" w:cs="Lucida Grande"/>
                <w:color w:val="000000"/>
              </w:rPr>
              <w:t xml:space="preserve">cytotoxic T-cell mediated </w:t>
            </w:r>
            <w:r w:rsidR="0082688C" w:rsidRPr="00F363B9">
              <w:rPr>
                <w:rFonts w:asciiTheme="minorHAnsi" w:hAnsiTheme="minorHAnsi" w:cs="Lucida Grande"/>
                <w:color w:val="000000"/>
              </w:rPr>
              <w:t xml:space="preserve">neuronal loss. </w:t>
            </w:r>
          </w:p>
          <w:p w:rsidR="0082688C" w:rsidRDefault="0082688C" w:rsidP="0082688C">
            <w:pPr>
              <w:pStyle w:val="ListParagraph"/>
              <w:numPr>
                <w:ilvl w:val="0"/>
                <w:numId w:val="48"/>
              </w:numPr>
              <w:spacing w:line="276" w:lineRule="auto"/>
              <w:rPr>
                <w:rFonts w:asciiTheme="minorHAnsi" w:hAnsiTheme="minorHAnsi" w:cs="Lucida Grande"/>
                <w:color w:val="000000"/>
              </w:rPr>
            </w:pPr>
            <w:r w:rsidRPr="002879BA">
              <w:rPr>
                <w:rFonts w:asciiTheme="minorHAnsi" w:hAnsiTheme="minorHAnsi" w:cs="Lucida Grande"/>
                <w:color w:val="000000"/>
              </w:rPr>
              <w:t>Therefore</w:t>
            </w:r>
            <w:r>
              <w:rPr>
                <w:rFonts w:asciiTheme="minorHAnsi" w:hAnsiTheme="minorHAnsi" w:cs="Lucida Grande"/>
                <w:color w:val="000000"/>
              </w:rPr>
              <w:t>,</w:t>
            </w:r>
            <w:r w:rsidRPr="002879BA">
              <w:rPr>
                <w:rFonts w:asciiTheme="minorHAnsi" w:hAnsiTheme="minorHAnsi" w:cs="Lucida Grande"/>
                <w:color w:val="000000"/>
              </w:rPr>
              <w:t xml:space="preserve"> onconeural autoantibodies are considered biomarkers for the presence of tumours rather than pathogenic mediators of neurologic disease, and should motivate the search for an associated malignancy. </w:t>
            </w:r>
          </w:p>
          <w:p w:rsidR="0082688C" w:rsidRPr="005B194E" w:rsidRDefault="0082688C" w:rsidP="0082688C">
            <w:pPr>
              <w:pStyle w:val="ListParagraph"/>
              <w:numPr>
                <w:ilvl w:val="0"/>
                <w:numId w:val="48"/>
              </w:numPr>
              <w:spacing w:before="120" w:after="120"/>
              <w:rPr>
                <w:rFonts w:asciiTheme="minorHAnsi" w:eastAsia="Times New Roman" w:hAnsiTheme="minorHAnsi" w:cs="Times New Roman"/>
                <w:b/>
                <w:bCs/>
                <w:lang w:eastAsia="en-AU"/>
              </w:rPr>
            </w:pPr>
            <w:r w:rsidRPr="002879BA">
              <w:rPr>
                <w:rFonts w:asciiTheme="minorHAnsi" w:hAnsiTheme="minorHAnsi" w:cs="Lucida Grande"/>
                <w:color w:val="000000"/>
              </w:rPr>
              <w:t xml:space="preserve">Tumour resection and/or oncological treatment </w:t>
            </w:r>
            <w:r>
              <w:rPr>
                <w:rFonts w:asciiTheme="minorHAnsi" w:hAnsiTheme="minorHAnsi" w:cs="Lucida Grande"/>
                <w:color w:val="000000"/>
              </w:rPr>
              <w:t>remain</w:t>
            </w:r>
            <w:r w:rsidRPr="002879BA">
              <w:rPr>
                <w:rFonts w:asciiTheme="minorHAnsi" w:hAnsiTheme="minorHAnsi" w:cs="Lucida Grande"/>
                <w:color w:val="000000"/>
              </w:rPr>
              <w:t xml:space="preserve"> the most effective therapies for these paraneoplastic neurologic syndromes, with case series reporting variable roles for corticosteroids, cyclophosphamide and rituximab. </w:t>
            </w:r>
          </w:p>
          <w:p w:rsidR="00FF4718" w:rsidRPr="00DC1BA8" w:rsidRDefault="0082688C" w:rsidP="0082688C">
            <w:pPr>
              <w:pStyle w:val="ListParagraph"/>
              <w:spacing w:before="120" w:after="120"/>
              <w:rPr>
                <w:rFonts w:asciiTheme="minorHAnsi" w:eastAsia="Times New Roman" w:hAnsiTheme="minorHAnsi" w:cs="Times New Roman"/>
                <w:bCs/>
                <w:lang w:eastAsia="en-AU"/>
              </w:rPr>
            </w:pPr>
            <w:r w:rsidRPr="00DC1BA8">
              <w:rPr>
                <w:rFonts w:asciiTheme="minorHAnsi" w:eastAsia="Times New Roman" w:hAnsiTheme="minorHAnsi" w:cs="Times New Roman"/>
                <w:bCs/>
                <w:lang w:eastAsia="en-AU"/>
              </w:rPr>
              <w:t>Ig use has been steadily increasing from 2012-13 to 2014-15 and this Ig use is not cost effective.</w:t>
            </w:r>
          </w:p>
          <w:p w:rsidR="00DC1BA8" w:rsidRPr="00DC1BA8" w:rsidRDefault="00DC1BA8" w:rsidP="00DC1BA8">
            <w:pPr>
              <w:pStyle w:val="ListParagraph"/>
              <w:widowControl w:val="0"/>
              <w:numPr>
                <w:ilvl w:val="0"/>
                <w:numId w:val="48"/>
              </w:numPr>
              <w:autoSpaceDE w:val="0"/>
              <w:autoSpaceDN w:val="0"/>
              <w:adjustRightInd w:val="0"/>
              <w:spacing w:after="240" w:line="240" w:lineRule="atLeast"/>
              <w:rPr>
                <w:rFonts w:asciiTheme="minorHAnsi" w:eastAsiaTheme="minorHAnsi" w:hAnsiTheme="minorHAnsi" w:cs="Times"/>
                <w:sz w:val="24"/>
                <w:szCs w:val="24"/>
                <w:lang w:val="en-US"/>
              </w:rPr>
            </w:pPr>
            <w:r w:rsidRPr="00DC1BA8">
              <w:rPr>
                <w:rFonts w:asciiTheme="minorHAnsi" w:eastAsiaTheme="minorHAnsi" w:hAnsiTheme="minorHAnsi" w:cs="Arial"/>
                <w:lang w:val="en-US"/>
              </w:rPr>
              <w:t xml:space="preserve">‘Paraneoplastic disorders that are known not to be B- or T- cell mediated’ is included under ‘Presumed immune-mediated disorders with little or no evidence of </w:t>
            </w:r>
            <w:r w:rsidR="004E6425">
              <w:rPr>
                <w:rFonts w:asciiTheme="minorHAnsi" w:eastAsiaTheme="minorHAnsi" w:hAnsiTheme="minorHAnsi" w:cs="Arial"/>
                <w:lang w:val="en-US"/>
              </w:rPr>
              <w:t>efficacy</w:t>
            </w:r>
            <w:r w:rsidRPr="00DC1BA8">
              <w:rPr>
                <w:rFonts w:asciiTheme="minorHAnsi" w:eastAsiaTheme="minorHAnsi" w:hAnsiTheme="minorHAnsi" w:cs="Arial"/>
                <w:lang w:val="en-US"/>
              </w:rPr>
              <w:t xml:space="preserve">’ as a </w:t>
            </w:r>
            <w:r w:rsidR="004E6425">
              <w:rPr>
                <w:rFonts w:asciiTheme="minorHAnsi" w:eastAsiaTheme="minorHAnsi" w:hAnsiTheme="minorHAnsi" w:cs="Arial"/>
                <w:lang w:val="en-US"/>
              </w:rPr>
              <w:t>‘</w:t>
            </w:r>
            <w:r w:rsidRPr="00DC1BA8">
              <w:rPr>
                <w:rFonts w:asciiTheme="minorHAnsi" w:eastAsiaTheme="minorHAnsi" w:hAnsiTheme="minorHAnsi" w:cs="Arial"/>
                <w:lang w:val="en-US"/>
              </w:rPr>
              <w:t>grey</w:t>
            </w:r>
            <w:r w:rsidR="004E6425">
              <w:rPr>
                <w:rFonts w:asciiTheme="minorHAnsi" w:eastAsiaTheme="minorHAnsi" w:hAnsiTheme="minorHAnsi" w:cs="Arial"/>
                <w:lang w:val="en-US"/>
              </w:rPr>
              <w:t>’</w:t>
            </w:r>
            <w:r w:rsidRPr="00DC1BA8">
              <w:rPr>
                <w:rFonts w:asciiTheme="minorHAnsi" w:eastAsiaTheme="minorHAnsi" w:hAnsiTheme="minorHAnsi" w:cs="Arial"/>
                <w:lang w:val="en-US"/>
              </w:rPr>
              <w:t xml:space="preserve"> condition in the NHS Clinical Guidelines for Ig Use (UK Department of Health, 2011) and the condition is not listed in the Canadian Guidelines </w:t>
            </w:r>
            <w:r w:rsidR="006810F9">
              <w:rPr>
                <w:rFonts w:asciiTheme="minorHAnsi" w:eastAsiaTheme="minorHAnsi" w:hAnsiTheme="minorHAnsi" w:cs="Arial"/>
                <w:lang w:val="en-US"/>
              </w:rPr>
              <w:t>IVIg</w:t>
            </w:r>
            <w:r w:rsidRPr="00DC1BA8">
              <w:rPr>
                <w:rFonts w:asciiTheme="minorHAnsi" w:eastAsiaTheme="minorHAnsi" w:hAnsiTheme="minorHAnsi" w:cs="Arial"/>
                <w:lang w:val="en-US"/>
              </w:rPr>
              <w:t xml:space="preserve"> Management Guidelines (</w:t>
            </w:r>
            <w:r w:rsidRPr="00DC1BA8">
              <w:rPr>
                <w:rFonts w:asciiTheme="minorHAnsi" w:hAnsiTheme="minorHAnsi"/>
              </w:rPr>
              <w:t>Ontario Regional Blood Coordinating Network, 2016)</w:t>
            </w:r>
            <w:r w:rsidRPr="00DC1BA8">
              <w:rPr>
                <w:rFonts w:asciiTheme="minorHAnsi" w:eastAsia="Times New Roman" w:hAnsiTheme="minorHAnsi" w:cs="Times New Roman"/>
                <w:bCs/>
                <w:lang w:eastAsia="en-AU"/>
              </w:rPr>
              <w:t>.</w:t>
            </w:r>
          </w:p>
          <w:p w:rsidR="00DC1BA8" w:rsidRPr="00DC1BA8" w:rsidRDefault="00DC1BA8" w:rsidP="0082688C">
            <w:pPr>
              <w:pStyle w:val="ListParagraph"/>
              <w:spacing w:before="120" w:after="120"/>
              <w:rPr>
                <w:rFonts w:asciiTheme="minorHAnsi" w:eastAsia="Times New Roman" w:hAnsiTheme="minorHAnsi" w:cs="Times New Roman"/>
                <w:b/>
                <w:bCs/>
                <w:lang w:val="en-US" w:eastAsia="en-AU"/>
              </w:rPr>
            </w:pPr>
          </w:p>
        </w:tc>
      </w:tr>
      <w:tr w:rsidR="008612AB" w:rsidRPr="00447869" w:rsidTr="00437609">
        <w:tc>
          <w:tcPr>
            <w:tcW w:w="14601" w:type="dxa"/>
            <w:gridSpan w:val="3"/>
            <w:shd w:val="clear" w:color="auto" w:fill="auto"/>
          </w:tcPr>
          <w:p w:rsidR="008612AB" w:rsidRPr="009E0D07" w:rsidRDefault="008612AB" w:rsidP="00DC1BA8">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 if appropriate</w:t>
            </w:r>
            <w:r w:rsidR="0082688C">
              <w:rPr>
                <w:rFonts w:asciiTheme="minorHAnsi" w:eastAsia="Times New Roman" w:hAnsiTheme="minorHAnsi" w:cs="Times New Roman"/>
                <w:b/>
                <w:bCs/>
                <w:lang w:eastAsia="en-AU"/>
              </w:rPr>
              <w:t xml:space="preserve">: </w:t>
            </w:r>
            <w:r w:rsidR="00DC1BA8">
              <w:rPr>
                <w:rFonts w:asciiTheme="minorHAnsi" w:eastAsia="Times New Roman" w:hAnsiTheme="minorHAnsi" w:cs="Times New Roman"/>
                <w:bCs/>
                <w:lang w:eastAsia="en-AU"/>
              </w:rPr>
              <w:t>Not applicable</w:t>
            </w:r>
          </w:p>
        </w:tc>
      </w:tr>
      <w:tr w:rsidR="00E7550D" w:rsidRPr="00447869" w:rsidTr="00437609">
        <w:trPr>
          <w:trHeight w:val="515"/>
        </w:trPr>
        <w:tc>
          <w:tcPr>
            <w:tcW w:w="14601" w:type="dxa"/>
            <w:gridSpan w:val="3"/>
            <w:shd w:val="clear" w:color="auto" w:fill="DBE5F1" w:themeFill="accent1" w:themeFillTint="33"/>
          </w:tcPr>
          <w:p w:rsidR="00E7550D" w:rsidRDefault="00E7550D" w:rsidP="0097000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Access Information in </w:t>
            </w:r>
            <w:r w:rsidR="00C8433A">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as at </w:t>
            </w:r>
            <w:r w:rsidR="00794280">
              <w:rPr>
                <w:rFonts w:asciiTheme="minorHAnsi" w:eastAsia="Times New Roman" w:hAnsiTheme="minorHAnsi" w:cs="Times New Roman"/>
                <w:b/>
                <w:bCs/>
                <w:lang w:eastAsia="en-AU"/>
              </w:rPr>
              <w:t>October 2016</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 xml:space="preserve">Condition Category </w:t>
            </w:r>
          </w:p>
        </w:tc>
        <w:tc>
          <w:tcPr>
            <w:tcW w:w="11765" w:type="dxa"/>
            <w:gridSpan w:val="2"/>
            <w:shd w:val="clear" w:color="auto" w:fill="auto"/>
          </w:tcPr>
          <w:p w:rsidR="00793EB5" w:rsidRPr="00E7550D" w:rsidRDefault="0082314D" w:rsidP="00793EB5">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Condition for which Ig use is in </w:t>
            </w:r>
            <w:r w:rsidR="00970002">
              <w:rPr>
                <w:rFonts w:asciiTheme="minorHAnsi" w:eastAsia="Times New Roman" w:hAnsiTheme="minorHAnsi" w:cs="Times New Roman"/>
                <w:bCs/>
                <w:lang w:eastAsia="en-AU"/>
              </w:rPr>
              <w:t>e</w:t>
            </w:r>
            <w:r w:rsidR="004703BD" w:rsidRPr="004703BD">
              <w:rPr>
                <w:rFonts w:asciiTheme="minorHAnsi" w:eastAsia="Times New Roman" w:hAnsiTheme="minorHAnsi" w:cs="Times New Roman"/>
                <w:bCs/>
                <w:lang w:eastAsia="en-AU"/>
              </w:rPr>
              <w:t>xceptional circumstances only</w:t>
            </w:r>
            <w:r w:rsidR="00C8433A">
              <w:rPr>
                <w:rFonts w:asciiTheme="minorHAnsi" w:eastAsia="Times New Roman" w:hAnsiTheme="minorHAnsi" w:cs="Times New Roman"/>
                <w:bCs/>
                <w:lang w:eastAsia="en-AU"/>
              </w:rPr>
              <w:t xml:space="preserve"> (</w:t>
            </w:r>
            <w:r w:rsidR="008053EA">
              <w:rPr>
                <w:rFonts w:asciiTheme="minorHAnsi" w:eastAsia="Times New Roman" w:hAnsiTheme="minorHAnsi" w:cs="Times New Roman"/>
                <w:bCs/>
                <w:lang w:eastAsia="en-AU"/>
              </w:rPr>
              <w:t>Chapter 7)</w:t>
            </w:r>
          </w:p>
        </w:tc>
      </w:tr>
      <w:tr w:rsidR="00E7550D" w:rsidRPr="00447869" w:rsidTr="00437609">
        <w:trPr>
          <w:trHeight w:val="515"/>
        </w:trPr>
        <w:tc>
          <w:tcPr>
            <w:tcW w:w="2836"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1765" w:type="dxa"/>
            <w:gridSpan w:val="2"/>
            <w:shd w:val="clear" w:color="auto" w:fill="auto"/>
          </w:tcPr>
          <w:p w:rsidR="00E7550D" w:rsidRPr="00793EB5" w:rsidRDefault="004703BD" w:rsidP="007830E1">
            <w:pPr>
              <w:spacing w:before="120" w:after="120"/>
              <w:rPr>
                <w:rFonts w:asciiTheme="minorHAnsi" w:eastAsia="Times New Roman" w:hAnsiTheme="minorHAnsi" w:cs="Times New Roman"/>
                <w:bCs/>
                <w:lang w:eastAsia="en-AU"/>
              </w:rPr>
            </w:pPr>
            <w:r w:rsidRPr="004703BD">
              <w:rPr>
                <w:rFonts w:asciiTheme="minorHAnsi" w:eastAsia="Times New Roman" w:hAnsiTheme="minorHAnsi" w:cs="Times New Roman"/>
                <w:bCs/>
                <w:lang w:eastAsia="en-AU"/>
              </w:rPr>
              <w:t>Insufficient data (Category 4a)</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1765" w:type="dxa"/>
            <w:gridSpan w:val="2"/>
            <w:shd w:val="clear" w:color="auto" w:fill="auto"/>
          </w:tcPr>
          <w:p w:rsidR="00793EB5" w:rsidRPr="00793EB5" w:rsidRDefault="004E6425" w:rsidP="007830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Blank</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1765" w:type="dxa"/>
            <w:gridSpan w:val="2"/>
            <w:shd w:val="clear" w:color="auto" w:fill="auto"/>
          </w:tcPr>
          <w:p w:rsidR="004703BD" w:rsidRPr="004703BD" w:rsidRDefault="004703BD" w:rsidP="004703BD">
            <w:pPr>
              <w:spacing w:before="120" w:after="120"/>
              <w:rPr>
                <w:rFonts w:asciiTheme="minorHAnsi" w:eastAsia="Times New Roman" w:hAnsiTheme="minorHAnsi" w:cs="Times New Roman"/>
                <w:b/>
                <w:bCs/>
                <w:lang w:eastAsia="en-AU"/>
              </w:rPr>
            </w:pPr>
            <w:r w:rsidRPr="004703BD">
              <w:rPr>
                <w:rFonts w:asciiTheme="minorHAnsi" w:eastAsia="Times New Roman" w:hAnsiTheme="minorHAnsi" w:cs="Times New Roman"/>
                <w:b/>
                <w:bCs/>
                <w:lang w:eastAsia="en-AU"/>
              </w:rPr>
              <w:t>Paraneoplastic subacute sensory neuropathy</w:t>
            </w:r>
          </w:p>
          <w:p w:rsidR="00793EB5" w:rsidRPr="004703BD" w:rsidRDefault="004703BD" w:rsidP="004703BD">
            <w:pPr>
              <w:spacing w:before="120" w:after="120"/>
              <w:rPr>
                <w:rFonts w:asciiTheme="minorHAnsi" w:eastAsia="Times New Roman" w:hAnsiTheme="minorHAnsi" w:cs="Times New Roman"/>
                <w:bCs/>
                <w:lang w:eastAsia="en-AU"/>
              </w:rPr>
            </w:pPr>
            <w:r w:rsidRPr="004703BD">
              <w:rPr>
                <w:rFonts w:asciiTheme="minorHAnsi" w:eastAsia="Times New Roman" w:hAnsiTheme="minorHAnsi" w:cs="Times New Roman"/>
                <w:bCs/>
                <w:lang w:eastAsia="en-AU"/>
              </w:rPr>
              <w:t>Intravenous immunoglobulin (</w:t>
            </w:r>
            <w:r w:rsidR="006810F9">
              <w:rPr>
                <w:rFonts w:asciiTheme="minorHAnsi" w:eastAsia="Times New Roman" w:hAnsiTheme="minorHAnsi" w:cs="Times New Roman"/>
                <w:bCs/>
                <w:lang w:eastAsia="en-AU"/>
              </w:rPr>
              <w:t>IVIg</w:t>
            </w:r>
            <w:r w:rsidRPr="004703BD">
              <w:rPr>
                <w:rFonts w:asciiTheme="minorHAnsi" w:eastAsia="Times New Roman" w:hAnsiTheme="minorHAnsi" w:cs="Times New Roman"/>
                <w:bCs/>
                <w:lang w:eastAsia="en-AU"/>
              </w:rPr>
              <w:t>) may be indicated in select cases, in combination with tumour therapy (tumour resection and/or oncological treatment), where the latter has not led to an improvement in the neurologic syndrome; where other immunomodulatory therapies are contraindicated or have failed; or if the neurologic features warrant urgent intervention.</w:t>
            </w:r>
          </w:p>
          <w:p w:rsidR="004703BD" w:rsidRPr="004703BD" w:rsidRDefault="004703BD" w:rsidP="004703BD">
            <w:pPr>
              <w:spacing w:before="120" w:after="120"/>
              <w:rPr>
                <w:rFonts w:asciiTheme="minorHAnsi" w:eastAsia="Times New Roman" w:hAnsiTheme="minorHAnsi" w:cs="Times New Roman"/>
                <w:b/>
                <w:bCs/>
                <w:lang w:eastAsia="en-AU"/>
              </w:rPr>
            </w:pPr>
            <w:r w:rsidRPr="004703BD">
              <w:rPr>
                <w:rFonts w:asciiTheme="minorHAnsi" w:eastAsia="Times New Roman" w:hAnsiTheme="minorHAnsi" w:cs="Times New Roman"/>
                <w:b/>
                <w:bCs/>
                <w:lang w:eastAsia="en-AU"/>
              </w:rPr>
              <w:t>Paraneoplastic cerebellar degeneration</w:t>
            </w:r>
          </w:p>
          <w:p w:rsidR="004703BD" w:rsidRDefault="006810F9" w:rsidP="004703BD">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IVIg</w:t>
            </w:r>
            <w:r w:rsidR="004703BD" w:rsidRPr="004703BD">
              <w:rPr>
                <w:rFonts w:asciiTheme="minorHAnsi" w:eastAsia="Times New Roman" w:hAnsiTheme="minorHAnsi" w:cs="Times New Roman"/>
                <w:bCs/>
                <w:lang w:eastAsia="en-AU"/>
              </w:rPr>
              <w:t xml:space="preserve"> may be indicated in select cases, in combination with tumour therapy (tumour resection and/or oncological treatment), where the latter has not led to an improvement in the neurologic syndrome; where other immunomodulatory therapies are contraindicated or have failed; or if the neurologic features warrant urgent intervention.</w:t>
            </w:r>
          </w:p>
          <w:p w:rsidR="004703BD" w:rsidRPr="004703BD" w:rsidRDefault="00794280" w:rsidP="004703BD">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Note: that Limbic encephalitis – paraneoplastic is considered separately. </w:t>
            </w:r>
          </w:p>
        </w:tc>
      </w:tr>
      <w:tr w:rsidR="008612AB" w:rsidRPr="00021243" w:rsidTr="00437609">
        <w:tblPrEx>
          <w:tblLook w:val="04A0" w:firstRow="1" w:lastRow="0" w:firstColumn="1" w:lastColumn="0" w:noHBand="0" w:noVBand="1"/>
        </w:tblPrEx>
        <w:tc>
          <w:tcPr>
            <w:tcW w:w="14601" w:type="dxa"/>
            <w:gridSpan w:val="3"/>
            <w:shd w:val="clear" w:color="auto" w:fill="DBE5F1" w:themeFill="accent1" w:themeFillTint="33"/>
          </w:tcPr>
          <w:p w:rsidR="00901F76" w:rsidRPr="00021243" w:rsidRDefault="00F42816" w:rsidP="00EF7EC7">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tc>
      </w:tr>
      <w:tr w:rsidR="008612AB" w:rsidRPr="00255740" w:rsidTr="00437609">
        <w:tblPrEx>
          <w:tblLook w:val="04A0" w:firstRow="1" w:lastRow="0" w:firstColumn="1" w:lastColumn="0" w:noHBand="0" w:noVBand="1"/>
        </w:tblPrEx>
        <w:tc>
          <w:tcPr>
            <w:tcW w:w="14601" w:type="dxa"/>
            <w:gridSpan w:val="3"/>
          </w:tcPr>
          <w:p w:rsidR="004703BD" w:rsidRDefault="00565155" w:rsidP="004703BD">
            <w:pPr>
              <w:spacing w:before="120" w:after="120"/>
              <w:rPr>
                <w:rFonts w:asciiTheme="minorHAnsi" w:hAnsiTheme="minorHAnsi"/>
              </w:rPr>
            </w:pPr>
            <w:r>
              <w:rPr>
                <w:rFonts w:asciiTheme="minorHAnsi" w:hAnsiTheme="minorHAnsi"/>
              </w:rPr>
              <w:t>Bataller</w:t>
            </w:r>
            <w:r w:rsidR="004703BD" w:rsidRPr="004703BD">
              <w:rPr>
                <w:rFonts w:asciiTheme="minorHAnsi" w:hAnsiTheme="minorHAnsi"/>
              </w:rPr>
              <w:t xml:space="preserve"> L, </w:t>
            </w:r>
            <w:r>
              <w:rPr>
                <w:rFonts w:asciiTheme="minorHAnsi" w:hAnsiTheme="minorHAnsi"/>
              </w:rPr>
              <w:t xml:space="preserve">Galiano R, Garcia-Escrig M, Martinez,B, Sevilla T, Blasco </w:t>
            </w:r>
            <w:r w:rsidR="004703BD" w:rsidRPr="004703BD">
              <w:rPr>
                <w:rFonts w:asciiTheme="minorHAnsi" w:hAnsiTheme="minorHAnsi"/>
              </w:rPr>
              <w:t xml:space="preserve">R, et al </w:t>
            </w:r>
            <w:r>
              <w:rPr>
                <w:rFonts w:asciiTheme="minorHAnsi" w:hAnsiTheme="minorHAnsi"/>
              </w:rPr>
              <w:t>(</w:t>
            </w:r>
            <w:r w:rsidR="004703BD" w:rsidRPr="004703BD">
              <w:rPr>
                <w:rFonts w:asciiTheme="minorHAnsi" w:hAnsiTheme="minorHAnsi"/>
              </w:rPr>
              <w:t>2010</w:t>
            </w:r>
            <w:r>
              <w:rPr>
                <w:rFonts w:asciiTheme="minorHAnsi" w:hAnsiTheme="minorHAnsi"/>
              </w:rPr>
              <w:t xml:space="preserve">) </w:t>
            </w:r>
            <w:r w:rsidR="004703BD" w:rsidRPr="004703BD">
              <w:rPr>
                <w:rFonts w:asciiTheme="minorHAnsi" w:hAnsiTheme="minorHAnsi"/>
              </w:rPr>
              <w:t>Reversible paraneoplastic limbic encephalitis associated with an</w:t>
            </w:r>
            <w:r>
              <w:rPr>
                <w:rFonts w:asciiTheme="minorHAnsi" w:hAnsiTheme="minorHAnsi"/>
              </w:rPr>
              <w:t>tibodies to the AMPA receptor. Neurology, 74(</w:t>
            </w:r>
            <w:r w:rsidR="004703BD" w:rsidRPr="004703BD">
              <w:rPr>
                <w:rFonts w:asciiTheme="minorHAnsi" w:hAnsiTheme="minorHAnsi"/>
              </w:rPr>
              <w:t>3</w:t>
            </w:r>
            <w:r>
              <w:rPr>
                <w:rFonts w:asciiTheme="minorHAnsi" w:hAnsiTheme="minorHAnsi"/>
              </w:rPr>
              <w:t>):</w:t>
            </w:r>
            <w:r w:rsidR="004703BD" w:rsidRPr="004703BD">
              <w:rPr>
                <w:rFonts w:asciiTheme="minorHAnsi" w:hAnsiTheme="minorHAnsi"/>
              </w:rPr>
              <w:t>265–7.</w:t>
            </w:r>
          </w:p>
          <w:p w:rsidR="00565155" w:rsidRPr="00565155" w:rsidRDefault="00F76586" w:rsidP="004703BD">
            <w:pPr>
              <w:spacing w:before="120" w:after="120"/>
              <w:rPr>
                <w:rFonts w:asciiTheme="minorHAnsi" w:hAnsiTheme="minorHAnsi"/>
                <w:color w:val="808080" w:themeColor="background1" w:themeShade="80"/>
              </w:rPr>
            </w:pPr>
            <w:hyperlink r:id="rId9" w:history="1">
              <w:r w:rsidR="00565155" w:rsidRPr="00565155">
                <w:rPr>
                  <w:rStyle w:val="Hyperlink"/>
                  <w:rFonts w:asciiTheme="minorHAnsi" w:hAnsiTheme="minorHAnsi"/>
                  <w:color w:val="808080" w:themeColor="background1" w:themeShade="80"/>
                </w:rPr>
                <w:t>https://www.ncbi.nlm.nih.gov/pubmed/20083804</w:t>
              </w:r>
            </w:hyperlink>
          </w:p>
          <w:p w:rsidR="00901F76" w:rsidRDefault="00565155" w:rsidP="00565155">
            <w:pPr>
              <w:spacing w:before="120" w:after="120"/>
              <w:rPr>
                <w:rFonts w:asciiTheme="minorHAnsi" w:hAnsiTheme="minorHAnsi"/>
              </w:rPr>
            </w:pPr>
            <w:r>
              <w:rPr>
                <w:rFonts w:asciiTheme="minorHAnsi" w:hAnsiTheme="minorHAnsi"/>
              </w:rPr>
              <w:t>Henry C, Husson</w:t>
            </w:r>
            <w:r w:rsidR="004703BD" w:rsidRPr="004703BD">
              <w:rPr>
                <w:rFonts w:asciiTheme="minorHAnsi" w:hAnsiTheme="minorHAnsi"/>
              </w:rPr>
              <w:t xml:space="preserve"> H, de Broucker T </w:t>
            </w:r>
            <w:r>
              <w:rPr>
                <w:rFonts w:asciiTheme="minorHAnsi" w:hAnsiTheme="minorHAnsi"/>
              </w:rPr>
              <w:t>(</w:t>
            </w:r>
            <w:r w:rsidR="004703BD" w:rsidRPr="004703BD">
              <w:rPr>
                <w:rFonts w:asciiTheme="minorHAnsi" w:hAnsiTheme="minorHAnsi"/>
              </w:rPr>
              <w:t>2009</w:t>
            </w:r>
            <w:r>
              <w:rPr>
                <w:rFonts w:asciiTheme="minorHAnsi" w:hAnsiTheme="minorHAnsi"/>
              </w:rPr>
              <w:t xml:space="preserve">). </w:t>
            </w:r>
            <w:r w:rsidR="004703BD" w:rsidRPr="004703BD">
              <w:rPr>
                <w:rFonts w:asciiTheme="minorHAnsi" w:hAnsiTheme="minorHAnsi"/>
              </w:rPr>
              <w:t xml:space="preserve">Autoimmune limbic encephalitis with anti-NMDA receptor antibodies and ovarian teratoma: a treatable form of paraneoplastic limbic encephalitis’ (in French), Revue neurologique (Société de neurologie de Paris), </w:t>
            </w:r>
            <w:r>
              <w:rPr>
                <w:rFonts w:asciiTheme="minorHAnsi" w:hAnsiTheme="minorHAnsi"/>
              </w:rPr>
              <w:t>165(</w:t>
            </w:r>
            <w:r w:rsidR="004703BD" w:rsidRPr="004703BD">
              <w:rPr>
                <w:rFonts w:asciiTheme="minorHAnsi" w:hAnsiTheme="minorHAnsi"/>
              </w:rPr>
              <w:t>1</w:t>
            </w:r>
            <w:r>
              <w:rPr>
                <w:rFonts w:asciiTheme="minorHAnsi" w:hAnsiTheme="minorHAnsi"/>
              </w:rPr>
              <w:t>):</w:t>
            </w:r>
            <w:r w:rsidR="004703BD" w:rsidRPr="004703BD">
              <w:rPr>
                <w:rFonts w:asciiTheme="minorHAnsi" w:hAnsiTheme="minorHAnsi"/>
              </w:rPr>
              <w:t>70–5.</w:t>
            </w:r>
          </w:p>
          <w:p w:rsidR="00565155" w:rsidRDefault="00F76586" w:rsidP="00565155">
            <w:pPr>
              <w:spacing w:before="120" w:after="120"/>
              <w:rPr>
                <w:rStyle w:val="Hyperlink"/>
                <w:rFonts w:asciiTheme="minorHAnsi" w:hAnsiTheme="minorHAnsi"/>
                <w:color w:val="808080" w:themeColor="background1" w:themeShade="80"/>
              </w:rPr>
            </w:pPr>
            <w:hyperlink r:id="rId10" w:history="1">
              <w:r w:rsidR="00565155" w:rsidRPr="00565155">
                <w:rPr>
                  <w:rStyle w:val="Hyperlink"/>
                  <w:rFonts w:asciiTheme="minorHAnsi" w:hAnsiTheme="minorHAnsi"/>
                  <w:color w:val="808080" w:themeColor="background1" w:themeShade="80"/>
                </w:rPr>
                <w:t>https://www.ncbi.nlm.nih.gov/pubmed/18809188</w:t>
              </w:r>
            </w:hyperlink>
          </w:p>
          <w:p w:rsidR="00DC1BA8" w:rsidRDefault="00DC1BA8" w:rsidP="00565155">
            <w:pPr>
              <w:spacing w:before="120" w:after="120"/>
              <w:rPr>
                <w:rStyle w:val="Hyperlink"/>
                <w:rFonts w:asciiTheme="minorHAnsi" w:hAnsiTheme="minorHAnsi"/>
                <w:color w:val="808080" w:themeColor="background1" w:themeShade="80"/>
              </w:rPr>
            </w:pPr>
          </w:p>
          <w:p w:rsidR="00DC1BA8" w:rsidRPr="00565155" w:rsidRDefault="00DC1BA8" w:rsidP="00565155">
            <w:pPr>
              <w:spacing w:before="120" w:after="120"/>
              <w:rPr>
                <w:rFonts w:asciiTheme="minorHAnsi" w:hAnsiTheme="minorHAnsi"/>
                <w:color w:val="808080" w:themeColor="background1" w:themeShade="80"/>
              </w:rPr>
            </w:pPr>
            <w:r w:rsidRPr="00DC1BA8">
              <w:rPr>
                <w:rFonts w:asciiTheme="minorHAnsi" w:hAnsiTheme="minorHAnsi"/>
              </w:rPr>
              <w:t>Ontario Regional Blood Coordinating Network (2016). Ontario Intravenous Immune Globulin (</w:t>
            </w:r>
            <w:r w:rsidR="006810F9">
              <w:rPr>
                <w:rFonts w:asciiTheme="minorHAnsi" w:hAnsiTheme="minorHAnsi"/>
              </w:rPr>
              <w:t>IVIG</w:t>
            </w:r>
            <w:r w:rsidRPr="00DC1BA8">
              <w:rPr>
                <w:rFonts w:asciiTheme="minorHAnsi" w:hAnsiTheme="minorHAnsi"/>
              </w:rPr>
              <w:t>) Utilization Management Guidelines, Version 3.0. [online]. Available at:</w:t>
            </w:r>
            <w:r w:rsidRPr="00DC1BA8">
              <w:rPr>
                <w:rFonts w:asciiTheme="minorHAnsi" w:hAnsiTheme="minorHAnsi"/>
                <w:color w:val="808080" w:themeColor="background1" w:themeShade="80"/>
              </w:rPr>
              <w:t xml:space="preserve"> http://transfusionontario.org/en/download/ontario-intravenous-immune-globulin-</w:t>
            </w:r>
            <w:r w:rsidR="006810F9">
              <w:rPr>
                <w:rFonts w:asciiTheme="minorHAnsi" w:hAnsiTheme="minorHAnsi"/>
                <w:color w:val="808080" w:themeColor="background1" w:themeShade="80"/>
              </w:rPr>
              <w:t>IVIg</w:t>
            </w:r>
            <w:r w:rsidRPr="00DC1BA8">
              <w:rPr>
                <w:rFonts w:asciiTheme="minorHAnsi" w:hAnsiTheme="minorHAnsi"/>
                <w:color w:val="808080" w:themeColor="background1" w:themeShade="80"/>
              </w:rPr>
              <w:t>-utilization-management-guidelines-2/.</w:t>
            </w:r>
          </w:p>
          <w:p w:rsidR="00DC1BA8" w:rsidRPr="00DC1BA8" w:rsidRDefault="00DC1BA8" w:rsidP="00DC1BA8">
            <w:pPr>
              <w:spacing w:before="120" w:after="120"/>
              <w:rPr>
                <w:rFonts w:asciiTheme="minorHAnsi" w:hAnsiTheme="minorHAnsi"/>
                <w:color w:val="808080" w:themeColor="background1" w:themeShade="80"/>
              </w:rPr>
            </w:pPr>
            <w:r w:rsidRPr="00DC1BA8">
              <w:rPr>
                <w:rFonts w:asciiTheme="minorHAnsi" w:hAnsiTheme="minorHAnsi"/>
              </w:rPr>
              <w:t xml:space="preserve">UK Department of Health (2011) Clinical Guidelines for Immunoglobulin Use: Second Edition Update. Available at: </w:t>
            </w:r>
            <w:r w:rsidRPr="00DC1BA8">
              <w:rPr>
                <w:rFonts w:asciiTheme="minorHAnsi" w:hAnsiTheme="minorHAnsi"/>
                <w:color w:val="808080" w:themeColor="background1" w:themeShade="80"/>
              </w:rPr>
              <w:t>https://www.gov.uk/government/uploads/system/uploads/attachment_data/file/216671/dh_131107.pdf</w:t>
            </w:r>
          </w:p>
          <w:p w:rsidR="00DC1BA8" w:rsidRPr="00DC1BA8" w:rsidRDefault="00DC1BA8" w:rsidP="00DC1BA8">
            <w:pPr>
              <w:spacing w:before="120" w:after="120"/>
              <w:rPr>
                <w:rFonts w:asciiTheme="minorHAnsi" w:hAnsiTheme="minorHAnsi"/>
              </w:rPr>
            </w:pPr>
          </w:p>
          <w:p w:rsidR="00565155" w:rsidRPr="00A80A19" w:rsidRDefault="00DC1BA8" w:rsidP="00DC1BA8">
            <w:pPr>
              <w:spacing w:before="120" w:after="120"/>
              <w:rPr>
                <w:rFonts w:asciiTheme="minorHAnsi" w:hAnsiTheme="minorHAnsi"/>
              </w:rPr>
            </w:pPr>
            <w:r w:rsidRPr="00DC1BA8">
              <w:rPr>
                <w:rFonts w:asciiTheme="minorHAnsi" w:hAnsiTheme="minorHAnsi"/>
              </w:rPr>
              <w:t xml:space="preserve">UK Department of Health (2011) Clinical Guidelines for Immunoglobulin Use: Second Edition Update: Summary Poster. Available at: </w:t>
            </w:r>
            <w:r w:rsidRPr="00DC1BA8">
              <w:rPr>
                <w:rFonts w:asciiTheme="minorHAnsi" w:hAnsiTheme="minorHAnsi"/>
                <w:color w:val="808080" w:themeColor="background1" w:themeShade="80"/>
              </w:rPr>
              <w:t>https://www.igd.nhs.uk/wp-content/uploads/2016/04/DemandManagementPoster_v4_February2016.pdf</w:t>
            </w:r>
          </w:p>
        </w:tc>
      </w:tr>
    </w:tbl>
    <w:p w:rsidR="00CD489A" w:rsidRDefault="00CD489A">
      <w:pPr>
        <w:spacing w:line="276" w:lineRule="auto"/>
      </w:pPr>
      <w:r>
        <w:lastRenderedPageBreak/>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701"/>
        <w:gridCol w:w="4394"/>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5F4883" w:rsidP="005F4883">
            <w:pPr>
              <w:spacing w:before="120" w:after="120"/>
              <w:rPr>
                <w:rFonts w:asciiTheme="minorHAnsi" w:hAnsiTheme="minorHAnsi"/>
              </w:rPr>
            </w:pPr>
            <w:r>
              <w:rPr>
                <w:rFonts w:asciiTheme="minorHAnsi" w:hAnsiTheme="minorHAnsi"/>
              </w:rPr>
              <w:t xml:space="preserve">Given that this condition will no longer be supported, any patients on ongoing therapy will need to be transitioned from Ig therapy to alternative treatments (see below). </w:t>
            </w:r>
            <w:r w:rsidR="0082688C">
              <w:rPr>
                <w:rFonts w:asciiTheme="minorHAnsi" w:hAnsiTheme="minorHAnsi"/>
              </w:rPr>
              <w:t xml:space="preserve">Following public consultation and the subsequent endorsement by governments, specific communication with relevant prescribers and </w:t>
            </w:r>
            <w:r>
              <w:rPr>
                <w:rFonts w:asciiTheme="minorHAnsi" w:hAnsiTheme="minorHAnsi"/>
              </w:rPr>
              <w:t>(and patients) would occur to support doctors caring for any patients on ongoing Ig therapy at that time</w:t>
            </w:r>
            <w:r w:rsidR="0082688C">
              <w:rPr>
                <w:rFonts w:asciiTheme="minorHAnsi" w:hAnsiTheme="minorHAnsi"/>
              </w:rPr>
              <w:t xml:space="preserve">. It is anticipated that the timing of </w:t>
            </w:r>
            <w:r>
              <w:rPr>
                <w:rFonts w:asciiTheme="minorHAnsi" w:hAnsiTheme="minorHAnsi"/>
              </w:rPr>
              <w:t xml:space="preserve">any </w:t>
            </w:r>
            <w:r w:rsidR="0082688C">
              <w:rPr>
                <w:rFonts w:asciiTheme="minorHAnsi" w:hAnsiTheme="minorHAnsi"/>
              </w:rPr>
              <w:t>existing patient transition would be at the time of implementation of BloodSTAR v3</w:t>
            </w:r>
            <w:r w:rsidR="00970002">
              <w:rPr>
                <w:rFonts w:asciiTheme="minorHAnsi" w:hAnsiTheme="minorHAnsi"/>
              </w:rPr>
              <w:t>.0</w:t>
            </w:r>
            <w:r w:rsidR="0082688C">
              <w:rPr>
                <w:rFonts w:asciiTheme="minorHAnsi" w:hAnsiTheme="minorHAnsi"/>
              </w:rPr>
              <w:t xml:space="preserve">. Advice to prescribers </w:t>
            </w:r>
            <w:r w:rsidR="00970002">
              <w:rPr>
                <w:rFonts w:asciiTheme="minorHAnsi" w:hAnsiTheme="minorHAnsi"/>
              </w:rPr>
              <w:t>will</w:t>
            </w:r>
            <w:r w:rsidR="0082688C">
              <w:rPr>
                <w:rFonts w:asciiTheme="minorHAnsi" w:hAnsiTheme="minorHAnsi"/>
              </w:rPr>
              <w:t xml:space="preserve"> </w:t>
            </w:r>
            <w:r w:rsidR="004E6425">
              <w:rPr>
                <w:rFonts w:asciiTheme="minorHAnsi" w:hAnsiTheme="minorHAnsi"/>
              </w:rPr>
              <w:t>precede</w:t>
            </w:r>
            <w:r w:rsidR="004E6425" w:rsidDel="004E6425">
              <w:rPr>
                <w:rFonts w:asciiTheme="minorHAnsi" w:hAnsiTheme="minorHAnsi"/>
              </w:rPr>
              <w:t xml:space="preserve"> </w:t>
            </w:r>
            <w:r w:rsidR="0082688C">
              <w:rPr>
                <w:rFonts w:asciiTheme="minorHAnsi" w:hAnsiTheme="minorHAnsi"/>
              </w:rPr>
              <w:t xml:space="preserve">this date </w:t>
            </w:r>
            <w:r w:rsidR="004E6425">
              <w:rPr>
                <w:rFonts w:asciiTheme="minorHAnsi" w:hAnsiTheme="minorHAnsi"/>
              </w:rPr>
              <w:t xml:space="preserve">so that </w:t>
            </w:r>
            <w:r w:rsidR="0082688C">
              <w:rPr>
                <w:rFonts w:asciiTheme="minorHAnsi" w:hAnsiTheme="minorHAnsi"/>
              </w:rPr>
              <w:t>patients can transition to alternative medication</w:t>
            </w:r>
            <w:r>
              <w:rPr>
                <w:rFonts w:asciiTheme="minorHAnsi" w:hAnsiTheme="minorHAnsi"/>
              </w:rPr>
              <w:t xml:space="preserve"> or a different treatment approach</w:t>
            </w:r>
            <w:r w:rsidR="0082688C">
              <w:rPr>
                <w:rFonts w:asciiTheme="minorHAnsi" w:hAnsiTheme="minorHAnsi"/>
              </w:rPr>
              <w:t xml:space="preserve">, </w:t>
            </w:r>
            <w:r>
              <w:rPr>
                <w:rFonts w:asciiTheme="minorHAnsi" w:hAnsiTheme="minorHAnsi"/>
              </w:rPr>
              <w:t xml:space="preserve">as </w:t>
            </w:r>
            <w:r w:rsidR="0082688C">
              <w:rPr>
                <w:rFonts w:asciiTheme="minorHAnsi" w:hAnsiTheme="minorHAnsi"/>
              </w:rPr>
              <w:t>appropriate.</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2688C" w:rsidRPr="00021243" w:rsidTr="0082688C">
        <w:tc>
          <w:tcPr>
            <w:tcW w:w="3545" w:type="dxa"/>
            <w:gridSpan w:val="2"/>
            <w:shd w:val="clear" w:color="auto" w:fill="auto"/>
          </w:tcPr>
          <w:p w:rsidR="0082688C" w:rsidRDefault="005F4883" w:rsidP="004A10A2">
            <w:pPr>
              <w:spacing w:before="120" w:after="120"/>
              <w:rPr>
                <w:rFonts w:asciiTheme="minorHAnsi" w:hAnsiTheme="minorHAnsi"/>
                <w:b/>
              </w:rPr>
            </w:pPr>
            <w:r>
              <w:rPr>
                <w:rFonts w:asciiTheme="minorHAnsi" w:hAnsiTheme="minorHAnsi"/>
                <w:b/>
              </w:rPr>
              <w:t xml:space="preserve">Description of </w:t>
            </w:r>
            <w:r w:rsidR="0082688C">
              <w:rPr>
                <w:rFonts w:asciiTheme="minorHAnsi" w:hAnsiTheme="minorHAnsi"/>
                <w:b/>
              </w:rPr>
              <w:t>impact on patients:</w:t>
            </w:r>
          </w:p>
        </w:tc>
        <w:tc>
          <w:tcPr>
            <w:tcW w:w="11056" w:type="dxa"/>
            <w:gridSpan w:val="5"/>
            <w:shd w:val="clear" w:color="auto" w:fill="auto"/>
          </w:tcPr>
          <w:p w:rsidR="005C15B7" w:rsidRDefault="005C15B7" w:rsidP="005C15B7">
            <w:pPr>
              <w:spacing w:before="120" w:after="120"/>
              <w:rPr>
                <w:rFonts w:asciiTheme="minorHAnsi" w:hAnsiTheme="minorHAnsi"/>
              </w:rPr>
            </w:pPr>
            <w:r>
              <w:rPr>
                <w:rFonts w:asciiTheme="minorHAnsi" w:hAnsiTheme="minorHAnsi"/>
              </w:rPr>
              <w:t xml:space="preserve">The </w:t>
            </w:r>
            <w:r w:rsidR="006D7405">
              <w:rPr>
                <w:rFonts w:asciiTheme="minorHAnsi" w:hAnsiTheme="minorHAnsi"/>
              </w:rPr>
              <w:t xml:space="preserve">symptoms of </w:t>
            </w:r>
            <w:r w:rsidR="006D7405" w:rsidRPr="0046332D">
              <w:rPr>
                <w:rFonts w:asciiTheme="minorHAnsi" w:eastAsia="Times New Roman" w:hAnsiTheme="minorHAnsi" w:cs="Times New Roman"/>
                <w:bCs/>
                <w:lang w:eastAsia="en-AU"/>
              </w:rPr>
              <w:t>Paraneoplastic Subacute Sensory Neuropathy or Paraneoplastic cerebellar degeneration</w:t>
            </w:r>
            <w:r w:rsidR="006D7405">
              <w:rPr>
                <w:rFonts w:asciiTheme="minorHAnsi" w:hAnsiTheme="minorHAnsi"/>
              </w:rPr>
              <w:t xml:space="preserve"> </w:t>
            </w:r>
            <w:r>
              <w:rPr>
                <w:rFonts w:asciiTheme="minorHAnsi" w:hAnsiTheme="minorHAnsi"/>
              </w:rPr>
              <w:t xml:space="preserve">are </w:t>
            </w:r>
            <w:r w:rsidR="006D7405">
              <w:rPr>
                <w:rFonts w:asciiTheme="minorHAnsi" w:hAnsiTheme="minorHAnsi"/>
              </w:rPr>
              <w:t xml:space="preserve">caused by antibodies made by a tumour. The best clinical results for these conditions are therefore </w:t>
            </w:r>
            <w:r>
              <w:rPr>
                <w:rFonts w:asciiTheme="minorHAnsi" w:hAnsiTheme="minorHAnsi"/>
              </w:rPr>
              <w:t xml:space="preserve">demonstrated after the tumour has been </w:t>
            </w:r>
            <w:r w:rsidR="006D7405">
              <w:rPr>
                <w:rFonts w:asciiTheme="minorHAnsi" w:hAnsiTheme="minorHAnsi"/>
              </w:rPr>
              <w:t>removed</w:t>
            </w:r>
            <w:r>
              <w:rPr>
                <w:rFonts w:asciiTheme="minorHAnsi" w:hAnsiTheme="minorHAnsi"/>
              </w:rPr>
              <w:t xml:space="preserve"> or treated with chemotherapy.  In fact, more recent publications have failed to demonstrate any benefit in response to Ig therapy because the antibodies causing the symptoms are directed at proteins inside brain cells and the Ig is therefore ineffective.  There are also alternative medications (including steroids and other therapies) that can be used to more effectively </w:t>
            </w:r>
            <w:r w:rsidR="006D7405">
              <w:rPr>
                <w:rFonts w:asciiTheme="minorHAnsi" w:hAnsiTheme="minorHAnsi"/>
              </w:rPr>
              <w:t xml:space="preserve">to </w:t>
            </w:r>
            <w:r>
              <w:rPr>
                <w:rFonts w:asciiTheme="minorHAnsi" w:hAnsiTheme="minorHAnsi"/>
              </w:rPr>
              <w:t xml:space="preserve">address the symptoms while waiting for tumour resection and/or the chemotherapy to take effect. </w:t>
            </w:r>
          </w:p>
          <w:p w:rsidR="005C15B7" w:rsidRDefault="005C15B7" w:rsidP="005C15B7">
            <w:pPr>
              <w:spacing w:before="120" w:after="120"/>
              <w:rPr>
                <w:rFonts w:asciiTheme="minorHAnsi" w:hAnsiTheme="minorHAnsi"/>
              </w:rPr>
            </w:pPr>
            <w:r>
              <w:rPr>
                <w:rFonts w:asciiTheme="minorHAnsi" w:hAnsiTheme="minorHAnsi"/>
              </w:rPr>
              <w:t xml:space="preserve">In addition, it is inappropriate to treat patients with medication that has no demonstrable benefit and there are small but not insignificant risks of harm from Ig therapy, as well as a high cost.  </w:t>
            </w:r>
          </w:p>
          <w:p w:rsidR="0082688C" w:rsidRDefault="005C15B7" w:rsidP="005C15B7">
            <w:pPr>
              <w:spacing w:before="120" w:after="120"/>
              <w:rPr>
                <w:rFonts w:asciiTheme="minorHAnsi" w:hAnsiTheme="minorHAnsi"/>
                <w:b/>
              </w:rPr>
            </w:pPr>
            <w:r>
              <w:rPr>
                <w:rFonts w:asciiTheme="minorHAnsi" w:hAnsiTheme="minorHAnsi"/>
              </w:rPr>
              <w:t xml:space="preserve">It is anticipated that prescribers (and thus patients) would be informed of any decision once governments have endorsed this recommendation so that ample lead time is provided for prescribers to manage and transition </w:t>
            </w:r>
            <w:r w:rsidR="006D7405">
              <w:rPr>
                <w:rFonts w:asciiTheme="minorHAnsi" w:hAnsiTheme="minorHAnsi"/>
              </w:rPr>
              <w:t xml:space="preserve">any existing </w:t>
            </w:r>
            <w:r>
              <w:rPr>
                <w:rFonts w:asciiTheme="minorHAnsi" w:hAnsiTheme="minorHAnsi"/>
              </w:rPr>
              <w:t>patients to an alternative treatment approach, if required</w:t>
            </w:r>
            <w:r w:rsidR="006D7405">
              <w:rPr>
                <w:rFonts w:asciiTheme="minorHAnsi" w:hAnsiTheme="minorHAnsi"/>
              </w:rPr>
              <w:t xml:space="preserve"> at that time</w:t>
            </w:r>
            <w:r>
              <w:rPr>
                <w:rFonts w:asciiTheme="minorHAnsi" w:hAnsiTheme="minorHAnsi"/>
              </w:rPr>
              <w:t>.</w:t>
            </w:r>
          </w:p>
        </w:tc>
      </w:tr>
      <w:tr w:rsidR="0082688C" w:rsidRPr="00021243" w:rsidTr="0082688C">
        <w:tc>
          <w:tcPr>
            <w:tcW w:w="3545" w:type="dxa"/>
            <w:gridSpan w:val="2"/>
            <w:shd w:val="clear" w:color="auto" w:fill="auto"/>
          </w:tcPr>
          <w:p w:rsidR="0082688C" w:rsidRDefault="0082688C"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82688C" w:rsidRDefault="0082688C" w:rsidP="00AF51AE">
            <w:pPr>
              <w:spacing w:before="120" w:after="120"/>
              <w:rPr>
                <w:rFonts w:asciiTheme="minorHAnsi" w:hAnsiTheme="minorHAnsi"/>
                <w:b/>
              </w:rPr>
            </w:pPr>
            <w:r>
              <w:rPr>
                <w:rFonts w:asciiTheme="minorHAnsi" w:hAnsiTheme="minorHAnsi"/>
              </w:rPr>
              <w:t>Demand for Ig therapy under these conditions ha</w:t>
            </w:r>
            <w:r w:rsidR="005C15B7">
              <w:rPr>
                <w:rFonts w:asciiTheme="minorHAnsi" w:hAnsiTheme="minorHAnsi"/>
              </w:rPr>
              <w:t>s</w:t>
            </w:r>
            <w:r>
              <w:rPr>
                <w:rFonts w:asciiTheme="minorHAnsi" w:hAnsiTheme="minorHAnsi"/>
              </w:rPr>
              <w:t xml:space="preserve"> been steadily increasing over the last 3 years. Given the recognition that Ig therapy is ineffective for immunomodulation of autoantibodies to intracellular neural antigens, it is likely that the treatment has been ineffective. The reallocation of these two </w:t>
            </w:r>
            <w:r w:rsidR="004E6425">
              <w:rPr>
                <w:rFonts w:asciiTheme="minorHAnsi" w:hAnsiTheme="minorHAnsi"/>
              </w:rPr>
              <w:t>p</w:t>
            </w:r>
            <w:r>
              <w:rPr>
                <w:rFonts w:asciiTheme="minorHAnsi" w:hAnsiTheme="minorHAnsi"/>
              </w:rPr>
              <w:t xml:space="preserve">araneoplastic syndromes to </w:t>
            </w:r>
            <w:r w:rsidR="008053EA" w:rsidRPr="0082314D">
              <w:rPr>
                <w:rFonts w:asciiTheme="minorHAnsi" w:hAnsiTheme="minorHAnsi"/>
                <w:i/>
              </w:rPr>
              <w:t>N</w:t>
            </w:r>
            <w:r w:rsidRPr="0082314D">
              <w:rPr>
                <w:rFonts w:asciiTheme="minorHAnsi" w:hAnsiTheme="minorHAnsi"/>
                <w:i/>
              </w:rPr>
              <w:t xml:space="preserve">ot </w:t>
            </w:r>
            <w:r w:rsidR="008053EA" w:rsidRPr="0082314D">
              <w:rPr>
                <w:rFonts w:asciiTheme="minorHAnsi" w:hAnsiTheme="minorHAnsi"/>
                <w:i/>
              </w:rPr>
              <w:t>supported</w:t>
            </w:r>
            <w:r w:rsidR="005C15B7">
              <w:rPr>
                <w:rFonts w:asciiTheme="minorHAnsi" w:hAnsiTheme="minorHAnsi"/>
                <w:i/>
              </w:rPr>
              <w:t xml:space="preserve"> </w:t>
            </w:r>
            <w:r>
              <w:rPr>
                <w:rFonts w:asciiTheme="minorHAnsi" w:hAnsiTheme="minorHAnsi"/>
              </w:rPr>
              <w:t xml:space="preserve">means that immediate demand for Ig therapy for these conditions would reduce in line with the number of patients being treated at the time of implementation.  </w:t>
            </w:r>
          </w:p>
        </w:tc>
      </w:tr>
      <w:tr w:rsidR="00771C78" w:rsidRPr="00853117" w:rsidTr="00771C78">
        <w:tc>
          <w:tcPr>
            <w:tcW w:w="2161" w:type="dxa"/>
            <w:shd w:val="clear" w:color="auto" w:fill="auto"/>
          </w:tcPr>
          <w:p w:rsidR="00771C78" w:rsidRPr="00C92149" w:rsidRDefault="00771C78" w:rsidP="004A10A2">
            <w:pPr>
              <w:spacing w:before="120" w:after="120"/>
              <w:rPr>
                <w:rFonts w:asciiTheme="minorHAnsi" w:hAnsiTheme="minorHAnsi"/>
                <w:b/>
                <w:sz w:val="18"/>
                <w:szCs w:val="18"/>
              </w:rPr>
            </w:pPr>
          </w:p>
        </w:tc>
        <w:tc>
          <w:tcPr>
            <w:tcW w:w="1384" w:type="dxa"/>
            <w:shd w:val="clear" w:color="auto" w:fill="auto"/>
          </w:tcPr>
          <w:p w:rsidR="00771C78" w:rsidRPr="00C92149" w:rsidRDefault="00771C7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771C78" w:rsidRPr="00C92149" w:rsidRDefault="00771C7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771C78" w:rsidRPr="00C92149" w:rsidRDefault="00771C7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771C78" w:rsidRPr="00C92149" w:rsidRDefault="00771C7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771C78" w:rsidRPr="00771C78" w:rsidRDefault="00771C78" w:rsidP="00771C78">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82688C" w:rsidRPr="00FF3608" w:rsidRDefault="0082688C" w:rsidP="0082688C">
            <w:pPr>
              <w:rPr>
                <w:rFonts w:asciiTheme="minorHAnsi" w:hAnsiTheme="minorHAnsi"/>
                <w:sz w:val="18"/>
                <w:szCs w:val="18"/>
              </w:rPr>
            </w:pPr>
          </w:p>
          <w:p w:rsidR="0082688C" w:rsidRPr="00FF3608" w:rsidRDefault="0082688C" w:rsidP="0082688C">
            <w:pPr>
              <w:rPr>
                <w:rFonts w:asciiTheme="minorHAnsi" w:hAnsiTheme="minorHAnsi"/>
                <w:sz w:val="18"/>
                <w:szCs w:val="18"/>
              </w:rPr>
            </w:pPr>
            <w:r w:rsidRPr="00FF3608">
              <w:rPr>
                <w:rFonts w:asciiTheme="minorHAnsi" w:hAnsiTheme="minorHAnsi"/>
                <w:sz w:val="18"/>
                <w:szCs w:val="18"/>
              </w:rPr>
              <w:t xml:space="preserve">The </w:t>
            </w:r>
            <w:r w:rsidR="00F81A7C">
              <w:rPr>
                <w:rFonts w:asciiTheme="minorHAnsi" w:hAnsiTheme="minorHAnsi"/>
                <w:sz w:val="18"/>
                <w:szCs w:val="18"/>
              </w:rPr>
              <w:t>Specialist Working Group</w:t>
            </w:r>
            <w:r w:rsidR="00F81A7C" w:rsidRPr="00FF3608">
              <w:rPr>
                <w:rFonts w:asciiTheme="minorHAnsi" w:hAnsiTheme="minorHAnsi"/>
                <w:sz w:val="18"/>
                <w:szCs w:val="18"/>
              </w:rPr>
              <w:t xml:space="preserve"> </w:t>
            </w:r>
            <w:r w:rsidRPr="00FF3608">
              <w:rPr>
                <w:rFonts w:asciiTheme="minorHAnsi" w:hAnsiTheme="minorHAnsi"/>
                <w:sz w:val="18"/>
                <w:szCs w:val="18"/>
              </w:rPr>
              <w:t>estimated magnitude of effect:</w:t>
            </w:r>
          </w:p>
          <w:p w:rsidR="0082688C" w:rsidRPr="00FF3608" w:rsidRDefault="0082688C" w:rsidP="0082688C">
            <w:pPr>
              <w:ind w:left="720"/>
              <w:rPr>
                <w:rFonts w:asciiTheme="minorHAnsi" w:hAnsiTheme="minorHAnsi"/>
                <w:sz w:val="18"/>
                <w:szCs w:val="18"/>
              </w:rPr>
            </w:pPr>
            <w:r w:rsidRPr="00FF3608">
              <w:rPr>
                <w:rFonts w:asciiTheme="minorHAnsi" w:hAnsiTheme="minorHAnsi"/>
                <w:sz w:val="18"/>
                <w:szCs w:val="18"/>
              </w:rPr>
              <w:t>Marginal: &lt;$500K reduction</w:t>
            </w:r>
            <w:r w:rsidR="00E16333">
              <w:rPr>
                <w:rFonts w:asciiTheme="minorHAnsi" w:hAnsiTheme="minorHAnsi"/>
                <w:sz w:val="18"/>
                <w:szCs w:val="18"/>
              </w:rPr>
              <w:t xml:space="preserve"> against projected </w:t>
            </w:r>
            <w:r w:rsidR="00E16333">
              <w:rPr>
                <w:rFonts w:asciiTheme="minorHAnsi" w:hAnsiTheme="minorHAnsi"/>
                <w:sz w:val="18"/>
                <w:szCs w:val="18"/>
              </w:rPr>
              <w:lastRenderedPageBreak/>
              <w:t>demand</w:t>
            </w:r>
          </w:p>
          <w:p w:rsidR="00771C78" w:rsidRPr="00FF3608" w:rsidRDefault="00771C78" w:rsidP="004A10A2">
            <w:pPr>
              <w:spacing w:before="120" w:after="120"/>
              <w:rPr>
                <w:rFonts w:asciiTheme="minorHAnsi" w:hAnsiTheme="minorHAnsi"/>
                <w:b/>
                <w:sz w:val="18"/>
                <w:szCs w:val="18"/>
              </w:rPr>
            </w:pPr>
          </w:p>
        </w:tc>
      </w:tr>
      <w:tr w:rsidR="00771C78" w:rsidRPr="00853117" w:rsidTr="00771C78">
        <w:tc>
          <w:tcPr>
            <w:tcW w:w="2161" w:type="dxa"/>
            <w:shd w:val="clear" w:color="auto" w:fill="auto"/>
          </w:tcPr>
          <w:p w:rsidR="00771C78" w:rsidRPr="00C92149" w:rsidRDefault="00771C7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771C78" w:rsidRPr="00C92149" w:rsidRDefault="006856B3" w:rsidP="00AF51AE">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771C78" w:rsidRPr="00C92149" w:rsidRDefault="00D44564" w:rsidP="00AF51AE">
            <w:pPr>
              <w:spacing w:before="120" w:after="120"/>
              <w:jc w:val="right"/>
              <w:rPr>
                <w:rFonts w:asciiTheme="minorHAnsi" w:hAnsiTheme="minorHAnsi"/>
                <w:b/>
                <w:sz w:val="18"/>
                <w:szCs w:val="18"/>
              </w:rPr>
            </w:pPr>
            <w:r>
              <w:rPr>
                <w:rFonts w:asciiTheme="minorHAnsi" w:hAnsiTheme="minorHAnsi"/>
                <w:b/>
                <w:sz w:val="18"/>
                <w:szCs w:val="18"/>
              </w:rPr>
              <w:t>15</w:t>
            </w:r>
          </w:p>
        </w:tc>
        <w:tc>
          <w:tcPr>
            <w:tcW w:w="1667" w:type="dxa"/>
            <w:shd w:val="clear" w:color="auto" w:fill="auto"/>
          </w:tcPr>
          <w:p w:rsidR="00771C78" w:rsidRPr="00C92149" w:rsidRDefault="00D44564" w:rsidP="00AF51AE">
            <w:pPr>
              <w:spacing w:before="120" w:after="120"/>
              <w:jc w:val="right"/>
              <w:rPr>
                <w:rFonts w:asciiTheme="minorHAnsi" w:hAnsiTheme="minorHAnsi"/>
                <w:b/>
                <w:sz w:val="18"/>
                <w:szCs w:val="18"/>
              </w:rPr>
            </w:pPr>
            <w:r>
              <w:rPr>
                <w:rFonts w:asciiTheme="minorHAnsi" w:hAnsiTheme="minorHAnsi"/>
                <w:b/>
                <w:sz w:val="18"/>
                <w:szCs w:val="18"/>
              </w:rPr>
              <w:t>12</w:t>
            </w:r>
          </w:p>
        </w:tc>
        <w:tc>
          <w:tcPr>
            <w:tcW w:w="1701" w:type="dxa"/>
            <w:shd w:val="clear" w:color="auto" w:fill="auto"/>
          </w:tcPr>
          <w:p w:rsidR="00771C78" w:rsidRPr="00C92149" w:rsidRDefault="00D44564" w:rsidP="00AF51AE">
            <w:pPr>
              <w:spacing w:before="120" w:after="120"/>
              <w:jc w:val="right"/>
              <w:rPr>
                <w:rFonts w:asciiTheme="minorHAnsi" w:hAnsiTheme="minorHAnsi"/>
                <w:b/>
                <w:sz w:val="18"/>
                <w:szCs w:val="18"/>
              </w:rPr>
            </w:pPr>
            <w:r>
              <w:rPr>
                <w:rFonts w:asciiTheme="minorHAnsi" w:hAnsiTheme="minorHAnsi"/>
                <w:b/>
                <w:sz w:val="18"/>
                <w:szCs w:val="18"/>
              </w:rPr>
              <w:t>21</w:t>
            </w:r>
          </w:p>
        </w:tc>
        <w:tc>
          <w:tcPr>
            <w:tcW w:w="1701" w:type="dxa"/>
            <w:shd w:val="clear" w:color="auto" w:fill="auto"/>
          </w:tcPr>
          <w:p w:rsidR="00771C78" w:rsidRPr="00771C78" w:rsidRDefault="00D44564" w:rsidP="00AF51AE">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27</w:t>
            </w:r>
          </w:p>
        </w:tc>
        <w:tc>
          <w:tcPr>
            <w:tcW w:w="4394" w:type="dxa"/>
            <w:vMerge/>
            <w:shd w:val="clear" w:color="auto" w:fill="auto"/>
          </w:tcPr>
          <w:p w:rsidR="00771C78" w:rsidRPr="00C92149" w:rsidRDefault="00771C78" w:rsidP="004A10A2">
            <w:pPr>
              <w:spacing w:before="120" w:after="120"/>
              <w:rPr>
                <w:rFonts w:asciiTheme="minorHAnsi" w:hAnsiTheme="minorHAnsi"/>
                <w:b/>
                <w:sz w:val="18"/>
                <w:szCs w:val="18"/>
              </w:rPr>
            </w:pPr>
          </w:p>
        </w:tc>
      </w:tr>
      <w:tr w:rsidR="00771C78" w:rsidRPr="00853117" w:rsidTr="00771C78">
        <w:trPr>
          <w:trHeight w:val="535"/>
        </w:trPr>
        <w:tc>
          <w:tcPr>
            <w:tcW w:w="2161" w:type="dxa"/>
            <w:shd w:val="clear" w:color="auto" w:fill="auto"/>
          </w:tcPr>
          <w:p w:rsidR="00771C78" w:rsidRPr="00C92149" w:rsidRDefault="00771C78" w:rsidP="004A10A2">
            <w:pPr>
              <w:spacing w:before="120" w:after="120"/>
              <w:rPr>
                <w:rFonts w:asciiTheme="minorHAnsi" w:hAnsiTheme="minorHAnsi"/>
                <w:b/>
                <w:sz w:val="18"/>
                <w:szCs w:val="18"/>
              </w:rPr>
            </w:pPr>
            <w:r w:rsidRPr="00C92149">
              <w:rPr>
                <w:rFonts w:asciiTheme="minorHAnsi" w:hAnsiTheme="minorHAnsi"/>
                <w:b/>
                <w:sz w:val="18"/>
                <w:szCs w:val="18"/>
              </w:rPr>
              <w:lastRenderedPageBreak/>
              <w:t>Total Grams issued</w:t>
            </w:r>
          </w:p>
        </w:tc>
        <w:tc>
          <w:tcPr>
            <w:tcW w:w="1384" w:type="dxa"/>
            <w:shd w:val="clear" w:color="auto" w:fill="auto"/>
          </w:tcPr>
          <w:p w:rsidR="00771C78" w:rsidRPr="00C92149" w:rsidRDefault="006856B3" w:rsidP="00AF51AE">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771C78" w:rsidRPr="00C92149" w:rsidRDefault="00D44564" w:rsidP="00AF51AE">
            <w:pPr>
              <w:spacing w:before="120" w:after="120"/>
              <w:jc w:val="right"/>
              <w:rPr>
                <w:rFonts w:asciiTheme="minorHAnsi" w:hAnsiTheme="minorHAnsi"/>
                <w:b/>
                <w:sz w:val="18"/>
                <w:szCs w:val="18"/>
              </w:rPr>
            </w:pPr>
            <w:r>
              <w:rPr>
                <w:rFonts w:asciiTheme="minorHAnsi" w:hAnsiTheme="minorHAnsi"/>
                <w:b/>
                <w:sz w:val="18"/>
                <w:szCs w:val="18"/>
              </w:rPr>
              <w:t>2,834</w:t>
            </w:r>
          </w:p>
        </w:tc>
        <w:tc>
          <w:tcPr>
            <w:tcW w:w="1667" w:type="dxa"/>
            <w:shd w:val="clear" w:color="auto" w:fill="auto"/>
          </w:tcPr>
          <w:p w:rsidR="00771C78" w:rsidRPr="00C92149" w:rsidRDefault="00D44564" w:rsidP="00AF51AE">
            <w:pPr>
              <w:spacing w:before="120" w:after="120"/>
              <w:jc w:val="right"/>
              <w:rPr>
                <w:rFonts w:asciiTheme="minorHAnsi" w:hAnsiTheme="minorHAnsi"/>
                <w:b/>
                <w:sz w:val="18"/>
                <w:szCs w:val="18"/>
              </w:rPr>
            </w:pPr>
            <w:r>
              <w:rPr>
                <w:rFonts w:asciiTheme="minorHAnsi" w:hAnsiTheme="minorHAnsi"/>
                <w:b/>
                <w:sz w:val="18"/>
                <w:szCs w:val="18"/>
              </w:rPr>
              <w:t>2,969</w:t>
            </w:r>
          </w:p>
        </w:tc>
        <w:tc>
          <w:tcPr>
            <w:tcW w:w="1701" w:type="dxa"/>
            <w:shd w:val="clear" w:color="auto" w:fill="auto"/>
          </w:tcPr>
          <w:p w:rsidR="00771C78" w:rsidRPr="00C92149" w:rsidRDefault="00D44564" w:rsidP="00AF51AE">
            <w:pPr>
              <w:spacing w:before="120" w:after="120"/>
              <w:jc w:val="right"/>
              <w:rPr>
                <w:rFonts w:asciiTheme="minorHAnsi" w:hAnsiTheme="minorHAnsi"/>
                <w:b/>
                <w:sz w:val="18"/>
                <w:szCs w:val="18"/>
              </w:rPr>
            </w:pPr>
            <w:r>
              <w:rPr>
                <w:rFonts w:asciiTheme="minorHAnsi" w:hAnsiTheme="minorHAnsi"/>
                <w:b/>
                <w:sz w:val="18"/>
                <w:szCs w:val="18"/>
              </w:rPr>
              <w:t>5,254</w:t>
            </w:r>
          </w:p>
        </w:tc>
        <w:tc>
          <w:tcPr>
            <w:tcW w:w="1701" w:type="dxa"/>
            <w:shd w:val="clear" w:color="auto" w:fill="auto"/>
          </w:tcPr>
          <w:p w:rsidR="00771C78" w:rsidRPr="00771C78" w:rsidRDefault="00D44564" w:rsidP="00AF51AE">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6,183</w:t>
            </w:r>
          </w:p>
        </w:tc>
        <w:tc>
          <w:tcPr>
            <w:tcW w:w="4394" w:type="dxa"/>
            <w:vMerge/>
            <w:shd w:val="clear" w:color="auto" w:fill="auto"/>
          </w:tcPr>
          <w:p w:rsidR="00771C78" w:rsidRPr="00C92149" w:rsidRDefault="00771C78" w:rsidP="004A10A2">
            <w:pPr>
              <w:spacing w:before="120" w:after="120"/>
              <w:rPr>
                <w:rFonts w:asciiTheme="minorHAnsi" w:hAnsiTheme="minorHAnsi"/>
                <w:b/>
                <w:sz w:val="18"/>
                <w:szCs w:val="18"/>
              </w:rPr>
            </w:pPr>
          </w:p>
        </w:tc>
      </w:tr>
      <w:tr w:rsidR="00AF51AE" w:rsidRPr="00853117" w:rsidTr="003F4167">
        <w:tc>
          <w:tcPr>
            <w:tcW w:w="2161" w:type="dxa"/>
            <w:shd w:val="clear" w:color="auto" w:fill="auto"/>
          </w:tcPr>
          <w:p w:rsidR="00AF51AE" w:rsidRPr="00C92149" w:rsidRDefault="00AF51AE" w:rsidP="004A10A2">
            <w:pPr>
              <w:spacing w:before="120" w:after="120"/>
              <w:rPr>
                <w:rFonts w:asciiTheme="minorHAnsi" w:hAnsiTheme="minorHAnsi"/>
                <w:b/>
                <w:sz w:val="18"/>
                <w:szCs w:val="18"/>
              </w:rPr>
            </w:pPr>
            <w:r w:rsidRPr="00C92149">
              <w:rPr>
                <w:rFonts w:asciiTheme="minorHAnsi" w:hAnsiTheme="minorHAnsi"/>
                <w:b/>
                <w:sz w:val="18"/>
                <w:szCs w:val="18"/>
              </w:rPr>
              <w:lastRenderedPageBreak/>
              <w:t>% Total Grams issued</w:t>
            </w:r>
          </w:p>
        </w:tc>
        <w:tc>
          <w:tcPr>
            <w:tcW w:w="1384" w:type="dxa"/>
            <w:shd w:val="clear" w:color="auto" w:fill="auto"/>
            <w:vAlign w:val="bottom"/>
          </w:tcPr>
          <w:p w:rsidR="00AF51AE" w:rsidRPr="00AF51AE" w:rsidRDefault="00AF51AE" w:rsidP="00AF51AE">
            <w:pPr>
              <w:spacing w:before="120" w:after="120"/>
              <w:jc w:val="right"/>
              <w:rPr>
                <w:rFonts w:asciiTheme="minorHAnsi" w:hAnsiTheme="minorHAnsi" w:cs="Helvetica"/>
                <w:b/>
                <w:color w:val="333333"/>
                <w:sz w:val="18"/>
                <w:szCs w:val="18"/>
              </w:rPr>
            </w:pPr>
            <w:r w:rsidRPr="00AF51AE">
              <w:rPr>
                <w:rFonts w:asciiTheme="minorHAnsi" w:hAnsiTheme="minorHAnsi" w:cs="Helvetica"/>
                <w:b/>
                <w:color w:val="333333"/>
                <w:sz w:val="18"/>
                <w:szCs w:val="18"/>
              </w:rPr>
              <w:t>0.00%</w:t>
            </w:r>
          </w:p>
        </w:tc>
        <w:tc>
          <w:tcPr>
            <w:tcW w:w="1593" w:type="dxa"/>
            <w:shd w:val="clear" w:color="auto" w:fill="auto"/>
            <w:vAlign w:val="bottom"/>
          </w:tcPr>
          <w:p w:rsidR="00AF51AE" w:rsidRPr="00AF51AE" w:rsidRDefault="00AF51AE" w:rsidP="00AF51AE">
            <w:pPr>
              <w:spacing w:before="120" w:after="120"/>
              <w:jc w:val="right"/>
              <w:rPr>
                <w:rFonts w:asciiTheme="minorHAnsi" w:hAnsiTheme="minorHAnsi" w:cs="Helvetica"/>
                <w:b/>
                <w:color w:val="333333"/>
                <w:sz w:val="18"/>
                <w:szCs w:val="18"/>
              </w:rPr>
            </w:pPr>
            <w:r w:rsidRPr="00AF51AE">
              <w:rPr>
                <w:rFonts w:asciiTheme="minorHAnsi" w:hAnsiTheme="minorHAnsi" w:cs="Helvetica"/>
                <w:b/>
                <w:color w:val="333333"/>
                <w:sz w:val="18"/>
                <w:szCs w:val="18"/>
              </w:rPr>
              <w:t>0.08%</w:t>
            </w:r>
          </w:p>
        </w:tc>
        <w:tc>
          <w:tcPr>
            <w:tcW w:w="1667" w:type="dxa"/>
            <w:shd w:val="clear" w:color="auto" w:fill="auto"/>
            <w:vAlign w:val="bottom"/>
          </w:tcPr>
          <w:p w:rsidR="00AF51AE" w:rsidRPr="00AF51AE" w:rsidRDefault="00AF51AE" w:rsidP="00AF51AE">
            <w:pPr>
              <w:spacing w:before="120" w:after="120"/>
              <w:jc w:val="right"/>
              <w:rPr>
                <w:rFonts w:asciiTheme="minorHAnsi" w:hAnsiTheme="minorHAnsi" w:cs="Helvetica"/>
                <w:b/>
                <w:color w:val="333333"/>
                <w:sz w:val="18"/>
                <w:szCs w:val="18"/>
              </w:rPr>
            </w:pPr>
            <w:r w:rsidRPr="00AF51AE">
              <w:rPr>
                <w:rFonts w:asciiTheme="minorHAnsi" w:hAnsiTheme="minorHAnsi" w:cs="Helvetica"/>
                <w:b/>
                <w:color w:val="333333"/>
                <w:sz w:val="18"/>
                <w:szCs w:val="18"/>
              </w:rPr>
              <w:t>0.07%</w:t>
            </w:r>
          </w:p>
        </w:tc>
        <w:tc>
          <w:tcPr>
            <w:tcW w:w="1701" w:type="dxa"/>
            <w:shd w:val="clear" w:color="auto" w:fill="auto"/>
            <w:vAlign w:val="bottom"/>
          </w:tcPr>
          <w:p w:rsidR="00AF51AE" w:rsidRPr="00AF51AE" w:rsidRDefault="00AF51AE" w:rsidP="00AF51AE">
            <w:pPr>
              <w:spacing w:before="120" w:after="120"/>
              <w:jc w:val="right"/>
              <w:rPr>
                <w:rFonts w:asciiTheme="minorHAnsi" w:hAnsiTheme="minorHAnsi" w:cs="Helvetica"/>
                <w:b/>
                <w:color w:val="333333"/>
                <w:sz w:val="18"/>
                <w:szCs w:val="18"/>
              </w:rPr>
            </w:pPr>
            <w:r w:rsidRPr="00AF51AE">
              <w:rPr>
                <w:rFonts w:asciiTheme="minorHAnsi" w:hAnsiTheme="minorHAnsi" w:cs="Helvetica"/>
                <w:b/>
                <w:color w:val="333333"/>
                <w:sz w:val="18"/>
                <w:szCs w:val="18"/>
              </w:rPr>
              <w:t>0.12%</w:t>
            </w:r>
          </w:p>
        </w:tc>
        <w:tc>
          <w:tcPr>
            <w:tcW w:w="1701" w:type="dxa"/>
            <w:shd w:val="clear" w:color="auto" w:fill="auto"/>
            <w:vAlign w:val="bottom"/>
          </w:tcPr>
          <w:p w:rsidR="00AF51AE" w:rsidRPr="00AF51AE" w:rsidRDefault="00AF51AE" w:rsidP="00AF51AE">
            <w:pPr>
              <w:spacing w:before="120" w:after="120"/>
              <w:jc w:val="right"/>
              <w:rPr>
                <w:rFonts w:asciiTheme="minorHAnsi" w:hAnsiTheme="minorHAnsi" w:cs="Helvetica"/>
                <w:b/>
                <w:color w:val="333333"/>
                <w:sz w:val="18"/>
                <w:szCs w:val="18"/>
              </w:rPr>
            </w:pPr>
            <w:r w:rsidRPr="00AF51AE">
              <w:rPr>
                <w:rFonts w:asciiTheme="minorHAnsi" w:hAnsiTheme="minorHAnsi" w:cs="Helvetica"/>
                <w:b/>
                <w:color w:val="333333"/>
                <w:sz w:val="18"/>
                <w:szCs w:val="18"/>
              </w:rPr>
              <w:t>0.12%</w:t>
            </w:r>
          </w:p>
        </w:tc>
        <w:tc>
          <w:tcPr>
            <w:tcW w:w="4394" w:type="dxa"/>
            <w:vMerge/>
            <w:shd w:val="clear" w:color="auto" w:fill="auto"/>
          </w:tcPr>
          <w:p w:rsidR="00AF51AE" w:rsidRPr="00C92149" w:rsidRDefault="00AF51AE" w:rsidP="004A10A2">
            <w:pPr>
              <w:spacing w:before="120" w:after="120"/>
              <w:rPr>
                <w:rFonts w:asciiTheme="minorHAnsi" w:hAnsiTheme="minorHAnsi"/>
                <w:b/>
                <w:sz w:val="18"/>
                <w:szCs w:val="18"/>
              </w:rPr>
            </w:pPr>
          </w:p>
        </w:tc>
      </w:tr>
      <w:tr w:rsidR="001C45B4" w:rsidRPr="00021243" w:rsidTr="005D45E6">
        <w:tc>
          <w:tcPr>
            <w:tcW w:w="14601" w:type="dxa"/>
            <w:gridSpan w:val="7"/>
            <w:shd w:val="clear" w:color="auto" w:fill="F79646" w:themeFill="accent6"/>
          </w:tcPr>
          <w:p w:rsidR="001C45B4" w:rsidRPr="0082688C" w:rsidRDefault="008053EA" w:rsidP="005D45E6">
            <w:pPr>
              <w:spacing w:before="120" w:after="120"/>
              <w:rPr>
                <w:b/>
                <w:bCs/>
              </w:rPr>
            </w:pPr>
            <w:r>
              <w:rPr>
                <w:b/>
                <w:bCs/>
              </w:rPr>
              <w:t xml:space="preserve">Specialist Working Group </w:t>
            </w:r>
            <w:r w:rsidR="0082688C">
              <w:rPr>
                <w:b/>
                <w:bCs/>
              </w:rPr>
              <w:t xml:space="preserve">knowledge development opportunities and recommendations relevant to the transition to </w:t>
            </w:r>
            <w:r>
              <w:rPr>
                <w:b/>
                <w:bCs/>
              </w:rPr>
              <w:t>v</w:t>
            </w:r>
            <w:r w:rsidR="0082688C">
              <w:rPr>
                <w:b/>
                <w:bCs/>
              </w:rPr>
              <w:t>3</w:t>
            </w:r>
            <w:r w:rsidR="00B01A92">
              <w:rPr>
                <w:b/>
                <w:bCs/>
              </w:rPr>
              <w:t>.0</w:t>
            </w:r>
          </w:p>
        </w:tc>
      </w:tr>
      <w:tr w:rsidR="001C45B4" w:rsidRPr="00021243" w:rsidTr="005D45E6">
        <w:tc>
          <w:tcPr>
            <w:tcW w:w="14601" w:type="dxa"/>
            <w:gridSpan w:val="7"/>
            <w:shd w:val="clear" w:color="auto" w:fill="auto"/>
          </w:tcPr>
          <w:p w:rsidR="001C45B4" w:rsidRPr="002506FF" w:rsidRDefault="003A25D0" w:rsidP="00BF758B">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C911D2">
              <w:rPr>
                <w:rFonts w:asciiTheme="minorHAnsi" w:hAnsiTheme="minorHAnsi"/>
                <w:b/>
              </w:rPr>
              <w:t>PUBLIC CONSULTATION</w:t>
            </w:r>
            <w:r>
              <w:rPr>
                <w:rFonts w:asciiTheme="minorHAnsi" w:hAnsiTheme="minorHAnsi"/>
                <w:b/>
              </w:rPr>
              <w:t xml:space="preserve"> DOCUMENT</w:t>
            </w:r>
          </w:p>
          <w:p w:rsidR="000E09C4" w:rsidRPr="00021243" w:rsidRDefault="00FF3608" w:rsidP="00C911D2">
            <w:pPr>
              <w:spacing w:before="120" w:after="120"/>
              <w:jc w:val="center"/>
              <w:rPr>
                <w:rFonts w:asciiTheme="minorHAnsi" w:hAnsiTheme="minorHAnsi"/>
                <w:b/>
              </w:rPr>
            </w:pPr>
            <w:r>
              <w:rPr>
                <w:rFonts w:asciiTheme="minorHAnsi" w:hAnsiTheme="minorHAnsi"/>
                <w:b/>
              </w:rPr>
              <w:t>Next review</w:t>
            </w:r>
            <w:r w:rsidR="0082688C">
              <w:rPr>
                <w:rFonts w:asciiTheme="minorHAnsi" w:hAnsiTheme="minorHAnsi"/>
                <w:b/>
              </w:rPr>
              <w:t xml:space="preserve">: </w:t>
            </w:r>
            <w:r w:rsidR="004E6425">
              <w:rPr>
                <w:rFonts w:asciiTheme="minorHAnsi" w:hAnsiTheme="minorHAnsi"/>
                <w:b/>
              </w:rPr>
              <w:t xml:space="preserve">Two years after BloodSTAR </w:t>
            </w:r>
            <w:r w:rsidR="008053EA">
              <w:rPr>
                <w:rFonts w:asciiTheme="minorHAnsi" w:hAnsiTheme="minorHAnsi"/>
                <w:b/>
              </w:rPr>
              <w:t>v</w:t>
            </w:r>
            <w:r w:rsidR="004E6425">
              <w:rPr>
                <w:rFonts w:asciiTheme="minorHAnsi" w:hAnsiTheme="minorHAnsi"/>
                <w:b/>
              </w:rPr>
              <w:t>3.</w:t>
            </w:r>
            <w:r w:rsidR="00F4457E">
              <w:rPr>
                <w:rFonts w:asciiTheme="minorHAnsi" w:hAnsiTheme="minorHAnsi"/>
                <w:b/>
              </w:rPr>
              <w:t>0</w:t>
            </w:r>
            <w:r w:rsidR="004E6425">
              <w:rPr>
                <w:rFonts w:asciiTheme="minorHAnsi" w:hAnsiTheme="minorHAnsi"/>
                <w:b/>
              </w:rPr>
              <w:t xml:space="preserve"> implemented</w:t>
            </w:r>
            <w:r w:rsidR="0082688C">
              <w:rPr>
                <w:rFonts w:asciiTheme="minorHAnsi" w:hAnsiTheme="minorHAnsi"/>
                <w:b/>
              </w:rPr>
              <w:t>.</w:t>
            </w:r>
          </w:p>
        </w:tc>
      </w:tr>
    </w:tbl>
    <w:p w:rsidR="009C1E09" w:rsidRDefault="009C1E09" w:rsidP="002506FF">
      <w:pPr>
        <w:jc w:val="center"/>
      </w:pPr>
    </w:p>
    <w:p w:rsidR="006627B5" w:rsidRPr="00FD2CCD" w:rsidRDefault="006627B5" w:rsidP="007830E1">
      <w:pPr>
        <w:spacing w:line="276" w:lineRule="auto"/>
      </w:pPr>
    </w:p>
    <w:sectPr w:rsidR="006627B5" w:rsidRPr="00FD2CCD" w:rsidSect="000E09C4">
      <w:headerReference w:type="default"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570723"/>
      <w:docPartObj>
        <w:docPartGallery w:val="Page Numbers (Bottom of Page)"/>
        <w:docPartUnique/>
      </w:docPartObj>
    </w:sdtPr>
    <w:sdtEndPr>
      <w:rPr>
        <w:noProof/>
      </w:rPr>
    </w:sdtEndPr>
    <w:sdtContent>
      <w:p w:rsidR="00B30601" w:rsidRDefault="00B30601">
        <w:pPr>
          <w:pStyle w:val="Footer"/>
          <w:jc w:val="right"/>
        </w:pPr>
        <w:r>
          <w:fldChar w:fldCharType="begin"/>
        </w:r>
        <w:r>
          <w:instrText xml:space="preserve"> PAGE   \* MERGEFORMAT </w:instrText>
        </w:r>
        <w:r>
          <w:fldChar w:fldCharType="separate"/>
        </w:r>
        <w:r w:rsidR="00F76586">
          <w:rPr>
            <w:noProof/>
          </w:rPr>
          <w:t>2</w:t>
        </w:r>
        <w:r>
          <w:rPr>
            <w:noProof/>
          </w:rPr>
          <w:fldChar w:fldCharType="end"/>
        </w:r>
      </w:p>
    </w:sdtContent>
  </w:sdt>
  <w:p w:rsidR="00B30601" w:rsidRDefault="00B30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28866"/>
      <w:docPartObj>
        <w:docPartGallery w:val="Page Numbers (Bottom of Page)"/>
        <w:docPartUnique/>
      </w:docPartObj>
    </w:sdtPr>
    <w:sdtEndPr>
      <w:rPr>
        <w:noProof/>
      </w:rPr>
    </w:sdtEndPr>
    <w:sdtContent>
      <w:p w:rsidR="00B30601" w:rsidRDefault="00B30601">
        <w:pPr>
          <w:pStyle w:val="Footer"/>
          <w:jc w:val="right"/>
        </w:pPr>
        <w:r>
          <w:fldChar w:fldCharType="begin"/>
        </w:r>
        <w:r>
          <w:instrText xml:space="preserve"> PAGE   \* MERGEFORMAT </w:instrText>
        </w:r>
        <w:r>
          <w:fldChar w:fldCharType="separate"/>
        </w:r>
        <w:r w:rsidR="00F76586">
          <w:rPr>
            <w:noProof/>
          </w:rPr>
          <w:t>1</w:t>
        </w:r>
        <w:r>
          <w:rPr>
            <w:noProof/>
          </w:rPr>
          <w:fldChar w:fldCharType="end"/>
        </w:r>
      </w:p>
    </w:sdtContent>
  </w:sdt>
  <w:p w:rsidR="00B30601" w:rsidRDefault="00B30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28" w:rsidRPr="004E1302" w:rsidRDefault="00E16333" w:rsidP="00075128">
    <w:pPr>
      <w:pStyle w:val="Footer"/>
    </w:pPr>
    <w:r>
      <w:rPr>
        <w:sz w:val="20"/>
        <w:szCs w:val="20"/>
      </w:rPr>
      <w:t>PUBLIC CONSULTATION 2017</w:t>
    </w:r>
    <w:r w:rsidR="00075128">
      <w:rPr>
        <w:sz w:val="20"/>
        <w:szCs w:val="20"/>
      </w:rPr>
      <w:t xml:space="preserve"> –</w:t>
    </w:r>
    <w:r w:rsidR="00075128" w:rsidRPr="00A97F0A">
      <w:rPr>
        <w:sz w:val="20"/>
        <w:szCs w:val="20"/>
      </w:rPr>
      <w:t>Paraneoplastic syndromes (Paraneoplastic subacute sensory neuropathy and Paraneoplastic cerebellar degeneration)</w:t>
    </w:r>
  </w:p>
  <w:p w:rsidR="00075128" w:rsidRDefault="0007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28" w:rsidRDefault="00E16333" w:rsidP="00075128">
    <w:pPr>
      <w:pStyle w:val="Footer"/>
    </w:pPr>
    <w:r>
      <w:rPr>
        <w:sz w:val="20"/>
        <w:szCs w:val="20"/>
      </w:rPr>
      <w:t>PUBLIC CONSULTATION 2017</w:t>
    </w:r>
    <w:r w:rsidR="00075128">
      <w:rPr>
        <w:sz w:val="20"/>
        <w:szCs w:val="20"/>
      </w:rPr>
      <w:t xml:space="preserve"> –</w:t>
    </w:r>
    <w:r w:rsidR="00075128" w:rsidRPr="00A97F0A">
      <w:rPr>
        <w:sz w:val="20"/>
        <w:szCs w:val="20"/>
      </w:rPr>
      <w:t>Paraneoplastic syndromes (Paraneoplastic subacute sensory neuropathy and Paraneoplastic cerebellar degeneration)</w:t>
    </w:r>
  </w:p>
  <w:p w:rsidR="00075128" w:rsidRDefault="0007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8B312E6"/>
    <w:multiLevelType w:val="hybridMultilevel"/>
    <w:tmpl w:val="7BE8085A"/>
    <w:lvl w:ilvl="0" w:tplc="7A5446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94405"/>
    <w:multiLevelType w:val="hybridMultilevel"/>
    <w:tmpl w:val="191A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223A95"/>
    <w:multiLevelType w:val="hybridMultilevel"/>
    <w:tmpl w:val="F2F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9"/>
  </w:num>
  <w:num w:numId="5">
    <w:abstractNumId w:val="16"/>
  </w:num>
  <w:num w:numId="6">
    <w:abstractNumId w:val="2"/>
  </w:num>
  <w:num w:numId="7">
    <w:abstractNumId w:val="1"/>
  </w:num>
  <w:num w:numId="8">
    <w:abstractNumId w:val="4"/>
  </w:num>
  <w:num w:numId="9">
    <w:abstractNumId w:val="0"/>
  </w:num>
  <w:num w:numId="10">
    <w:abstractNumId w:val="43"/>
  </w:num>
  <w:num w:numId="11">
    <w:abstractNumId w:val="29"/>
  </w:num>
  <w:num w:numId="12">
    <w:abstractNumId w:val="35"/>
  </w:num>
  <w:num w:numId="13">
    <w:abstractNumId w:val="12"/>
  </w:num>
  <w:num w:numId="14">
    <w:abstractNumId w:val="21"/>
  </w:num>
  <w:num w:numId="15">
    <w:abstractNumId w:val="11"/>
  </w:num>
  <w:num w:numId="16">
    <w:abstractNumId w:val="38"/>
  </w:num>
  <w:num w:numId="17">
    <w:abstractNumId w:val="5"/>
  </w:num>
  <w:num w:numId="18">
    <w:abstractNumId w:val="17"/>
  </w:num>
  <w:num w:numId="19">
    <w:abstractNumId w:val="33"/>
  </w:num>
  <w:num w:numId="20">
    <w:abstractNumId w:val="45"/>
  </w:num>
  <w:num w:numId="21">
    <w:abstractNumId w:val="13"/>
  </w:num>
  <w:num w:numId="22">
    <w:abstractNumId w:val="34"/>
  </w:num>
  <w:num w:numId="23">
    <w:abstractNumId w:val="10"/>
  </w:num>
  <w:num w:numId="24">
    <w:abstractNumId w:val="3"/>
  </w:num>
  <w:num w:numId="25">
    <w:abstractNumId w:val="36"/>
  </w:num>
  <w:num w:numId="26">
    <w:abstractNumId w:val="25"/>
  </w:num>
  <w:num w:numId="27">
    <w:abstractNumId w:val="41"/>
  </w:num>
  <w:num w:numId="28">
    <w:abstractNumId w:val="30"/>
  </w:num>
  <w:num w:numId="29">
    <w:abstractNumId w:val="31"/>
  </w:num>
  <w:num w:numId="30">
    <w:abstractNumId w:val="8"/>
  </w:num>
  <w:num w:numId="31">
    <w:abstractNumId w:val="9"/>
  </w:num>
  <w:num w:numId="32">
    <w:abstractNumId w:val="28"/>
  </w:num>
  <w:num w:numId="33">
    <w:abstractNumId w:val="44"/>
  </w:num>
  <w:num w:numId="34">
    <w:abstractNumId w:val="20"/>
  </w:num>
  <w:num w:numId="35">
    <w:abstractNumId w:val="32"/>
  </w:num>
  <w:num w:numId="36">
    <w:abstractNumId w:val="19"/>
  </w:num>
  <w:num w:numId="37">
    <w:abstractNumId w:val="15"/>
  </w:num>
  <w:num w:numId="38">
    <w:abstractNumId w:val="24"/>
  </w:num>
  <w:num w:numId="39">
    <w:abstractNumId w:val="27"/>
  </w:num>
  <w:num w:numId="40">
    <w:abstractNumId w:val="7"/>
  </w:num>
  <w:num w:numId="41">
    <w:abstractNumId w:val="40"/>
  </w:num>
  <w:num w:numId="42">
    <w:abstractNumId w:val="42"/>
  </w:num>
  <w:num w:numId="43">
    <w:abstractNumId w:val="26"/>
  </w:num>
  <w:num w:numId="44">
    <w:abstractNumId w:val="6"/>
  </w:num>
  <w:num w:numId="45">
    <w:abstractNumId w:val="46"/>
  </w:num>
  <w:num w:numId="46">
    <w:abstractNumId w:val="14"/>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1B92"/>
    <w:rsid w:val="00036EDC"/>
    <w:rsid w:val="00075128"/>
    <w:rsid w:val="0007639A"/>
    <w:rsid w:val="000A3A69"/>
    <w:rsid w:val="000A65C9"/>
    <w:rsid w:val="000B27A7"/>
    <w:rsid w:val="000E09C4"/>
    <w:rsid w:val="000E4D1E"/>
    <w:rsid w:val="00153753"/>
    <w:rsid w:val="00165F48"/>
    <w:rsid w:val="0017270F"/>
    <w:rsid w:val="001849B2"/>
    <w:rsid w:val="00184E12"/>
    <w:rsid w:val="00186CF7"/>
    <w:rsid w:val="00193093"/>
    <w:rsid w:val="001A2460"/>
    <w:rsid w:val="001C45B4"/>
    <w:rsid w:val="0021213D"/>
    <w:rsid w:val="00216823"/>
    <w:rsid w:val="0022664C"/>
    <w:rsid w:val="002306B2"/>
    <w:rsid w:val="00236B19"/>
    <w:rsid w:val="00240825"/>
    <w:rsid w:val="002506FF"/>
    <w:rsid w:val="002537F2"/>
    <w:rsid w:val="00255740"/>
    <w:rsid w:val="00275679"/>
    <w:rsid w:val="00282F66"/>
    <w:rsid w:val="002936DD"/>
    <w:rsid w:val="00295CD3"/>
    <w:rsid w:val="002A0241"/>
    <w:rsid w:val="002D2007"/>
    <w:rsid w:val="002F3325"/>
    <w:rsid w:val="00320BEB"/>
    <w:rsid w:val="00321319"/>
    <w:rsid w:val="00327526"/>
    <w:rsid w:val="0033060E"/>
    <w:rsid w:val="00360326"/>
    <w:rsid w:val="00395032"/>
    <w:rsid w:val="003A1F9D"/>
    <w:rsid w:val="003A25D0"/>
    <w:rsid w:val="003D1795"/>
    <w:rsid w:val="003D27F1"/>
    <w:rsid w:val="003E3235"/>
    <w:rsid w:val="003F11F8"/>
    <w:rsid w:val="00403201"/>
    <w:rsid w:val="00420DA8"/>
    <w:rsid w:val="00433C78"/>
    <w:rsid w:val="00437609"/>
    <w:rsid w:val="00445EDE"/>
    <w:rsid w:val="00447869"/>
    <w:rsid w:val="00454FA8"/>
    <w:rsid w:val="00460325"/>
    <w:rsid w:val="00463B0C"/>
    <w:rsid w:val="004703BD"/>
    <w:rsid w:val="0047615E"/>
    <w:rsid w:val="004856E4"/>
    <w:rsid w:val="004926F2"/>
    <w:rsid w:val="004A10A2"/>
    <w:rsid w:val="004B14F4"/>
    <w:rsid w:val="004D4636"/>
    <w:rsid w:val="004E1302"/>
    <w:rsid w:val="004E4A52"/>
    <w:rsid w:val="004E6425"/>
    <w:rsid w:val="005023CE"/>
    <w:rsid w:val="00525C51"/>
    <w:rsid w:val="00531E6D"/>
    <w:rsid w:val="00540020"/>
    <w:rsid w:val="00543C69"/>
    <w:rsid w:val="005546AE"/>
    <w:rsid w:val="005629EE"/>
    <w:rsid w:val="00565155"/>
    <w:rsid w:val="00584BEC"/>
    <w:rsid w:val="005851ED"/>
    <w:rsid w:val="005960E7"/>
    <w:rsid w:val="005C15B7"/>
    <w:rsid w:val="005C78F4"/>
    <w:rsid w:val="005D2C3D"/>
    <w:rsid w:val="005E04F6"/>
    <w:rsid w:val="005F4883"/>
    <w:rsid w:val="00602D7D"/>
    <w:rsid w:val="00617D9D"/>
    <w:rsid w:val="006201B1"/>
    <w:rsid w:val="006427C2"/>
    <w:rsid w:val="00642A5C"/>
    <w:rsid w:val="00644285"/>
    <w:rsid w:val="00657F36"/>
    <w:rsid w:val="006627B5"/>
    <w:rsid w:val="006631E9"/>
    <w:rsid w:val="00666AA5"/>
    <w:rsid w:val="00670D34"/>
    <w:rsid w:val="006810F9"/>
    <w:rsid w:val="006855AF"/>
    <w:rsid w:val="006856B3"/>
    <w:rsid w:val="00695219"/>
    <w:rsid w:val="006B0323"/>
    <w:rsid w:val="006B4C33"/>
    <w:rsid w:val="006D2521"/>
    <w:rsid w:val="006D2FA8"/>
    <w:rsid w:val="006D36A9"/>
    <w:rsid w:val="006D7405"/>
    <w:rsid w:val="006F1FA7"/>
    <w:rsid w:val="006F485E"/>
    <w:rsid w:val="00702EB0"/>
    <w:rsid w:val="00722415"/>
    <w:rsid w:val="00771C78"/>
    <w:rsid w:val="00780D9A"/>
    <w:rsid w:val="007830E1"/>
    <w:rsid w:val="00787242"/>
    <w:rsid w:val="00791618"/>
    <w:rsid w:val="00793EB5"/>
    <w:rsid w:val="00794280"/>
    <w:rsid w:val="007B0C7B"/>
    <w:rsid w:val="007B2100"/>
    <w:rsid w:val="007C7B0F"/>
    <w:rsid w:val="007E4F51"/>
    <w:rsid w:val="007F3022"/>
    <w:rsid w:val="007F6654"/>
    <w:rsid w:val="008041F6"/>
    <w:rsid w:val="008053EA"/>
    <w:rsid w:val="0082314D"/>
    <w:rsid w:val="0082688C"/>
    <w:rsid w:val="00847EC8"/>
    <w:rsid w:val="0085141B"/>
    <w:rsid w:val="00853117"/>
    <w:rsid w:val="00856708"/>
    <w:rsid w:val="008612AB"/>
    <w:rsid w:val="00880ECB"/>
    <w:rsid w:val="00893E0A"/>
    <w:rsid w:val="00896241"/>
    <w:rsid w:val="00901446"/>
    <w:rsid w:val="00901F76"/>
    <w:rsid w:val="009025B7"/>
    <w:rsid w:val="009208EC"/>
    <w:rsid w:val="00933536"/>
    <w:rsid w:val="009347BC"/>
    <w:rsid w:val="0093594E"/>
    <w:rsid w:val="00951B85"/>
    <w:rsid w:val="00966C7B"/>
    <w:rsid w:val="00970002"/>
    <w:rsid w:val="00982D63"/>
    <w:rsid w:val="009975F2"/>
    <w:rsid w:val="009B04BD"/>
    <w:rsid w:val="009C1E09"/>
    <w:rsid w:val="009E0D07"/>
    <w:rsid w:val="009E38CC"/>
    <w:rsid w:val="009F4509"/>
    <w:rsid w:val="00A0276B"/>
    <w:rsid w:val="00A0352E"/>
    <w:rsid w:val="00A05745"/>
    <w:rsid w:val="00A23D1D"/>
    <w:rsid w:val="00A31C82"/>
    <w:rsid w:val="00A357C4"/>
    <w:rsid w:val="00A57D60"/>
    <w:rsid w:val="00A608E3"/>
    <w:rsid w:val="00A7510F"/>
    <w:rsid w:val="00A80A19"/>
    <w:rsid w:val="00A81C38"/>
    <w:rsid w:val="00A97F0A"/>
    <w:rsid w:val="00AA19C1"/>
    <w:rsid w:val="00AB120F"/>
    <w:rsid w:val="00AD086B"/>
    <w:rsid w:val="00AD1EF1"/>
    <w:rsid w:val="00AD4362"/>
    <w:rsid w:val="00AE5015"/>
    <w:rsid w:val="00AE63FA"/>
    <w:rsid w:val="00AF51AE"/>
    <w:rsid w:val="00B01A92"/>
    <w:rsid w:val="00B30601"/>
    <w:rsid w:val="00B3221F"/>
    <w:rsid w:val="00B35BD7"/>
    <w:rsid w:val="00B36D6B"/>
    <w:rsid w:val="00B3726E"/>
    <w:rsid w:val="00B609AB"/>
    <w:rsid w:val="00B97261"/>
    <w:rsid w:val="00BA76E3"/>
    <w:rsid w:val="00BD6C2D"/>
    <w:rsid w:val="00BD7111"/>
    <w:rsid w:val="00BD735D"/>
    <w:rsid w:val="00BF758B"/>
    <w:rsid w:val="00C21002"/>
    <w:rsid w:val="00C24E0B"/>
    <w:rsid w:val="00C30FD5"/>
    <w:rsid w:val="00C32161"/>
    <w:rsid w:val="00C34D27"/>
    <w:rsid w:val="00C364CA"/>
    <w:rsid w:val="00C51E04"/>
    <w:rsid w:val="00C8433A"/>
    <w:rsid w:val="00C911D2"/>
    <w:rsid w:val="00C92149"/>
    <w:rsid w:val="00CA4321"/>
    <w:rsid w:val="00CB47C1"/>
    <w:rsid w:val="00CB50C5"/>
    <w:rsid w:val="00CC12B9"/>
    <w:rsid w:val="00CD489A"/>
    <w:rsid w:val="00CD5856"/>
    <w:rsid w:val="00CD7B8A"/>
    <w:rsid w:val="00D16B82"/>
    <w:rsid w:val="00D17E7A"/>
    <w:rsid w:val="00D17FEC"/>
    <w:rsid w:val="00D24193"/>
    <w:rsid w:val="00D44564"/>
    <w:rsid w:val="00D452BD"/>
    <w:rsid w:val="00D67CFD"/>
    <w:rsid w:val="00D874FD"/>
    <w:rsid w:val="00D87794"/>
    <w:rsid w:val="00D96987"/>
    <w:rsid w:val="00DB17C2"/>
    <w:rsid w:val="00DB1925"/>
    <w:rsid w:val="00DC1BA8"/>
    <w:rsid w:val="00DD166F"/>
    <w:rsid w:val="00E16333"/>
    <w:rsid w:val="00E337E6"/>
    <w:rsid w:val="00E62E16"/>
    <w:rsid w:val="00E672AA"/>
    <w:rsid w:val="00E754F7"/>
    <w:rsid w:val="00E7550D"/>
    <w:rsid w:val="00EA2E82"/>
    <w:rsid w:val="00EB78FB"/>
    <w:rsid w:val="00EC0889"/>
    <w:rsid w:val="00EF7EC7"/>
    <w:rsid w:val="00F42816"/>
    <w:rsid w:val="00F4457E"/>
    <w:rsid w:val="00F50793"/>
    <w:rsid w:val="00F66136"/>
    <w:rsid w:val="00F70578"/>
    <w:rsid w:val="00F76586"/>
    <w:rsid w:val="00F81A7C"/>
    <w:rsid w:val="00F97B76"/>
    <w:rsid w:val="00FC0E9B"/>
    <w:rsid w:val="00FC5CB0"/>
    <w:rsid w:val="00FD2CCD"/>
    <w:rsid w:val="00FE1B13"/>
    <w:rsid w:val="00FE1EE0"/>
    <w:rsid w:val="00FE5B66"/>
    <w:rsid w:val="00FF3608"/>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565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565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5601">
      <w:bodyDiv w:val="1"/>
      <w:marLeft w:val="0"/>
      <w:marRight w:val="0"/>
      <w:marTop w:val="0"/>
      <w:marBottom w:val="0"/>
      <w:divBdr>
        <w:top w:val="none" w:sz="0" w:space="0" w:color="auto"/>
        <w:left w:val="none" w:sz="0" w:space="0" w:color="auto"/>
        <w:bottom w:val="none" w:sz="0" w:space="0" w:color="auto"/>
        <w:right w:val="none" w:sz="0" w:space="0" w:color="auto"/>
      </w:divBdr>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pubmed/18809188" TargetMode="External"/><Relationship Id="rId4" Type="http://schemas.microsoft.com/office/2007/relationships/stylesWithEffects" Target="stylesWithEffects.xml"/><Relationship Id="rId9" Type="http://schemas.openxmlformats.org/officeDocument/2006/relationships/hyperlink" Target="https://www.ncbi.nlm.nih.gov/pubmed/200838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7808-2450-4F9C-A78B-70CF81D8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2017-04-10T23:36:00Z</cp:lastPrinted>
  <dcterms:created xsi:type="dcterms:W3CDTF">2017-09-08T03:04:00Z</dcterms:created>
  <dcterms:modified xsi:type="dcterms:W3CDTF">2017-09-08T03:04:00Z</dcterms:modified>
</cp:coreProperties>
</file>