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42394C" w:rsidRDefault="009E4784" w:rsidP="00434760">
      <w:pPr>
        <w:ind w:left="-284"/>
        <w:rPr>
          <w:rFonts w:ascii="Arial" w:hAnsi="Arial" w:cs="Arial"/>
          <w:sz w:val="28"/>
        </w:rPr>
      </w:pPr>
      <w:bookmarkStart w:id="0" w:name="_GoBack"/>
      <w:bookmarkEnd w:id="0"/>
      <w:r w:rsidRPr="0042394C">
        <w:rPr>
          <w:rFonts w:ascii="Arial" w:hAnsi="Arial" w:cs="Arial"/>
          <w:sz w:val="28"/>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112"/>
        <w:gridCol w:w="10489"/>
      </w:tblGrid>
      <w:tr w:rsidR="008612AB" w:rsidRPr="006950CB" w:rsidTr="00832D0D">
        <w:trPr>
          <w:tblHeader/>
        </w:trPr>
        <w:tc>
          <w:tcPr>
            <w:tcW w:w="14601" w:type="dxa"/>
            <w:gridSpan w:val="2"/>
            <w:shd w:val="clear" w:color="auto" w:fill="DBE5F1" w:themeFill="accent1" w:themeFillTint="33"/>
          </w:tcPr>
          <w:p w:rsidR="008612AB" w:rsidRPr="00973AC2" w:rsidRDefault="00187169" w:rsidP="00631EAB">
            <w:pPr>
              <w:spacing w:before="120" w:after="120"/>
              <w:rPr>
                <w:rFonts w:asciiTheme="minorHAnsi" w:eastAsia="Times New Roman" w:hAnsiTheme="minorHAnsi" w:cs="Times New Roman"/>
                <w:b/>
                <w:bCs/>
                <w:lang w:val="fr-FR" w:eastAsia="en-AU"/>
              </w:rPr>
            </w:pPr>
            <w:r w:rsidRPr="00973AC2">
              <w:rPr>
                <w:rFonts w:asciiTheme="minorHAnsi" w:eastAsia="Times New Roman" w:hAnsiTheme="minorHAnsi" w:cs="Times New Roman"/>
                <w:b/>
                <w:bCs/>
                <w:lang w:val="fr-FR" w:eastAsia="en-AU"/>
              </w:rPr>
              <w:t>v</w:t>
            </w:r>
            <w:r w:rsidR="00631EAB" w:rsidRPr="00973AC2">
              <w:rPr>
                <w:rFonts w:asciiTheme="minorHAnsi" w:eastAsia="Times New Roman" w:hAnsiTheme="minorHAnsi" w:cs="Times New Roman"/>
                <w:b/>
                <w:bCs/>
                <w:lang w:val="fr-FR" w:eastAsia="en-AU"/>
              </w:rPr>
              <w:t xml:space="preserve">2.1 </w:t>
            </w:r>
            <w:r w:rsidR="008612AB" w:rsidRPr="00973AC2">
              <w:rPr>
                <w:rFonts w:asciiTheme="minorHAnsi" w:eastAsia="Times New Roman" w:hAnsiTheme="minorHAnsi" w:cs="Times New Roman"/>
                <w:b/>
                <w:bCs/>
                <w:lang w:val="fr-FR" w:eastAsia="en-AU"/>
              </w:rPr>
              <w:t>CONDITION NAME:</w:t>
            </w:r>
            <w:r w:rsidR="004260C5">
              <w:rPr>
                <w:rFonts w:asciiTheme="minorHAnsi" w:eastAsia="Times New Roman" w:hAnsiTheme="minorHAnsi" w:cs="Times New Roman"/>
                <w:b/>
                <w:bCs/>
                <w:lang w:val="fr-FR" w:eastAsia="en-AU"/>
              </w:rPr>
              <w:t xml:space="preserve"> </w:t>
            </w:r>
            <w:r w:rsidR="00934055" w:rsidRPr="00973AC2">
              <w:rPr>
                <w:rFonts w:asciiTheme="minorHAnsi" w:eastAsia="Times New Roman" w:hAnsiTheme="minorHAnsi" w:cs="Times New Roman"/>
                <w:b/>
                <w:bCs/>
                <w:lang w:val="fr-FR" w:eastAsia="en-AU"/>
              </w:rPr>
              <w:t>Rasmussen syndrome</w:t>
            </w:r>
          </w:p>
          <w:p w:rsidR="00C448C2" w:rsidRPr="00973AC2" w:rsidRDefault="00187169" w:rsidP="00631EAB">
            <w:pPr>
              <w:spacing w:before="120" w:after="120"/>
              <w:rPr>
                <w:rFonts w:asciiTheme="minorHAnsi" w:eastAsia="Times New Roman" w:hAnsiTheme="minorHAnsi" w:cs="Times New Roman"/>
                <w:b/>
                <w:bCs/>
                <w:lang w:val="fr-FR" w:eastAsia="en-AU"/>
              </w:rPr>
            </w:pPr>
            <w:r w:rsidRPr="00973AC2">
              <w:rPr>
                <w:rFonts w:asciiTheme="minorHAnsi" w:eastAsia="Times New Roman" w:hAnsiTheme="minorHAnsi" w:cs="Times New Roman"/>
                <w:b/>
                <w:bCs/>
                <w:lang w:val="fr-FR" w:eastAsia="en-AU"/>
              </w:rPr>
              <w:t>v</w:t>
            </w:r>
            <w:r w:rsidR="00C448C2" w:rsidRPr="00973AC2">
              <w:rPr>
                <w:rFonts w:asciiTheme="minorHAnsi" w:eastAsia="Times New Roman" w:hAnsiTheme="minorHAnsi" w:cs="Times New Roman"/>
                <w:b/>
                <w:bCs/>
                <w:lang w:val="fr-FR" w:eastAsia="en-AU"/>
              </w:rPr>
              <w:t>3</w:t>
            </w:r>
            <w:r w:rsidR="00294C46" w:rsidRPr="00973AC2">
              <w:rPr>
                <w:rFonts w:asciiTheme="minorHAnsi" w:eastAsia="Times New Roman" w:hAnsiTheme="minorHAnsi" w:cs="Times New Roman"/>
                <w:b/>
                <w:bCs/>
                <w:lang w:val="fr-FR" w:eastAsia="en-AU"/>
              </w:rPr>
              <w:t>.0</w:t>
            </w:r>
            <w:r w:rsidR="00C448C2" w:rsidRPr="00973AC2">
              <w:rPr>
                <w:rFonts w:asciiTheme="minorHAnsi" w:eastAsia="Times New Roman" w:hAnsiTheme="minorHAnsi" w:cs="Times New Roman"/>
                <w:b/>
                <w:bCs/>
                <w:lang w:val="fr-FR" w:eastAsia="en-AU"/>
              </w:rPr>
              <w:t xml:space="preserve"> CONDITION NAME: Rasmussen encephalitis</w:t>
            </w:r>
          </w:p>
        </w:tc>
      </w:tr>
      <w:tr w:rsidR="00642A5C" w:rsidRPr="00447869" w:rsidTr="001D16D4">
        <w:trPr>
          <w:tblHeader/>
        </w:trPr>
        <w:tc>
          <w:tcPr>
            <w:tcW w:w="4112" w:type="dxa"/>
            <w:shd w:val="clear" w:color="auto" w:fill="auto"/>
          </w:tcPr>
          <w:p w:rsidR="00187169" w:rsidRDefault="00187169" w:rsidP="00C448C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C448C2" w:rsidRDefault="00187169"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To retain Rasmussen encephalitis in </w:t>
            </w:r>
            <w:r w:rsidRPr="00187169">
              <w:rPr>
                <w:rFonts w:asciiTheme="minorHAnsi" w:eastAsia="Times New Roman" w:hAnsiTheme="minorHAnsi" w:cs="Times New Roman"/>
                <w:b/>
                <w:bCs/>
                <w:i/>
                <w:lang w:eastAsia="en-AU"/>
              </w:rPr>
              <w:t xml:space="preserve">Exceptional circumstances only </w:t>
            </w:r>
            <w:r w:rsidR="00973AC2" w:rsidRPr="00973AC2">
              <w:rPr>
                <w:rFonts w:asciiTheme="minorHAnsi" w:eastAsia="Times New Roman" w:hAnsiTheme="minorHAnsi" w:cs="Times New Roman"/>
                <w:b/>
                <w:bCs/>
                <w:lang w:eastAsia="en-AU"/>
              </w:rPr>
              <w:t>with changes as outlined</w:t>
            </w:r>
          </w:p>
          <w:p w:rsidR="003E3235" w:rsidRPr="00C92149" w:rsidRDefault="003E3235"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 </w:t>
            </w:r>
          </w:p>
        </w:tc>
        <w:tc>
          <w:tcPr>
            <w:tcW w:w="10489"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E658D6" w:rsidRPr="00E658D6" w:rsidRDefault="00E658D6"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The recommended changes are supported by factors including that:</w:t>
            </w:r>
          </w:p>
          <w:p w:rsidR="00E658D6" w:rsidRPr="00720B86" w:rsidRDefault="00E658D6" w:rsidP="00E658D6">
            <w:pPr>
              <w:pStyle w:val="ListParagraph"/>
              <w:numPr>
                <w:ilvl w:val="0"/>
                <w:numId w:val="45"/>
              </w:numPr>
              <w:spacing w:before="120" w:after="120"/>
              <w:rPr>
                <w:rFonts w:asciiTheme="minorHAnsi" w:hAnsiTheme="minorHAnsi"/>
              </w:rPr>
            </w:pPr>
            <w:r>
              <w:rPr>
                <w:rFonts w:asciiTheme="minorHAnsi" w:eastAsia="Times New Roman" w:hAnsiTheme="minorHAnsi" w:cs="Times New Roman"/>
                <w:bCs/>
                <w:lang w:eastAsia="en-AU"/>
              </w:rPr>
              <w:t>Evidence supports that immunomodulatory treatment with Ig therapy is associated with improved outcomes (reduces/ delays seizure, motor and cognitive deteriorations), and early treatment has been shown to yield the best results. The role of Ig therapy is to slow the progressive deterioration during the acute phase, if possible, although, some patients may not respond due to the aggressive nature of their disease and hemispherectomy may still be the best option.</w:t>
            </w:r>
          </w:p>
          <w:p w:rsidR="00E658D6" w:rsidRPr="00C92149" w:rsidRDefault="00E658D6" w:rsidP="00E658D6">
            <w:pPr>
              <w:pStyle w:val="ListParagraph"/>
              <w:numPr>
                <w:ilvl w:val="0"/>
                <w:numId w:val="45"/>
              </w:numPr>
              <w:spacing w:before="120" w:after="120"/>
              <w:rPr>
                <w:rFonts w:asciiTheme="minorHAnsi" w:hAnsiTheme="minorHAnsi"/>
                <w:i/>
              </w:rPr>
            </w:pPr>
            <w:r>
              <w:rPr>
                <w:rFonts w:asciiTheme="minorHAnsi" w:hAnsiTheme="minorHAnsi"/>
              </w:rPr>
              <w:t>The European Consensus statement (Bien, 2005) defining diagnostic criteria has been applied to the qualifying criteria for access to Ig therapy</w:t>
            </w:r>
            <w:r w:rsidR="00214054">
              <w:rPr>
                <w:rFonts w:asciiTheme="minorHAnsi" w:hAnsiTheme="minorHAnsi"/>
              </w:rPr>
              <w:t>.</w:t>
            </w:r>
          </w:p>
          <w:p w:rsidR="00E658D6" w:rsidRPr="00720B86" w:rsidRDefault="00E658D6" w:rsidP="00E658D6">
            <w:pPr>
              <w:pStyle w:val="ListParagraph"/>
              <w:numPr>
                <w:ilvl w:val="0"/>
                <w:numId w:val="44"/>
              </w:numPr>
              <w:spacing w:before="120" w:after="120"/>
              <w:rPr>
                <w:rFonts w:asciiTheme="minorHAnsi" w:hAnsiTheme="minorHAnsi"/>
              </w:rPr>
            </w:pPr>
            <w:r w:rsidRPr="00CF4C84">
              <w:rPr>
                <w:rFonts w:asciiTheme="minorHAnsi" w:hAnsiTheme="minorHAnsi"/>
              </w:rPr>
              <w:t>Ig therapy is used in combination with co</w:t>
            </w:r>
            <w:r>
              <w:rPr>
                <w:rFonts w:asciiTheme="minorHAnsi" w:hAnsiTheme="minorHAnsi"/>
              </w:rPr>
              <w:t>r</w:t>
            </w:r>
            <w:r w:rsidRPr="00CF4C84">
              <w:rPr>
                <w:rFonts w:asciiTheme="minorHAnsi" w:hAnsiTheme="minorHAnsi"/>
              </w:rPr>
              <w:t>t</w:t>
            </w:r>
            <w:r w:rsidRPr="00720B86">
              <w:rPr>
                <w:rFonts w:asciiTheme="minorHAnsi" w:hAnsiTheme="minorHAnsi"/>
              </w:rPr>
              <w:t xml:space="preserve">icosteroids </w:t>
            </w:r>
            <w:r>
              <w:rPr>
                <w:rFonts w:asciiTheme="minorHAnsi" w:hAnsiTheme="minorHAnsi"/>
              </w:rPr>
              <w:t>where there is a significant level of disability</w:t>
            </w:r>
          </w:p>
          <w:p w:rsidR="00E658D6" w:rsidRDefault="00E658D6" w:rsidP="00E658D6">
            <w:pPr>
              <w:pStyle w:val="ListParagraph"/>
              <w:numPr>
                <w:ilvl w:val="0"/>
                <w:numId w:val="44"/>
              </w:numPr>
              <w:spacing w:before="120" w:after="120"/>
              <w:rPr>
                <w:rFonts w:asciiTheme="minorHAnsi" w:hAnsiTheme="minorHAnsi"/>
              </w:rPr>
            </w:pPr>
            <w:r>
              <w:rPr>
                <w:rFonts w:asciiTheme="minorHAnsi" w:hAnsiTheme="minorHAnsi"/>
              </w:rPr>
              <w:t xml:space="preserve">National </w:t>
            </w:r>
            <w:r w:rsidRPr="00720B86">
              <w:rPr>
                <w:rFonts w:asciiTheme="minorHAnsi" w:hAnsiTheme="minorHAnsi"/>
              </w:rPr>
              <w:t xml:space="preserve">Ig usage </w:t>
            </w:r>
            <w:r>
              <w:rPr>
                <w:rFonts w:asciiTheme="minorHAnsi" w:hAnsiTheme="minorHAnsi"/>
              </w:rPr>
              <w:t xml:space="preserve">indicates that usage is increasing in line with recent published evidence (Varadkar, 2014), and given that demand may further increase, appropriate qualifying and review criteria should be applied to determine that a slowing of the rate of deterioration is demonstrated in response to Ig therapy. </w:t>
            </w:r>
          </w:p>
          <w:p w:rsidR="00E658D6" w:rsidRDefault="00E658D6" w:rsidP="00E658D6">
            <w:pPr>
              <w:pStyle w:val="ListParagraph"/>
              <w:numPr>
                <w:ilvl w:val="0"/>
                <w:numId w:val="44"/>
              </w:numPr>
              <w:spacing w:before="120" w:after="120"/>
              <w:rPr>
                <w:rFonts w:asciiTheme="minorHAnsi" w:hAnsiTheme="minorHAnsi"/>
              </w:rPr>
            </w:pPr>
            <w:r w:rsidRPr="00C448C2">
              <w:rPr>
                <w:rFonts w:asciiTheme="minorHAnsi" w:hAnsiTheme="minorHAnsi"/>
              </w:rPr>
              <w:t xml:space="preserve">Given that the active inflammatory phase of twelve to eighteen months is followed by a residual phase of disease, a trial of weaning is to be considered once neurological deficits stabilise. </w:t>
            </w:r>
          </w:p>
          <w:p w:rsidR="0055159C" w:rsidRPr="00C448C2" w:rsidRDefault="00E658D6" w:rsidP="00E658D6">
            <w:pPr>
              <w:pStyle w:val="ListParagraph"/>
              <w:numPr>
                <w:ilvl w:val="0"/>
                <w:numId w:val="44"/>
              </w:numPr>
              <w:spacing w:before="120" w:after="120"/>
              <w:rPr>
                <w:rFonts w:asciiTheme="minorHAnsi" w:hAnsiTheme="minorHAnsi"/>
              </w:rPr>
            </w:pPr>
            <w:r>
              <w:rPr>
                <w:rFonts w:asciiTheme="minorHAnsi" w:hAnsiTheme="minorHAnsi"/>
              </w:rPr>
              <w:t xml:space="preserve">This condition is listed as a ‘blue’ condition (medium priority for long term use) in the UK NHS immunoglobulin guidelines (UK Department of Health, 2011), and is also listed in the </w:t>
            </w:r>
            <w:r>
              <w:rPr>
                <w:rFonts w:asciiTheme="minorHAnsi" w:eastAsiaTheme="minorHAnsi" w:hAnsiTheme="minorHAnsi" w:cs="Arial"/>
                <w:lang w:val="en-US"/>
              </w:rPr>
              <w:t>Canadian</w:t>
            </w:r>
            <w:r w:rsidRPr="002829FB">
              <w:rPr>
                <w:rFonts w:asciiTheme="minorHAnsi" w:eastAsiaTheme="minorHAnsi" w:hAnsiTheme="minorHAnsi" w:cs="Arial"/>
                <w:lang w:val="en-US"/>
              </w:rPr>
              <w:t xml:space="preserve"> </w:t>
            </w:r>
            <w:r w:rsidR="008008AE">
              <w:rPr>
                <w:rFonts w:asciiTheme="minorHAnsi" w:eastAsiaTheme="minorHAnsi" w:hAnsiTheme="minorHAnsi" w:cs="Arial"/>
                <w:lang w:val="en-US"/>
              </w:rPr>
              <w:t>IVIg</w:t>
            </w:r>
            <w:r>
              <w:rPr>
                <w:rFonts w:asciiTheme="minorHAnsi" w:eastAsiaTheme="minorHAnsi" w:hAnsiTheme="minorHAnsi" w:cs="Arial"/>
                <w:lang w:val="en-US"/>
              </w:rPr>
              <w:t xml:space="preserve"> Utilisation Management guidelines (</w:t>
            </w:r>
            <w:r w:rsidRPr="002A1261">
              <w:rPr>
                <w:rFonts w:asciiTheme="minorHAnsi" w:hAnsiTheme="minorHAnsi"/>
              </w:rPr>
              <w:t>Ontario Regional Blood Coordinating Network</w:t>
            </w:r>
            <w:r>
              <w:rPr>
                <w:rFonts w:asciiTheme="minorHAnsi" w:hAnsiTheme="minorHAnsi"/>
              </w:rPr>
              <w:t>, 2016)</w:t>
            </w:r>
            <w:r>
              <w:rPr>
                <w:rFonts w:asciiTheme="minorHAnsi" w:eastAsiaTheme="minorHAnsi" w:hAnsiTheme="minorHAnsi" w:cs="Arial"/>
                <w:lang w:val="en-US"/>
              </w:rPr>
              <w:t>.</w:t>
            </w:r>
          </w:p>
        </w:tc>
      </w:tr>
      <w:tr w:rsidR="00631EAB" w:rsidRPr="00447869" w:rsidTr="008612AB">
        <w:trPr>
          <w:tblHeader/>
        </w:trPr>
        <w:tc>
          <w:tcPr>
            <w:tcW w:w="14601" w:type="dxa"/>
            <w:gridSpan w:val="2"/>
            <w:shd w:val="clear" w:color="auto" w:fill="auto"/>
          </w:tcPr>
          <w:p w:rsidR="00631EAB" w:rsidRDefault="00187169"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D1DC8">
              <w:rPr>
                <w:rFonts w:asciiTheme="minorHAnsi" w:eastAsia="Times New Roman" w:hAnsiTheme="minorHAnsi" w:cs="Times New Roman"/>
                <w:b/>
                <w:bCs/>
                <w:lang w:eastAsia="en-AU"/>
              </w:rPr>
              <w:t>2.1 CONDITION CATEG</w:t>
            </w:r>
            <w:r w:rsidR="00934055">
              <w:rPr>
                <w:rFonts w:asciiTheme="minorHAnsi" w:eastAsia="Times New Roman" w:hAnsiTheme="minorHAnsi" w:cs="Times New Roman"/>
                <w:b/>
                <w:bCs/>
                <w:lang w:eastAsia="en-AU"/>
              </w:rPr>
              <w:t xml:space="preserve">ORY: </w:t>
            </w:r>
            <w:r w:rsidR="00973AC2" w:rsidRPr="00973AC2">
              <w:rPr>
                <w:rFonts w:asciiTheme="minorHAnsi" w:eastAsia="Times New Roman" w:hAnsiTheme="minorHAnsi" w:cs="Times New Roman"/>
                <w:bCs/>
                <w:lang w:eastAsia="en-AU"/>
              </w:rPr>
              <w:t>Condition for which Ig use is in</w:t>
            </w:r>
            <w:r w:rsidR="00973AC2">
              <w:rPr>
                <w:rFonts w:asciiTheme="minorHAnsi" w:eastAsia="Times New Roman" w:hAnsiTheme="minorHAnsi" w:cs="Times New Roman"/>
                <w:b/>
                <w:bCs/>
                <w:lang w:eastAsia="en-AU"/>
              </w:rPr>
              <w:t xml:space="preserve"> </w:t>
            </w:r>
            <w:r w:rsidR="00832D0D">
              <w:rPr>
                <w:rFonts w:asciiTheme="minorHAnsi" w:eastAsia="Times New Roman" w:hAnsiTheme="minorHAnsi" w:cs="Times New Roman"/>
                <w:bCs/>
                <w:lang w:eastAsia="en-AU"/>
              </w:rPr>
              <w:t xml:space="preserve">Exceptional </w:t>
            </w:r>
            <w:r>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434760" w:rsidRPr="00434760" w:rsidRDefault="00434760"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w:t>
            </w:r>
            <w:r w:rsidRPr="00973AC2">
              <w:rPr>
                <w:rFonts w:asciiTheme="minorHAnsi" w:eastAsia="Times New Roman" w:hAnsiTheme="minorHAnsi" w:cs="Times New Roman"/>
                <w:bCs/>
                <w:lang w:eastAsia="en-AU"/>
              </w:rPr>
              <w:t>Condition for which Ig use is in</w:t>
            </w:r>
            <w:r>
              <w:rPr>
                <w:rFonts w:asciiTheme="minorHAnsi" w:eastAsia="Times New Roman" w:hAnsiTheme="minorHAnsi" w:cs="Times New Roman"/>
                <w:b/>
                <w:bCs/>
                <w:lang w:eastAsia="en-AU"/>
              </w:rPr>
              <w:t xml:space="preserve"> </w:t>
            </w:r>
            <w:r>
              <w:rPr>
                <w:rFonts w:asciiTheme="minorHAnsi" w:eastAsia="Times New Roman" w:hAnsiTheme="minorHAnsi" w:cs="Times New Roman"/>
                <w:bCs/>
                <w:lang w:eastAsia="en-AU"/>
              </w:rPr>
              <w:t>Exceptional circumstances only (Chapter 7)</w:t>
            </w:r>
          </w:p>
        </w:tc>
      </w:tr>
      <w:tr w:rsidR="008612AB" w:rsidRPr="00447869" w:rsidTr="008612AB">
        <w:trPr>
          <w:tblHeader/>
        </w:trPr>
        <w:tc>
          <w:tcPr>
            <w:tcW w:w="14601" w:type="dxa"/>
            <w:gridSpan w:val="2"/>
            <w:shd w:val="clear" w:color="auto" w:fill="auto"/>
          </w:tcPr>
          <w:p w:rsidR="00E658D6" w:rsidRDefault="008612AB" w:rsidP="00E658D6">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Role of Ig therapy:</w:t>
            </w:r>
            <w:r w:rsidR="00C448C2">
              <w:rPr>
                <w:rFonts w:asciiTheme="minorHAnsi" w:eastAsia="Times New Roman" w:hAnsiTheme="minorHAnsi" w:cs="Times New Roman"/>
                <w:b/>
                <w:bCs/>
                <w:lang w:eastAsia="en-AU"/>
              </w:rPr>
              <w:t xml:space="preserve"> </w:t>
            </w:r>
            <w:r w:rsidR="00E658D6" w:rsidRPr="00065303">
              <w:rPr>
                <w:rFonts w:asciiTheme="minorHAnsi" w:eastAsia="Times New Roman" w:hAnsiTheme="minorHAnsi" w:cs="Times New Roman"/>
                <w:bCs/>
                <w:lang w:eastAsia="en-AU"/>
              </w:rPr>
              <w:t>M</w:t>
            </w:r>
            <w:r w:rsidR="00E658D6" w:rsidRPr="00720B86">
              <w:rPr>
                <w:rFonts w:asciiTheme="minorHAnsi" w:eastAsia="Times New Roman" w:hAnsiTheme="minorHAnsi" w:cs="Times New Roman"/>
                <w:bCs/>
                <w:lang w:eastAsia="en-AU"/>
              </w:rPr>
              <w:t>ost commonly</w:t>
            </w:r>
            <w:r w:rsidR="00E658D6">
              <w:rPr>
                <w:rFonts w:asciiTheme="minorHAnsi" w:eastAsia="Times New Roman" w:hAnsiTheme="minorHAnsi" w:cs="Times New Roman"/>
                <w:b/>
                <w:bCs/>
                <w:lang w:eastAsia="en-AU"/>
              </w:rPr>
              <w:t xml:space="preserve"> </w:t>
            </w:r>
            <w:r w:rsidR="00E658D6" w:rsidRPr="00720B86">
              <w:rPr>
                <w:rFonts w:asciiTheme="minorHAnsi" w:eastAsia="Times New Roman" w:hAnsiTheme="minorHAnsi" w:cs="Times New Roman"/>
                <w:bCs/>
                <w:lang w:eastAsia="en-AU"/>
              </w:rPr>
              <w:t>occurring in children under ten years old,</w:t>
            </w:r>
            <w:r w:rsidR="00E658D6">
              <w:rPr>
                <w:rFonts w:asciiTheme="minorHAnsi" w:eastAsia="Times New Roman" w:hAnsiTheme="minorHAnsi" w:cs="Times New Roman"/>
                <w:b/>
                <w:bCs/>
                <w:lang w:eastAsia="en-AU"/>
              </w:rPr>
              <w:t xml:space="preserve"> </w:t>
            </w:r>
            <w:r w:rsidR="00E658D6" w:rsidRPr="00720B86">
              <w:rPr>
                <w:rFonts w:asciiTheme="minorHAnsi" w:eastAsia="Times New Roman" w:hAnsiTheme="minorHAnsi" w:cs="Times New Roman"/>
                <w:bCs/>
                <w:lang w:eastAsia="en-AU"/>
              </w:rPr>
              <w:t xml:space="preserve">this condition is associated with </w:t>
            </w:r>
            <w:r w:rsidR="00E658D6">
              <w:rPr>
                <w:rFonts w:asciiTheme="minorHAnsi" w:eastAsia="Times New Roman" w:hAnsiTheme="minorHAnsi" w:cs="Times New Roman"/>
                <w:bCs/>
                <w:lang w:eastAsia="en-AU"/>
              </w:rPr>
              <w:t>intractable unilateral seizures and</w:t>
            </w:r>
            <w:r w:rsidR="00E658D6" w:rsidRPr="00720B86">
              <w:rPr>
                <w:rFonts w:asciiTheme="minorHAnsi" w:eastAsia="Times New Roman" w:hAnsiTheme="minorHAnsi" w:cs="Times New Roman"/>
                <w:bCs/>
                <w:lang w:eastAsia="en-AU"/>
              </w:rPr>
              <w:t xml:space="preserve"> progressive </w:t>
            </w:r>
            <w:r w:rsidR="00E658D6">
              <w:rPr>
                <w:rFonts w:asciiTheme="minorHAnsi" w:eastAsia="Times New Roman" w:hAnsiTheme="minorHAnsi" w:cs="Times New Roman"/>
                <w:bCs/>
                <w:lang w:eastAsia="en-AU"/>
              </w:rPr>
              <w:t xml:space="preserve">development of </w:t>
            </w:r>
            <w:r w:rsidR="00E658D6" w:rsidRPr="00720B86">
              <w:rPr>
                <w:rFonts w:asciiTheme="minorHAnsi" w:eastAsia="Times New Roman" w:hAnsiTheme="minorHAnsi" w:cs="Times New Roman"/>
                <w:bCs/>
                <w:lang w:eastAsia="en-AU"/>
              </w:rPr>
              <w:t xml:space="preserve">hemiparesis or weakness </w:t>
            </w:r>
            <w:r w:rsidR="00E658D6">
              <w:rPr>
                <w:rFonts w:asciiTheme="minorHAnsi" w:eastAsia="Times New Roman" w:hAnsiTheme="minorHAnsi" w:cs="Times New Roman"/>
                <w:bCs/>
                <w:lang w:eastAsia="en-AU"/>
              </w:rPr>
              <w:t>and</w:t>
            </w:r>
            <w:r w:rsidR="00E658D6" w:rsidRPr="00720B86">
              <w:rPr>
                <w:rFonts w:asciiTheme="minorHAnsi" w:eastAsia="Times New Roman" w:hAnsiTheme="minorHAnsi" w:cs="Times New Roman"/>
                <w:bCs/>
                <w:lang w:eastAsia="en-AU"/>
              </w:rPr>
              <w:t xml:space="preserve"> intellectual dysfunction.</w:t>
            </w:r>
            <w:r w:rsidR="00E658D6">
              <w:rPr>
                <w:rFonts w:asciiTheme="minorHAnsi" w:eastAsia="Times New Roman" w:hAnsiTheme="minorHAnsi" w:cs="Times New Roman"/>
                <w:bCs/>
                <w:lang w:eastAsia="en-AU"/>
              </w:rPr>
              <w:t xml:space="preserve"> There is an active progressive phase, often lasting years, followed by quiescence with no further progression.  Conventional anticonvulsant medication is ineffectual</w:t>
            </w:r>
            <w:r w:rsidR="00E658D6" w:rsidRPr="00720B86">
              <w:rPr>
                <w:rFonts w:asciiTheme="minorHAnsi" w:eastAsia="Times New Roman" w:hAnsiTheme="minorHAnsi" w:cs="Times New Roman"/>
                <w:bCs/>
                <w:lang w:eastAsia="en-AU"/>
              </w:rPr>
              <w:t xml:space="preserve"> </w:t>
            </w:r>
            <w:r w:rsidR="00E658D6">
              <w:rPr>
                <w:rFonts w:asciiTheme="minorHAnsi" w:eastAsia="Times New Roman" w:hAnsiTheme="minorHAnsi" w:cs="Times New Roman"/>
                <w:bCs/>
                <w:lang w:eastAsia="en-AU"/>
              </w:rPr>
              <w:t xml:space="preserve">and historical literature reports seizure cessation only after hemispherectomy. However, with the recognition that this is an autoimmune process, evidence supports treatment with more aggressive immune therapies resulting in improved clinical outcomes and avoiding the side effects of surgery in a subgroup of patients (permanent motor deficits and cognitive impairments). It is acknowledged, however that for some patients, surgery is still ultimately required. </w:t>
            </w:r>
          </w:p>
          <w:p w:rsidR="008612AB" w:rsidRPr="00447869" w:rsidRDefault="00E658D6" w:rsidP="00E658D6">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Early treatment with immunosuppressive medication </w:t>
            </w:r>
            <w:r w:rsidR="00233FB2">
              <w:rPr>
                <w:rFonts w:asciiTheme="minorHAnsi" w:eastAsia="Times New Roman" w:hAnsiTheme="minorHAnsi" w:cs="Times New Roman"/>
                <w:bCs/>
                <w:lang w:eastAsia="en-AU"/>
              </w:rPr>
              <w:t>includes</w:t>
            </w:r>
            <w:r>
              <w:rPr>
                <w:rFonts w:asciiTheme="minorHAnsi" w:eastAsia="Times New Roman" w:hAnsiTheme="minorHAnsi" w:cs="Times New Roman"/>
                <w:bCs/>
                <w:lang w:eastAsia="en-AU"/>
              </w:rPr>
              <w:t xml:space="preserve"> steroids with </w:t>
            </w:r>
            <w:r w:rsidR="008008AE">
              <w:rPr>
                <w:rFonts w:asciiTheme="minorHAnsi" w:eastAsia="Times New Roman" w:hAnsiTheme="minorHAnsi" w:cs="Times New Roman"/>
                <w:bCs/>
                <w:lang w:eastAsia="en-AU"/>
              </w:rPr>
              <w:t>IVIg</w:t>
            </w:r>
            <w:r>
              <w:rPr>
                <w:rFonts w:asciiTheme="minorHAnsi" w:eastAsia="Times New Roman" w:hAnsiTheme="minorHAnsi" w:cs="Times New Roman"/>
                <w:bCs/>
                <w:lang w:eastAsia="en-AU"/>
              </w:rPr>
              <w:t xml:space="preserve"> concurrently (or plasmapheresis which may not be clinically appropriate) and additional agents including tacrolimus and natulizumab. The role of Ig therapy is to slow the progressive deterioration during the acute phase, if possible. Where patients do not respond due to the aggressive nature of their disease, hemispherectomy may be the best option.</w:t>
            </w:r>
          </w:p>
        </w:tc>
      </w:tr>
    </w:tbl>
    <w:p w:rsidR="005851ED" w:rsidRDefault="005851ED"/>
    <w:tbl>
      <w:tblPr>
        <w:tblStyle w:val="TableGrid"/>
        <w:tblW w:w="14709" w:type="dxa"/>
        <w:tblInd w:w="-318" w:type="dxa"/>
        <w:tblLook w:val="0680" w:firstRow="0" w:lastRow="0" w:firstColumn="1" w:lastColumn="0" w:noHBand="1" w:noVBand="1"/>
      </w:tblPr>
      <w:tblGrid>
        <w:gridCol w:w="1556"/>
        <w:gridCol w:w="3265"/>
        <w:gridCol w:w="1842"/>
        <w:gridCol w:w="1843"/>
        <w:gridCol w:w="1843"/>
        <w:gridCol w:w="4360"/>
      </w:tblGrid>
      <w:tr w:rsidR="00447869" w:rsidRPr="00853117" w:rsidTr="00272D71">
        <w:trPr>
          <w:trHeight w:val="406"/>
          <w:tblHeader/>
        </w:trPr>
        <w:tc>
          <w:tcPr>
            <w:tcW w:w="1556"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3265" w:type="dxa"/>
            <w:shd w:val="clear" w:color="auto" w:fill="DBE5F1" w:themeFill="accent1" w:themeFillTint="33"/>
          </w:tcPr>
          <w:p w:rsidR="004A10A2" w:rsidRPr="00C92149" w:rsidRDefault="00565DC7" w:rsidP="00631EAB">
            <w:pPr>
              <w:spacing w:before="120" w:after="120"/>
              <w:jc w:val="center"/>
              <w:rPr>
                <w:rFonts w:asciiTheme="minorHAnsi" w:hAnsiTheme="minorHAnsi"/>
                <w:b/>
                <w:sz w:val="20"/>
                <w:szCs w:val="18"/>
              </w:rPr>
            </w:pPr>
            <w:r>
              <w:rPr>
                <w:rFonts w:asciiTheme="minorHAnsi" w:hAnsiTheme="minorHAnsi"/>
                <w:b/>
                <w:sz w:val="20"/>
                <w:szCs w:val="18"/>
              </w:rPr>
              <w:t>CRITERIA</w:t>
            </w:r>
            <w:r w:rsidR="009E4784">
              <w:rPr>
                <w:rFonts w:asciiTheme="minorHAnsi" w:hAnsiTheme="minorHAnsi"/>
                <w:b/>
                <w:sz w:val="20"/>
                <w:szCs w:val="18"/>
              </w:rPr>
              <w:t xml:space="preserve"> </w:t>
            </w:r>
            <w:r w:rsidR="001E102B">
              <w:rPr>
                <w:rFonts w:asciiTheme="minorHAnsi" w:hAnsiTheme="minorHAnsi"/>
                <w:b/>
                <w:sz w:val="20"/>
                <w:szCs w:val="18"/>
              </w:rPr>
              <w:t xml:space="preserve">v2.1 </w:t>
            </w:r>
          </w:p>
        </w:tc>
        <w:tc>
          <w:tcPr>
            <w:tcW w:w="5528" w:type="dxa"/>
            <w:gridSpan w:val="3"/>
            <w:shd w:val="clear" w:color="auto" w:fill="DBE5F1" w:themeFill="accent1" w:themeFillTint="33"/>
          </w:tcPr>
          <w:p w:rsidR="008D0C0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60" w:type="dxa"/>
            <w:shd w:val="clear" w:color="auto" w:fill="DBE5F1" w:themeFill="accent1" w:themeFillTint="33"/>
          </w:tcPr>
          <w:p w:rsidR="00447869" w:rsidRPr="00C92149" w:rsidRDefault="00187169">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 xml:space="preserve">SPECIALIST WORKING GROUP </w:t>
            </w:r>
            <w:r w:rsidR="00841598" w:rsidRPr="00841598">
              <w:rPr>
                <w:rFonts w:asciiTheme="minorHAnsi" w:eastAsia="Times New Roman" w:hAnsiTheme="minorHAnsi" w:cs="Times New Roman"/>
                <w:b/>
                <w:bCs/>
                <w:sz w:val="20"/>
                <w:szCs w:val="20"/>
                <w:lang w:eastAsia="en-AU"/>
              </w:rPr>
              <w:t>RATIONALE FOR ADDITIONS/CLARIFICATIONS</w:t>
            </w:r>
          </w:p>
        </w:tc>
      </w:tr>
      <w:tr w:rsidR="00021243" w:rsidRPr="00447869" w:rsidTr="00272D71">
        <w:tc>
          <w:tcPr>
            <w:tcW w:w="1556"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3265" w:type="dxa"/>
          </w:tcPr>
          <w:p w:rsidR="003A1F9D" w:rsidRPr="00934055" w:rsidRDefault="000910F2" w:rsidP="003A1F9D">
            <w:pPr>
              <w:pStyle w:val="heading"/>
              <w:spacing w:before="0" w:beforeAutospacing="0" w:after="225" w:afterAutospacing="0" w:line="293" w:lineRule="atLeast"/>
              <w:rPr>
                <w:rFonts w:asciiTheme="minorHAnsi" w:eastAsia="Times New Roman" w:hAnsiTheme="minorHAnsi" w:cs="Times New Roman"/>
                <w:bCs/>
                <w:sz w:val="22"/>
                <w:szCs w:val="22"/>
                <w:lang w:eastAsia="en-AU"/>
              </w:rPr>
            </w:pPr>
            <w:r w:rsidRPr="00934055">
              <w:rPr>
                <w:rFonts w:asciiTheme="minorHAnsi" w:eastAsia="Times New Roman" w:hAnsiTheme="minorHAnsi" w:cs="Times New Roman"/>
                <w:bCs/>
                <w:sz w:val="22"/>
                <w:szCs w:val="22"/>
                <w:lang w:eastAsia="en-AU"/>
              </w:rPr>
              <w:t>Rasmussen syndrome</w:t>
            </w:r>
          </w:p>
          <w:p w:rsidR="00021243" w:rsidRPr="00896241" w:rsidRDefault="00021243" w:rsidP="00021243">
            <w:pPr>
              <w:spacing w:before="120" w:after="120"/>
              <w:rPr>
                <w:rFonts w:asciiTheme="minorHAnsi" w:hAnsiTheme="minorHAnsi"/>
                <w:b/>
              </w:rPr>
            </w:pPr>
          </w:p>
        </w:tc>
        <w:tc>
          <w:tcPr>
            <w:tcW w:w="5528" w:type="dxa"/>
            <w:gridSpan w:val="3"/>
          </w:tcPr>
          <w:p w:rsidR="00021243" w:rsidRPr="00282F66" w:rsidRDefault="008D0C09" w:rsidP="008D0C09">
            <w:pPr>
              <w:pStyle w:val="heading"/>
              <w:spacing w:before="0" w:beforeAutospacing="0" w:after="225" w:afterAutospacing="0" w:line="293" w:lineRule="atLeast"/>
              <w:rPr>
                <w:rFonts w:asciiTheme="minorHAnsi" w:hAnsiTheme="minorHAnsi"/>
                <w:b/>
              </w:rPr>
            </w:pPr>
            <w:r w:rsidRPr="008D0C09">
              <w:rPr>
                <w:rFonts w:asciiTheme="minorHAnsi" w:eastAsia="Times New Roman" w:hAnsiTheme="minorHAnsi" w:cs="Times New Roman"/>
                <w:bCs/>
                <w:sz w:val="22"/>
                <w:szCs w:val="22"/>
                <w:lang w:eastAsia="en-AU"/>
              </w:rPr>
              <w:t>Rasmussen encephalitis</w:t>
            </w:r>
          </w:p>
        </w:tc>
        <w:tc>
          <w:tcPr>
            <w:tcW w:w="4360" w:type="dxa"/>
          </w:tcPr>
          <w:p w:rsidR="005960E7" w:rsidRPr="00C92149" w:rsidRDefault="00E658D6"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Amendment to the condition name to more accurately reflect the inflammatory nature of the disease.</w:t>
            </w:r>
          </w:p>
        </w:tc>
      </w:tr>
      <w:tr w:rsidR="00447869" w:rsidRPr="00447869" w:rsidTr="00272D71">
        <w:tc>
          <w:tcPr>
            <w:tcW w:w="1556"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3265" w:type="dxa"/>
          </w:tcPr>
          <w:p w:rsidR="00447869" w:rsidRPr="00447869" w:rsidRDefault="000910F2" w:rsidP="00021243">
            <w:pPr>
              <w:spacing w:before="120" w:after="120"/>
              <w:rPr>
                <w:rFonts w:asciiTheme="minorHAnsi" w:hAnsiTheme="minorHAnsi"/>
              </w:rPr>
            </w:pPr>
            <w:r>
              <w:rPr>
                <w:rFonts w:asciiTheme="minorHAnsi" w:eastAsia="Times New Roman" w:hAnsiTheme="minorHAnsi" w:cs="Times New Roman"/>
                <w:bCs/>
                <w:lang w:eastAsia="en-AU"/>
              </w:rPr>
              <w:t>Neurology</w:t>
            </w:r>
          </w:p>
        </w:tc>
        <w:tc>
          <w:tcPr>
            <w:tcW w:w="5528" w:type="dxa"/>
            <w:gridSpan w:val="3"/>
          </w:tcPr>
          <w:p w:rsidR="00447869" w:rsidRPr="00447869" w:rsidRDefault="008D0C09" w:rsidP="00021243">
            <w:pPr>
              <w:spacing w:before="120" w:after="120"/>
              <w:rPr>
                <w:rFonts w:asciiTheme="minorHAnsi" w:hAnsiTheme="minorHAnsi"/>
              </w:rPr>
            </w:pPr>
            <w:r>
              <w:rPr>
                <w:rFonts w:asciiTheme="minorHAnsi" w:hAnsiTheme="minorHAnsi"/>
              </w:rPr>
              <w:t>Neurology</w:t>
            </w:r>
          </w:p>
        </w:tc>
        <w:tc>
          <w:tcPr>
            <w:tcW w:w="4360" w:type="dxa"/>
          </w:tcPr>
          <w:p w:rsidR="00447869" w:rsidRPr="009208EC" w:rsidRDefault="008C5136" w:rsidP="00021243">
            <w:pPr>
              <w:spacing w:before="120" w:after="120"/>
              <w:rPr>
                <w:rFonts w:asciiTheme="minorHAnsi" w:hAnsiTheme="minorHAnsi"/>
                <w:szCs w:val="20"/>
              </w:rPr>
            </w:pPr>
            <w:r>
              <w:rPr>
                <w:rFonts w:asciiTheme="minorHAnsi" w:hAnsiTheme="minorHAnsi"/>
                <w:szCs w:val="20"/>
              </w:rPr>
              <w:t>No change</w:t>
            </w:r>
          </w:p>
        </w:tc>
      </w:tr>
      <w:tr w:rsidR="00021243" w:rsidRPr="00447869" w:rsidTr="00272D71">
        <w:tc>
          <w:tcPr>
            <w:tcW w:w="1556" w:type="dxa"/>
            <w:shd w:val="clear" w:color="auto" w:fill="D9D9D9" w:themeFill="background1" w:themeFillShade="D9"/>
          </w:tcPr>
          <w:p w:rsidR="00021243" w:rsidRPr="00447869" w:rsidRDefault="00187169" w:rsidP="00021243">
            <w:pPr>
              <w:spacing w:before="120" w:after="120"/>
              <w:rPr>
                <w:rFonts w:asciiTheme="minorHAnsi" w:hAnsiTheme="minorHAnsi"/>
              </w:rPr>
            </w:pPr>
            <w:r>
              <w:rPr>
                <w:rFonts w:asciiTheme="minorHAnsi" w:hAnsiTheme="minorHAnsi"/>
                <w:b/>
              </w:rPr>
              <w:t>Category</w:t>
            </w:r>
          </w:p>
        </w:tc>
        <w:tc>
          <w:tcPr>
            <w:tcW w:w="3265" w:type="dxa"/>
          </w:tcPr>
          <w:p w:rsidR="00021243" w:rsidRPr="009E4784" w:rsidRDefault="00187169" w:rsidP="00EB2D51">
            <w:pPr>
              <w:spacing w:before="120" w:after="120"/>
              <w:rPr>
                <w:rFonts w:asciiTheme="minorHAnsi" w:hAnsiTheme="minorHAnsi"/>
                <w:i/>
              </w:rPr>
            </w:pPr>
            <w:r w:rsidRPr="00973AC2">
              <w:rPr>
                <w:rFonts w:asciiTheme="minorHAnsi" w:hAnsiTheme="minorHAnsi"/>
                <w:i/>
              </w:rPr>
              <w:t xml:space="preserve">Exceptional circumstances only </w:t>
            </w:r>
          </w:p>
        </w:tc>
        <w:tc>
          <w:tcPr>
            <w:tcW w:w="5528" w:type="dxa"/>
            <w:gridSpan w:val="3"/>
          </w:tcPr>
          <w:p w:rsidR="00021243" w:rsidRPr="009E4784" w:rsidRDefault="00187169" w:rsidP="00EB2D51">
            <w:pPr>
              <w:spacing w:before="120" w:after="120"/>
              <w:rPr>
                <w:rFonts w:asciiTheme="minorHAnsi" w:hAnsiTheme="minorHAnsi"/>
                <w:i/>
              </w:rPr>
            </w:pPr>
            <w:r w:rsidRPr="009E4784">
              <w:rPr>
                <w:rFonts w:asciiTheme="minorHAnsi" w:hAnsiTheme="minorHAnsi"/>
                <w:i/>
              </w:rPr>
              <w:t xml:space="preserve">Exceptional circumstances only </w:t>
            </w:r>
          </w:p>
        </w:tc>
        <w:tc>
          <w:tcPr>
            <w:tcW w:w="4360" w:type="dxa"/>
          </w:tcPr>
          <w:p w:rsidR="00021243" w:rsidRPr="009208EC" w:rsidRDefault="008C5136" w:rsidP="00631EAB">
            <w:pPr>
              <w:spacing w:before="120" w:after="120"/>
              <w:rPr>
                <w:rFonts w:asciiTheme="minorHAnsi" w:hAnsiTheme="minorHAnsi"/>
                <w:szCs w:val="20"/>
              </w:rPr>
            </w:pPr>
            <w:r>
              <w:rPr>
                <w:rFonts w:asciiTheme="minorHAnsi" w:hAnsiTheme="minorHAnsi"/>
                <w:szCs w:val="20"/>
              </w:rPr>
              <w:t>No change</w:t>
            </w:r>
          </w:p>
        </w:tc>
      </w:tr>
      <w:tr w:rsidR="00447869" w:rsidRPr="00447869" w:rsidTr="00272D71">
        <w:tc>
          <w:tcPr>
            <w:tcW w:w="1556"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3265" w:type="dxa"/>
          </w:tcPr>
          <w:p w:rsidR="004A10A2" w:rsidRPr="00447869" w:rsidRDefault="004A10A2" w:rsidP="008515FF">
            <w:pPr>
              <w:spacing w:before="120" w:after="120"/>
              <w:rPr>
                <w:rFonts w:asciiTheme="minorHAnsi" w:hAnsiTheme="minorHAnsi"/>
              </w:rPr>
            </w:pPr>
          </w:p>
        </w:tc>
        <w:tc>
          <w:tcPr>
            <w:tcW w:w="5528" w:type="dxa"/>
            <w:gridSpan w:val="3"/>
          </w:tcPr>
          <w:p w:rsidR="00447869" w:rsidRPr="00447869" w:rsidRDefault="00447869" w:rsidP="008515FF">
            <w:pPr>
              <w:rPr>
                <w:rFonts w:asciiTheme="minorHAnsi" w:hAnsiTheme="minorHAnsi"/>
              </w:rPr>
            </w:pPr>
          </w:p>
        </w:tc>
        <w:tc>
          <w:tcPr>
            <w:tcW w:w="4360" w:type="dxa"/>
          </w:tcPr>
          <w:p w:rsidR="00447869" w:rsidRPr="00C92149" w:rsidRDefault="008C5136" w:rsidP="00021243">
            <w:pPr>
              <w:spacing w:before="120" w:after="120"/>
              <w:rPr>
                <w:rFonts w:asciiTheme="minorHAnsi" w:hAnsiTheme="minorHAnsi"/>
                <w:szCs w:val="20"/>
              </w:rPr>
            </w:pPr>
            <w:r>
              <w:rPr>
                <w:rFonts w:asciiTheme="minorHAnsi" w:hAnsiTheme="minorHAnsi"/>
                <w:szCs w:val="20"/>
              </w:rPr>
              <w:t>No change</w:t>
            </w:r>
          </w:p>
        </w:tc>
      </w:tr>
      <w:tr w:rsidR="00021243" w:rsidRPr="00447869" w:rsidTr="00272D71">
        <w:tc>
          <w:tcPr>
            <w:tcW w:w="1556"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rsidR="00021243" w:rsidRPr="00447869" w:rsidRDefault="00021243" w:rsidP="00021243">
            <w:pPr>
              <w:spacing w:before="120" w:after="120"/>
              <w:rPr>
                <w:rFonts w:asciiTheme="minorHAnsi" w:hAnsiTheme="minorHAnsi"/>
              </w:rPr>
            </w:pPr>
          </w:p>
        </w:tc>
        <w:tc>
          <w:tcPr>
            <w:tcW w:w="3265" w:type="dxa"/>
          </w:tcPr>
          <w:p w:rsidR="00021243" w:rsidRPr="00447869" w:rsidRDefault="000910F2" w:rsidP="00021243">
            <w:pPr>
              <w:spacing w:before="120" w:after="120"/>
              <w:rPr>
                <w:rFonts w:asciiTheme="minorHAnsi" w:hAnsiTheme="minorHAnsi"/>
              </w:rPr>
            </w:pPr>
            <w:r w:rsidRPr="001007CD">
              <w:rPr>
                <w:rFonts w:asciiTheme="minorHAnsi" w:eastAsia="Times New Roman" w:hAnsiTheme="minorHAnsi" w:cs="Times New Roman"/>
                <w:color w:val="000000"/>
                <w:lang w:eastAsia="en-AU"/>
              </w:rPr>
              <w:t>Evidence of probable benefit – more research needed (Category 2a)</w:t>
            </w:r>
          </w:p>
        </w:tc>
        <w:tc>
          <w:tcPr>
            <w:tcW w:w="5528" w:type="dxa"/>
            <w:gridSpan w:val="3"/>
          </w:tcPr>
          <w:p w:rsidR="00021243" w:rsidRPr="00447869" w:rsidRDefault="00282F66" w:rsidP="008515FF">
            <w:pPr>
              <w:spacing w:before="120" w:after="120"/>
              <w:rPr>
                <w:rFonts w:asciiTheme="minorHAnsi" w:hAnsiTheme="minorHAnsi"/>
              </w:rPr>
            </w:pPr>
            <w:r>
              <w:t xml:space="preserve"> </w:t>
            </w:r>
            <w:r w:rsidR="008C5136" w:rsidRPr="001007CD">
              <w:rPr>
                <w:rFonts w:asciiTheme="minorHAnsi" w:eastAsia="Times New Roman" w:hAnsiTheme="minorHAnsi" w:cs="Times New Roman"/>
                <w:color w:val="000000"/>
                <w:lang w:eastAsia="en-AU"/>
              </w:rPr>
              <w:t>Evidence of probable benefit – more research needed (Category 2a)</w:t>
            </w:r>
          </w:p>
        </w:tc>
        <w:tc>
          <w:tcPr>
            <w:tcW w:w="4360" w:type="dxa"/>
          </w:tcPr>
          <w:p w:rsidR="00021243" w:rsidRPr="009208EC" w:rsidRDefault="008C5136" w:rsidP="00021243">
            <w:pPr>
              <w:spacing w:before="120" w:after="120"/>
              <w:rPr>
                <w:rFonts w:asciiTheme="minorHAnsi" w:hAnsiTheme="minorHAnsi"/>
                <w:szCs w:val="20"/>
              </w:rPr>
            </w:pPr>
            <w:r>
              <w:rPr>
                <w:rFonts w:asciiTheme="minorHAnsi" w:hAnsiTheme="minorHAnsi"/>
                <w:szCs w:val="20"/>
              </w:rPr>
              <w:t>No change</w:t>
            </w:r>
          </w:p>
        </w:tc>
      </w:tr>
      <w:tr w:rsidR="00AB120F" w:rsidRPr="00447869" w:rsidTr="00272D71">
        <w:tc>
          <w:tcPr>
            <w:tcW w:w="1556"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CE69D0">
            <w:pPr>
              <w:spacing w:before="120" w:after="120"/>
              <w:rPr>
                <w:rFonts w:asciiTheme="minorHAnsi" w:hAnsiTheme="minorHAnsi"/>
              </w:rPr>
            </w:pPr>
          </w:p>
        </w:tc>
        <w:tc>
          <w:tcPr>
            <w:tcW w:w="3265" w:type="dxa"/>
          </w:tcPr>
          <w:p w:rsidR="00AB120F" w:rsidRPr="00447869" w:rsidRDefault="00AB120F" w:rsidP="00CE69D0">
            <w:pPr>
              <w:spacing w:before="120" w:after="120"/>
              <w:rPr>
                <w:rFonts w:asciiTheme="minorHAnsi" w:hAnsiTheme="minorHAnsi"/>
              </w:rPr>
            </w:pPr>
            <w:r>
              <w:rPr>
                <w:rFonts w:asciiTheme="minorHAnsi" w:hAnsiTheme="minorHAnsi"/>
              </w:rPr>
              <w:lastRenderedPageBreak/>
              <w:t xml:space="preserve"> </w:t>
            </w:r>
          </w:p>
        </w:tc>
        <w:tc>
          <w:tcPr>
            <w:tcW w:w="5528" w:type="dxa"/>
            <w:gridSpan w:val="3"/>
          </w:tcPr>
          <w:p w:rsidR="00AB120F" w:rsidRPr="00447869" w:rsidRDefault="008D0C09" w:rsidP="00E658D6">
            <w:pPr>
              <w:spacing w:before="120" w:after="120"/>
              <w:rPr>
                <w:rFonts w:asciiTheme="minorHAnsi" w:hAnsiTheme="minorHAnsi"/>
              </w:rPr>
            </w:pPr>
            <w:r w:rsidRPr="008D0C09">
              <w:rPr>
                <w:rFonts w:asciiTheme="minorHAnsi" w:hAnsiTheme="minorHAnsi"/>
              </w:rPr>
              <w:t>A number of retrospective case series, open label studies and one randomized controlled study (Bien et al</w:t>
            </w:r>
            <w:r w:rsidR="00E658D6">
              <w:rPr>
                <w:rFonts w:asciiTheme="minorHAnsi" w:hAnsiTheme="minorHAnsi"/>
              </w:rPr>
              <w:t xml:space="preserve">, 2012) between 1996 and 2013. </w:t>
            </w:r>
            <w:r w:rsidRPr="008D0C09">
              <w:rPr>
                <w:rFonts w:asciiTheme="minorHAnsi" w:hAnsiTheme="minorHAnsi"/>
              </w:rPr>
              <w:t xml:space="preserve">Hart YM et al </w:t>
            </w:r>
            <w:r w:rsidR="00E658D6">
              <w:rPr>
                <w:rFonts w:asciiTheme="minorHAnsi" w:hAnsiTheme="minorHAnsi"/>
              </w:rPr>
              <w:t>(</w:t>
            </w:r>
            <w:r w:rsidRPr="008D0C09">
              <w:rPr>
                <w:rFonts w:asciiTheme="minorHAnsi" w:hAnsiTheme="minorHAnsi"/>
              </w:rPr>
              <w:t>1996</w:t>
            </w:r>
            <w:r w:rsidR="00E658D6">
              <w:rPr>
                <w:rFonts w:asciiTheme="minorHAnsi" w:hAnsiTheme="minorHAnsi"/>
              </w:rPr>
              <w:t xml:space="preserve">), </w:t>
            </w:r>
            <w:r w:rsidRPr="008D0C09">
              <w:rPr>
                <w:rFonts w:asciiTheme="minorHAnsi" w:hAnsiTheme="minorHAnsi"/>
              </w:rPr>
              <w:t xml:space="preserve">Granata et al </w:t>
            </w:r>
            <w:r w:rsidR="00E658D6">
              <w:rPr>
                <w:rFonts w:asciiTheme="minorHAnsi" w:hAnsiTheme="minorHAnsi"/>
              </w:rPr>
              <w:t>(</w:t>
            </w:r>
            <w:r w:rsidRPr="008D0C09">
              <w:rPr>
                <w:rFonts w:asciiTheme="minorHAnsi" w:hAnsiTheme="minorHAnsi"/>
              </w:rPr>
              <w:t>2003</w:t>
            </w:r>
            <w:r w:rsidR="00E658D6">
              <w:rPr>
                <w:rFonts w:asciiTheme="minorHAnsi" w:hAnsiTheme="minorHAnsi"/>
              </w:rPr>
              <w:t>) and</w:t>
            </w:r>
            <w:r w:rsidRPr="008D0C09">
              <w:rPr>
                <w:rFonts w:asciiTheme="minorHAnsi" w:hAnsiTheme="minorHAnsi"/>
              </w:rPr>
              <w:t xml:space="preserve"> Takahashi </w:t>
            </w:r>
            <w:r w:rsidR="00E658D6">
              <w:rPr>
                <w:rFonts w:asciiTheme="minorHAnsi" w:hAnsiTheme="minorHAnsi"/>
              </w:rPr>
              <w:t>(2013)</w:t>
            </w:r>
            <w:r w:rsidRPr="008D0C09">
              <w:rPr>
                <w:rFonts w:asciiTheme="minorHAnsi" w:hAnsiTheme="minorHAnsi"/>
              </w:rPr>
              <w:t xml:space="preserve"> have reported benefit from </w:t>
            </w:r>
            <w:r w:rsidRPr="008D0C09">
              <w:rPr>
                <w:rFonts w:asciiTheme="minorHAnsi" w:hAnsiTheme="minorHAnsi"/>
              </w:rPr>
              <w:lastRenderedPageBreak/>
              <w:t xml:space="preserve">immunomodulatory treatments including pulse steroids, </w:t>
            </w:r>
            <w:r w:rsidR="008008AE">
              <w:rPr>
                <w:rFonts w:asciiTheme="minorHAnsi" w:hAnsiTheme="minorHAnsi"/>
              </w:rPr>
              <w:t>IVIg</w:t>
            </w:r>
            <w:r w:rsidRPr="008D0C09">
              <w:rPr>
                <w:rFonts w:asciiTheme="minorHAnsi" w:hAnsiTheme="minorHAnsi"/>
              </w:rPr>
              <w:t>, PE and tacrolimus. Benefit was seen in regard to reduced tissue and function loss and reduced chance of intractable epilepsy. A single case report described a good outcome with natulizumab (Bittner S et al</w:t>
            </w:r>
            <w:r w:rsidR="00E658D6">
              <w:rPr>
                <w:rFonts w:asciiTheme="minorHAnsi" w:hAnsiTheme="minorHAnsi"/>
              </w:rPr>
              <w:t xml:space="preserve">, </w:t>
            </w:r>
            <w:r w:rsidRPr="008D0C09">
              <w:rPr>
                <w:rFonts w:asciiTheme="minorHAnsi" w:hAnsiTheme="minorHAnsi"/>
              </w:rPr>
              <w:t xml:space="preserve">2013). Early therapies may yield the best outcomes. Varadkar et al </w:t>
            </w:r>
            <w:r w:rsidR="00E658D6">
              <w:rPr>
                <w:rFonts w:asciiTheme="minorHAnsi" w:hAnsiTheme="minorHAnsi"/>
              </w:rPr>
              <w:t>(</w:t>
            </w:r>
            <w:r w:rsidRPr="008D0C09">
              <w:rPr>
                <w:rFonts w:asciiTheme="minorHAnsi" w:hAnsiTheme="minorHAnsi"/>
              </w:rPr>
              <w:t>2014</w:t>
            </w:r>
            <w:r w:rsidR="00E658D6">
              <w:rPr>
                <w:rFonts w:asciiTheme="minorHAnsi" w:hAnsiTheme="minorHAnsi"/>
              </w:rPr>
              <w:t>)</w:t>
            </w:r>
            <w:r w:rsidRPr="008D0C09">
              <w:rPr>
                <w:rFonts w:asciiTheme="minorHAnsi" w:hAnsiTheme="minorHAnsi"/>
              </w:rPr>
              <w:t xml:space="preserve"> reported that immunomodulatory treatments seem to slow rather than halt disease progression without changing the eventual outcome. Patients are often left with intractable epilepsy for which functional hemispherectomy remains the only effective cure.</w:t>
            </w:r>
          </w:p>
        </w:tc>
        <w:tc>
          <w:tcPr>
            <w:tcW w:w="4360" w:type="dxa"/>
          </w:tcPr>
          <w:p w:rsidR="00AB120F" w:rsidRPr="00C92149" w:rsidRDefault="00E658D6" w:rsidP="00083B8B">
            <w:pPr>
              <w:spacing w:before="120" w:after="120"/>
              <w:rPr>
                <w:rFonts w:asciiTheme="minorHAnsi" w:hAnsiTheme="minorHAnsi"/>
                <w:szCs w:val="20"/>
              </w:rPr>
            </w:pPr>
            <w:r>
              <w:rPr>
                <w:rFonts w:asciiTheme="minorHAnsi" w:hAnsiTheme="minorHAnsi"/>
                <w:szCs w:val="20"/>
              </w:rPr>
              <w:lastRenderedPageBreak/>
              <w:t>Justification of evidence section has been drafted in line with the literature.</w:t>
            </w:r>
          </w:p>
        </w:tc>
      </w:tr>
      <w:tr w:rsidR="00AB120F" w:rsidRPr="00447869" w:rsidTr="00272D71">
        <w:tc>
          <w:tcPr>
            <w:tcW w:w="1556" w:type="dxa"/>
            <w:shd w:val="clear" w:color="auto" w:fill="D9D9D9" w:themeFill="background1" w:themeFillShade="D9"/>
          </w:tcPr>
          <w:p w:rsidR="00AB120F" w:rsidRPr="00E658D6" w:rsidRDefault="00AB120F" w:rsidP="00E658D6">
            <w:pPr>
              <w:rPr>
                <w:b/>
              </w:rPr>
            </w:pPr>
            <w:r w:rsidRPr="00E658D6">
              <w:rPr>
                <w:b/>
              </w:rPr>
              <w:lastRenderedPageBreak/>
              <w:t>Indications</w:t>
            </w:r>
          </w:p>
        </w:tc>
        <w:tc>
          <w:tcPr>
            <w:tcW w:w="3265" w:type="dxa"/>
          </w:tcPr>
          <w:p w:rsidR="00AB120F" w:rsidRPr="00447869" w:rsidRDefault="00AB120F" w:rsidP="00CE69D0">
            <w:pPr>
              <w:spacing w:before="120" w:after="120"/>
              <w:rPr>
                <w:rFonts w:asciiTheme="minorHAnsi" w:hAnsiTheme="minorHAnsi"/>
              </w:rPr>
            </w:pPr>
            <w:r>
              <w:t xml:space="preserve"> </w:t>
            </w:r>
          </w:p>
        </w:tc>
        <w:tc>
          <w:tcPr>
            <w:tcW w:w="5528" w:type="dxa"/>
            <w:gridSpan w:val="3"/>
          </w:tcPr>
          <w:p w:rsidR="00AB120F" w:rsidRPr="00973AC2" w:rsidRDefault="008D0C09" w:rsidP="00CE69D0">
            <w:pPr>
              <w:spacing w:before="120" w:after="120"/>
              <w:rPr>
                <w:rFonts w:asciiTheme="minorHAnsi" w:hAnsiTheme="minorHAnsi"/>
                <w:b/>
              </w:rPr>
            </w:pPr>
            <w:r w:rsidRPr="00973AC2">
              <w:rPr>
                <w:rFonts w:asciiTheme="minorHAnsi" w:hAnsiTheme="minorHAnsi"/>
                <w:b/>
              </w:rPr>
              <w:t>Rasmussen encephalitis with concurrent steroid therapy unless contra-indicated</w:t>
            </w:r>
          </w:p>
        </w:tc>
        <w:tc>
          <w:tcPr>
            <w:tcW w:w="4360" w:type="dxa"/>
          </w:tcPr>
          <w:p w:rsidR="00AB120F" w:rsidRPr="00E658D6" w:rsidRDefault="00E658D6" w:rsidP="00187169">
            <w:pPr>
              <w:spacing w:before="120" w:after="120"/>
              <w:rPr>
                <w:sz w:val="20"/>
                <w:szCs w:val="20"/>
              </w:rPr>
            </w:pPr>
            <w:r>
              <w:rPr>
                <w:szCs w:val="20"/>
              </w:rPr>
              <w:t xml:space="preserve">The indication has been agreed by </w:t>
            </w:r>
            <w:r w:rsidR="00187169">
              <w:rPr>
                <w:szCs w:val="20"/>
              </w:rPr>
              <w:t xml:space="preserve">Specialist Working Group </w:t>
            </w:r>
            <w:r>
              <w:rPr>
                <w:szCs w:val="20"/>
              </w:rPr>
              <w:t xml:space="preserve">consensus after </w:t>
            </w:r>
            <w:r w:rsidR="00083B8B">
              <w:rPr>
                <w:szCs w:val="20"/>
              </w:rPr>
              <w:t>consulting</w:t>
            </w:r>
            <w:r>
              <w:rPr>
                <w:szCs w:val="20"/>
              </w:rPr>
              <w:t xml:space="preserve"> the literature.  </w:t>
            </w:r>
          </w:p>
        </w:tc>
      </w:tr>
      <w:tr w:rsidR="00BA76E3" w:rsidRPr="00447869" w:rsidTr="00272D71">
        <w:tc>
          <w:tcPr>
            <w:tcW w:w="1556"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rsidR="00BA76E3" w:rsidRPr="00447869" w:rsidRDefault="00BA76E3" w:rsidP="00282F66">
            <w:pPr>
              <w:spacing w:before="120" w:after="120"/>
              <w:rPr>
                <w:rFonts w:asciiTheme="minorHAnsi" w:hAnsiTheme="minorHAnsi"/>
              </w:rPr>
            </w:pPr>
          </w:p>
        </w:tc>
        <w:tc>
          <w:tcPr>
            <w:tcW w:w="3265" w:type="dxa"/>
          </w:tcPr>
          <w:p w:rsidR="000910F2" w:rsidRDefault="000910F2" w:rsidP="008D0C09">
            <w:pPr>
              <w:spacing w:after="225"/>
              <w:rPr>
                <w:rFonts w:asciiTheme="minorHAnsi" w:eastAsia="Times New Roman" w:hAnsiTheme="minorHAnsi" w:cs="Times New Roman"/>
                <w:color w:val="000000"/>
                <w:lang w:eastAsia="en-AU"/>
              </w:rPr>
            </w:pPr>
            <w:r w:rsidRPr="001007CD">
              <w:rPr>
                <w:rFonts w:asciiTheme="minorHAnsi" w:eastAsia="Times New Roman" w:hAnsiTheme="minorHAnsi" w:cs="Times New Roman"/>
                <w:color w:val="000000"/>
                <w:lang w:eastAsia="en-AU"/>
              </w:rPr>
              <w:t>Rasmussen syndrome is a chronic, progressive, focal encephalitis that is commonly accompanied by focal seizures, hemiparesis and cognitive decline. It is generally considered to be a disease of childhood, with most cases occurring in children younger than 10 years, although adult onset cases do occur. Conventional anticonvulsant therapy is usually ineffective and hemispherectomy may be helpful in the correct setting.</w:t>
            </w:r>
          </w:p>
          <w:p w:rsidR="000910F2" w:rsidRPr="001007CD" w:rsidRDefault="000910F2" w:rsidP="008D0C09">
            <w:pPr>
              <w:spacing w:after="225"/>
              <w:rPr>
                <w:rFonts w:asciiTheme="minorHAnsi" w:eastAsia="Times New Roman" w:hAnsiTheme="minorHAnsi" w:cs="Times New Roman"/>
                <w:color w:val="000000"/>
                <w:lang w:eastAsia="en-AU"/>
              </w:rPr>
            </w:pPr>
            <w:r w:rsidRPr="001007CD">
              <w:rPr>
                <w:rFonts w:asciiTheme="minorHAnsi" w:eastAsia="Times New Roman" w:hAnsiTheme="minorHAnsi" w:cs="Times New Roman"/>
                <w:color w:val="000000"/>
                <w:lang w:eastAsia="en-AU"/>
              </w:rPr>
              <w:t xml:space="preserve">Immunomodulatory therapy may be useful and, of the different </w:t>
            </w:r>
            <w:r w:rsidRPr="001007CD">
              <w:rPr>
                <w:rFonts w:asciiTheme="minorHAnsi" w:eastAsia="Times New Roman" w:hAnsiTheme="minorHAnsi" w:cs="Times New Roman"/>
                <w:color w:val="000000"/>
                <w:lang w:eastAsia="en-AU"/>
              </w:rPr>
              <w:lastRenderedPageBreak/>
              <w:t>therapies, intravenous immunoglobulin (</w:t>
            </w:r>
            <w:r w:rsidR="008008AE">
              <w:rPr>
                <w:rFonts w:asciiTheme="minorHAnsi" w:eastAsia="Times New Roman" w:hAnsiTheme="minorHAnsi" w:cs="Times New Roman"/>
                <w:color w:val="000000"/>
                <w:lang w:eastAsia="en-AU"/>
              </w:rPr>
              <w:t>IVIg</w:t>
            </w:r>
            <w:r w:rsidRPr="001007CD">
              <w:rPr>
                <w:rFonts w:asciiTheme="minorHAnsi" w:eastAsia="Times New Roman" w:hAnsiTheme="minorHAnsi" w:cs="Times New Roman"/>
                <w:color w:val="000000"/>
                <w:lang w:eastAsia="en-AU"/>
              </w:rPr>
              <w:t>) may be most useful. Other therapies to consider include methylprednisolon</w:t>
            </w:r>
            <w:r>
              <w:rPr>
                <w:rFonts w:asciiTheme="minorHAnsi" w:eastAsia="Times New Roman" w:hAnsiTheme="minorHAnsi" w:cs="Times New Roman"/>
                <w:color w:val="000000"/>
                <w:lang w:eastAsia="en-AU"/>
              </w:rPr>
              <w:t>e and rituximab.</w:t>
            </w:r>
          </w:p>
          <w:p w:rsidR="00BA76E3" w:rsidRPr="00934055" w:rsidRDefault="000910F2" w:rsidP="008D0C09">
            <w:pPr>
              <w:spacing w:after="225"/>
              <w:rPr>
                <w:rFonts w:asciiTheme="minorHAnsi" w:eastAsiaTheme="minorHAnsi" w:hAnsiTheme="minorHAnsi" w:cs="Times New Roman"/>
                <w:color w:val="000000"/>
              </w:rPr>
            </w:pPr>
            <w:r w:rsidRPr="001007CD">
              <w:rPr>
                <w:rFonts w:asciiTheme="minorHAnsi" w:eastAsia="Times New Roman" w:hAnsiTheme="minorHAnsi" w:cs="Times New Roman"/>
                <w:color w:val="000000"/>
                <w:lang w:eastAsia="en-AU"/>
              </w:rPr>
              <w:t xml:space="preserve">Ongoing supply of </w:t>
            </w:r>
            <w:r w:rsidR="008008AE">
              <w:rPr>
                <w:rFonts w:asciiTheme="minorHAnsi" w:eastAsia="Times New Roman" w:hAnsiTheme="minorHAnsi" w:cs="Times New Roman"/>
                <w:color w:val="000000"/>
                <w:lang w:eastAsia="en-AU"/>
              </w:rPr>
              <w:t>IVIg</w:t>
            </w:r>
            <w:r w:rsidRPr="001007CD">
              <w:rPr>
                <w:rFonts w:asciiTheme="minorHAnsi" w:eastAsia="Times New Roman" w:hAnsiTheme="minorHAnsi" w:cs="Times New Roman"/>
                <w:color w:val="000000"/>
                <w:lang w:eastAsia="en-AU"/>
              </w:rPr>
              <w:t xml:space="preserve"> would be based on evidence of stabilisation of either seizure frequency or cognitive decline.</w:t>
            </w:r>
          </w:p>
        </w:tc>
        <w:tc>
          <w:tcPr>
            <w:tcW w:w="5528" w:type="dxa"/>
            <w:gridSpan w:val="3"/>
          </w:tcPr>
          <w:p w:rsidR="008D0C09" w:rsidRDefault="00282F66" w:rsidP="008D0C09">
            <w:pPr>
              <w:rPr>
                <w:rFonts w:asciiTheme="minorHAnsi" w:eastAsia="Times New Roman" w:hAnsiTheme="minorHAnsi" w:cs="Times New Roman"/>
                <w:color w:val="000000"/>
                <w:lang w:eastAsia="en-AU"/>
              </w:rPr>
            </w:pPr>
            <w:r w:rsidRPr="00282F66">
              <w:rPr>
                <w:rFonts w:asciiTheme="minorHAnsi" w:eastAsia="Times New Roman" w:hAnsiTheme="minorHAnsi" w:cs="Times New Roman"/>
                <w:color w:val="000000"/>
                <w:lang w:eastAsia="en-AU"/>
              </w:rPr>
              <w:lastRenderedPageBreak/>
              <w:t xml:space="preserve"> </w:t>
            </w:r>
            <w:r w:rsidR="008D0C09" w:rsidRPr="008D0C09">
              <w:rPr>
                <w:rFonts w:asciiTheme="minorHAnsi" w:eastAsia="Times New Roman" w:hAnsiTheme="minorHAnsi" w:cs="Times New Roman"/>
                <w:color w:val="000000"/>
                <w:lang w:eastAsia="en-AU"/>
              </w:rPr>
              <w:t>Rasmussen encephalitis is a chronic, progressive, focal encephalitis that is commonly accompanied by focal seizures, hemiparesis and cognitive decline. It is generally considered to be a disease of childhood, with most cases occurring in children younger than 10 years, although adult onset cases do occur. Conventional anticonvulsant therapy is usually ineffective and hemispherectomy may be helpful in the correct setting.</w:t>
            </w:r>
          </w:p>
          <w:p w:rsidR="008C5136" w:rsidRPr="008D0C09" w:rsidRDefault="008C5136" w:rsidP="008D0C09">
            <w:pPr>
              <w:rPr>
                <w:rFonts w:asciiTheme="minorHAnsi" w:eastAsia="Times New Roman" w:hAnsiTheme="minorHAnsi" w:cs="Times New Roman"/>
                <w:color w:val="000000"/>
                <w:lang w:eastAsia="en-AU"/>
              </w:rPr>
            </w:pPr>
          </w:p>
          <w:p w:rsidR="008515FF" w:rsidRPr="00282F66" w:rsidRDefault="008D0C09" w:rsidP="008D0C09">
            <w:pPr>
              <w:rPr>
                <w:rFonts w:asciiTheme="minorHAnsi" w:hAnsiTheme="minorHAnsi" w:cs="Lucida Grande"/>
                <w:color w:val="000000"/>
              </w:rPr>
            </w:pPr>
            <w:r w:rsidRPr="008D0C09">
              <w:rPr>
                <w:rFonts w:asciiTheme="minorHAnsi" w:eastAsia="Times New Roman" w:hAnsiTheme="minorHAnsi" w:cs="Times New Roman"/>
                <w:color w:val="000000"/>
                <w:lang w:eastAsia="en-AU"/>
              </w:rPr>
              <w:t>Generally there is an active progressive phase of the disease, often lasting some years, followed by quiescence and no further progression of disease. (Varadkar et al, 2014). Although historical data has generally reported seizure freedom only after functional hemispherectomy, some centres practise more aggressive immune therapies and report improved outcomes. Functional hemispherec</w:t>
            </w:r>
            <w:r w:rsidR="00E658D6">
              <w:rPr>
                <w:rFonts w:asciiTheme="minorHAnsi" w:eastAsia="Times New Roman" w:hAnsiTheme="minorHAnsi" w:cs="Times New Roman"/>
                <w:color w:val="000000"/>
                <w:lang w:eastAsia="en-AU"/>
              </w:rPr>
              <w:t>t</w:t>
            </w:r>
            <w:r w:rsidRPr="008D0C09">
              <w:rPr>
                <w:rFonts w:asciiTheme="minorHAnsi" w:eastAsia="Times New Roman" w:hAnsiTheme="minorHAnsi" w:cs="Times New Roman"/>
                <w:color w:val="000000"/>
                <w:lang w:eastAsia="en-AU"/>
              </w:rPr>
              <w:t xml:space="preserve">omy provides the best opportunity of seizure </w:t>
            </w:r>
            <w:r w:rsidRPr="008D0C09">
              <w:rPr>
                <w:rFonts w:asciiTheme="minorHAnsi" w:eastAsia="Times New Roman" w:hAnsiTheme="minorHAnsi" w:cs="Times New Roman"/>
                <w:color w:val="000000"/>
                <w:lang w:eastAsia="en-AU"/>
              </w:rPr>
              <w:lastRenderedPageBreak/>
              <w:t xml:space="preserve">freedom, however there will inevitably be post-surgical motor deficits, and often cognitive impairments post-hemispherectomy. Therefore it can be argued that aggressive early immune therapy </w:t>
            </w:r>
            <w:r w:rsidR="00233FB2">
              <w:rPr>
                <w:rFonts w:asciiTheme="minorHAnsi" w:eastAsia="Times New Roman" w:hAnsiTheme="minorHAnsi" w:cs="Times New Roman"/>
                <w:color w:val="000000"/>
                <w:lang w:eastAsia="en-AU"/>
              </w:rPr>
              <w:t>may</w:t>
            </w:r>
            <w:r w:rsidRPr="008D0C09">
              <w:rPr>
                <w:rFonts w:asciiTheme="minorHAnsi" w:eastAsia="Times New Roman" w:hAnsiTheme="minorHAnsi" w:cs="Times New Roman"/>
                <w:color w:val="000000"/>
                <w:lang w:eastAsia="en-AU"/>
              </w:rPr>
              <w:t xml:space="preserve"> reduce the surgical sequelae of motor and cognitive deficits (</w:t>
            </w:r>
            <w:r w:rsidR="00233FB2">
              <w:rPr>
                <w:rFonts w:asciiTheme="minorHAnsi" w:eastAsia="Times New Roman" w:hAnsiTheme="minorHAnsi" w:cs="Times New Roman"/>
                <w:color w:val="000000"/>
                <w:lang w:eastAsia="en-AU"/>
              </w:rPr>
              <w:t>T</w:t>
            </w:r>
            <w:r w:rsidRPr="008D0C09">
              <w:rPr>
                <w:rFonts w:asciiTheme="minorHAnsi" w:eastAsia="Times New Roman" w:hAnsiTheme="minorHAnsi" w:cs="Times New Roman"/>
                <w:color w:val="000000"/>
                <w:lang w:eastAsia="en-AU"/>
              </w:rPr>
              <w:t xml:space="preserve">he decision </w:t>
            </w:r>
            <w:r w:rsidR="00233FB2">
              <w:rPr>
                <w:rFonts w:asciiTheme="minorHAnsi" w:eastAsia="Times New Roman" w:hAnsiTheme="minorHAnsi" w:cs="Times New Roman"/>
                <w:color w:val="000000"/>
                <w:lang w:eastAsia="en-AU"/>
              </w:rPr>
              <w:t xml:space="preserve">regarding </w:t>
            </w:r>
            <w:r w:rsidRPr="008D0C09">
              <w:rPr>
                <w:rFonts w:asciiTheme="minorHAnsi" w:eastAsia="Times New Roman" w:hAnsiTheme="minorHAnsi" w:cs="Times New Roman"/>
                <w:color w:val="000000"/>
                <w:lang w:eastAsia="en-AU"/>
              </w:rPr>
              <w:t>when and if to perform hemispherectomy is challenging and discussed in Figure 4 of Varadkar et al (2014).</w:t>
            </w:r>
          </w:p>
          <w:p w:rsidR="00BA76E3" w:rsidRPr="00447869" w:rsidRDefault="00BA76E3" w:rsidP="005960E7">
            <w:pPr>
              <w:rPr>
                <w:rFonts w:asciiTheme="minorHAnsi" w:hAnsiTheme="minorHAnsi"/>
              </w:rPr>
            </w:pPr>
          </w:p>
        </w:tc>
        <w:tc>
          <w:tcPr>
            <w:tcW w:w="4360" w:type="dxa"/>
          </w:tcPr>
          <w:p w:rsidR="00BA76E3" w:rsidRPr="00C92149" w:rsidRDefault="00E658D6" w:rsidP="00272D71">
            <w:pPr>
              <w:spacing w:before="120" w:after="120"/>
              <w:rPr>
                <w:rFonts w:asciiTheme="minorHAnsi" w:hAnsiTheme="minorHAnsi"/>
                <w:sz w:val="20"/>
                <w:szCs w:val="20"/>
              </w:rPr>
            </w:pPr>
            <w:r w:rsidRPr="008C5136">
              <w:rPr>
                <w:rFonts w:asciiTheme="minorHAnsi" w:eastAsia="Times New Roman" w:hAnsiTheme="minorHAnsi" w:cs="Times New Roman"/>
                <w:color w:val="000000"/>
                <w:lang w:eastAsia="en-AU"/>
              </w:rPr>
              <w:lastRenderedPageBreak/>
              <w:t xml:space="preserve">The description and diagnostic criteria </w:t>
            </w:r>
            <w:r>
              <w:rPr>
                <w:rFonts w:asciiTheme="minorHAnsi" w:eastAsia="Times New Roman" w:hAnsiTheme="minorHAnsi" w:cs="Times New Roman"/>
                <w:color w:val="000000"/>
                <w:lang w:eastAsia="en-AU"/>
              </w:rPr>
              <w:t xml:space="preserve">section </w:t>
            </w:r>
            <w:r w:rsidRPr="008C5136">
              <w:rPr>
                <w:rFonts w:asciiTheme="minorHAnsi" w:eastAsia="Times New Roman" w:hAnsiTheme="minorHAnsi" w:cs="Times New Roman"/>
                <w:color w:val="000000"/>
                <w:lang w:eastAsia="en-AU"/>
              </w:rPr>
              <w:t>ha</w:t>
            </w:r>
            <w:r>
              <w:rPr>
                <w:rFonts w:asciiTheme="minorHAnsi" w:eastAsia="Times New Roman" w:hAnsiTheme="minorHAnsi" w:cs="Times New Roman"/>
                <w:color w:val="000000"/>
                <w:lang w:eastAsia="en-AU"/>
              </w:rPr>
              <w:t>s</w:t>
            </w:r>
            <w:r w:rsidRPr="008C5136">
              <w:rPr>
                <w:rFonts w:asciiTheme="minorHAnsi" w:eastAsia="Times New Roman" w:hAnsiTheme="minorHAnsi" w:cs="Times New Roman"/>
                <w:color w:val="000000"/>
                <w:lang w:eastAsia="en-AU"/>
              </w:rPr>
              <w:t xml:space="preserve"> been updated to reflect the findings of more recent</w:t>
            </w:r>
            <w:r>
              <w:rPr>
                <w:rFonts w:asciiTheme="minorHAnsi" w:eastAsia="Times New Roman" w:hAnsiTheme="minorHAnsi" w:cs="Times New Roman"/>
                <w:color w:val="000000"/>
                <w:lang w:eastAsia="en-AU"/>
              </w:rPr>
              <w:t>ly published evidence on disease presentation, progression and management</w:t>
            </w:r>
            <w:r w:rsidRPr="008C5136">
              <w:rPr>
                <w:rFonts w:asciiTheme="minorHAnsi" w:eastAsia="Times New Roman" w:hAnsiTheme="minorHAnsi" w:cs="Times New Roman"/>
                <w:color w:val="000000"/>
                <w:lang w:eastAsia="en-AU"/>
              </w:rPr>
              <w:t>.</w:t>
            </w:r>
          </w:p>
        </w:tc>
      </w:tr>
      <w:tr w:rsidR="00447869" w:rsidRPr="00853117" w:rsidTr="00E658D6">
        <w:tc>
          <w:tcPr>
            <w:tcW w:w="1556"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265" w:type="dxa"/>
            <w:vMerge w:val="restart"/>
          </w:tcPr>
          <w:p w:rsidR="00447869" w:rsidRPr="00447869" w:rsidRDefault="00282F66" w:rsidP="00021243">
            <w:pPr>
              <w:spacing w:before="120" w:after="120"/>
              <w:rPr>
                <w:rFonts w:asciiTheme="minorHAnsi" w:hAnsiTheme="minorHAnsi"/>
                <w:b/>
              </w:rPr>
            </w:pPr>
            <w:r>
              <w:t xml:space="preserve"> </w:t>
            </w:r>
          </w:p>
        </w:tc>
        <w:tc>
          <w:tcPr>
            <w:tcW w:w="1842" w:type="dxa"/>
          </w:tcPr>
          <w:p w:rsidR="00447869" w:rsidRPr="00447869" w:rsidRDefault="008D0C09" w:rsidP="00021243">
            <w:pPr>
              <w:spacing w:before="120" w:after="120"/>
              <w:rPr>
                <w:rFonts w:asciiTheme="minorHAnsi" w:hAnsiTheme="minorHAnsi"/>
              </w:rPr>
            </w:pPr>
            <w:r>
              <w:rPr>
                <w:rFonts w:asciiTheme="minorHAnsi" w:hAnsiTheme="minorHAnsi"/>
              </w:rPr>
              <w:t>Yes</w:t>
            </w:r>
          </w:p>
        </w:tc>
        <w:tc>
          <w:tcPr>
            <w:tcW w:w="1843"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43" w:type="dxa"/>
          </w:tcPr>
          <w:p w:rsidR="00447869" w:rsidRPr="00447869" w:rsidRDefault="008D0C09" w:rsidP="00021243">
            <w:pPr>
              <w:spacing w:before="120" w:after="120"/>
              <w:rPr>
                <w:rFonts w:asciiTheme="minorHAnsi" w:hAnsiTheme="minorHAnsi"/>
              </w:rPr>
            </w:pPr>
            <w:r>
              <w:rPr>
                <w:rFonts w:asciiTheme="minorHAnsi" w:hAnsiTheme="minorHAnsi"/>
              </w:rPr>
              <w:t xml:space="preserve">Neurology </w:t>
            </w:r>
          </w:p>
        </w:tc>
        <w:tc>
          <w:tcPr>
            <w:tcW w:w="4360" w:type="dxa"/>
            <w:vMerge w:val="restart"/>
          </w:tcPr>
          <w:p w:rsidR="00447869" w:rsidRPr="00C92149" w:rsidRDefault="00187169" w:rsidP="00866CE7">
            <w:pPr>
              <w:spacing w:before="120" w:after="120"/>
              <w:ind w:right="90"/>
              <w:rPr>
                <w:rFonts w:asciiTheme="minorHAnsi" w:hAnsiTheme="minorHAnsi"/>
                <w:szCs w:val="20"/>
              </w:rPr>
            </w:pPr>
            <w:r>
              <w:rPr>
                <w:rFonts w:asciiTheme="minorHAnsi" w:hAnsiTheme="minorHAnsi"/>
                <w:szCs w:val="20"/>
              </w:rPr>
              <w:t xml:space="preserve">The Specialist Working Group </w:t>
            </w:r>
            <w:r w:rsidR="00E658D6">
              <w:rPr>
                <w:rFonts w:asciiTheme="minorHAnsi" w:hAnsiTheme="minorHAnsi"/>
                <w:szCs w:val="20"/>
              </w:rPr>
              <w:t xml:space="preserve">recommends that the diagnosis should be limited to </w:t>
            </w:r>
            <w:r>
              <w:rPr>
                <w:rFonts w:asciiTheme="minorHAnsi" w:hAnsiTheme="minorHAnsi"/>
                <w:szCs w:val="20"/>
              </w:rPr>
              <w:t>N</w:t>
            </w:r>
            <w:r w:rsidR="00E658D6">
              <w:rPr>
                <w:rFonts w:asciiTheme="minorHAnsi" w:hAnsiTheme="minorHAnsi"/>
                <w:szCs w:val="20"/>
              </w:rPr>
              <w:t>eurologists</w:t>
            </w:r>
            <w:r w:rsidR="0018372F">
              <w:rPr>
                <w:rFonts w:asciiTheme="minorHAnsi" w:hAnsiTheme="minorHAnsi"/>
                <w:szCs w:val="20"/>
              </w:rPr>
              <w:t xml:space="preserve"> as this </w:t>
            </w:r>
            <w:r w:rsidR="00866CE7">
              <w:rPr>
                <w:rFonts w:asciiTheme="minorHAnsi" w:hAnsiTheme="minorHAnsi"/>
                <w:szCs w:val="20"/>
              </w:rPr>
              <w:t xml:space="preserve">rare </w:t>
            </w:r>
            <w:r w:rsidR="0018372F">
              <w:rPr>
                <w:rFonts w:asciiTheme="minorHAnsi" w:hAnsiTheme="minorHAnsi"/>
                <w:szCs w:val="20"/>
              </w:rPr>
              <w:t xml:space="preserve">neurological condition is </w:t>
            </w:r>
            <w:r w:rsidR="00866CE7">
              <w:rPr>
                <w:rFonts w:asciiTheme="minorHAnsi" w:hAnsiTheme="minorHAnsi"/>
                <w:szCs w:val="20"/>
              </w:rPr>
              <w:t xml:space="preserve">usually </w:t>
            </w:r>
            <w:r w:rsidR="0018372F">
              <w:rPr>
                <w:rFonts w:asciiTheme="minorHAnsi" w:hAnsiTheme="minorHAnsi"/>
                <w:szCs w:val="20"/>
              </w:rPr>
              <w:t>managed by neurologists</w:t>
            </w:r>
            <w:r w:rsidR="00E658D6">
              <w:rPr>
                <w:rFonts w:asciiTheme="minorHAnsi" w:hAnsiTheme="minorHAnsi"/>
                <w:szCs w:val="20"/>
              </w:rPr>
              <w:t xml:space="preserve">. </w:t>
            </w:r>
            <w:r w:rsidR="00272D71">
              <w:rPr>
                <w:rFonts w:asciiTheme="minorHAnsi" w:hAnsiTheme="minorHAnsi"/>
                <w:szCs w:val="20"/>
              </w:rPr>
              <w:t xml:space="preserve"> </w:t>
            </w:r>
          </w:p>
        </w:tc>
      </w:tr>
      <w:tr w:rsidR="00447869" w:rsidRPr="00853117" w:rsidTr="00E658D6">
        <w:tc>
          <w:tcPr>
            <w:tcW w:w="1556"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3265" w:type="dxa"/>
            <w:vMerge/>
          </w:tcPr>
          <w:p w:rsidR="00447869" w:rsidRPr="00447869" w:rsidRDefault="00447869" w:rsidP="00021243">
            <w:pPr>
              <w:spacing w:before="120" w:after="120"/>
              <w:rPr>
                <w:rFonts w:asciiTheme="minorHAnsi" w:hAnsiTheme="minorHAnsi"/>
              </w:rPr>
            </w:pPr>
          </w:p>
        </w:tc>
        <w:tc>
          <w:tcPr>
            <w:tcW w:w="1842" w:type="dxa"/>
          </w:tcPr>
          <w:p w:rsidR="00447869" w:rsidRPr="00447869" w:rsidRDefault="00447869" w:rsidP="00021243">
            <w:pPr>
              <w:spacing w:before="120" w:after="120"/>
              <w:rPr>
                <w:rFonts w:asciiTheme="minorHAnsi" w:hAnsiTheme="minorHAnsi"/>
              </w:rPr>
            </w:pPr>
          </w:p>
        </w:tc>
        <w:tc>
          <w:tcPr>
            <w:tcW w:w="1843"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43" w:type="dxa"/>
          </w:tcPr>
          <w:p w:rsidR="00447869" w:rsidRPr="00447869" w:rsidRDefault="00447869" w:rsidP="00021243">
            <w:pPr>
              <w:spacing w:before="120" w:after="120"/>
              <w:rPr>
                <w:rFonts w:asciiTheme="minorHAnsi" w:hAnsiTheme="minorHAnsi"/>
              </w:rPr>
            </w:pPr>
          </w:p>
        </w:tc>
        <w:tc>
          <w:tcPr>
            <w:tcW w:w="4360" w:type="dxa"/>
            <w:vMerge/>
          </w:tcPr>
          <w:p w:rsidR="00447869" w:rsidRPr="00C92149" w:rsidRDefault="00447869" w:rsidP="00021243">
            <w:pPr>
              <w:spacing w:before="120" w:after="120"/>
              <w:rPr>
                <w:rFonts w:asciiTheme="minorHAnsi" w:hAnsiTheme="minorHAnsi"/>
                <w:szCs w:val="20"/>
              </w:rPr>
            </w:pPr>
          </w:p>
        </w:tc>
      </w:tr>
      <w:tr w:rsidR="00447869" w:rsidRPr="00853117" w:rsidTr="00272D71">
        <w:tc>
          <w:tcPr>
            <w:tcW w:w="1556" w:type="dxa"/>
            <w:shd w:val="clear" w:color="auto" w:fill="D9D9D9" w:themeFill="background1" w:themeFillShade="D9"/>
          </w:tcPr>
          <w:p w:rsidR="00447869" w:rsidRPr="00FE3F41" w:rsidRDefault="00447869" w:rsidP="00021243">
            <w:pPr>
              <w:spacing w:before="120" w:after="120"/>
              <w:rPr>
                <w:rFonts w:asciiTheme="minorHAnsi" w:hAnsiTheme="minorHAnsi"/>
                <w:b/>
              </w:rPr>
            </w:pPr>
            <w:r w:rsidRPr="00447869">
              <w:rPr>
                <w:rFonts w:asciiTheme="minorHAnsi" w:hAnsiTheme="minorHAnsi"/>
                <w:b/>
              </w:rPr>
              <w:t>Exclusion Criteria</w:t>
            </w:r>
          </w:p>
        </w:tc>
        <w:tc>
          <w:tcPr>
            <w:tcW w:w="3265"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528" w:type="dxa"/>
            <w:gridSpan w:val="3"/>
          </w:tcPr>
          <w:p w:rsidR="00447869" w:rsidRPr="00447869" w:rsidRDefault="00447869" w:rsidP="00021243">
            <w:pPr>
              <w:spacing w:before="120" w:after="120"/>
              <w:rPr>
                <w:rFonts w:asciiTheme="minorHAnsi" w:hAnsiTheme="minorHAnsi"/>
                <w:strike/>
              </w:rPr>
            </w:pPr>
          </w:p>
        </w:tc>
        <w:tc>
          <w:tcPr>
            <w:tcW w:w="4360" w:type="dxa"/>
          </w:tcPr>
          <w:p w:rsidR="00447869" w:rsidRPr="00C92149" w:rsidRDefault="00447869" w:rsidP="003A1F9D">
            <w:pPr>
              <w:spacing w:before="120" w:after="120"/>
              <w:rPr>
                <w:rFonts w:asciiTheme="minorHAnsi" w:hAnsiTheme="minorHAnsi"/>
                <w:szCs w:val="20"/>
              </w:rPr>
            </w:pPr>
          </w:p>
        </w:tc>
      </w:tr>
      <w:tr w:rsidR="00021243" w:rsidRPr="00853117" w:rsidTr="00272D71">
        <w:tc>
          <w:tcPr>
            <w:tcW w:w="1556" w:type="dxa"/>
            <w:shd w:val="clear" w:color="auto" w:fill="D9D9D9" w:themeFill="background1" w:themeFillShade="D9"/>
          </w:tcPr>
          <w:p w:rsidR="00021243" w:rsidRPr="00447869" w:rsidRDefault="00021243" w:rsidP="00E658D6">
            <w:pPr>
              <w:spacing w:before="120" w:after="120"/>
              <w:rPr>
                <w:rFonts w:asciiTheme="minorHAnsi" w:hAnsiTheme="minorHAnsi"/>
              </w:rPr>
            </w:pPr>
            <w:r w:rsidRPr="00447869">
              <w:rPr>
                <w:rFonts w:asciiTheme="minorHAnsi" w:hAnsiTheme="minorHAnsi"/>
                <w:b/>
              </w:rPr>
              <w:t>Qualifying Criteria</w:t>
            </w:r>
          </w:p>
        </w:tc>
        <w:tc>
          <w:tcPr>
            <w:tcW w:w="3265"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5528" w:type="dxa"/>
            <w:gridSpan w:val="3"/>
          </w:tcPr>
          <w:p w:rsidR="008D0C09" w:rsidRPr="00E658D6" w:rsidRDefault="008D0C09" w:rsidP="00E658D6">
            <w:pPr>
              <w:pStyle w:val="ListParagraph"/>
              <w:numPr>
                <w:ilvl w:val="0"/>
                <w:numId w:val="46"/>
              </w:numPr>
              <w:spacing w:before="100" w:beforeAutospacing="1"/>
              <w:rPr>
                <w:rFonts w:asciiTheme="minorHAnsi" w:hAnsiTheme="minorHAnsi"/>
              </w:rPr>
            </w:pPr>
            <w:r w:rsidRPr="008D0C09">
              <w:rPr>
                <w:rFonts w:asciiTheme="minorHAnsi" w:hAnsiTheme="minorHAnsi"/>
              </w:rPr>
              <w:t xml:space="preserve">Clinical features, EEG and MRI findings consistent with a diagnosis of Rasmussen encephalitis per  the European Consensus Statement (Bien, 2005) </w:t>
            </w:r>
          </w:p>
          <w:p w:rsidR="008D0C09" w:rsidRPr="008D0C09" w:rsidRDefault="008D0C09" w:rsidP="00E658D6">
            <w:pPr>
              <w:pStyle w:val="ListParagraph"/>
              <w:spacing w:before="100" w:beforeAutospacing="1"/>
              <w:ind w:left="34"/>
              <w:jc w:val="center"/>
              <w:rPr>
                <w:rFonts w:asciiTheme="minorHAnsi" w:hAnsiTheme="minorHAnsi"/>
              </w:rPr>
            </w:pPr>
            <w:r w:rsidRPr="008D0C09">
              <w:rPr>
                <w:rFonts w:asciiTheme="minorHAnsi" w:hAnsiTheme="minorHAnsi"/>
              </w:rPr>
              <w:t>OR</w:t>
            </w:r>
          </w:p>
          <w:p w:rsidR="008D0C09" w:rsidRPr="00E658D6" w:rsidRDefault="008D0C09" w:rsidP="00E658D6">
            <w:pPr>
              <w:pStyle w:val="ListParagraph"/>
              <w:numPr>
                <w:ilvl w:val="0"/>
                <w:numId w:val="46"/>
              </w:numPr>
              <w:spacing w:before="100" w:beforeAutospacing="1"/>
              <w:rPr>
                <w:rFonts w:asciiTheme="minorHAnsi" w:hAnsiTheme="minorHAnsi"/>
              </w:rPr>
            </w:pPr>
            <w:r w:rsidRPr="008D0C09">
              <w:rPr>
                <w:rFonts w:asciiTheme="minorHAnsi" w:hAnsiTheme="minorHAnsi"/>
              </w:rPr>
              <w:t xml:space="preserve">Two of typical clinical features, MRI changes or histopathology findings consistent with a diagnosis of Rasmussen encephalitis per the European </w:t>
            </w:r>
            <w:r w:rsidR="008008AE">
              <w:rPr>
                <w:rFonts w:asciiTheme="minorHAnsi" w:hAnsiTheme="minorHAnsi"/>
              </w:rPr>
              <w:t>Consensus Statement</w:t>
            </w:r>
            <w:r w:rsidRPr="008D0C09">
              <w:rPr>
                <w:rFonts w:asciiTheme="minorHAnsi" w:hAnsiTheme="minorHAnsi"/>
              </w:rPr>
              <w:t xml:space="preserve"> (Bien, 2005) </w:t>
            </w:r>
          </w:p>
          <w:p w:rsidR="008D0C09" w:rsidRPr="008D0C09" w:rsidRDefault="008D0C09" w:rsidP="008D0C09">
            <w:pPr>
              <w:pStyle w:val="ListParagraph"/>
              <w:spacing w:before="100" w:beforeAutospacing="1"/>
              <w:ind w:left="34"/>
              <w:rPr>
                <w:rFonts w:asciiTheme="minorHAnsi" w:hAnsiTheme="minorHAnsi"/>
              </w:rPr>
            </w:pPr>
            <w:r w:rsidRPr="008D0C09">
              <w:rPr>
                <w:rFonts w:asciiTheme="minorHAnsi" w:hAnsiTheme="minorHAnsi"/>
              </w:rPr>
              <w:t xml:space="preserve">AND </w:t>
            </w:r>
          </w:p>
          <w:p w:rsidR="008D0C09" w:rsidRPr="00E658D6" w:rsidRDefault="008D0C09" w:rsidP="00E658D6">
            <w:pPr>
              <w:pStyle w:val="ListParagraph"/>
              <w:numPr>
                <w:ilvl w:val="0"/>
                <w:numId w:val="46"/>
              </w:numPr>
              <w:spacing w:before="100" w:beforeAutospacing="1"/>
              <w:rPr>
                <w:rFonts w:asciiTheme="minorHAnsi" w:hAnsiTheme="minorHAnsi"/>
              </w:rPr>
            </w:pPr>
            <w:r w:rsidRPr="008D0C09">
              <w:rPr>
                <w:rFonts w:asciiTheme="minorHAnsi" w:hAnsiTheme="minorHAnsi"/>
              </w:rPr>
              <w:t xml:space="preserve">Significant level of disability as measured by a </w:t>
            </w:r>
            <w:r w:rsidRPr="008D0C09">
              <w:rPr>
                <w:rFonts w:asciiTheme="minorHAnsi" w:hAnsiTheme="minorHAnsi"/>
              </w:rPr>
              <w:lastRenderedPageBreak/>
              <w:t xml:space="preserve">Modified Rankin Score of at least 3 points </w:t>
            </w:r>
          </w:p>
          <w:p w:rsidR="008D0C09" w:rsidRPr="008D0C09" w:rsidRDefault="008D0C09" w:rsidP="008D0C09">
            <w:pPr>
              <w:pStyle w:val="ListParagraph"/>
              <w:spacing w:before="100" w:beforeAutospacing="1"/>
              <w:ind w:left="34"/>
              <w:rPr>
                <w:rFonts w:asciiTheme="minorHAnsi" w:hAnsiTheme="minorHAnsi"/>
              </w:rPr>
            </w:pPr>
            <w:r w:rsidRPr="008D0C09">
              <w:rPr>
                <w:rFonts w:asciiTheme="minorHAnsi" w:hAnsiTheme="minorHAnsi"/>
              </w:rPr>
              <w:t xml:space="preserve">AND </w:t>
            </w:r>
          </w:p>
          <w:p w:rsidR="008D0C09" w:rsidRPr="00E658D6" w:rsidRDefault="008D0C09" w:rsidP="00E658D6">
            <w:pPr>
              <w:pStyle w:val="ListParagraph"/>
              <w:numPr>
                <w:ilvl w:val="0"/>
                <w:numId w:val="46"/>
              </w:numPr>
              <w:spacing w:before="100" w:beforeAutospacing="1"/>
              <w:rPr>
                <w:rFonts w:asciiTheme="minorHAnsi" w:hAnsiTheme="minorHAnsi"/>
              </w:rPr>
            </w:pPr>
            <w:r w:rsidRPr="008D0C09">
              <w:rPr>
                <w:rFonts w:asciiTheme="minorHAnsi" w:hAnsiTheme="minorHAnsi"/>
              </w:rPr>
              <w:t xml:space="preserve">Concurrent steroid therapy </w:t>
            </w:r>
          </w:p>
          <w:p w:rsidR="008D0C09" w:rsidRPr="008D0C09" w:rsidRDefault="008D0C09" w:rsidP="00E658D6">
            <w:pPr>
              <w:pStyle w:val="ListParagraph"/>
              <w:spacing w:before="100" w:beforeAutospacing="1"/>
              <w:ind w:left="34"/>
              <w:jc w:val="center"/>
              <w:rPr>
                <w:rFonts w:asciiTheme="minorHAnsi" w:hAnsiTheme="minorHAnsi"/>
              </w:rPr>
            </w:pPr>
            <w:r w:rsidRPr="008D0C09">
              <w:rPr>
                <w:rFonts w:asciiTheme="minorHAnsi" w:hAnsiTheme="minorHAnsi"/>
              </w:rPr>
              <w:t>OR</w:t>
            </w:r>
          </w:p>
          <w:p w:rsidR="00880ECB" w:rsidRPr="00880ECB" w:rsidRDefault="008D0C09" w:rsidP="00517404">
            <w:pPr>
              <w:pStyle w:val="ListParagraph"/>
              <w:numPr>
                <w:ilvl w:val="0"/>
                <w:numId w:val="46"/>
              </w:numPr>
              <w:spacing w:before="100" w:beforeAutospacing="1"/>
              <w:rPr>
                <w:rFonts w:asciiTheme="minorHAnsi" w:hAnsiTheme="minorHAnsi"/>
              </w:rPr>
            </w:pPr>
            <w:r w:rsidRPr="008D0C09">
              <w:rPr>
                <w:rFonts w:asciiTheme="minorHAnsi" w:hAnsiTheme="minorHAnsi"/>
              </w:rPr>
              <w:t>Ster</w:t>
            </w:r>
            <w:r>
              <w:rPr>
                <w:rFonts w:asciiTheme="minorHAnsi" w:hAnsiTheme="minorHAnsi"/>
              </w:rPr>
              <w:t>oid therapy is contraindicated.</w:t>
            </w:r>
          </w:p>
        </w:tc>
        <w:tc>
          <w:tcPr>
            <w:tcW w:w="4360" w:type="dxa"/>
          </w:tcPr>
          <w:p w:rsidR="00E658D6" w:rsidRPr="00C92149" w:rsidRDefault="00E658D6" w:rsidP="00E658D6">
            <w:pPr>
              <w:spacing w:before="120" w:after="120"/>
              <w:rPr>
                <w:rFonts w:asciiTheme="minorHAnsi" w:hAnsiTheme="minorHAnsi"/>
                <w:szCs w:val="20"/>
              </w:rPr>
            </w:pPr>
            <w:r>
              <w:rPr>
                <w:szCs w:val="20"/>
              </w:rPr>
              <w:lastRenderedPageBreak/>
              <w:t xml:space="preserve">Qualifying criteria have been based on the European Consensus Statement (Bien, 2005) and </w:t>
            </w:r>
            <w:r w:rsidR="00187169">
              <w:rPr>
                <w:rFonts w:asciiTheme="minorHAnsi" w:hAnsiTheme="minorHAnsi"/>
                <w:szCs w:val="20"/>
              </w:rPr>
              <w:t>Specialist Working Group</w:t>
            </w:r>
            <w:r>
              <w:rPr>
                <w:szCs w:val="20"/>
              </w:rPr>
              <w:t xml:space="preserve"> consensus. Supporting evidence items include relevant objective measures to confirm that the criteria have been met. </w:t>
            </w:r>
          </w:p>
          <w:p w:rsidR="008515FF" w:rsidRDefault="008515FF" w:rsidP="008515FF">
            <w:pPr>
              <w:spacing w:before="120" w:after="120"/>
              <w:rPr>
                <w:rFonts w:asciiTheme="minorHAnsi" w:hAnsiTheme="minorHAnsi"/>
                <w:szCs w:val="20"/>
              </w:rPr>
            </w:pPr>
          </w:p>
          <w:p w:rsidR="00E658D6" w:rsidRDefault="00E658D6" w:rsidP="008515FF">
            <w:pPr>
              <w:spacing w:before="120" w:after="120"/>
              <w:rPr>
                <w:rFonts w:asciiTheme="minorHAnsi" w:hAnsiTheme="minorHAnsi"/>
                <w:szCs w:val="20"/>
              </w:rPr>
            </w:pPr>
          </w:p>
          <w:p w:rsidR="00E658D6" w:rsidRDefault="00E658D6" w:rsidP="00E658D6">
            <w:pPr>
              <w:spacing w:before="120" w:after="120"/>
              <w:rPr>
                <w:rFonts w:asciiTheme="minorHAnsi" w:hAnsiTheme="minorHAnsi"/>
                <w:szCs w:val="20"/>
              </w:rPr>
            </w:pPr>
            <w:r>
              <w:rPr>
                <w:rFonts w:asciiTheme="minorHAnsi" w:hAnsiTheme="minorHAnsi"/>
                <w:szCs w:val="20"/>
              </w:rPr>
              <w:t xml:space="preserve">The modified Rankin Scale has been adapted </w:t>
            </w:r>
            <w:r>
              <w:rPr>
                <w:rFonts w:asciiTheme="minorHAnsi" w:hAnsiTheme="minorHAnsi"/>
                <w:szCs w:val="20"/>
              </w:rPr>
              <w:lastRenderedPageBreak/>
              <w:t xml:space="preserve">to provide a standard method of assessment for disability. </w:t>
            </w:r>
          </w:p>
          <w:p w:rsidR="00E658D6" w:rsidRDefault="00E658D6" w:rsidP="00E658D6">
            <w:pPr>
              <w:spacing w:before="120" w:after="120"/>
              <w:rPr>
                <w:rFonts w:asciiTheme="minorHAnsi" w:hAnsiTheme="minorHAnsi"/>
                <w:szCs w:val="20"/>
              </w:rPr>
            </w:pPr>
          </w:p>
          <w:p w:rsidR="00880ECB" w:rsidRPr="00C92149" w:rsidRDefault="00E658D6" w:rsidP="003A1F9D">
            <w:pPr>
              <w:spacing w:before="120" w:after="120"/>
              <w:rPr>
                <w:rFonts w:asciiTheme="minorHAnsi" w:hAnsiTheme="minorHAnsi"/>
                <w:szCs w:val="20"/>
              </w:rPr>
            </w:pPr>
            <w:r>
              <w:rPr>
                <w:rFonts w:asciiTheme="minorHAnsi" w:hAnsiTheme="minorHAnsi"/>
                <w:szCs w:val="20"/>
              </w:rPr>
              <w:t>Ig therapy should be given concurrently with steroid therapy unless contraindicated.</w:t>
            </w:r>
          </w:p>
        </w:tc>
      </w:tr>
      <w:tr w:rsidR="00021243" w:rsidRPr="00853117" w:rsidTr="00272D71">
        <w:tc>
          <w:tcPr>
            <w:tcW w:w="1556" w:type="dxa"/>
            <w:shd w:val="clear" w:color="auto" w:fill="D9D9D9" w:themeFill="background1" w:themeFillShade="D9"/>
          </w:tcPr>
          <w:p w:rsidR="00021243" w:rsidRPr="00447869" w:rsidRDefault="00021243" w:rsidP="00E658D6">
            <w:pPr>
              <w:spacing w:before="120" w:after="120"/>
              <w:rPr>
                <w:rFonts w:asciiTheme="minorHAnsi" w:hAnsiTheme="minorHAnsi"/>
              </w:rPr>
            </w:pPr>
            <w:r w:rsidRPr="00447869">
              <w:rPr>
                <w:rFonts w:asciiTheme="minorHAnsi" w:hAnsiTheme="minorHAnsi"/>
                <w:b/>
              </w:rPr>
              <w:lastRenderedPageBreak/>
              <w:t>Review Criteria</w:t>
            </w:r>
          </w:p>
        </w:tc>
        <w:tc>
          <w:tcPr>
            <w:tcW w:w="3265"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5528" w:type="dxa"/>
            <w:gridSpan w:val="3"/>
          </w:tcPr>
          <w:p w:rsidR="008D0C09" w:rsidRDefault="008D0C09" w:rsidP="008D0C09">
            <w:pPr>
              <w:spacing w:before="120" w:after="120"/>
            </w:pPr>
            <w:r w:rsidRPr="008D0C09">
              <w:t xml:space="preserve">Review by a </w:t>
            </w:r>
            <w:r w:rsidR="00187169">
              <w:t>N</w:t>
            </w:r>
            <w:r w:rsidRPr="008D0C09">
              <w:t>eurologist is required within 6 months of treatment and annually thereafter. It is recognised that the acute phase of Rasmussen encephalitis can last for at least 12 months followed by stabilisation of symptoms and residual disease. The aim of Ig therapy is to reduce the trajectory of deterioration in a progressive d</w:t>
            </w:r>
            <w:r w:rsidR="00E658D6">
              <w:t>isease.  (Varadkar et al, 2014)</w:t>
            </w:r>
            <w:r w:rsidRPr="008D0C09">
              <w:t xml:space="preserve">. Some patients will have aggressive and refractory disease, and in these cases hemispherectomy may be the preferred option (discussed in figure 4, Varadkar et al, 2014). </w:t>
            </w:r>
          </w:p>
          <w:p w:rsidR="0042394C" w:rsidRPr="008D0C09" w:rsidRDefault="0042394C" w:rsidP="0042394C">
            <w:pPr>
              <w:spacing w:before="120" w:after="120"/>
            </w:pPr>
            <w:r w:rsidRPr="008D0C09">
              <w:t xml:space="preserve">For patients on maintenance treatment, review by a Neurologist is required at least annually. </w:t>
            </w:r>
            <w:r w:rsidR="00011CD7">
              <w:t xml:space="preserve">It is recognised that patients will typically reach a stabilisation phase eighteen months to two years from onset, at which time, a trial of weaning should be considered. </w:t>
            </w:r>
          </w:p>
          <w:p w:rsidR="008D0C09" w:rsidRPr="008D0C09" w:rsidRDefault="008D0C09" w:rsidP="008D0C09">
            <w:pPr>
              <w:spacing w:before="120" w:after="120"/>
            </w:pPr>
          </w:p>
          <w:p w:rsidR="008D0C09" w:rsidRPr="008D0C09" w:rsidRDefault="008D0C09" w:rsidP="008D0C09">
            <w:pPr>
              <w:spacing w:before="120" w:after="120"/>
            </w:pPr>
            <w:r w:rsidRPr="008D0C09">
              <w:t xml:space="preserve">Documentation of clinical effectiveness is necessary for continuation of </w:t>
            </w:r>
            <w:r w:rsidR="008008AE">
              <w:t>IVIg</w:t>
            </w:r>
            <w:r w:rsidRPr="008D0C09">
              <w:t xml:space="preserve"> therapy.  </w:t>
            </w:r>
          </w:p>
          <w:p w:rsidR="008D0C09" w:rsidRPr="00E658D6" w:rsidRDefault="008D0C09" w:rsidP="008D0C09">
            <w:pPr>
              <w:spacing w:before="120" w:after="120"/>
              <w:rPr>
                <w:b/>
              </w:rPr>
            </w:pPr>
            <w:r w:rsidRPr="00E658D6">
              <w:rPr>
                <w:b/>
              </w:rPr>
              <w:t>On review of the initial authorisation period</w:t>
            </w:r>
          </w:p>
          <w:p w:rsidR="008D0C09" w:rsidRPr="008D0C09" w:rsidRDefault="008D0C09" w:rsidP="008D0C09">
            <w:pPr>
              <w:spacing w:before="120" w:after="120"/>
            </w:pPr>
            <w:r w:rsidRPr="008D0C09">
              <w:t xml:space="preserve">Clinical effectiveness of Ig therapy can be demonstrated by: </w:t>
            </w:r>
          </w:p>
          <w:p w:rsidR="008D0C09" w:rsidRPr="008D0C09" w:rsidRDefault="008D0C09" w:rsidP="008D0C09">
            <w:pPr>
              <w:pStyle w:val="ListParagraph"/>
              <w:numPr>
                <w:ilvl w:val="0"/>
                <w:numId w:val="46"/>
              </w:numPr>
              <w:spacing w:before="120" w:after="120"/>
            </w:pPr>
            <w:r w:rsidRPr="008D0C09">
              <w:t xml:space="preserve">Reduction in the rate of deterioration or </w:t>
            </w:r>
            <w:r w:rsidRPr="008D0C09">
              <w:lastRenderedPageBreak/>
              <w:t xml:space="preserve">stabilisation of symptoms and disability compared to the qualifying assessment </w:t>
            </w:r>
          </w:p>
          <w:p w:rsidR="008D0C09" w:rsidRPr="00E658D6" w:rsidRDefault="008D0C09" w:rsidP="008D0C09">
            <w:pPr>
              <w:spacing w:before="120" w:after="120"/>
              <w:rPr>
                <w:b/>
              </w:rPr>
            </w:pPr>
            <w:r w:rsidRPr="00E658D6">
              <w:rPr>
                <w:b/>
              </w:rPr>
              <w:t xml:space="preserve">On review of a continuing authorisation period </w:t>
            </w:r>
          </w:p>
          <w:p w:rsidR="008D0C09" w:rsidRPr="008D0C09" w:rsidRDefault="008D0C09" w:rsidP="008D0C09">
            <w:pPr>
              <w:spacing w:before="120" w:after="120"/>
            </w:pPr>
            <w:r w:rsidRPr="008D0C09">
              <w:t xml:space="preserve">Clinical effectiveness of Ig therapy can be demonstrated by: </w:t>
            </w:r>
          </w:p>
          <w:p w:rsidR="008D0C09" w:rsidRPr="008D0C09" w:rsidRDefault="008D0C09" w:rsidP="008D0C09">
            <w:pPr>
              <w:pStyle w:val="ListParagraph"/>
              <w:numPr>
                <w:ilvl w:val="0"/>
                <w:numId w:val="46"/>
              </w:numPr>
              <w:spacing w:before="120" w:after="120"/>
            </w:pPr>
            <w:r w:rsidRPr="008D0C09">
              <w:t xml:space="preserve">Reduction in the rate of deterioration or stabilisation of symptoms and disability compared to the previous review assessment </w:t>
            </w:r>
          </w:p>
          <w:p w:rsidR="008D0C09" w:rsidRPr="008D0C09" w:rsidRDefault="008D0C09" w:rsidP="008D0C09">
            <w:pPr>
              <w:spacing w:before="120" w:after="120"/>
            </w:pPr>
            <w:r w:rsidRPr="008D0C09">
              <w:t xml:space="preserve">AND </w:t>
            </w:r>
          </w:p>
          <w:p w:rsidR="00021243" w:rsidRDefault="008D0C09" w:rsidP="00517404">
            <w:pPr>
              <w:pStyle w:val="ListParagraph"/>
              <w:numPr>
                <w:ilvl w:val="0"/>
                <w:numId w:val="46"/>
              </w:numPr>
              <w:spacing w:before="120" w:after="120"/>
            </w:pPr>
            <w:r w:rsidRPr="008D0C09">
              <w:t>A trial of</w:t>
            </w:r>
            <w:r w:rsidR="00214054">
              <w:t xml:space="preserve"> </w:t>
            </w:r>
            <w:r w:rsidRPr="008D0C09">
              <w:t>Ig weaning  is planned for patients who have entered the residual stage of disease (permanent and stable neurologic deficits and continuing seizures) or a valid reason provided as to why a trial is not being planned or is contra-indicated at th</w:t>
            </w:r>
            <w:r>
              <w:t>is time.</w:t>
            </w:r>
          </w:p>
          <w:p w:rsidR="00FE3F41" w:rsidRPr="008D0C09" w:rsidRDefault="00FE3F41" w:rsidP="00FE3F41">
            <w:pPr>
              <w:pStyle w:val="ListParagraph"/>
              <w:spacing w:before="120" w:after="120"/>
              <w:ind w:left="754"/>
            </w:pPr>
          </w:p>
        </w:tc>
        <w:tc>
          <w:tcPr>
            <w:tcW w:w="4360" w:type="dxa"/>
          </w:tcPr>
          <w:p w:rsidR="00E658D6" w:rsidRDefault="00E658D6" w:rsidP="00E658D6">
            <w:pPr>
              <w:spacing w:before="120" w:after="120"/>
              <w:rPr>
                <w:szCs w:val="20"/>
              </w:rPr>
            </w:pPr>
            <w:r>
              <w:rPr>
                <w:szCs w:val="20"/>
              </w:rPr>
              <w:lastRenderedPageBreak/>
              <w:t xml:space="preserve">Review criteria have been developed to ensure appropriate use of immunoglobulin and to support a reduction in the rate of deterioration. The </w:t>
            </w:r>
            <w:r w:rsidR="00187169">
              <w:rPr>
                <w:rFonts w:asciiTheme="minorHAnsi" w:hAnsiTheme="minorHAnsi"/>
                <w:szCs w:val="20"/>
              </w:rPr>
              <w:t>Specialist Working Group</w:t>
            </w:r>
            <w:r>
              <w:rPr>
                <w:szCs w:val="20"/>
              </w:rPr>
              <w:t xml:space="preserve"> noted that the usual approach of assessing measurable benefit by improvement may not apply to all patients during the acute phase. While a number of patients may improve in the acute phase, it is recognised that some will continue to deteriorate however, Ig will slow the rate of deterioration. </w:t>
            </w:r>
          </w:p>
          <w:p w:rsidR="00E658D6" w:rsidRDefault="00E658D6" w:rsidP="00E658D6">
            <w:pPr>
              <w:spacing w:before="120" w:after="120"/>
              <w:rPr>
                <w:szCs w:val="20"/>
              </w:rPr>
            </w:pPr>
          </w:p>
          <w:p w:rsidR="00E658D6" w:rsidRDefault="00E658D6" w:rsidP="00E658D6">
            <w:pPr>
              <w:spacing w:before="120" w:after="120"/>
              <w:rPr>
                <w:szCs w:val="20"/>
              </w:rPr>
            </w:pPr>
          </w:p>
          <w:p w:rsidR="00E658D6" w:rsidRDefault="00E658D6" w:rsidP="00E658D6">
            <w:pPr>
              <w:spacing w:before="120" w:after="120"/>
              <w:rPr>
                <w:szCs w:val="20"/>
              </w:rPr>
            </w:pPr>
          </w:p>
          <w:p w:rsidR="00E658D6" w:rsidRDefault="00E658D6" w:rsidP="00E658D6">
            <w:pPr>
              <w:spacing w:before="120" w:after="120"/>
              <w:rPr>
                <w:szCs w:val="20"/>
              </w:rPr>
            </w:pPr>
          </w:p>
          <w:p w:rsidR="00E658D6" w:rsidRPr="00C92149" w:rsidRDefault="00E658D6" w:rsidP="00E658D6">
            <w:pPr>
              <w:spacing w:before="120" w:after="120"/>
              <w:rPr>
                <w:szCs w:val="20"/>
              </w:rPr>
            </w:pPr>
            <w:r>
              <w:rPr>
                <w:szCs w:val="20"/>
              </w:rPr>
              <w:t xml:space="preserve">A drop down list of relevant values will allow the </w:t>
            </w:r>
            <w:r w:rsidR="00187169">
              <w:rPr>
                <w:szCs w:val="20"/>
              </w:rPr>
              <w:t>N</w:t>
            </w:r>
            <w:r>
              <w:rPr>
                <w:szCs w:val="20"/>
              </w:rPr>
              <w:t xml:space="preserve">eurologist to report the clinical outcome as well as a description of current symptoms being reported. </w:t>
            </w:r>
          </w:p>
          <w:p w:rsidR="00BD6C2D" w:rsidRPr="00C92149" w:rsidRDefault="00BD6C2D" w:rsidP="00021243">
            <w:pPr>
              <w:spacing w:before="120" w:after="120"/>
              <w:rPr>
                <w:rFonts w:asciiTheme="minorHAnsi" w:hAnsiTheme="minorHAnsi"/>
                <w:szCs w:val="20"/>
              </w:rPr>
            </w:pPr>
          </w:p>
        </w:tc>
      </w:tr>
      <w:tr w:rsidR="00021243" w:rsidRPr="00853117" w:rsidTr="00272D71">
        <w:tc>
          <w:tcPr>
            <w:tcW w:w="1556" w:type="dxa"/>
            <w:shd w:val="clear" w:color="auto" w:fill="D9D9D9" w:themeFill="background1" w:themeFillShade="D9"/>
          </w:tcPr>
          <w:p w:rsidR="00021243" w:rsidRPr="00447869" w:rsidRDefault="00021243" w:rsidP="00E658D6">
            <w:pPr>
              <w:spacing w:before="120" w:after="120"/>
              <w:rPr>
                <w:rFonts w:asciiTheme="minorHAnsi" w:hAnsiTheme="minorHAnsi"/>
              </w:rPr>
            </w:pPr>
            <w:r w:rsidRPr="00447869">
              <w:rPr>
                <w:rFonts w:asciiTheme="minorHAnsi" w:hAnsiTheme="minorHAnsi"/>
                <w:b/>
              </w:rPr>
              <w:lastRenderedPageBreak/>
              <w:t>Dose</w:t>
            </w:r>
          </w:p>
        </w:tc>
        <w:tc>
          <w:tcPr>
            <w:tcW w:w="3265" w:type="dxa"/>
          </w:tcPr>
          <w:p w:rsidR="000910F2" w:rsidRPr="001007CD" w:rsidRDefault="000910F2" w:rsidP="000910F2">
            <w:pPr>
              <w:tabs>
                <w:tab w:val="left" w:pos="991"/>
              </w:tabs>
              <w:spacing w:after="240" w:line="20" w:lineRule="atLeast"/>
              <w:rPr>
                <w:rFonts w:asciiTheme="minorHAnsi" w:eastAsia="Times New Roman" w:hAnsiTheme="minorHAnsi" w:cs="Times New Roman"/>
                <w:color w:val="000000"/>
                <w:lang w:eastAsia="en-AU"/>
              </w:rPr>
            </w:pPr>
            <w:r w:rsidRPr="001007CD">
              <w:rPr>
                <w:rFonts w:asciiTheme="minorHAnsi" w:eastAsia="Times New Roman" w:hAnsiTheme="minorHAnsi" w:cs="Times New Roman"/>
                <w:color w:val="000000"/>
                <w:lang w:eastAsia="en-AU"/>
              </w:rPr>
              <w:t>Refer to the current product information sheet for further information.</w:t>
            </w:r>
          </w:p>
          <w:p w:rsidR="00021243" w:rsidRPr="00447869" w:rsidRDefault="000910F2" w:rsidP="000910F2">
            <w:pPr>
              <w:spacing w:before="120" w:after="120"/>
              <w:rPr>
                <w:rFonts w:asciiTheme="minorHAnsi" w:hAnsiTheme="minorHAnsi"/>
                <w:b/>
              </w:rPr>
            </w:pPr>
            <w:r w:rsidRPr="001007CD">
              <w:rPr>
                <w:rFonts w:asciiTheme="minorHAnsi" w:eastAsia="Times New Roman" w:hAnsiTheme="minorHAnsi" w:cs="Times New Roman"/>
                <w:color w:val="000000"/>
                <w:lang w:eastAsia="en-AU"/>
              </w:rPr>
              <w:t>The aim should be to use the lowest dose possible that achieves the appropriate clinical outcome for each patient.</w:t>
            </w:r>
          </w:p>
        </w:tc>
        <w:tc>
          <w:tcPr>
            <w:tcW w:w="5528" w:type="dxa"/>
            <w:gridSpan w:val="3"/>
          </w:tcPr>
          <w:p w:rsidR="008D0C09" w:rsidRPr="00E658D6" w:rsidRDefault="008D0C09" w:rsidP="008D0C09">
            <w:pPr>
              <w:spacing w:before="120" w:after="120"/>
              <w:rPr>
                <w:rFonts w:asciiTheme="minorHAnsi" w:hAnsiTheme="minorHAnsi"/>
                <w:b/>
              </w:rPr>
            </w:pPr>
            <w:r w:rsidRPr="00E658D6">
              <w:rPr>
                <w:rFonts w:asciiTheme="minorHAnsi" w:hAnsiTheme="minorHAnsi"/>
                <w:b/>
              </w:rPr>
              <w:t>Induction</w:t>
            </w:r>
            <w:r w:rsidR="00E658D6" w:rsidRPr="00E658D6">
              <w:rPr>
                <w:rFonts w:asciiTheme="minorHAnsi" w:hAnsiTheme="minorHAnsi"/>
                <w:b/>
              </w:rPr>
              <w:t xml:space="preserve"> Dose</w:t>
            </w:r>
            <w:r w:rsidRPr="00E658D6">
              <w:rPr>
                <w:rFonts w:asciiTheme="minorHAnsi" w:hAnsiTheme="minorHAnsi"/>
                <w:b/>
              </w:rPr>
              <w:t xml:space="preserve"> – 2 g/kg in divided doses over 2 to 5 days </w:t>
            </w:r>
          </w:p>
          <w:p w:rsidR="008D0C09" w:rsidRPr="00E658D6" w:rsidRDefault="008D0C09" w:rsidP="008D0C09">
            <w:pPr>
              <w:spacing w:before="120" w:after="120"/>
              <w:rPr>
                <w:rFonts w:asciiTheme="minorHAnsi" w:hAnsiTheme="minorHAnsi"/>
                <w:b/>
              </w:rPr>
            </w:pPr>
            <w:r w:rsidRPr="00E658D6">
              <w:rPr>
                <w:rFonts w:asciiTheme="minorHAnsi" w:hAnsiTheme="minorHAnsi"/>
                <w:b/>
              </w:rPr>
              <w:t>Maintenance</w:t>
            </w:r>
            <w:r w:rsidR="00E658D6" w:rsidRPr="00E658D6">
              <w:rPr>
                <w:rFonts w:asciiTheme="minorHAnsi" w:hAnsiTheme="minorHAnsi"/>
                <w:b/>
              </w:rPr>
              <w:t xml:space="preserve"> Dose </w:t>
            </w:r>
            <w:r w:rsidRPr="00E658D6">
              <w:rPr>
                <w:rFonts w:asciiTheme="minorHAnsi" w:hAnsiTheme="minorHAnsi"/>
                <w:b/>
              </w:rPr>
              <w:t xml:space="preserve"> -1 g/kg monthly as a single dose</w:t>
            </w:r>
          </w:p>
          <w:p w:rsidR="008D0C09" w:rsidRPr="008D0C09" w:rsidRDefault="008D0C09" w:rsidP="008D0C09">
            <w:pPr>
              <w:spacing w:before="120" w:after="120"/>
              <w:rPr>
                <w:rFonts w:asciiTheme="minorHAnsi" w:hAnsiTheme="minorHAnsi"/>
              </w:rPr>
            </w:pPr>
            <w:r w:rsidRPr="008D0C09">
              <w:rPr>
                <w:rFonts w:asciiTheme="minorHAnsi" w:hAnsiTheme="minorHAnsi"/>
              </w:rPr>
              <w:t>The aim should be to use the lowest dose possible that achieves the appropriate clinical outcome for each patient.</w:t>
            </w:r>
          </w:p>
          <w:p w:rsidR="00021243" w:rsidRDefault="008D0C09" w:rsidP="008D0C09">
            <w:pPr>
              <w:spacing w:before="120" w:after="120"/>
              <w:rPr>
                <w:rFonts w:asciiTheme="minorHAnsi" w:hAnsiTheme="minorHAnsi"/>
                <w:b/>
              </w:rPr>
            </w:pPr>
            <w:r w:rsidRPr="00E658D6">
              <w:rPr>
                <w:rFonts w:asciiTheme="minorHAnsi" w:hAnsiTheme="minorHAnsi"/>
                <w:b/>
              </w:rPr>
              <w:t>Refer to the current product information sheet for further information</w:t>
            </w:r>
            <w:r w:rsidR="00E658D6" w:rsidRPr="00E658D6">
              <w:rPr>
                <w:rFonts w:asciiTheme="minorHAnsi" w:hAnsiTheme="minorHAnsi"/>
                <w:b/>
              </w:rPr>
              <w:t xml:space="preserve"> on dose, administration and contraindications</w:t>
            </w:r>
            <w:r w:rsidRPr="00E658D6">
              <w:rPr>
                <w:rFonts w:asciiTheme="minorHAnsi" w:hAnsiTheme="minorHAnsi"/>
                <w:b/>
              </w:rPr>
              <w:t>.</w:t>
            </w:r>
          </w:p>
          <w:p w:rsidR="00FE3F41" w:rsidRDefault="00FE3F41" w:rsidP="008D0C09">
            <w:pPr>
              <w:spacing w:before="120" w:after="120"/>
              <w:rPr>
                <w:rFonts w:asciiTheme="minorHAnsi" w:hAnsiTheme="minorHAnsi"/>
                <w:b/>
              </w:rPr>
            </w:pPr>
          </w:p>
          <w:p w:rsidR="00FE3F41" w:rsidRPr="00E658D6" w:rsidRDefault="00FE3F41" w:rsidP="008D0C09">
            <w:pPr>
              <w:spacing w:before="120" w:after="120"/>
              <w:rPr>
                <w:rFonts w:asciiTheme="minorHAnsi" w:hAnsiTheme="minorHAnsi"/>
                <w:b/>
              </w:rPr>
            </w:pPr>
          </w:p>
        </w:tc>
        <w:tc>
          <w:tcPr>
            <w:tcW w:w="4360" w:type="dxa"/>
          </w:tcPr>
          <w:p w:rsidR="00021243" w:rsidRPr="00C92149" w:rsidRDefault="00E658D6" w:rsidP="00011CD7">
            <w:pPr>
              <w:spacing w:before="120" w:after="120"/>
              <w:rPr>
                <w:rFonts w:asciiTheme="minorHAnsi" w:hAnsiTheme="minorHAnsi"/>
                <w:szCs w:val="20"/>
              </w:rPr>
            </w:pPr>
            <w:r>
              <w:rPr>
                <w:rFonts w:asciiTheme="minorHAnsi" w:hAnsiTheme="minorHAnsi"/>
                <w:szCs w:val="20"/>
              </w:rPr>
              <w:t>Dosing has been defined</w:t>
            </w:r>
            <w:r w:rsidR="00011CD7">
              <w:rPr>
                <w:rFonts w:asciiTheme="minorHAnsi" w:hAnsiTheme="minorHAnsi"/>
                <w:szCs w:val="20"/>
              </w:rPr>
              <w:t>.</w:t>
            </w:r>
            <w:r>
              <w:rPr>
                <w:rFonts w:asciiTheme="minorHAnsi" w:hAnsiTheme="minorHAnsi"/>
                <w:szCs w:val="20"/>
              </w:rPr>
              <w:t xml:space="preserve"> </w:t>
            </w:r>
          </w:p>
        </w:tc>
      </w:tr>
    </w:tbl>
    <w:p w:rsidR="00447869" w:rsidRDefault="00447869" w:rsidP="00447869">
      <w:pPr>
        <w:spacing w:before="120" w:after="120"/>
        <w:rPr>
          <w:rFonts w:asciiTheme="minorHAnsi" w:hAnsiTheme="minorHAnsi"/>
        </w:rPr>
        <w:sectPr w:rsidR="00447869" w:rsidSect="008411E3">
          <w:headerReference w:type="default" r:id="rId9"/>
          <w:footerReference w:type="default" r:id="rId10"/>
          <w:headerReference w:type="first" r:id="rId11"/>
          <w:footerReference w:type="first" r:id="rId12"/>
          <w:pgSz w:w="16839" w:h="11907" w:orient="landscape" w:code="9"/>
          <w:pgMar w:top="1135"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0E1706">
            <w:pPr>
              <w:spacing w:before="120" w:after="120"/>
              <w:jc w:val="center"/>
              <w:rPr>
                <w:rFonts w:asciiTheme="minorHAnsi" w:hAnsiTheme="minorHAnsi"/>
                <w:b/>
              </w:rPr>
            </w:pPr>
            <w:r>
              <w:rPr>
                <w:rFonts w:asciiTheme="minorHAnsi" w:hAnsiTheme="minorHAnsi"/>
                <w:b/>
              </w:rPr>
              <w:t>(</w:t>
            </w:r>
            <w:r w:rsidR="009324F0">
              <w:rPr>
                <w:rFonts w:asciiTheme="minorHAnsi" w:hAnsiTheme="minorHAnsi"/>
                <w:b/>
              </w:rPr>
              <w:t xml:space="preserve">most </w:t>
            </w:r>
            <w:r>
              <w:rPr>
                <w:rFonts w:asciiTheme="minorHAnsi" w:hAnsiTheme="minorHAnsi"/>
                <w:b/>
              </w:rPr>
              <w:t>recent update</w:t>
            </w:r>
            <w:r w:rsidR="009324F0">
              <w:rPr>
                <w:rFonts w:asciiTheme="minorHAnsi" w:hAnsiTheme="minorHAnsi"/>
                <w:b/>
              </w:rPr>
              <w:t>:</w:t>
            </w:r>
            <w:r>
              <w:rPr>
                <w:rFonts w:asciiTheme="minorHAnsi" w:hAnsiTheme="minorHAnsi"/>
                <w:b/>
              </w:rPr>
              <w:t xml:space="preserve"> </w:t>
            </w:r>
            <w:r w:rsidR="000E1706">
              <w:rPr>
                <w:rFonts w:asciiTheme="minorHAnsi" w:hAnsiTheme="minorHAnsi"/>
                <w:b/>
              </w:rPr>
              <w:t>March 2016</w:t>
            </w:r>
            <w:r>
              <w:rPr>
                <w:rFonts w:asciiTheme="minorHAnsi" w:hAnsiTheme="minorHAnsi"/>
                <w:b/>
              </w:rPr>
              <w:t>)</w:t>
            </w:r>
          </w:p>
        </w:tc>
      </w:tr>
      <w:tr w:rsidR="008612AB" w:rsidRPr="00255740" w:rsidTr="008612AB">
        <w:tc>
          <w:tcPr>
            <w:tcW w:w="14601" w:type="dxa"/>
          </w:tcPr>
          <w:p w:rsidR="00E658D6" w:rsidRDefault="00E658D6" w:rsidP="00E658D6">
            <w:pPr>
              <w:rPr>
                <w:rFonts w:asciiTheme="minorHAnsi" w:hAnsiTheme="minorHAnsi"/>
              </w:rPr>
            </w:pPr>
            <w:r w:rsidRPr="00570E34">
              <w:rPr>
                <w:rFonts w:asciiTheme="minorHAnsi" w:hAnsiTheme="minorHAnsi"/>
              </w:rPr>
              <w:t xml:space="preserve">Bien </w:t>
            </w:r>
            <w:r>
              <w:rPr>
                <w:rFonts w:asciiTheme="minorHAnsi" w:hAnsiTheme="minorHAnsi"/>
              </w:rPr>
              <w:t>CG, Granata T, Antozzi C, et al</w:t>
            </w:r>
            <w:r w:rsidRPr="00570E34">
              <w:rPr>
                <w:rFonts w:asciiTheme="minorHAnsi" w:hAnsiTheme="minorHAnsi"/>
              </w:rPr>
              <w:t xml:space="preserve"> </w:t>
            </w:r>
            <w:r>
              <w:rPr>
                <w:rFonts w:asciiTheme="minorHAnsi" w:hAnsiTheme="minorHAnsi"/>
              </w:rPr>
              <w:t>(</w:t>
            </w:r>
            <w:r w:rsidRPr="00570E34">
              <w:rPr>
                <w:rFonts w:asciiTheme="minorHAnsi" w:hAnsiTheme="minorHAnsi"/>
              </w:rPr>
              <w:t>2005</w:t>
            </w:r>
            <w:r>
              <w:rPr>
                <w:rFonts w:asciiTheme="minorHAnsi" w:hAnsiTheme="minorHAnsi"/>
              </w:rPr>
              <w:t xml:space="preserve">) </w:t>
            </w:r>
            <w:r w:rsidRPr="00570E34">
              <w:rPr>
                <w:rFonts w:asciiTheme="minorHAnsi" w:hAnsiTheme="minorHAnsi"/>
              </w:rPr>
              <w:t xml:space="preserve">Pathogenesis, diagnosis and treatment of Rasmussen encephalitis: a European consensus statement. </w:t>
            </w:r>
            <w:r w:rsidRPr="00E658D6">
              <w:rPr>
                <w:rFonts w:asciiTheme="minorHAnsi" w:hAnsiTheme="minorHAnsi"/>
                <w:i/>
              </w:rPr>
              <w:t>Brain</w:t>
            </w:r>
            <w:r>
              <w:rPr>
                <w:rFonts w:asciiTheme="minorHAnsi" w:hAnsiTheme="minorHAnsi"/>
              </w:rPr>
              <w:t>, 128:</w:t>
            </w:r>
            <w:r w:rsidRPr="00570E34">
              <w:rPr>
                <w:rFonts w:asciiTheme="minorHAnsi" w:hAnsiTheme="minorHAnsi"/>
              </w:rPr>
              <w:t xml:space="preserve">454–71. </w:t>
            </w:r>
          </w:p>
          <w:p w:rsidR="00E658D6" w:rsidRDefault="00933028" w:rsidP="00E658D6">
            <w:pPr>
              <w:rPr>
                <w:rFonts w:asciiTheme="minorHAnsi" w:hAnsiTheme="minorHAnsi"/>
                <w:color w:val="808080" w:themeColor="background1" w:themeShade="80"/>
              </w:rPr>
            </w:pPr>
            <w:hyperlink r:id="rId13" w:history="1">
              <w:r w:rsidR="00E658D6" w:rsidRPr="00E658D6">
                <w:rPr>
                  <w:rStyle w:val="Hyperlink"/>
                  <w:rFonts w:asciiTheme="minorHAnsi" w:hAnsiTheme="minorHAnsi"/>
                  <w:color w:val="808080" w:themeColor="background1" w:themeShade="80"/>
                </w:rPr>
                <w:t>https://www.ncbi.nlm.nih.gov/pubmed/15689357</w:t>
              </w:r>
            </w:hyperlink>
          </w:p>
          <w:p w:rsidR="00356567" w:rsidRDefault="00356567" w:rsidP="00356567">
            <w:pPr>
              <w:rPr>
                <w:rFonts w:asciiTheme="minorHAnsi" w:hAnsiTheme="minorHAnsi"/>
              </w:rPr>
            </w:pPr>
          </w:p>
          <w:p w:rsidR="00356567" w:rsidRDefault="00356567" w:rsidP="00356567">
            <w:pPr>
              <w:rPr>
                <w:rFonts w:asciiTheme="minorHAnsi" w:hAnsiTheme="minorHAnsi"/>
              </w:rPr>
            </w:pPr>
            <w:r w:rsidRPr="00570E34">
              <w:rPr>
                <w:rFonts w:asciiTheme="minorHAnsi" w:hAnsiTheme="minorHAnsi"/>
              </w:rPr>
              <w:t>Bien CG, Tiemeier H, Sassen R, K</w:t>
            </w:r>
            <w:r>
              <w:rPr>
                <w:rFonts w:asciiTheme="minorHAnsi" w:hAnsiTheme="minorHAnsi"/>
              </w:rPr>
              <w:t xml:space="preserve">uczaty S, Urbach H, von Lehe M, et al (2013) </w:t>
            </w:r>
            <w:r w:rsidRPr="00570E34">
              <w:rPr>
                <w:rFonts w:asciiTheme="minorHAnsi" w:hAnsiTheme="minorHAnsi"/>
              </w:rPr>
              <w:t>Rasmussen encephalitis: incidence and course under randomized therapy with tacrolimus or intraven</w:t>
            </w:r>
            <w:r>
              <w:rPr>
                <w:rFonts w:asciiTheme="minorHAnsi" w:hAnsiTheme="minorHAnsi"/>
              </w:rPr>
              <w:t xml:space="preserve">ous immunoglobulins. </w:t>
            </w:r>
            <w:r w:rsidRPr="00356567">
              <w:rPr>
                <w:rFonts w:asciiTheme="minorHAnsi" w:hAnsiTheme="minorHAnsi"/>
                <w:i/>
              </w:rPr>
              <w:t>Epilepsia</w:t>
            </w:r>
            <w:r>
              <w:rPr>
                <w:rFonts w:asciiTheme="minorHAnsi" w:hAnsiTheme="minorHAnsi"/>
              </w:rPr>
              <w:t xml:space="preserve">, </w:t>
            </w:r>
            <w:r w:rsidRPr="00570E34">
              <w:rPr>
                <w:rFonts w:asciiTheme="minorHAnsi" w:hAnsiTheme="minorHAnsi"/>
              </w:rPr>
              <w:t>54(3):543-50.</w:t>
            </w:r>
          </w:p>
          <w:p w:rsidR="00356567" w:rsidRPr="00356567" w:rsidRDefault="00933028" w:rsidP="00356567">
            <w:pPr>
              <w:rPr>
                <w:rFonts w:asciiTheme="minorHAnsi" w:hAnsiTheme="minorHAnsi"/>
                <w:color w:val="808080" w:themeColor="background1" w:themeShade="80"/>
              </w:rPr>
            </w:pPr>
            <w:hyperlink r:id="rId14" w:history="1">
              <w:r w:rsidR="00356567" w:rsidRPr="00356567">
                <w:rPr>
                  <w:rStyle w:val="Hyperlink"/>
                  <w:rFonts w:asciiTheme="minorHAnsi" w:hAnsiTheme="minorHAnsi"/>
                  <w:color w:val="808080" w:themeColor="background1" w:themeShade="80"/>
                </w:rPr>
                <w:t>https://www.ncbi.nlm.nih.gov/pubmed/23216622</w:t>
              </w:r>
            </w:hyperlink>
          </w:p>
          <w:p w:rsidR="00356567" w:rsidRPr="00E658D6" w:rsidRDefault="00356567" w:rsidP="00E658D6">
            <w:pPr>
              <w:rPr>
                <w:rFonts w:asciiTheme="minorHAnsi" w:hAnsiTheme="minorHAnsi"/>
                <w:color w:val="808080" w:themeColor="background1" w:themeShade="80"/>
              </w:rPr>
            </w:pPr>
          </w:p>
          <w:p w:rsidR="00E658D6" w:rsidRDefault="00356567" w:rsidP="00E658D6">
            <w:pPr>
              <w:rPr>
                <w:rFonts w:asciiTheme="minorHAnsi" w:eastAsia="Times New Roman" w:hAnsiTheme="minorHAnsi" w:cs="Times New Roman"/>
                <w:color w:val="000000"/>
                <w:shd w:val="clear" w:color="auto" w:fill="FFFFFF"/>
                <w:lang w:val="en-US"/>
              </w:rPr>
            </w:pPr>
            <w:r>
              <w:rPr>
                <w:rFonts w:asciiTheme="minorHAnsi" w:hAnsiTheme="minorHAnsi"/>
              </w:rPr>
              <w:t>B</w:t>
            </w:r>
            <w:r w:rsidR="00E658D6" w:rsidRPr="00E658D6">
              <w:rPr>
                <w:rFonts w:asciiTheme="minorHAnsi" w:eastAsia="Times New Roman" w:hAnsiTheme="minorHAnsi" w:cs="Times New Roman"/>
                <w:color w:val="000000"/>
                <w:shd w:val="clear" w:color="auto" w:fill="FFFFFF"/>
                <w:lang w:val="en-US"/>
              </w:rPr>
              <w:t>ittner S, Simon OJ, Gobel</w:t>
            </w:r>
            <w:r w:rsidR="00E658D6">
              <w:rPr>
                <w:rFonts w:asciiTheme="minorHAnsi" w:eastAsia="Times New Roman" w:hAnsiTheme="minorHAnsi" w:cs="Times New Roman"/>
                <w:color w:val="000000"/>
                <w:shd w:val="clear" w:color="auto" w:fill="FFFFFF"/>
                <w:lang w:val="en-US"/>
              </w:rPr>
              <w:t xml:space="preserve"> K, Bien CG, Meuth SG, Wiendl H (</w:t>
            </w:r>
            <w:r w:rsidR="00E658D6" w:rsidRPr="00E658D6">
              <w:rPr>
                <w:rFonts w:asciiTheme="minorHAnsi" w:eastAsia="Times New Roman" w:hAnsiTheme="minorHAnsi" w:cs="Times New Roman"/>
                <w:color w:val="000000"/>
                <w:shd w:val="clear" w:color="auto" w:fill="FFFFFF"/>
                <w:lang w:val="en-US"/>
              </w:rPr>
              <w:t>2013</w:t>
            </w:r>
            <w:r w:rsidR="00E658D6">
              <w:rPr>
                <w:rFonts w:asciiTheme="minorHAnsi" w:eastAsia="Times New Roman" w:hAnsiTheme="minorHAnsi" w:cs="Times New Roman"/>
                <w:color w:val="000000"/>
                <w:shd w:val="clear" w:color="auto" w:fill="FFFFFF"/>
                <w:lang w:val="en-US"/>
              </w:rPr>
              <w:t xml:space="preserve">) </w:t>
            </w:r>
            <w:r w:rsidR="00E658D6" w:rsidRPr="00E658D6">
              <w:rPr>
                <w:rFonts w:asciiTheme="minorHAnsi" w:eastAsia="Times New Roman" w:hAnsiTheme="minorHAnsi" w:cs="Times New Roman"/>
                <w:color w:val="000000"/>
                <w:shd w:val="clear" w:color="auto" w:fill="FFFFFF"/>
                <w:lang w:val="en-US"/>
              </w:rPr>
              <w:t>Rasmussen encephalitis treated with natalizumab</w:t>
            </w:r>
            <w:r w:rsidR="00E658D6">
              <w:rPr>
                <w:rFonts w:asciiTheme="minorHAnsi" w:eastAsia="Times New Roman" w:hAnsiTheme="minorHAnsi" w:cs="Times New Roman"/>
                <w:color w:val="000000"/>
                <w:shd w:val="clear" w:color="auto" w:fill="FFFFFF"/>
                <w:lang w:val="en-US"/>
              </w:rPr>
              <w:t xml:space="preserve">. </w:t>
            </w:r>
            <w:r w:rsidR="00E658D6" w:rsidRPr="00E658D6">
              <w:rPr>
                <w:rFonts w:asciiTheme="minorHAnsi" w:eastAsia="Times New Roman" w:hAnsiTheme="minorHAnsi" w:cs="Times New Roman"/>
                <w:i/>
                <w:color w:val="000000"/>
                <w:shd w:val="clear" w:color="auto" w:fill="FFFFFF"/>
                <w:lang w:val="en-US"/>
              </w:rPr>
              <w:t>Neurolog</w:t>
            </w:r>
            <w:r w:rsidR="00E658D6">
              <w:rPr>
                <w:rFonts w:asciiTheme="minorHAnsi" w:eastAsia="Times New Roman" w:hAnsiTheme="minorHAnsi" w:cs="Times New Roman"/>
                <w:i/>
                <w:color w:val="000000"/>
                <w:shd w:val="clear" w:color="auto" w:fill="FFFFFF"/>
                <w:lang w:val="en-US"/>
              </w:rPr>
              <w:t xml:space="preserve">y, </w:t>
            </w:r>
            <w:r w:rsidR="00E658D6" w:rsidRPr="00E658D6">
              <w:rPr>
                <w:rFonts w:asciiTheme="minorHAnsi" w:eastAsia="Times New Roman" w:hAnsiTheme="minorHAnsi" w:cs="Times New Roman"/>
                <w:color w:val="000000"/>
                <w:shd w:val="clear" w:color="auto" w:fill="FFFFFF"/>
                <w:lang w:val="en-US"/>
              </w:rPr>
              <w:t>81</w:t>
            </w:r>
            <w:r w:rsidR="00E658D6">
              <w:rPr>
                <w:rFonts w:asciiTheme="minorHAnsi" w:eastAsia="Times New Roman" w:hAnsiTheme="minorHAnsi" w:cs="Times New Roman"/>
                <w:color w:val="000000"/>
                <w:shd w:val="clear" w:color="auto" w:fill="FFFFFF"/>
                <w:lang w:val="en-US"/>
              </w:rPr>
              <w:t>:</w:t>
            </w:r>
            <w:r w:rsidR="00E658D6" w:rsidRPr="00E658D6">
              <w:rPr>
                <w:rFonts w:asciiTheme="minorHAnsi" w:eastAsia="Times New Roman" w:hAnsiTheme="minorHAnsi" w:cs="Times New Roman"/>
                <w:color w:val="000000"/>
                <w:shd w:val="clear" w:color="auto" w:fill="FFFFFF"/>
                <w:lang w:val="en-US"/>
              </w:rPr>
              <w:t>395–397.</w:t>
            </w:r>
          </w:p>
          <w:p w:rsidR="00E658D6" w:rsidRDefault="00933028" w:rsidP="00E658D6">
            <w:pPr>
              <w:rPr>
                <w:rFonts w:asciiTheme="minorHAnsi" w:eastAsia="Times New Roman" w:hAnsiTheme="minorHAnsi" w:cs="Times New Roman"/>
                <w:lang w:val="en-US"/>
              </w:rPr>
            </w:pPr>
            <w:hyperlink r:id="rId15" w:history="1">
              <w:r w:rsidR="00E658D6" w:rsidRPr="00E658D6">
                <w:rPr>
                  <w:rStyle w:val="Hyperlink"/>
                  <w:rFonts w:asciiTheme="minorHAnsi" w:eastAsia="Times New Roman" w:hAnsiTheme="minorHAnsi" w:cs="Times New Roman"/>
                  <w:color w:val="808080" w:themeColor="background1" w:themeShade="80"/>
                  <w:lang w:val="en-US"/>
                </w:rPr>
                <w:t>https://www.ncbi.nlm.nih.gov/pubmed/23794679</w:t>
              </w:r>
            </w:hyperlink>
          </w:p>
          <w:p w:rsidR="00E658D6" w:rsidRDefault="00E658D6" w:rsidP="00E658D6">
            <w:pPr>
              <w:rPr>
                <w:rFonts w:asciiTheme="minorHAnsi" w:eastAsia="Times New Roman" w:hAnsiTheme="minorHAnsi" w:cs="Times New Roman"/>
                <w:lang w:val="en-US"/>
              </w:rPr>
            </w:pPr>
          </w:p>
          <w:p w:rsidR="00356567" w:rsidRDefault="00356567" w:rsidP="00356567">
            <w:pPr>
              <w:rPr>
                <w:rFonts w:asciiTheme="minorHAnsi" w:hAnsiTheme="minorHAnsi"/>
              </w:rPr>
            </w:pPr>
            <w:r w:rsidRPr="00570E34">
              <w:rPr>
                <w:rFonts w:asciiTheme="minorHAnsi" w:hAnsiTheme="minorHAnsi"/>
              </w:rPr>
              <w:t xml:space="preserve">Caraballo RH, Fortini S, Cersósimo R, </w:t>
            </w:r>
            <w:r>
              <w:rPr>
                <w:rFonts w:asciiTheme="minorHAnsi" w:hAnsiTheme="minorHAnsi"/>
              </w:rPr>
              <w:t xml:space="preserve">Monges S, Pasteris MC, Gomez M, et al (2013) </w:t>
            </w:r>
            <w:r w:rsidRPr="00570E34">
              <w:rPr>
                <w:rFonts w:asciiTheme="minorHAnsi" w:hAnsiTheme="minorHAnsi"/>
              </w:rPr>
              <w:t>Rasmussen syndrome: an Argentinean expe</w:t>
            </w:r>
            <w:r>
              <w:rPr>
                <w:rFonts w:asciiTheme="minorHAnsi" w:hAnsiTheme="minorHAnsi"/>
              </w:rPr>
              <w:t xml:space="preserve">rience in 32 patients. </w:t>
            </w:r>
            <w:r w:rsidRPr="00356567">
              <w:rPr>
                <w:rFonts w:asciiTheme="minorHAnsi" w:hAnsiTheme="minorHAnsi"/>
                <w:i/>
              </w:rPr>
              <w:t>Seizure</w:t>
            </w:r>
            <w:r>
              <w:rPr>
                <w:rFonts w:asciiTheme="minorHAnsi" w:hAnsiTheme="minorHAnsi"/>
              </w:rPr>
              <w:t xml:space="preserve">, </w:t>
            </w:r>
            <w:r w:rsidRPr="00570E34">
              <w:rPr>
                <w:rFonts w:asciiTheme="minorHAnsi" w:hAnsiTheme="minorHAnsi"/>
              </w:rPr>
              <w:t xml:space="preserve">22(5):360-7. </w:t>
            </w:r>
          </w:p>
          <w:p w:rsidR="00356567" w:rsidRPr="00356567" w:rsidRDefault="00933028" w:rsidP="00356567">
            <w:pPr>
              <w:rPr>
                <w:rFonts w:asciiTheme="minorHAnsi" w:hAnsiTheme="minorHAnsi"/>
                <w:color w:val="808080" w:themeColor="background1" w:themeShade="80"/>
              </w:rPr>
            </w:pPr>
            <w:hyperlink r:id="rId16" w:history="1">
              <w:r w:rsidR="00356567" w:rsidRPr="00356567">
                <w:rPr>
                  <w:rStyle w:val="Hyperlink"/>
                  <w:rFonts w:asciiTheme="minorHAnsi" w:hAnsiTheme="minorHAnsi"/>
                  <w:color w:val="808080" w:themeColor="background1" w:themeShade="80"/>
                </w:rPr>
                <w:t>https://www.ncbi.nlm.nih.gov/pubmed/23466213</w:t>
              </w:r>
            </w:hyperlink>
          </w:p>
          <w:p w:rsidR="00356567" w:rsidRDefault="00356567" w:rsidP="00E658D6">
            <w:pPr>
              <w:rPr>
                <w:rFonts w:asciiTheme="minorHAnsi" w:hAnsiTheme="minorHAnsi"/>
              </w:rPr>
            </w:pPr>
          </w:p>
          <w:p w:rsidR="00356567" w:rsidRDefault="00356567" w:rsidP="00E658D6">
            <w:pPr>
              <w:rPr>
                <w:rFonts w:asciiTheme="minorHAnsi" w:hAnsiTheme="minorHAnsi"/>
              </w:rPr>
            </w:pPr>
            <w:r w:rsidRPr="00356567">
              <w:rPr>
                <w:rFonts w:asciiTheme="minorHAnsi" w:hAnsiTheme="minorHAnsi"/>
              </w:rPr>
              <w:t xml:space="preserve">Feasby T, Barnwell B, Benstead T, et al </w:t>
            </w:r>
            <w:r>
              <w:rPr>
                <w:rFonts w:asciiTheme="minorHAnsi" w:hAnsiTheme="minorHAnsi"/>
              </w:rPr>
              <w:t>(</w:t>
            </w:r>
            <w:r w:rsidRPr="00356567">
              <w:rPr>
                <w:rFonts w:asciiTheme="minorHAnsi" w:hAnsiTheme="minorHAnsi"/>
              </w:rPr>
              <w:t>2007</w:t>
            </w:r>
            <w:r>
              <w:rPr>
                <w:rFonts w:asciiTheme="minorHAnsi" w:hAnsiTheme="minorHAnsi"/>
              </w:rPr>
              <w:t>)</w:t>
            </w:r>
            <w:r w:rsidRPr="00356567">
              <w:rPr>
                <w:rFonts w:asciiTheme="minorHAnsi" w:hAnsiTheme="minorHAnsi"/>
              </w:rPr>
              <w:t xml:space="preserve"> Guidelines on the Use of Intravenous Immune Globulin for Neurologic Conditio</w:t>
            </w:r>
            <w:r>
              <w:rPr>
                <w:rFonts w:asciiTheme="minorHAnsi" w:hAnsiTheme="minorHAnsi"/>
              </w:rPr>
              <w:t xml:space="preserve">ns Transfusion Medicine Reviews, </w:t>
            </w:r>
            <w:r w:rsidRPr="00356567">
              <w:rPr>
                <w:rFonts w:asciiTheme="minorHAnsi" w:hAnsiTheme="minorHAnsi"/>
              </w:rPr>
              <w:t>21(2):S57-S107.</w:t>
            </w:r>
          </w:p>
          <w:p w:rsidR="00356567" w:rsidRDefault="00356567" w:rsidP="00E658D6">
            <w:pPr>
              <w:rPr>
                <w:rFonts w:asciiTheme="minorHAnsi" w:hAnsiTheme="minorHAnsi"/>
              </w:rPr>
            </w:pPr>
          </w:p>
          <w:p w:rsidR="00E658D6" w:rsidRDefault="00E658D6" w:rsidP="00E658D6">
            <w:pPr>
              <w:rPr>
                <w:rFonts w:asciiTheme="minorHAnsi" w:hAnsiTheme="minorHAnsi"/>
              </w:rPr>
            </w:pPr>
            <w:r w:rsidRPr="00570E34">
              <w:rPr>
                <w:rFonts w:asciiTheme="minorHAnsi" w:hAnsiTheme="minorHAnsi"/>
              </w:rPr>
              <w:t>Hart YM, Andermann F, Fish DR, Dubeau F, Robitaille Y, Rasmussen T</w:t>
            </w:r>
            <w:r>
              <w:rPr>
                <w:rFonts w:asciiTheme="minorHAnsi" w:hAnsiTheme="minorHAnsi"/>
              </w:rPr>
              <w:t xml:space="preserve">, et al (1997) </w:t>
            </w:r>
            <w:r w:rsidRPr="00570E34">
              <w:rPr>
                <w:rFonts w:asciiTheme="minorHAnsi" w:hAnsiTheme="minorHAnsi"/>
              </w:rPr>
              <w:t>Chronic encephalitis and epilepsy in adults and adolescents: a variant of Rasmus</w:t>
            </w:r>
            <w:r>
              <w:rPr>
                <w:rFonts w:asciiTheme="minorHAnsi" w:hAnsiTheme="minorHAnsi"/>
              </w:rPr>
              <w:t xml:space="preserve">sen's syndrome? </w:t>
            </w:r>
            <w:r w:rsidRPr="00E658D6">
              <w:rPr>
                <w:rFonts w:asciiTheme="minorHAnsi" w:hAnsiTheme="minorHAnsi"/>
                <w:i/>
              </w:rPr>
              <w:t>Neurology</w:t>
            </w:r>
            <w:r>
              <w:rPr>
                <w:rFonts w:asciiTheme="minorHAnsi" w:hAnsiTheme="minorHAnsi"/>
              </w:rPr>
              <w:t xml:space="preserve">, </w:t>
            </w:r>
            <w:r w:rsidRPr="00570E34">
              <w:rPr>
                <w:rFonts w:asciiTheme="minorHAnsi" w:hAnsiTheme="minorHAnsi"/>
              </w:rPr>
              <w:t>48(2):418-24.</w:t>
            </w:r>
          </w:p>
          <w:p w:rsidR="00E658D6" w:rsidRDefault="00933028" w:rsidP="00E658D6">
            <w:pPr>
              <w:rPr>
                <w:rFonts w:asciiTheme="minorHAnsi" w:hAnsiTheme="minorHAnsi"/>
                <w:color w:val="808080" w:themeColor="background1" w:themeShade="80"/>
              </w:rPr>
            </w:pPr>
            <w:hyperlink r:id="rId17" w:history="1">
              <w:r w:rsidR="00E658D6" w:rsidRPr="00E658D6">
                <w:rPr>
                  <w:rStyle w:val="Hyperlink"/>
                  <w:rFonts w:asciiTheme="minorHAnsi" w:hAnsiTheme="minorHAnsi"/>
                  <w:color w:val="808080" w:themeColor="background1" w:themeShade="80"/>
                </w:rPr>
                <w:t>https://www.ncbi.nlm.nih.gov/pubmed/9040732</w:t>
              </w:r>
            </w:hyperlink>
          </w:p>
          <w:p w:rsidR="00356567" w:rsidRPr="00E658D6" w:rsidRDefault="00356567" w:rsidP="00E658D6">
            <w:pPr>
              <w:rPr>
                <w:rFonts w:asciiTheme="minorHAnsi" w:hAnsiTheme="minorHAnsi"/>
                <w:color w:val="808080" w:themeColor="background1" w:themeShade="80"/>
              </w:rPr>
            </w:pPr>
          </w:p>
          <w:p w:rsidR="00E658D6" w:rsidRDefault="00356567" w:rsidP="00E658D6">
            <w:pPr>
              <w:rPr>
                <w:rFonts w:asciiTheme="minorHAnsi" w:hAnsiTheme="minorHAnsi"/>
              </w:rPr>
            </w:pPr>
            <w:r w:rsidRPr="00356567">
              <w:rPr>
                <w:rFonts w:asciiTheme="minorHAnsi" w:hAnsiTheme="minorHAnsi"/>
              </w:rPr>
              <w:t>Ontario Regional Blood Coordinating Network (2016). Ontario Intravenous Immune Globulin (</w:t>
            </w:r>
            <w:r w:rsidR="008008AE">
              <w:rPr>
                <w:rFonts w:asciiTheme="minorHAnsi" w:hAnsiTheme="minorHAnsi"/>
              </w:rPr>
              <w:t>IVIG</w:t>
            </w:r>
            <w:r w:rsidRPr="00356567">
              <w:rPr>
                <w:rFonts w:asciiTheme="minorHAnsi" w:hAnsiTheme="minorHAnsi"/>
              </w:rPr>
              <w:t xml:space="preserve">) Utilization Management Guidelines, Version 3.0. [online]. Available at: </w:t>
            </w:r>
            <w:r w:rsidRPr="00356567">
              <w:rPr>
                <w:rFonts w:asciiTheme="minorHAnsi" w:hAnsiTheme="minorHAnsi"/>
                <w:color w:val="808080" w:themeColor="background1" w:themeShade="80"/>
              </w:rPr>
              <w:t>http://transfusionontario.org/en/download/ontario-intravenous-immune-globulin-</w:t>
            </w:r>
            <w:r w:rsidR="008008AE">
              <w:rPr>
                <w:rFonts w:asciiTheme="minorHAnsi" w:hAnsiTheme="minorHAnsi"/>
                <w:color w:val="808080" w:themeColor="background1" w:themeShade="80"/>
              </w:rPr>
              <w:t>IVIg</w:t>
            </w:r>
            <w:r w:rsidRPr="00356567">
              <w:rPr>
                <w:rFonts w:asciiTheme="minorHAnsi" w:hAnsiTheme="minorHAnsi"/>
                <w:color w:val="808080" w:themeColor="background1" w:themeShade="80"/>
              </w:rPr>
              <w:t>-utilization-management-guidelines-2/.</w:t>
            </w:r>
          </w:p>
          <w:p w:rsidR="00356567" w:rsidRDefault="00356567" w:rsidP="00E658D6">
            <w:pPr>
              <w:rPr>
                <w:rFonts w:asciiTheme="minorHAnsi" w:hAnsiTheme="minorHAnsi"/>
              </w:rPr>
            </w:pPr>
          </w:p>
          <w:p w:rsidR="00E658D6" w:rsidRDefault="00E658D6" w:rsidP="00E658D6">
            <w:pPr>
              <w:rPr>
                <w:rFonts w:asciiTheme="minorHAnsi" w:hAnsiTheme="minorHAnsi"/>
              </w:rPr>
            </w:pPr>
            <w:r w:rsidRPr="00570E34">
              <w:rPr>
                <w:rFonts w:asciiTheme="minorHAnsi" w:hAnsiTheme="minorHAnsi"/>
              </w:rPr>
              <w:t>Takahashi Y, Yamazaki E, Mine</w:t>
            </w:r>
            <w:r w:rsidR="00356567">
              <w:rPr>
                <w:rFonts w:asciiTheme="minorHAnsi" w:hAnsiTheme="minorHAnsi"/>
              </w:rPr>
              <w:t xml:space="preserve"> J, Kubota Y, Imai K, Mogami Y, et al (2013) </w:t>
            </w:r>
            <w:r w:rsidRPr="00570E34">
              <w:rPr>
                <w:rFonts w:asciiTheme="minorHAnsi" w:hAnsiTheme="minorHAnsi"/>
              </w:rPr>
              <w:t>Immunomodulatory therapy versus surgery for Rasmussen syndrome in early</w:t>
            </w:r>
            <w:r w:rsidR="00356567">
              <w:rPr>
                <w:rFonts w:asciiTheme="minorHAnsi" w:hAnsiTheme="minorHAnsi"/>
              </w:rPr>
              <w:t xml:space="preserve"> childhood. </w:t>
            </w:r>
            <w:r w:rsidR="00356567" w:rsidRPr="00356567">
              <w:rPr>
                <w:rFonts w:asciiTheme="minorHAnsi" w:hAnsiTheme="minorHAnsi"/>
                <w:i/>
              </w:rPr>
              <w:t>Brain Dev</w:t>
            </w:r>
            <w:r w:rsidR="00356567">
              <w:rPr>
                <w:rFonts w:asciiTheme="minorHAnsi" w:hAnsiTheme="minorHAnsi"/>
              </w:rPr>
              <w:t xml:space="preserve">, </w:t>
            </w:r>
            <w:r w:rsidRPr="00570E34">
              <w:rPr>
                <w:rFonts w:asciiTheme="minorHAnsi" w:hAnsiTheme="minorHAnsi"/>
              </w:rPr>
              <w:t xml:space="preserve">35(8):778-85. </w:t>
            </w:r>
          </w:p>
          <w:p w:rsidR="00356567" w:rsidRDefault="00933028" w:rsidP="00E658D6">
            <w:pPr>
              <w:rPr>
                <w:rFonts w:asciiTheme="minorHAnsi" w:hAnsiTheme="minorHAnsi"/>
              </w:rPr>
            </w:pPr>
            <w:hyperlink r:id="rId18" w:history="1">
              <w:r w:rsidR="00356567" w:rsidRPr="00356567">
                <w:rPr>
                  <w:rStyle w:val="Hyperlink"/>
                  <w:rFonts w:asciiTheme="minorHAnsi" w:hAnsiTheme="minorHAnsi"/>
                  <w:color w:val="808080" w:themeColor="background1" w:themeShade="80"/>
                </w:rPr>
                <w:t>https://www.ncbi.nlm.nih.gov/pubmed/23433490</w:t>
              </w:r>
            </w:hyperlink>
          </w:p>
          <w:p w:rsidR="00356567" w:rsidRDefault="00356567" w:rsidP="00E658D6">
            <w:pPr>
              <w:rPr>
                <w:rFonts w:asciiTheme="minorHAnsi" w:hAnsiTheme="minorHAnsi"/>
              </w:rPr>
            </w:pPr>
          </w:p>
          <w:p w:rsidR="00356567" w:rsidRPr="00356567" w:rsidRDefault="00356567" w:rsidP="00356567">
            <w:pPr>
              <w:rPr>
                <w:rFonts w:asciiTheme="minorHAnsi" w:hAnsiTheme="minorHAnsi"/>
                <w:color w:val="808080" w:themeColor="background1" w:themeShade="80"/>
              </w:rPr>
            </w:pPr>
            <w:r w:rsidRPr="00356567">
              <w:rPr>
                <w:rFonts w:asciiTheme="minorHAnsi" w:hAnsiTheme="minorHAnsi"/>
              </w:rPr>
              <w:t xml:space="preserve">UK Department of Health (2011) Clinical Guidelines for Immunoglobulin Use: Second Edition Update. Available at: </w:t>
            </w:r>
            <w:r w:rsidRPr="00356567">
              <w:rPr>
                <w:rFonts w:asciiTheme="minorHAnsi" w:hAnsiTheme="minorHAnsi"/>
                <w:color w:val="808080" w:themeColor="background1" w:themeShade="80"/>
              </w:rPr>
              <w:lastRenderedPageBreak/>
              <w:t>https://www.gov.uk/government/uploads/system/uploads/attachment_data/file/216671/dh_131107.pdf</w:t>
            </w:r>
          </w:p>
          <w:p w:rsidR="00356567" w:rsidRPr="00356567" w:rsidRDefault="00356567" w:rsidP="00356567">
            <w:pPr>
              <w:rPr>
                <w:rFonts w:asciiTheme="minorHAnsi" w:hAnsiTheme="minorHAnsi"/>
              </w:rPr>
            </w:pPr>
          </w:p>
          <w:p w:rsidR="00356567" w:rsidRPr="00356567" w:rsidRDefault="00356567" w:rsidP="00356567">
            <w:pPr>
              <w:rPr>
                <w:rFonts w:asciiTheme="minorHAnsi" w:hAnsiTheme="minorHAnsi"/>
                <w:color w:val="808080" w:themeColor="background1" w:themeShade="80"/>
              </w:rPr>
            </w:pPr>
            <w:r w:rsidRPr="00356567">
              <w:rPr>
                <w:rFonts w:asciiTheme="minorHAnsi" w:hAnsiTheme="minorHAnsi"/>
              </w:rPr>
              <w:t xml:space="preserve">UK Department of Health (2011) Clinical Guidelines for Immunoglobulin Use: Second Edition Update: Summary Poster. Available at: </w:t>
            </w:r>
            <w:r w:rsidRPr="00356567">
              <w:rPr>
                <w:rFonts w:asciiTheme="minorHAnsi" w:hAnsiTheme="minorHAnsi"/>
                <w:color w:val="808080" w:themeColor="background1" w:themeShade="80"/>
              </w:rPr>
              <w:t>https://www.igd.nhs.uk/wp-content/uploads/2016/04/DemandManagementPoster_v4_February2016.pdf</w:t>
            </w:r>
          </w:p>
          <w:p w:rsidR="00E658D6" w:rsidRPr="00570E34" w:rsidRDefault="00E658D6" w:rsidP="00E658D6">
            <w:pPr>
              <w:rPr>
                <w:rFonts w:asciiTheme="minorHAnsi" w:hAnsiTheme="minorHAnsi"/>
              </w:rPr>
            </w:pPr>
          </w:p>
          <w:p w:rsidR="00E658D6" w:rsidRDefault="00E658D6" w:rsidP="00E658D6">
            <w:pPr>
              <w:rPr>
                <w:rFonts w:asciiTheme="minorHAnsi" w:hAnsiTheme="minorHAnsi"/>
              </w:rPr>
            </w:pPr>
            <w:r w:rsidRPr="00570E34">
              <w:rPr>
                <w:rFonts w:asciiTheme="minorHAnsi" w:hAnsiTheme="minorHAnsi"/>
              </w:rPr>
              <w:t>Varadkar S, Bien CG, Kruse CA</w:t>
            </w:r>
            <w:r w:rsidR="00356567">
              <w:rPr>
                <w:rFonts w:asciiTheme="minorHAnsi" w:hAnsiTheme="minorHAnsi"/>
              </w:rPr>
              <w:t xml:space="preserve">, Jensen FE, Bauer J, Pardo CA, et al (2014) </w:t>
            </w:r>
            <w:r w:rsidRPr="00570E34">
              <w:rPr>
                <w:rFonts w:asciiTheme="minorHAnsi" w:hAnsiTheme="minorHAnsi"/>
              </w:rPr>
              <w:t>Rasmussen's encephalitis: clinical features, pathobiology, and treatment</w:t>
            </w:r>
            <w:r w:rsidR="00356567">
              <w:rPr>
                <w:rFonts w:asciiTheme="minorHAnsi" w:hAnsiTheme="minorHAnsi"/>
              </w:rPr>
              <w:t xml:space="preserve"> advances. </w:t>
            </w:r>
            <w:r w:rsidR="00356567" w:rsidRPr="00356567">
              <w:rPr>
                <w:rFonts w:asciiTheme="minorHAnsi" w:hAnsiTheme="minorHAnsi"/>
                <w:i/>
              </w:rPr>
              <w:t>Lancet Neurol</w:t>
            </w:r>
            <w:r w:rsidR="00356567">
              <w:rPr>
                <w:rFonts w:asciiTheme="minorHAnsi" w:hAnsiTheme="minorHAnsi"/>
              </w:rPr>
              <w:t xml:space="preserve">ogy, </w:t>
            </w:r>
            <w:r w:rsidRPr="00570E34">
              <w:rPr>
                <w:rFonts w:asciiTheme="minorHAnsi" w:hAnsiTheme="minorHAnsi"/>
              </w:rPr>
              <w:t xml:space="preserve">13(2):195-205. </w:t>
            </w:r>
          </w:p>
          <w:p w:rsidR="00356567" w:rsidRDefault="00933028" w:rsidP="00E658D6">
            <w:pPr>
              <w:rPr>
                <w:rFonts w:asciiTheme="minorHAnsi" w:hAnsiTheme="minorHAnsi"/>
              </w:rPr>
            </w:pPr>
            <w:hyperlink r:id="rId19" w:history="1">
              <w:r w:rsidR="00356567" w:rsidRPr="00356567">
                <w:rPr>
                  <w:rStyle w:val="Hyperlink"/>
                  <w:rFonts w:asciiTheme="minorHAnsi" w:hAnsiTheme="minorHAnsi"/>
                  <w:color w:val="808080" w:themeColor="background1" w:themeShade="80"/>
                </w:rPr>
                <w:t>https://www.ncbi.nlm.nih.gov/pubmed/24457189</w:t>
              </w:r>
            </w:hyperlink>
          </w:p>
          <w:p w:rsidR="00356567" w:rsidRDefault="00356567" w:rsidP="00E658D6">
            <w:pPr>
              <w:rPr>
                <w:rFonts w:asciiTheme="minorHAnsi" w:hAnsiTheme="minorHAnsi"/>
              </w:rPr>
            </w:pPr>
          </w:p>
          <w:p w:rsidR="00901F76" w:rsidRPr="00A80A19" w:rsidRDefault="00901F76" w:rsidP="00356567">
            <w:pPr>
              <w:pStyle w:val="ListParagraph"/>
              <w:rPr>
                <w:rFonts w:asciiTheme="minorHAnsi" w:hAnsiTheme="minorHAnsi"/>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C448C2" w:rsidP="004A10A2">
            <w:pPr>
              <w:spacing w:before="120" w:after="120"/>
              <w:rPr>
                <w:rFonts w:asciiTheme="minorHAnsi" w:hAnsiTheme="minorHAnsi"/>
              </w:rPr>
            </w:pPr>
            <w:r>
              <w:rPr>
                <w:rFonts w:asciiTheme="minorHAnsi" w:hAnsiTheme="minorHAnsi"/>
              </w:rPr>
              <w:t>The revised criteria provide significantly greater guidance for access to Ig therapy and patient management</w:t>
            </w:r>
            <w:r w:rsidR="00DB4FE4">
              <w:rPr>
                <w:rFonts w:asciiTheme="minorHAnsi" w:hAnsiTheme="minorHAnsi"/>
              </w:rPr>
              <w:t xml:space="preserve"> and neurologists will be required to diagnos</w:t>
            </w:r>
            <w:r w:rsidR="00425F39">
              <w:rPr>
                <w:rFonts w:asciiTheme="minorHAnsi" w:hAnsiTheme="minorHAnsi"/>
              </w:rPr>
              <w:t>e</w:t>
            </w:r>
            <w:r w:rsidR="00DB4FE4">
              <w:rPr>
                <w:rFonts w:asciiTheme="minorHAnsi" w:hAnsiTheme="minorHAnsi"/>
              </w:rPr>
              <w:t xml:space="preserve"> and manage patient treatment</w:t>
            </w:r>
            <w:r>
              <w:rPr>
                <w:rFonts w:asciiTheme="minorHAnsi" w:hAnsiTheme="minorHAnsi"/>
              </w:rPr>
              <w:t xml:space="preserve">. There will be increased data entry required (e.g. compliance with the international consensus diagnostic criteria) compared to the previous Ig request process. Patients will be required to be assessed at qualifying and review using a Modified Rankin Scale, however, the scale will be presented as ‘drop-down’ menu options within BloodSTAR </w:t>
            </w:r>
            <w:r w:rsidR="00187169">
              <w:rPr>
                <w:rFonts w:asciiTheme="minorHAnsi" w:hAnsiTheme="minorHAnsi"/>
              </w:rPr>
              <w:t>v</w:t>
            </w:r>
            <w:r>
              <w:rPr>
                <w:rFonts w:asciiTheme="minorHAnsi" w:hAnsiTheme="minorHAnsi"/>
              </w:rPr>
              <w:t>3</w:t>
            </w:r>
            <w:r w:rsidR="00294C46">
              <w:rPr>
                <w:rFonts w:asciiTheme="minorHAnsi" w:hAnsiTheme="minorHAnsi"/>
              </w:rPr>
              <w:t>.0</w:t>
            </w:r>
            <w:r>
              <w:rPr>
                <w:rFonts w:asciiTheme="minorHAnsi" w:hAnsiTheme="minorHAnsi"/>
              </w:rPr>
              <w:t xml:space="preserve"> and will be simple to apply.  A trial of weaning from Ig therapy will be considered after eighteen months and once patients have stabilised symptoms.   </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C448C2" w:rsidRPr="00021243" w:rsidTr="00832D0D">
        <w:tc>
          <w:tcPr>
            <w:tcW w:w="3545" w:type="dxa"/>
            <w:gridSpan w:val="2"/>
            <w:shd w:val="clear" w:color="auto" w:fill="auto"/>
          </w:tcPr>
          <w:p w:rsidR="00C448C2" w:rsidRDefault="00C448C2"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1A59F8" w:rsidRDefault="001A59F8" w:rsidP="00E27CEE">
            <w:pPr>
              <w:spacing w:before="120" w:after="120"/>
              <w:rPr>
                <w:rFonts w:asciiTheme="minorHAnsi" w:hAnsiTheme="minorHAnsi"/>
              </w:rPr>
            </w:pPr>
            <w:r w:rsidRPr="006D67CF">
              <w:rPr>
                <w:rFonts w:asciiTheme="minorHAnsi" w:hAnsiTheme="minorHAnsi"/>
              </w:rPr>
              <w:t>There is not anticipated to be any</w:t>
            </w:r>
            <w:r>
              <w:rPr>
                <w:rFonts w:asciiTheme="minorHAnsi" w:hAnsiTheme="minorHAnsi"/>
              </w:rPr>
              <w:t xml:space="preserve"> significant</w:t>
            </w:r>
            <w:r w:rsidRPr="006D67CF">
              <w:rPr>
                <w:rFonts w:asciiTheme="minorHAnsi" w:hAnsiTheme="minorHAnsi"/>
              </w:rPr>
              <w:t xml:space="preserve"> impact on patients</w:t>
            </w:r>
            <w:r>
              <w:rPr>
                <w:rFonts w:asciiTheme="minorHAnsi" w:hAnsiTheme="minorHAnsi"/>
              </w:rPr>
              <w:t xml:space="preserve"> as a result of these criteria given that they are based on how neurologists already diagnose and manage patients with Rasmussen encephalitis. </w:t>
            </w:r>
            <w:r w:rsidR="00E27CEE">
              <w:rPr>
                <w:rFonts w:asciiTheme="minorHAnsi" w:hAnsiTheme="minorHAnsi"/>
              </w:rPr>
              <w:t>The formal access criteria now proposed for this condition require that a neurologist makes the diagnosis and manages the patie</w:t>
            </w:r>
            <w:r>
              <w:rPr>
                <w:rFonts w:asciiTheme="minorHAnsi" w:hAnsiTheme="minorHAnsi"/>
              </w:rPr>
              <w:t>nt treatment. This is because this disease</w:t>
            </w:r>
            <w:r w:rsidR="00E27CEE">
              <w:rPr>
                <w:rFonts w:asciiTheme="minorHAnsi" w:hAnsiTheme="minorHAnsi"/>
              </w:rPr>
              <w:t xml:space="preserve"> is very rare</w:t>
            </w:r>
            <w:r>
              <w:rPr>
                <w:rFonts w:asciiTheme="minorHAnsi" w:hAnsiTheme="minorHAnsi"/>
              </w:rPr>
              <w:t>, can be misdiagnosed</w:t>
            </w:r>
            <w:r w:rsidR="00E27CEE">
              <w:rPr>
                <w:rFonts w:asciiTheme="minorHAnsi" w:hAnsiTheme="minorHAnsi"/>
              </w:rPr>
              <w:t xml:space="preserve"> and it is important that the correct treatment is given. </w:t>
            </w:r>
            <w:r w:rsidR="000707B0">
              <w:rPr>
                <w:rFonts w:asciiTheme="minorHAnsi" w:hAnsiTheme="minorHAnsi"/>
              </w:rPr>
              <w:t xml:space="preserve">It is now recognised that an immune process may be causing </w:t>
            </w:r>
            <w:r w:rsidR="00E27CEE">
              <w:rPr>
                <w:rFonts w:asciiTheme="minorHAnsi" w:hAnsiTheme="minorHAnsi"/>
              </w:rPr>
              <w:t>inflammation of the brain</w:t>
            </w:r>
            <w:r w:rsidR="000707B0">
              <w:rPr>
                <w:rFonts w:asciiTheme="minorHAnsi" w:hAnsiTheme="minorHAnsi"/>
              </w:rPr>
              <w:t xml:space="preserve"> and that early treatment with strong anti-immune medications can result in better long term outcomes in some patients. Ig therapy is one of a number of treatments </w:t>
            </w:r>
            <w:r w:rsidR="00E27CEE">
              <w:rPr>
                <w:rFonts w:asciiTheme="minorHAnsi" w:hAnsiTheme="minorHAnsi"/>
              </w:rPr>
              <w:t xml:space="preserve">that can be </w:t>
            </w:r>
            <w:r w:rsidR="000707B0">
              <w:rPr>
                <w:rFonts w:asciiTheme="minorHAnsi" w:hAnsiTheme="minorHAnsi"/>
              </w:rPr>
              <w:t>used</w:t>
            </w:r>
            <w:r>
              <w:rPr>
                <w:rFonts w:asciiTheme="minorHAnsi" w:hAnsiTheme="minorHAnsi"/>
              </w:rPr>
              <w:t>, and when prescribed, is given with other treatment</w:t>
            </w:r>
            <w:r w:rsidR="00D56EAC">
              <w:rPr>
                <w:rFonts w:asciiTheme="minorHAnsi" w:hAnsiTheme="minorHAnsi"/>
              </w:rPr>
              <w:t xml:space="preserve"> concurrently</w:t>
            </w:r>
            <w:r w:rsidR="000707B0">
              <w:rPr>
                <w:rFonts w:asciiTheme="minorHAnsi" w:hAnsiTheme="minorHAnsi"/>
              </w:rPr>
              <w:t xml:space="preserve">. </w:t>
            </w:r>
          </w:p>
          <w:p w:rsidR="003F392A" w:rsidRDefault="003F392A" w:rsidP="00D56EAC">
            <w:pPr>
              <w:spacing w:before="120" w:after="120"/>
              <w:rPr>
                <w:rFonts w:asciiTheme="minorHAnsi" w:hAnsiTheme="minorHAnsi"/>
              </w:rPr>
            </w:pPr>
            <w:r>
              <w:rPr>
                <w:rFonts w:asciiTheme="minorHAnsi" w:hAnsiTheme="minorHAnsi"/>
              </w:rPr>
              <w:t xml:space="preserve">For existing patients on Ig maintenance therapy, </w:t>
            </w:r>
            <w:r w:rsidR="006950CB">
              <w:rPr>
                <w:rFonts w:asciiTheme="minorHAnsi" w:hAnsiTheme="minorHAnsi"/>
              </w:rPr>
              <w:t>annual</w:t>
            </w:r>
            <w:r>
              <w:rPr>
                <w:rFonts w:asciiTheme="minorHAnsi" w:hAnsiTheme="minorHAnsi"/>
              </w:rPr>
              <w:t xml:space="preserve"> reviews are required to assess the effectiveness of the treatment to stabilise symptoms</w:t>
            </w:r>
            <w:r w:rsidR="00425F39">
              <w:rPr>
                <w:rFonts w:asciiTheme="minorHAnsi" w:hAnsiTheme="minorHAnsi"/>
              </w:rPr>
              <w:t>,</w:t>
            </w:r>
            <w:r>
              <w:rPr>
                <w:rFonts w:asciiTheme="minorHAnsi" w:hAnsiTheme="minorHAnsi"/>
              </w:rPr>
              <w:t xml:space="preserve"> and the degree of disability. Given that patients will already require regular review by their neurologist, thi</w:t>
            </w:r>
            <w:r w:rsidR="00DA25F9">
              <w:rPr>
                <w:rFonts w:asciiTheme="minorHAnsi" w:hAnsiTheme="minorHAnsi"/>
              </w:rPr>
              <w:t xml:space="preserve">s requirement will not place an </w:t>
            </w:r>
            <w:r>
              <w:rPr>
                <w:rFonts w:asciiTheme="minorHAnsi" w:hAnsiTheme="minorHAnsi"/>
              </w:rPr>
              <w:t>added burden on patients</w:t>
            </w:r>
            <w:r w:rsidR="000707B0">
              <w:rPr>
                <w:rFonts w:asciiTheme="minorHAnsi" w:hAnsiTheme="minorHAnsi"/>
              </w:rPr>
              <w:t xml:space="preserve">. </w:t>
            </w:r>
            <w:r w:rsidR="00E27CEE">
              <w:rPr>
                <w:rFonts w:asciiTheme="minorHAnsi" w:hAnsiTheme="minorHAnsi"/>
              </w:rPr>
              <w:t xml:space="preserve">If Ig therapy has not been effective, it will be ceased as a different treatment should be used.  A trial of reducing dose and then stopping Ig therapy will be considered by doctors after eighteen months of treatment and when patients are well and stable </w:t>
            </w:r>
            <w:r w:rsidR="000707B0">
              <w:rPr>
                <w:rFonts w:asciiTheme="minorHAnsi" w:hAnsiTheme="minorHAnsi"/>
              </w:rPr>
              <w:t xml:space="preserve">as it is recognised that the acute </w:t>
            </w:r>
            <w:r w:rsidR="00E27CEE">
              <w:rPr>
                <w:rFonts w:asciiTheme="minorHAnsi" w:hAnsiTheme="minorHAnsi"/>
              </w:rPr>
              <w:t xml:space="preserve">(immune) </w:t>
            </w:r>
            <w:r w:rsidR="000707B0">
              <w:rPr>
                <w:rFonts w:asciiTheme="minorHAnsi" w:hAnsiTheme="minorHAnsi"/>
              </w:rPr>
              <w:t>phase of disease lessens</w:t>
            </w:r>
            <w:r w:rsidR="00E17FC9">
              <w:rPr>
                <w:rFonts w:asciiTheme="minorHAnsi" w:hAnsiTheme="minorHAnsi"/>
              </w:rPr>
              <w:t xml:space="preserve"> after this time</w:t>
            </w:r>
            <w:r w:rsidR="00E27CEE">
              <w:rPr>
                <w:rFonts w:asciiTheme="minorHAnsi" w:hAnsiTheme="minorHAnsi"/>
              </w:rPr>
              <w:t xml:space="preserve"> and other ongoing treatments will be more effective</w:t>
            </w:r>
            <w:r w:rsidR="00C448C2">
              <w:rPr>
                <w:rFonts w:asciiTheme="minorHAnsi" w:hAnsiTheme="minorHAnsi"/>
              </w:rPr>
              <w:t xml:space="preserve">. </w:t>
            </w:r>
          </w:p>
          <w:p w:rsidR="00C448C2" w:rsidRPr="00832D0D" w:rsidRDefault="003F392A" w:rsidP="001A59F8">
            <w:pPr>
              <w:spacing w:before="120" w:after="120"/>
              <w:rPr>
                <w:rFonts w:asciiTheme="minorHAnsi" w:hAnsiTheme="minorHAnsi"/>
              </w:rPr>
            </w:pPr>
            <w:r>
              <w:rPr>
                <w:rFonts w:asciiTheme="minorHAnsi" w:hAnsiTheme="minorHAnsi"/>
              </w:rPr>
              <w:t>New patients authorised to receive ongoing Ig therapy will require an initial check after the first six months of Ig treatment to confirm that Ig therapy is effective. If improvement has been demonstrated after six months ongoing treatment, Ig therapy will be continued; otherwise a different treatment would be required. The ongoing arrangements for maintenance therapy are as outlined above for existing patients.</w:t>
            </w:r>
          </w:p>
        </w:tc>
      </w:tr>
      <w:tr w:rsidR="00C448C2" w:rsidRPr="00021243" w:rsidTr="00832D0D">
        <w:tc>
          <w:tcPr>
            <w:tcW w:w="3545" w:type="dxa"/>
            <w:gridSpan w:val="2"/>
            <w:shd w:val="clear" w:color="auto" w:fill="auto"/>
          </w:tcPr>
          <w:p w:rsidR="00C448C2" w:rsidRDefault="00C448C2" w:rsidP="004A10A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C448C2" w:rsidRDefault="00C448C2" w:rsidP="008709E6">
            <w:pPr>
              <w:spacing w:before="120" w:after="120"/>
              <w:rPr>
                <w:rFonts w:asciiTheme="minorHAnsi" w:hAnsiTheme="minorHAnsi"/>
              </w:rPr>
            </w:pPr>
            <w:r>
              <w:rPr>
                <w:rFonts w:asciiTheme="minorHAnsi" w:hAnsiTheme="minorHAnsi"/>
              </w:rPr>
              <w:t xml:space="preserve">The slight increase in demand over the last few years may be in response to the recognition of the important role </w:t>
            </w:r>
            <w:r w:rsidR="00233FB2">
              <w:rPr>
                <w:rFonts w:asciiTheme="minorHAnsi" w:hAnsiTheme="minorHAnsi"/>
              </w:rPr>
              <w:t>of</w:t>
            </w:r>
            <w:r>
              <w:rPr>
                <w:rFonts w:asciiTheme="minorHAnsi" w:hAnsiTheme="minorHAnsi"/>
              </w:rPr>
              <w:t xml:space="preserve"> immune therapies in this rare and devastating condition. The revised criteria will better ensure that future use is controlled and clinically appropriate. Demand for this condition is expected to continue to follow the current trend.</w:t>
            </w:r>
          </w:p>
          <w:p w:rsidR="00C448C2" w:rsidRDefault="00C448C2" w:rsidP="008709E6">
            <w:pPr>
              <w:spacing w:before="120" w:after="120"/>
              <w:rPr>
                <w:rFonts w:asciiTheme="minorHAnsi" w:hAnsiTheme="minorHAnsi"/>
              </w:rPr>
            </w:pPr>
            <w:r>
              <w:rPr>
                <w:rFonts w:asciiTheme="minorHAnsi" w:hAnsiTheme="minorHAnsi"/>
              </w:rPr>
              <w:t xml:space="preserve">There is not expected to be any material impact on overall demand as a result of these recommended changes. </w:t>
            </w:r>
          </w:p>
        </w:tc>
      </w:tr>
      <w:tr w:rsidR="000C15E9" w:rsidRPr="00853117" w:rsidTr="000C15E9">
        <w:tc>
          <w:tcPr>
            <w:tcW w:w="2161" w:type="dxa"/>
            <w:shd w:val="clear" w:color="auto" w:fill="auto"/>
          </w:tcPr>
          <w:p w:rsidR="000C15E9" w:rsidRPr="00C92149" w:rsidRDefault="000C15E9" w:rsidP="004A10A2">
            <w:pPr>
              <w:spacing w:before="120" w:after="120"/>
              <w:rPr>
                <w:rFonts w:asciiTheme="minorHAnsi" w:hAnsiTheme="minorHAnsi"/>
                <w:b/>
                <w:sz w:val="18"/>
                <w:szCs w:val="18"/>
              </w:rPr>
            </w:pPr>
          </w:p>
        </w:tc>
        <w:tc>
          <w:tcPr>
            <w:tcW w:w="1384" w:type="dxa"/>
            <w:shd w:val="clear" w:color="auto" w:fill="auto"/>
          </w:tcPr>
          <w:p w:rsidR="000C15E9" w:rsidRPr="00C92149" w:rsidRDefault="000C15E9" w:rsidP="00A9050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0C15E9" w:rsidRPr="00C92149" w:rsidRDefault="000C15E9" w:rsidP="00A9050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0C15E9" w:rsidRPr="00C92149" w:rsidRDefault="000C15E9" w:rsidP="00A9050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0C15E9" w:rsidRPr="00C92149" w:rsidRDefault="000C15E9" w:rsidP="00A9050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rsidR="000C15E9" w:rsidRPr="000C15E9" w:rsidRDefault="000C15E9" w:rsidP="000C15E9">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536" w:type="dxa"/>
            <w:vMerge w:val="restart"/>
            <w:shd w:val="clear" w:color="auto" w:fill="auto"/>
          </w:tcPr>
          <w:p w:rsidR="00C448C2" w:rsidRPr="00E658D6" w:rsidRDefault="00C448C2" w:rsidP="00C448C2">
            <w:pPr>
              <w:rPr>
                <w:rFonts w:asciiTheme="minorHAnsi" w:hAnsiTheme="minorHAnsi"/>
                <w:sz w:val="18"/>
                <w:szCs w:val="18"/>
              </w:rPr>
            </w:pPr>
          </w:p>
          <w:p w:rsidR="00C448C2" w:rsidRPr="00E658D6" w:rsidRDefault="00C448C2" w:rsidP="00C448C2">
            <w:pPr>
              <w:rPr>
                <w:rFonts w:asciiTheme="minorHAnsi" w:hAnsiTheme="minorHAnsi"/>
                <w:sz w:val="18"/>
                <w:szCs w:val="18"/>
              </w:rPr>
            </w:pPr>
            <w:r w:rsidRPr="00E658D6">
              <w:rPr>
                <w:rFonts w:asciiTheme="minorHAnsi" w:hAnsiTheme="minorHAnsi"/>
                <w:sz w:val="18"/>
                <w:szCs w:val="18"/>
              </w:rPr>
              <w:t xml:space="preserve">The </w:t>
            </w:r>
            <w:r w:rsidR="00187169" w:rsidRPr="00187169">
              <w:rPr>
                <w:rFonts w:asciiTheme="minorHAnsi" w:hAnsiTheme="minorHAnsi"/>
                <w:sz w:val="18"/>
                <w:szCs w:val="18"/>
              </w:rPr>
              <w:t>Specialist Working Group</w:t>
            </w:r>
            <w:r w:rsidRPr="00E658D6">
              <w:rPr>
                <w:rFonts w:asciiTheme="minorHAnsi" w:hAnsiTheme="minorHAnsi"/>
                <w:sz w:val="18"/>
                <w:szCs w:val="18"/>
              </w:rPr>
              <w:t xml:space="preserve"> estimated magnitude of effect:</w:t>
            </w:r>
          </w:p>
          <w:p w:rsidR="00C448C2" w:rsidRPr="00E658D6" w:rsidRDefault="00C448C2" w:rsidP="008C1987">
            <w:pPr>
              <w:pStyle w:val="ListParagraph"/>
              <w:rPr>
                <w:rFonts w:asciiTheme="minorHAnsi" w:hAnsiTheme="minorHAnsi"/>
                <w:sz w:val="18"/>
                <w:szCs w:val="18"/>
              </w:rPr>
            </w:pPr>
            <w:r w:rsidRPr="00E658D6">
              <w:rPr>
                <w:rFonts w:asciiTheme="minorHAnsi" w:hAnsiTheme="minorHAnsi"/>
                <w:sz w:val="18"/>
                <w:szCs w:val="18"/>
              </w:rPr>
              <w:t>No impact</w:t>
            </w:r>
            <w:r w:rsidR="008C1987">
              <w:rPr>
                <w:rFonts w:asciiTheme="minorHAnsi" w:hAnsiTheme="minorHAnsi"/>
                <w:sz w:val="18"/>
                <w:szCs w:val="18"/>
              </w:rPr>
              <w:t xml:space="preserve"> against projected demand</w:t>
            </w:r>
          </w:p>
          <w:p w:rsidR="000C15E9" w:rsidRPr="00C92149" w:rsidRDefault="000C15E9" w:rsidP="004A10A2">
            <w:pPr>
              <w:spacing w:before="120" w:after="120"/>
              <w:rPr>
                <w:rFonts w:asciiTheme="minorHAnsi" w:hAnsiTheme="minorHAnsi"/>
                <w:b/>
                <w:sz w:val="18"/>
                <w:szCs w:val="18"/>
              </w:rPr>
            </w:pPr>
          </w:p>
        </w:tc>
      </w:tr>
      <w:tr w:rsidR="000C15E9" w:rsidRPr="00853117" w:rsidTr="00130ADF">
        <w:tc>
          <w:tcPr>
            <w:tcW w:w="2161" w:type="dxa"/>
            <w:shd w:val="clear" w:color="auto" w:fill="auto"/>
          </w:tcPr>
          <w:p w:rsidR="000C15E9" w:rsidRPr="00C92149" w:rsidRDefault="000C15E9"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center"/>
          </w:tcPr>
          <w:p w:rsidR="000C15E9" w:rsidRPr="00A90504" w:rsidRDefault="000C15E9" w:rsidP="00130ADF">
            <w:pPr>
              <w:spacing w:before="120" w:after="120"/>
              <w:jc w:val="right"/>
              <w:rPr>
                <w:rFonts w:asciiTheme="minorHAnsi" w:hAnsiTheme="minorHAnsi" w:cs="Helvetica"/>
                <w:b/>
                <w:color w:val="333333"/>
                <w:sz w:val="18"/>
                <w:szCs w:val="18"/>
              </w:rPr>
            </w:pPr>
            <w:r w:rsidRPr="00A90504">
              <w:rPr>
                <w:rFonts w:asciiTheme="minorHAnsi" w:hAnsiTheme="minorHAnsi" w:cs="Helvetica"/>
                <w:b/>
                <w:color w:val="333333"/>
                <w:sz w:val="18"/>
                <w:szCs w:val="18"/>
              </w:rPr>
              <w:t>0</w:t>
            </w:r>
          </w:p>
        </w:tc>
        <w:tc>
          <w:tcPr>
            <w:tcW w:w="1593" w:type="dxa"/>
            <w:shd w:val="clear" w:color="auto" w:fill="auto"/>
            <w:vAlign w:val="center"/>
          </w:tcPr>
          <w:p w:rsidR="000C15E9" w:rsidRPr="00A90504" w:rsidRDefault="000C15E9" w:rsidP="00130ADF">
            <w:pPr>
              <w:spacing w:before="120" w:after="120"/>
              <w:jc w:val="right"/>
              <w:rPr>
                <w:rFonts w:asciiTheme="minorHAnsi" w:hAnsiTheme="minorHAnsi" w:cs="Helvetica"/>
                <w:b/>
                <w:color w:val="333333"/>
                <w:sz w:val="18"/>
                <w:szCs w:val="18"/>
              </w:rPr>
            </w:pPr>
            <w:r w:rsidRPr="00A90504">
              <w:rPr>
                <w:rFonts w:asciiTheme="minorHAnsi" w:hAnsiTheme="minorHAnsi" w:cs="Helvetica"/>
                <w:b/>
                <w:color w:val="333333"/>
                <w:sz w:val="18"/>
                <w:szCs w:val="18"/>
              </w:rPr>
              <w:t>11</w:t>
            </w:r>
          </w:p>
        </w:tc>
        <w:tc>
          <w:tcPr>
            <w:tcW w:w="1667" w:type="dxa"/>
            <w:shd w:val="clear" w:color="auto" w:fill="auto"/>
            <w:vAlign w:val="center"/>
          </w:tcPr>
          <w:p w:rsidR="000C15E9" w:rsidRPr="00A90504" w:rsidRDefault="000C15E9" w:rsidP="00130ADF">
            <w:pPr>
              <w:spacing w:before="120" w:after="120"/>
              <w:jc w:val="right"/>
              <w:rPr>
                <w:rFonts w:asciiTheme="minorHAnsi" w:hAnsiTheme="minorHAnsi" w:cs="Helvetica"/>
                <w:b/>
                <w:color w:val="333333"/>
                <w:sz w:val="18"/>
                <w:szCs w:val="18"/>
              </w:rPr>
            </w:pPr>
            <w:r w:rsidRPr="00A90504">
              <w:rPr>
                <w:rFonts w:asciiTheme="minorHAnsi" w:hAnsiTheme="minorHAnsi" w:cs="Helvetica"/>
                <w:b/>
                <w:color w:val="333333"/>
                <w:sz w:val="18"/>
                <w:szCs w:val="18"/>
              </w:rPr>
              <w:t>10</w:t>
            </w:r>
          </w:p>
        </w:tc>
        <w:tc>
          <w:tcPr>
            <w:tcW w:w="1701" w:type="dxa"/>
            <w:shd w:val="clear" w:color="auto" w:fill="auto"/>
            <w:vAlign w:val="center"/>
          </w:tcPr>
          <w:p w:rsidR="000C15E9" w:rsidRPr="00A90504" w:rsidRDefault="000C15E9" w:rsidP="00130ADF">
            <w:pPr>
              <w:spacing w:before="120" w:after="120"/>
              <w:jc w:val="right"/>
              <w:rPr>
                <w:rFonts w:asciiTheme="minorHAnsi" w:hAnsiTheme="minorHAnsi" w:cs="Helvetica"/>
                <w:b/>
                <w:color w:val="333333"/>
                <w:sz w:val="18"/>
                <w:szCs w:val="18"/>
              </w:rPr>
            </w:pPr>
            <w:r w:rsidRPr="00A90504">
              <w:rPr>
                <w:rFonts w:asciiTheme="minorHAnsi" w:hAnsiTheme="minorHAnsi" w:cs="Helvetica"/>
                <w:b/>
                <w:color w:val="333333"/>
                <w:sz w:val="18"/>
                <w:szCs w:val="18"/>
              </w:rPr>
              <w:t>16</w:t>
            </w:r>
          </w:p>
        </w:tc>
        <w:tc>
          <w:tcPr>
            <w:tcW w:w="1559" w:type="dxa"/>
            <w:shd w:val="clear" w:color="auto" w:fill="auto"/>
            <w:vAlign w:val="center"/>
          </w:tcPr>
          <w:p w:rsidR="000C15E9" w:rsidRPr="000C15E9" w:rsidRDefault="001F4201" w:rsidP="00130AD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19</w:t>
            </w:r>
          </w:p>
        </w:tc>
        <w:tc>
          <w:tcPr>
            <w:tcW w:w="4536" w:type="dxa"/>
            <w:vMerge/>
            <w:shd w:val="clear" w:color="auto" w:fill="auto"/>
          </w:tcPr>
          <w:p w:rsidR="000C15E9" w:rsidRPr="00C92149" w:rsidRDefault="000C15E9" w:rsidP="004A10A2">
            <w:pPr>
              <w:spacing w:before="120" w:after="120"/>
              <w:rPr>
                <w:rFonts w:asciiTheme="minorHAnsi" w:hAnsiTheme="minorHAnsi"/>
                <w:b/>
                <w:sz w:val="18"/>
                <w:szCs w:val="18"/>
              </w:rPr>
            </w:pPr>
          </w:p>
        </w:tc>
      </w:tr>
      <w:tr w:rsidR="000C15E9" w:rsidRPr="00853117" w:rsidTr="00130ADF">
        <w:trPr>
          <w:trHeight w:val="535"/>
        </w:trPr>
        <w:tc>
          <w:tcPr>
            <w:tcW w:w="2161" w:type="dxa"/>
            <w:shd w:val="clear" w:color="auto" w:fill="auto"/>
          </w:tcPr>
          <w:p w:rsidR="000C15E9" w:rsidRPr="00C92149" w:rsidRDefault="000C15E9"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center"/>
          </w:tcPr>
          <w:p w:rsidR="000C15E9" w:rsidRPr="00A90504" w:rsidRDefault="000C15E9" w:rsidP="00130ADF">
            <w:pPr>
              <w:spacing w:before="120" w:after="120"/>
              <w:jc w:val="right"/>
              <w:rPr>
                <w:rFonts w:asciiTheme="minorHAnsi" w:hAnsiTheme="minorHAnsi" w:cs="Helvetica"/>
                <w:b/>
                <w:color w:val="333333"/>
                <w:sz w:val="18"/>
                <w:szCs w:val="18"/>
              </w:rPr>
            </w:pPr>
            <w:r w:rsidRPr="00A90504">
              <w:rPr>
                <w:rFonts w:asciiTheme="minorHAnsi" w:hAnsiTheme="minorHAnsi" w:cs="Helvetica"/>
                <w:b/>
                <w:color w:val="333333"/>
                <w:sz w:val="18"/>
                <w:szCs w:val="18"/>
              </w:rPr>
              <w:t> 0</w:t>
            </w:r>
          </w:p>
        </w:tc>
        <w:tc>
          <w:tcPr>
            <w:tcW w:w="1593" w:type="dxa"/>
            <w:shd w:val="clear" w:color="auto" w:fill="auto"/>
            <w:vAlign w:val="center"/>
          </w:tcPr>
          <w:p w:rsidR="000C15E9" w:rsidRPr="00A90504" w:rsidRDefault="000C15E9" w:rsidP="00130ADF">
            <w:pPr>
              <w:spacing w:before="120" w:after="120"/>
              <w:jc w:val="right"/>
              <w:rPr>
                <w:rFonts w:asciiTheme="minorHAnsi" w:hAnsiTheme="minorHAnsi" w:cs="Helvetica"/>
                <w:b/>
                <w:color w:val="333333"/>
                <w:sz w:val="18"/>
                <w:szCs w:val="18"/>
              </w:rPr>
            </w:pPr>
            <w:r w:rsidRPr="00A90504">
              <w:rPr>
                <w:rFonts w:asciiTheme="minorHAnsi" w:hAnsiTheme="minorHAnsi" w:cs="Helvetica"/>
                <w:b/>
                <w:color w:val="333333"/>
                <w:sz w:val="18"/>
                <w:szCs w:val="18"/>
              </w:rPr>
              <w:t>3,443</w:t>
            </w:r>
          </w:p>
        </w:tc>
        <w:tc>
          <w:tcPr>
            <w:tcW w:w="1667" w:type="dxa"/>
            <w:shd w:val="clear" w:color="auto" w:fill="auto"/>
            <w:vAlign w:val="center"/>
          </w:tcPr>
          <w:p w:rsidR="000C15E9" w:rsidRPr="00A90504" w:rsidRDefault="000C15E9" w:rsidP="00130ADF">
            <w:pPr>
              <w:spacing w:before="120" w:after="120"/>
              <w:jc w:val="right"/>
              <w:rPr>
                <w:rFonts w:asciiTheme="minorHAnsi" w:hAnsiTheme="minorHAnsi" w:cs="Helvetica"/>
                <w:b/>
                <w:color w:val="333333"/>
                <w:sz w:val="18"/>
                <w:szCs w:val="18"/>
              </w:rPr>
            </w:pPr>
            <w:r w:rsidRPr="00A90504">
              <w:rPr>
                <w:rFonts w:asciiTheme="minorHAnsi" w:hAnsiTheme="minorHAnsi" w:cs="Helvetica"/>
                <w:b/>
                <w:color w:val="333333"/>
                <w:sz w:val="18"/>
                <w:szCs w:val="18"/>
              </w:rPr>
              <w:t>3,724</w:t>
            </w:r>
          </w:p>
        </w:tc>
        <w:tc>
          <w:tcPr>
            <w:tcW w:w="1701" w:type="dxa"/>
            <w:shd w:val="clear" w:color="auto" w:fill="auto"/>
            <w:vAlign w:val="center"/>
          </w:tcPr>
          <w:p w:rsidR="000C15E9" w:rsidRPr="00A90504" w:rsidRDefault="000C15E9" w:rsidP="00130ADF">
            <w:pPr>
              <w:spacing w:before="120" w:after="120"/>
              <w:jc w:val="right"/>
              <w:rPr>
                <w:rFonts w:asciiTheme="minorHAnsi" w:hAnsiTheme="minorHAnsi" w:cs="Helvetica"/>
                <w:b/>
                <w:color w:val="333333"/>
                <w:sz w:val="18"/>
                <w:szCs w:val="18"/>
              </w:rPr>
            </w:pPr>
            <w:r w:rsidRPr="00A90504">
              <w:rPr>
                <w:rFonts w:asciiTheme="minorHAnsi" w:hAnsiTheme="minorHAnsi" w:cs="Helvetica"/>
                <w:b/>
                <w:color w:val="333333"/>
                <w:sz w:val="18"/>
                <w:szCs w:val="18"/>
              </w:rPr>
              <w:t>5,249</w:t>
            </w:r>
          </w:p>
        </w:tc>
        <w:tc>
          <w:tcPr>
            <w:tcW w:w="1559" w:type="dxa"/>
            <w:shd w:val="clear" w:color="auto" w:fill="auto"/>
            <w:vAlign w:val="center"/>
          </w:tcPr>
          <w:p w:rsidR="000C15E9" w:rsidRPr="000C15E9" w:rsidRDefault="001F4201" w:rsidP="00130AD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7,131</w:t>
            </w:r>
          </w:p>
        </w:tc>
        <w:tc>
          <w:tcPr>
            <w:tcW w:w="4536" w:type="dxa"/>
            <w:vMerge/>
            <w:shd w:val="clear" w:color="auto" w:fill="auto"/>
          </w:tcPr>
          <w:p w:rsidR="000C15E9" w:rsidRPr="00C92149" w:rsidRDefault="000C15E9" w:rsidP="004A10A2">
            <w:pPr>
              <w:spacing w:before="120" w:after="120"/>
              <w:rPr>
                <w:rFonts w:asciiTheme="minorHAnsi" w:hAnsiTheme="minorHAnsi"/>
                <w:b/>
                <w:sz w:val="18"/>
                <w:szCs w:val="18"/>
              </w:rPr>
            </w:pPr>
          </w:p>
        </w:tc>
      </w:tr>
      <w:tr w:rsidR="000C15E9" w:rsidRPr="00853117" w:rsidTr="00130ADF">
        <w:tc>
          <w:tcPr>
            <w:tcW w:w="2161" w:type="dxa"/>
            <w:shd w:val="clear" w:color="auto" w:fill="auto"/>
          </w:tcPr>
          <w:p w:rsidR="000C15E9" w:rsidRPr="00C92149" w:rsidRDefault="000C15E9"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center"/>
          </w:tcPr>
          <w:p w:rsidR="000C15E9" w:rsidRPr="00A90504" w:rsidRDefault="000C15E9" w:rsidP="00130ADF">
            <w:pPr>
              <w:spacing w:before="120" w:after="120"/>
              <w:jc w:val="right"/>
              <w:rPr>
                <w:rFonts w:asciiTheme="minorHAnsi" w:hAnsiTheme="minorHAnsi" w:cs="Helvetica"/>
                <w:b/>
                <w:color w:val="333333"/>
                <w:sz w:val="18"/>
                <w:szCs w:val="18"/>
              </w:rPr>
            </w:pPr>
            <w:r w:rsidRPr="00A90504">
              <w:rPr>
                <w:rFonts w:asciiTheme="minorHAnsi" w:hAnsiTheme="minorHAnsi" w:cs="Helvetica"/>
                <w:b/>
                <w:color w:val="333333"/>
                <w:sz w:val="18"/>
                <w:szCs w:val="18"/>
              </w:rPr>
              <w:t>0.00%</w:t>
            </w:r>
          </w:p>
        </w:tc>
        <w:tc>
          <w:tcPr>
            <w:tcW w:w="1593" w:type="dxa"/>
            <w:shd w:val="clear" w:color="auto" w:fill="auto"/>
            <w:vAlign w:val="center"/>
          </w:tcPr>
          <w:p w:rsidR="000C15E9" w:rsidRPr="00A90504" w:rsidRDefault="00E71492" w:rsidP="00130AD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377F72">
              <w:rPr>
                <w:rFonts w:asciiTheme="minorHAnsi" w:hAnsiTheme="minorHAnsi" w:cs="Helvetica"/>
                <w:b/>
                <w:color w:val="333333"/>
                <w:sz w:val="18"/>
                <w:szCs w:val="18"/>
              </w:rPr>
              <w:t>1</w:t>
            </w:r>
            <w:r w:rsidR="000C15E9" w:rsidRPr="00A90504">
              <w:rPr>
                <w:rFonts w:asciiTheme="minorHAnsi" w:hAnsiTheme="minorHAnsi" w:cs="Helvetica"/>
                <w:b/>
                <w:color w:val="333333"/>
                <w:sz w:val="18"/>
                <w:szCs w:val="18"/>
              </w:rPr>
              <w:t>%</w:t>
            </w:r>
          </w:p>
        </w:tc>
        <w:tc>
          <w:tcPr>
            <w:tcW w:w="1667" w:type="dxa"/>
            <w:shd w:val="clear" w:color="auto" w:fill="auto"/>
            <w:vAlign w:val="center"/>
          </w:tcPr>
          <w:p w:rsidR="000C15E9" w:rsidRPr="00A90504" w:rsidRDefault="00E71492" w:rsidP="00130AD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0.09</w:t>
            </w:r>
            <w:r w:rsidR="000C15E9" w:rsidRPr="00A90504">
              <w:rPr>
                <w:rFonts w:asciiTheme="minorHAnsi" w:hAnsiTheme="minorHAnsi" w:cs="Helvetica"/>
                <w:b/>
                <w:color w:val="333333"/>
                <w:sz w:val="18"/>
                <w:szCs w:val="18"/>
              </w:rPr>
              <w:t>%</w:t>
            </w:r>
          </w:p>
        </w:tc>
        <w:tc>
          <w:tcPr>
            <w:tcW w:w="1701" w:type="dxa"/>
            <w:shd w:val="clear" w:color="auto" w:fill="auto"/>
            <w:vAlign w:val="center"/>
          </w:tcPr>
          <w:p w:rsidR="000C15E9" w:rsidRPr="00A90504" w:rsidRDefault="00E71492" w:rsidP="00377F7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377F72">
              <w:rPr>
                <w:rFonts w:asciiTheme="minorHAnsi" w:hAnsiTheme="minorHAnsi" w:cs="Helvetica"/>
                <w:b/>
                <w:color w:val="333333"/>
                <w:sz w:val="18"/>
                <w:szCs w:val="18"/>
              </w:rPr>
              <w:t>2</w:t>
            </w:r>
            <w:r w:rsidR="000C15E9" w:rsidRPr="00A90504">
              <w:rPr>
                <w:rFonts w:asciiTheme="minorHAnsi" w:hAnsiTheme="minorHAnsi" w:cs="Helvetica"/>
                <w:b/>
                <w:color w:val="333333"/>
                <w:sz w:val="18"/>
                <w:szCs w:val="18"/>
              </w:rPr>
              <w:t>%</w:t>
            </w:r>
          </w:p>
        </w:tc>
        <w:tc>
          <w:tcPr>
            <w:tcW w:w="1559" w:type="dxa"/>
            <w:shd w:val="clear" w:color="auto" w:fill="auto"/>
            <w:vAlign w:val="center"/>
          </w:tcPr>
          <w:p w:rsidR="000C15E9" w:rsidRPr="000C15E9" w:rsidRDefault="001F4201" w:rsidP="00130AD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0.14%</w:t>
            </w:r>
          </w:p>
        </w:tc>
        <w:tc>
          <w:tcPr>
            <w:tcW w:w="4536" w:type="dxa"/>
            <w:vMerge/>
            <w:shd w:val="clear" w:color="auto" w:fill="auto"/>
          </w:tcPr>
          <w:p w:rsidR="000C15E9" w:rsidRPr="00C92149" w:rsidRDefault="000C15E9" w:rsidP="004A10A2">
            <w:pPr>
              <w:spacing w:before="120" w:after="120"/>
              <w:rPr>
                <w:rFonts w:asciiTheme="minorHAnsi" w:hAnsiTheme="minorHAnsi"/>
                <w:b/>
                <w:sz w:val="18"/>
                <w:szCs w:val="18"/>
              </w:rPr>
            </w:pPr>
          </w:p>
        </w:tc>
      </w:tr>
      <w:tr w:rsidR="00A90504" w:rsidRPr="00021243" w:rsidTr="005D45E6">
        <w:tc>
          <w:tcPr>
            <w:tcW w:w="14601" w:type="dxa"/>
            <w:gridSpan w:val="7"/>
            <w:shd w:val="clear" w:color="auto" w:fill="F79646" w:themeFill="accent6"/>
          </w:tcPr>
          <w:p w:rsidR="00A90504" w:rsidRDefault="00187169" w:rsidP="005D45E6">
            <w:pPr>
              <w:spacing w:before="120" w:after="120"/>
              <w:rPr>
                <w:rFonts w:asciiTheme="minorHAnsi" w:hAnsiTheme="minorHAnsi"/>
                <w:b/>
              </w:rPr>
            </w:pPr>
            <w:r w:rsidRPr="00187169">
              <w:rPr>
                <w:rFonts w:asciiTheme="minorHAnsi" w:hAnsiTheme="minorHAnsi"/>
                <w:b/>
              </w:rPr>
              <w:t xml:space="preserve">Specialist Working Group </w:t>
            </w:r>
            <w:r w:rsidR="00A90504">
              <w:rPr>
                <w:rFonts w:asciiTheme="minorHAnsi" w:hAnsiTheme="minorHAnsi"/>
                <w:b/>
              </w:rPr>
              <w:t>knowledge development opportunities and recommendations</w:t>
            </w:r>
            <w:r w:rsidR="00C448C2">
              <w:rPr>
                <w:rFonts w:asciiTheme="minorHAnsi" w:hAnsiTheme="minorHAnsi"/>
                <w:b/>
              </w:rPr>
              <w:t xml:space="preserve"> relevant to the transition to </w:t>
            </w:r>
            <w:r>
              <w:rPr>
                <w:rFonts w:asciiTheme="minorHAnsi" w:hAnsiTheme="minorHAnsi"/>
                <w:b/>
              </w:rPr>
              <w:t>v</w:t>
            </w:r>
            <w:r w:rsidR="00C448C2">
              <w:rPr>
                <w:rFonts w:asciiTheme="minorHAnsi" w:hAnsiTheme="minorHAnsi"/>
                <w:b/>
              </w:rPr>
              <w:t>3</w:t>
            </w:r>
            <w:r w:rsidR="00294C46">
              <w:rPr>
                <w:rFonts w:asciiTheme="minorHAnsi" w:hAnsiTheme="minorHAnsi"/>
                <w:b/>
              </w:rPr>
              <w:t>.0</w:t>
            </w:r>
          </w:p>
        </w:tc>
      </w:tr>
      <w:tr w:rsidR="00A90504" w:rsidRPr="00021243" w:rsidTr="005D45E6">
        <w:tc>
          <w:tcPr>
            <w:tcW w:w="14601" w:type="dxa"/>
            <w:gridSpan w:val="7"/>
            <w:shd w:val="clear" w:color="auto" w:fill="auto"/>
          </w:tcPr>
          <w:p w:rsidR="00A90504" w:rsidRPr="002506FF" w:rsidRDefault="00C448C2" w:rsidP="00434760">
            <w:pPr>
              <w:spacing w:before="120" w:after="120"/>
              <w:rPr>
                <w:rFonts w:asciiTheme="minorHAnsi" w:hAnsiTheme="minorHAnsi"/>
              </w:rPr>
            </w:pPr>
            <w:r>
              <w:rPr>
                <w:rFonts w:asciiTheme="minorHAnsi" w:hAnsiTheme="minorHAnsi"/>
              </w:rPr>
              <w:t>No</w:t>
            </w:r>
            <w:r w:rsidR="00434760">
              <w:rPr>
                <w:rFonts w:asciiTheme="minorHAnsi" w:hAnsiTheme="minorHAnsi"/>
              </w:rPr>
              <w:t xml:space="preserve">ne </w:t>
            </w:r>
            <w:r w:rsidR="00F00B10">
              <w:rPr>
                <w:rFonts w:asciiTheme="minorHAnsi" w:hAnsiTheme="minorHAnsi"/>
              </w:rPr>
              <w:t>identified at this stage</w:t>
            </w:r>
            <w:r>
              <w:rPr>
                <w:rFonts w:asciiTheme="minorHAnsi" w:hAnsiTheme="minorHAnsi"/>
              </w:rPr>
              <w:t xml:space="preserve">. </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8008AE">
              <w:rPr>
                <w:rFonts w:asciiTheme="minorHAnsi" w:hAnsiTheme="minorHAnsi"/>
                <w:b/>
              </w:rPr>
              <w:t>PUBLIC CONSULTATION</w:t>
            </w:r>
            <w:r>
              <w:rPr>
                <w:rFonts w:asciiTheme="minorHAnsi" w:hAnsiTheme="minorHAnsi"/>
                <w:b/>
              </w:rPr>
              <w:t xml:space="preserve"> DOCUMENT</w:t>
            </w:r>
          </w:p>
          <w:p w:rsidR="000E09C4" w:rsidRPr="00021243" w:rsidRDefault="008008AE" w:rsidP="002506FF">
            <w:pPr>
              <w:spacing w:before="120" w:after="120"/>
              <w:jc w:val="center"/>
              <w:rPr>
                <w:rFonts w:asciiTheme="minorHAnsi" w:hAnsiTheme="minorHAnsi"/>
                <w:b/>
              </w:rPr>
            </w:pPr>
            <w:r>
              <w:rPr>
                <w:rFonts w:asciiTheme="minorHAnsi" w:hAnsiTheme="minorHAnsi"/>
                <w:b/>
              </w:rPr>
              <w:t>Next review</w:t>
            </w:r>
            <w:r w:rsidR="00C448C2">
              <w:rPr>
                <w:rFonts w:asciiTheme="minorHAnsi" w:hAnsiTheme="minorHAnsi"/>
                <w:b/>
              </w:rPr>
              <w:t xml:space="preserve">: </w:t>
            </w:r>
            <w:r w:rsidR="000E09C4">
              <w:rPr>
                <w:rFonts w:asciiTheme="minorHAnsi" w:hAnsiTheme="minorHAnsi"/>
                <w:b/>
              </w:rPr>
              <w:t xml:space="preserve"> </w:t>
            </w:r>
            <w:r w:rsidR="00C448C2">
              <w:rPr>
                <w:rFonts w:asciiTheme="minorHAnsi" w:hAnsiTheme="minorHAnsi"/>
                <w:b/>
              </w:rPr>
              <w:t xml:space="preserve">Twelve to eighteen months from BloodSTAR </w:t>
            </w:r>
            <w:r w:rsidR="00187169">
              <w:rPr>
                <w:rFonts w:asciiTheme="minorHAnsi" w:hAnsiTheme="minorHAnsi"/>
                <w:b/>
              </w:rPr>
              <w:t>v</w:t>
            </w:r>
            <w:r w:rsidR="00C448C2">
              <w:rPr>
                <w:rFonts w:asciiTheme="minorHAnsi" w:hAnsiTheme="minorHAnsi"/>
                <w:b/>
              </w:rPr>
              <w:t>3</w:t>
            </w:r>
            <w:r w:rsidR="00294C46">
              <w:rPr>
                <w:rFonts w:asciiTheme="minorHAnsi" w:hAnsiTheme="minorHAnsi"/>
                <w:b/>
              </w:rPr>
              <w:t>.0</w:t>
            </w:r>
            <w:r w:rsidR="00C448C2">
              <w:rPr>
                <w:rFonts w:asciiTheme="minorHAnsi" w:hAnsiTheme="minorHAnsi"/>
                <w:b/>
              </w:rPr>
              <w:t xml:space="preserve"> implementation</w:t>
            </w:r>
          </w:p>
        </w:tc>
      </w:tr>
    </w:tbl>
    <w:p w:rsidR="006627B5" w:rsidRPr="004260C5" w:rsidRDefault="006627B5" w:rsidP="004260C5">
      <w:pPr>
        <w:spacing w:after="0" w:line="276" w:lineRule="auto"/>
        <w:rPr>
          <w:sz w:val="2"/>
          <w:szCs w:val="2"/>
        </w:rPr>
      </w:pPr>
    </w:p>
    <w:sectPr w:rsidR="006627B5" w:rsidRPr="004260C5" w:rsidSect="008411E3">
      <w:headerReference w:type="first" r:id="rId20"/>
      <w:pgSz w:w="16839" w:h="11907" w:orient="landscape" w:code="9"/>
      <w:pgMar w:top="1135"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01723"/>
      <w:docPartObj>
        <w:docPartGallery w:val="Page Numbers (Bottom of Page)"/>
        <w:docPartUnique/>
      </w:docPartObj>
    </w:sdtPr>
    <w:sdtEndPr>
      <w:rPr>
        <w:noProof/>
      </w:rPr>
    </w:sdtEndPr>
    <w:sdtContent>
      <w:p w:rsidR="008411E3" w:rsidRDefault="008411E3">
        <w:pPr>
          <w:pStyle w:val="Footer"/>
          <w:jc w:val="right"/>
        </w:pPr>
        <w:r>
          <w:fldChar w:fldCharType="begin"/>
        </w:r>
        <w:r>
          <w:instrText xml:space="preserve"> PAGE   \* MERGEFORMAT </w:instrText>
        </w:r>
        <w:r>
          <w:fldChar w:fldCharType="separate"/>
        </w:r>
        <w:r w:rsidR="00933028">
          <w:rPr>
            <w:noProof/>
          </w:rPr>
          <w:t>2</w:t>
        </w:r>
        <w:r>
          <w:rPr>
            <w:noProof/>
          </w:rPr>
          <w:fldChar w:fldCharType="end"/>
        </w:r>
      </w:p>
    </w:sdtContent>
  </w:sdt>
  <w:p w:rsidR="00853117" w:rsidRPr="00856708" w:rsidRDefault="00853117" w:rsidP="00C92149">
    <w:pPr>
      <w:pStyle w:val="Footer"/>
      <w:tabs>
        <w:tab w:val="clear" w:pos="9026"/>
        <w:tab w:val="right" w:pos="13608"/>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41141"/>
      <w:docPartObj>
        <w:docPartGallery w:val="Page Numbers (Bottom of Page)"/>
        <w:docPartUnique/>
      </w:docPartObj>
    </w:sdtPr>
    <w:sdtEndPr>
      <w:rPr>
        <w:noProof/>
      </w:rPr>
    </w:sdtEndPr>
    <w:sdtContent>
      <w:p w:rsidR="008411E3" w:rsidRDefault="008411E3">
        <w:pPr>
          <w:pStyle w:val="Footer"/>
          <w:jc w:val="right"/>
        </w:pPr>
        <w:r>
          <w:fldChar w:fldCharType="begin"/>
        </w:r>
        <w:r>
          <w:instrText xml:space="preserve"> PAGE   \* MERGEFORMAT </w:instrText>
        </w:r>
        <w:r>
          <w:fldChar w:fldCharType="separate"/>
        </w:r>
        <w:r w:rsidR="00933028">
          <w:rPr>
            <w:noProof/>
          </w:rPr>
          <w:t>1</w:t>
        </w:r>
        <w:r>
          <w:rPr>
            <w:noProof/>
          </w:rPr>
          <w:fldChar w:fldCharType="end"/>
        </w:r>
      </w:p>
    </w:sdtContent>
  </w:sdt>
  <w:p w:rsidR="00C92F71" w:rsidRPr="008411E3" w:rsidRDefault="00C92F71" w:rsidP="00841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E3" w:rsidRPr="00C92F71" w:rsidRDefault="00FE3F41" w:rsidP="008411E3">
    <w:pPr>
      <w:pStyle w:val="Footer"/>
      <w:tabs>
        <w:tab w:val="clear" w:pos="9026"/>
        <w:tab w:val="right" w:pos="13608"/>
      </w:tabs>
      <w:rPr>
        <w:sz w:val="20"/>
        <w:szCs w:val="20"/>
      </w:rPr>
    </w:pPr>
    <w:r>
      <w:rPr>
        <w:sz w:val="20"/>
        <w:szCs w:val="20"/>
      </w:rPr>
      <w:t>PUBLIC CONSULTATION 2017</w:t>
    </w:r>
    <w:r w:rsidR="008411E3">
      <w:rPr>
        <w:sz w:val="20"/>
        <w:szCs w:val="20"/>
      </w:rPr>
      <w:t xml:space="preserve"> – Rasmussen syndrome</w:t>
    </w:r>
  </w:p>
  <w:p w:rsidR="008411E3" w:rsidRDefault="00841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E3" w:rsidRPr="00C92F71" w:rsidRDefault="008C1987" w:rsidP="008411E3">
    <w:pPr>
      <w:pStyle w:val="Footer"/>
      <w:tabs>
        <w:tab w:val="clear" w:pos="9026"/>
        <w:tab w:val="right" w:pos="13608"/>
      </w:tabs>
      <w:rPr>
        <w:sz w:val="20"/>
        <w:szCs w:val="20"/>
      </w:rPr>
    </w:pPr>
    <w:r>
      <w:rPr>
        <w:sz w:val="20"/>
        <w:szCs w:val="20"/>
      </w:rPr>
      <w:t>PUBLIC CONSULTATION 2017</w:t>
    </w:r>
    <w:r w:rsidR="008411E3">
      <w:rPr>
        <w:sz w:val="20"/>
        <w:szCs w:val="20"/>
      </w:rPr>
      <w:t xml:space="preserve"> – Rasmussen syndrome</w:t>
    </w:r>
  </w:p>
  <w:p w:rsidR="008411E3" w:rsidRDefault="00841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Default="00FE3F41">
    <w:pPr>
      <w:pStyle w:val="Header"/>
    </w:pPr>
    <w:r>
      <w:rPr>
        <w:sz w:val="20"/>
        <w:szCs w:val="20"/>
      </w:rPr>
      <w:t>PUBLIC CONSULTATION 2017</w:t>
    </w:r>
    <w:r w:rsidR="00AA12A9">
      <w:rPr>
        <w:sz w:val="20"/>
        <w:szCs w:val="20"/>
      </w:rPr>
      <w:t xml:space="preserve"> – Rasmussen syndrome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70464B"/>
    <w:multiLevelType w:val="hybridMultilevel"/>
    <w:tmpl w:val="FE42E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D7FEF"/>
    <w:multiLevelType w:val="hybridMultilevel"/>
    <w:tmpl w:val="907C7F7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6">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8"/>
  </w:num>
  <w:num w:numId="5">
    <w:abstractNumId w:val="16"/>
  </w:num>
  <w:num w:numId="6">
    <w:abstractNumId w:val="2"/>
  </w:num>
  <w:num w:numId="7">
    <w:abstractNumId w:val="1"/>
  </w:num>
  <w:num w:numId="8">
    <w:abstractNumId w:val="4"/>
  </w:num>
  <w:num w:numId="9">
    <w:abstractNumId w:val="0"/>
  </w:num>
  <w:num w:numId="10">
    <w:abstractNumId w:val="42"/>
  </w:num>
  <w:num w:numId="11">
    <w:abstractNumId w:val="28"/>
  </w:num>
  <w:num w:numId="12">
    <w:abstractNumId w:val="34"/>
  </w:num>
  <w:num w:numId="13">
    <w:abstractNumId w:val="13"/>
  </w:num>
  <w:num w:numId="14">
    <w:abstractNumId w:val="21"/>
  </w:num>
  <w:num w:numId="15">
    <w:abstractNumId w:val="12"/>
  </w:num>
  <w:num w:numId="16">
    <w:abstractNumId w:val="37"/>
  </w:num>
  <w:num w:numId="17">
    <w:abstractNumId w:val="5"/>
  </w:num>
  <w:num w:numId="18">
    <w:abstractNumId w:val="17"/>
  </w:num>
  <w:num w:numId="19">
    <w:abstractNumId w:val="32"/>
  </w:num>
  <w:num w:numId="20">
    <w:abstractNumId w:val="44"/>
  </w:num>
  <w:num w:numId="21">
    <w:abstractNumId w:val="14"/>
  </w:num>
  <w:num w:numId="22">
    <w:abstractNumId w:val="33"/>
  </w:num>
  <w:num w:numId="23">
    <w:abstractNumId w:val="10"/>
  </w:num>
  <w:num w:numId="24">
    <w:abstractNumId w:val="3"/>
  </w:num>
  <w:num w:numId="25">
    <w:abstractNumId w:val="36"/>
  </w:num>
  <w:num w:numId="26">
    <w:abstractNumId w:val="24"/>
  </w:num>
  <w:num w:numId="27">
    <w:abstractNumId w:val="40"/>
  </w:num>
  <w:num w:numId="28">
    <w:abstractNumId w:val="29"/>
  </w:num>
  <w:num w:numId="29">
    <w:abstractNumId w:val="30"/>
  </w:num>
  <w:num w:numId="30">
    <w:abstractNumId w:val="8"/>
  </w:num>
  <w:num w:numId="31">
    <w:abstractNumId w:val="9"/>
  </w:num>
  <w:num w:numId="32">
    <w:abstractNumId w:val="27"/>
  </w:num>
  <w:num w:numId="33">
    <w:abstractNumId w:val="43"/>
  </w:num>
  <w:num w:numId="34">
    <w:abstractNumId w:val="20"/>
  </w:num>
  <w:num w:numId="35">
    <w:abstractNumId w:val="31"/>
  </w:num>
  <w:num w:numId="36">
    <w:abstractNumId w:val="19"/>
  </w:num>
  <w:num w:numId="37">
    <w:abstractNumId w:val="15"/>
  </w:num>
  <w:num w:numId="38">
    <w:abstractNumId w:val="23"/>
  </w:num>
  <w:num w:numId="39">
    <w:abstractNumId w:val="26"/>
  </w:num>
  <w:num w:numId="40">
    <w:abstractNumId w:val="7"/>
  </w:num>
  <w:num w:numId="41">
    <w:abstractNumId w:val="39"/>
  </w:num>
  <w:num w:numId="42">
    <w:abstractNumId w:val="41"/>
  </w:num>
  <w:num w:numId="43">
    <w:abstractNumId w:val="25"/>
  </w:num>
  <w:num w:numId="44">
    <w:abstractNumId w:val="6"/>
  </w:num>
  <w:num w:numId="45">
    <w:abstractNumId w:val="45"/>
  </w:num>
  <w:num w:numId="46">
    <w:abstractNumId w:val="3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1CD7"/>
    <w:rsid w:val="00013C2F"/>
    <w:rsid w:val="00021243"/>
    <w:rsid w:val="00022A4A"/>
    <w:rsid w:val="00036EDC"/>
    <w:rsid w:val="000707B0"/>
    <w:rsid w:val="0007639A"/>
    <w:rsid w:val="00083B8B"/>
    <w:rsid w:val="000910F2"/>
    <w:rsid w:val="000A3A69"/>
    <w:rsid w:val="000A65C9"/>
    <w:rsid w:val="000B27A7"/>
    <w:rsid w:val="000C15E9"/>
    <w:rsid w:val="000E09C4"/>
    <w:rsid w:val="000E1706"/>
    <w:rsid w:val="000E4D1E"/>
    <w:rsid w:val="000F2986"/>
    <w:rsid w:val="00130ADF"/>
    <w:rsid w:val="00141B21"/>
    <w:rsid w:val="00153753"/>
    <w:rsid w:val="00165F48"/>
    <w:rsid w:val="00171B1E"/>
    <w:rsid w:val="0017270F"/>
    <w:rsid w:val="0018372F"/>
    <w:rsid w:val="001849B2"/>
    <w:rsid w:val="00184E12"/>
    <w:rsid w:val="00186CF7"/>
    <w:rsid w:val="00187169"/>
    <w:rsid w:val="001A2460"/>
    <w:rsid w:val="001A59F8"/>
    <w:rsid w:val="001C45B4"/>
    <w:rsid w:val="001D16D4"/>
    <w:rsid w:val="001E102B"/>
    <w:rsid w:val="001F4201"/>
    <w:rsid w:val="0021213D"/>
    <w:rsid w:val="00214054"/>
    <w:rsid w:val="00216823"/>
    <w:rsid w:val="002306B2"/>
    <w:rsid w:val="00233FB2"/>
    <w:rsid w:val="00236B19"/>
    <w:rsid w:val="00240825"/>
    <w:rsid w:val="0024089F"/>
    <w:rsid w:val="002506FF"/>
    <w:rsid w:val="002537F2"/>
    <w:rsid w:val="00255740"/>
    <w:rsid w:val="00272D71"/>
    <w:rsid w:val="00275679"/>
    <w:rsid w:val="00282F66"/>
    <w:rsid w:val="002936DD"/>
    <w:rsid w:val="00294C46"/>
    <w:rsid w:val="00295CD3"/>
    <w:rsid w:val="002D2007"/>
    <w:rsid w:val="002E71C6"/>
    <w:rsid w:val="002F3325"/>
    <w:rsid w:val="00320BEB"/>
    <w:rsid w:val="00327526"/>
    <w:rsid w:val="0033060E"/>
    <w:rsid w:val="00356567"/>
    <w:rsid w:val="00365A96"/>
    <w:rsid w:val="00377F72"/>
    <w:rsid w:val="00395032"/>
    <w:rsid w:val="003A1F9D"/>
    <w:rsid w:val="003A2126"/>
    <w:rsid w:val="003D1795"/>
    <w:rsid w:val="003D27F1"/>
    <w:rsid w:val="003E3235"/>
    <w:rsid w:val="003F11F8"/>
    <w:rsid w:val="003F392A"/>
    <w:rsid w:val="00403201"/>
    <w:rsid w:val="0042394C"/>
    <w:rsid w:val="00425F39"/>
    <w:rsid w:val="004260C5"/>
    <w:rsid w:val="00433C78"/>
    <w:rsid w:val="00434760"/>
    <w:rsid w:val="00445EDE"/>
    <w:rsid w:val="00447869"/>
    <w:rsid w:val="00454FA8"/>
    <w:rsid w:val="00460325"/>
    <w:rsid w:val="00463B0C"/>
    <w:rsid w:val="0047615E"/>
    <w:rsid w:val="00485086"/>
    <w:rsid w:val="004856E4"/>
    <w:rsid w:val="004A10A2"/>
    <w:rsid w:val="004B14F4"/>
    <w:rsid w:val="004D4636"/>
    <w:rsid w:val="004E4A52"/>
    <w:rsid w:val="005023CE"/>
    <w:rsid w:val="00517404"/>
    <w:rsid w:val="00525C51"/>
    <w:rsid w:val="00531E6D"/>
    <w:rsid w:val="00540020"/>
    <w:rsid w:val="00543C69"/>
    <w:rsid w:val="0055159C"/>
    <w:rsid w:val="00553079"/>
    <w:rsid w:val="005546AE"/>
    <w:rsid w:val="005629EE"/>
    <w:rsid w:val="00565DC7"/>
    <w:rsid w:val="00584BEC"/>
    <w:rsid w:val="005851ED"/>
    <w:rsid w:val="005960E7"/>
    <w:rsid w:val="005D2C3D"/>
    <w:rsid w:val="005E04F6"/>
    <w:rsid w:val="00602D7D"/>
    <w:rsid w:val="006201B1"/>
    <w:rsid w:val="00631EAB"/>
    <w:rsid w:val="006427C2"/>
    <w:rsid w:val="00642A5C"/>
    <w:rsid w:val="00644285"/>
    <w:rsid w:val="00657F36"/>
    <w:rsid w:val="006627B5"/>
    <w:rsid w:val="006631E9"/>
    <w:rsid w:val="00666AA5"/>
    <w:rsid w:val="00670D34"/>
    <w:rsid w:val="006855AF"/>
    <w:rsid w:val="006950CB"/>
    <w:rsid w:val="00695219"/>
    <w:rsid w:val="006B0323"/>
    <w:rsid w:val="006B4C33"/>
    <w:rsid w:val="006D1ABF"/>
    <w:rsid w:val="006D1DC8"/>
    <w:rsid w:val="006D2521"/>
    <w:rsid w:val="006D2FA8"/>
    <w:rsid w:val="006D36A9"/>
    <w:rsid w:val="006F1FA7"/>
    <w:rsid w:val="006F485E"/>
    <w:rsid w:val="00702EB0"/>
    <w:rsid w:val="00752155"/>
    <w:rsid w:val="0075469F"/>
    <w:rsid w:val="00787242"/>
    <w:rsid w:val="007B01C2"/>
    <w:rsid w:val="007B0C7B"/>
    <w:rsid w:val="007B2100"/>
    <w:rsid w:val="007B78D8"/>
    <w:rsid w:val="007C7B0F"/>
    <w:rsid w:val="007E3834"/>
    <w:rsid w:val="007F3022"/>
    <w:rsid w:val="008008AE"/>
    <w:rsid w:val="008041F6"/>
    <w:rsid w:val="00832D0D"/>
    <w:rsid w:val="008411E3"/>
    <w:rsid w:val="00841598"/>
    <w:rsid w:val="00847EC8"/>
    <w:rsid w:val="008515FF"/>
    <w:rsid w:val="00853117"/>
    <w:rsid w:val="00856708"/>
    <w:rsid w:val="008612AB"/>
    <w:rsid w:val="00866CE7"/>
    <w:rsid w:val="00867330"/>
    <w:rsid w:val="00880ECB"/>
    <w:rsid w:val="00893E0A"/>
    <w:rsid w:val="00896241"/>
    <w:rsid w:val="008B1889"/>
    <w:rsid w:val="008C1987"/>
    <w:rsid w:val="008C5136"/>
    <w:rsid w:val="008D0C09"/>
    <w:rsid w:val="00901446"/>
    <w:rsid w:val="00901F76"/>
    <w:rsid w:val="009025B7"/>
    <w:rsid w:val="009208EC"/>
    <w:rsid w:val="009324F0"/>
    <w:rsid w:val="00933028"/>
    <w:rsid w:val="00933536"/>
    <w:rsid w:val="00934055"/>
    <w:rsid w:val="009347BC"/>
    <w:rsid w:val="0093594E"/>
    <w:rsid w:val="00951B85"/>
    <w:rsid w:val="00973AC2"/>
    <w:rsid w:val="00982D63"/>
    <w:rsid w:val="009B04BD"/>
    <w:rsid w:val="009C1E09"/>
    <w:rsid w:val="009D6BB8"/>
    <w:rsid w:val="009E38CC"/>
    <w:rsid w:val="009E4784"/>
    <w:rsid w:val="009F4509"/>
    <w:rsid w:val="00A0276B"/>
    <w:rsid w:val="00A0352E"/>
    <w:rsid w:val="00A05745"/>
    <w:rsid w:val="00A21B71"/>
    <w:rsid w:val="00A23D1D"/>
    <w:rsid w:val="00A31C82"/>
    <w:rsid w:val="00A357C4"/>
    <w:rsid w:val="00A57D60"/>
    <w:rsid w:val="00A7510F"/>
    <w:rsid w:val="00A8007B"/>
    <w:rsid w:val="00A80A19"/>
    <w:rsid w:val="00A81C38"/>
    <w:rsid w:val="00A90504"/>
    <w:rsid w:val="00AA12A9"/>
    <w:rsid w:val="00AA19C1"/>
    <w:rsid w:val="00AA48C6"/>
    <w:rsid w:val="00AB120F"/>
    <w:rsid w:val="00AD086B"/>
    <w:rsid w:val="00AD4362"/>
    <w:rsid w:val="00AE5015"/>
    <w:rsid w:val="00AE63FA"/>
    <w:rsid w:val="00B27930"/>
    <w:rsid w:val="00B35BD7"/>
    <w:rsid w:val="00B3726E"/>
    <w:rsid w:val="00B613A2"/>
    <w:rsid w:val="00B86658"/>
    <w:rsid w:val="00BA76E3"/>
    <w:rsid w:val="00BD6C2D"/>
    <w:rsid w:val="00BD7111"/>
    <w:rsid w:val="00BD735D"/>
    <w:rsid w:val="00BE330A"/>
    <w:rsid w:val="00C21002"/>
    <w:rsid w:val="00C24E0B"/>
    <w:rsid w:val="00C30FD5"/>
    <w:rsid w:val="00C34D27"/>
    <w:rsid w:val="00C364CA"/>
    <w:rsid w:val="00C412E0"/>
    <w:rsid w:val="00C448C2"/>
    <w:rsid w:val="00C51E04"/>
    <w:rsid w:val="00C92149"/>
    <w:rsid w:val="00C92F71"/>
    <w:rsid w:val="00CA4321"/>
    <w:rsid w:val="00CB47C1"/>
    <w:rsid w:val="00CB50C5"/>
    <w:rsid w:val="00CC12B9"/>
    <w:rsid w:val="00CD5856"/>
    <w:rsid w:val="00CD7B8A"/>
    <w:rsid w:val="00D04CF5"/>
    <w:rsid w:val="00D16B82"/>
    <w:rsid w:val="00D17E7A"/>
    <w:rsid w:val="00D17FEC"/>
    <w:rsid w:val="00D24193"/>
    <w:rsid w:val="00D56EAC"/>
    <w:rsid w:val="00D67CFD"/>
    <w:rsid w:val="00D874FD"/>
    <w:rsid w:val="00D96987"/>
    <w:rsid w:val="00DA25F9"/>
    <w:rsid w:val="00DB17C2"/>
    <w:rsid w:val="00DB1925"/>
    <w:rsid w:val="00DB4FE4"/>
    <w:rsid w:val="00DD166F"/>
    <w:rsid w:val="00E17FC9"/>
    <w:rsid w:val="00E27CEE"/>
    <w:rsid w:val="00E337E6"/>
    <w:rsid w:val="00E62E16"/>
    <w:rsid w:val="00E658D6"/>
    <w:rsid w:val="00E672AA"/>
    <w:rsid w:val="00E712B5"/>
    <w:rsid w:val="00E71492"/>
    <w:rsid w:val="00EA2E82"/>
    <w:rsid w:val="00EB2D51"/>
    <w:rsid w:val="00EB78FB"/>
    <w:rsid w:val="00EC0889"/>
    <w:rsid w:val="00F00B10"/>
    <w:rsid w:val="00F42816"/>
    <w:rsid w:val="00F66136"/>
    <w:rsid w:val="00F70578"/>
    <w:rsid w:val="00FC0E9B"/>
    <w:rsid w:val="00FC5CB0"/>
    <w:rsid w:val="00FD2CCD"/>
    <w:rsid w:val="00FE1B13"/>
    <w:rsid w:val="00FE1EE0"/>
    <w:rsid w:val="00FE3F41"/>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2E71C6"/>
    <w:rPr>
      <w:color w:val="0000FF" w:themeColor="hyperlink"/>
      <w:u w:val="single"/>
    </w:rPr>
  </w:style>
  <w:style w:type="paragraph" w:styleId="EndnoteText">
    <w:name w:val="endnote text"/>
    <w:basedOn w:val="Normal"/>
    <w:link w:val="EndnoteTextChar"/>
    <w:uiPriority w:val="99"/>
    <w:semiHidden/>
    <w:unhideWhenUsed/>
    <w:rsid w:val="000707B0"/>
    <w:pPr>
      <w:spacing w:after="0"/>
    </w:pPr>
    <w:rPr>
      <w:sz w:val="20"/>
      <w:szCs w:val="20"/>
    </w:rPr>
  </w:style>
  <w:style w:type="character" w:customStyle="1" w:styleId="EndnoteTextChar">
    <w:name w:val="Endnote Text Char"/>
    <w:basedOn w:val="DefaultParagraphFont"/>
    <w:link w:val="EndnoteText"/>
    <w:uiPriority w:val="99"/>
    <w:semiHidden/>
    <w:rsid w:val="000707B0"/>
    <w:rPr>
      <w:rFonts w:ascii="Calibri" w:eastAsia="Dotum" w:hAnsi="Calibri" w:cs="Calibri"/>
      <w:sz w:val="20"/>
      <w:szCs w:val="20"/>
    </w:rPr>
  </w:style>
  <w:style w:type="character" w:styleId="EndnoteReference">
    <w:name w:val="endnote reference"/>
    <w:basedOn w:val="DefaultParagraphFont"/>
    <w:uiPriority w:val="99"/>
    <w:semiHidden/>
    <w:unhideWhenUsed/>
    <w:rsid w:val="000707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2E71C6"/>
    <w:rPr>
      <w:color w:val="0000FF" w:themeColor="hyperlink"/>
      <w:u w:val="single"/>
    </w:rPr>
  </w:style>
  <w:style w:type="paragraph" w:styleId="EndnoteText">
    <w:name w:val="endnote text"/>
    <w:basedOn w:val="Normal"/>
    <w:link w:val="EndnoteTextChar"/>
    <w:uiPriority w:val="99"/>
    <w:semiHidden/>
    <w:unhideWhenUsed/>
    <w:rsid w:val="000707B0"/>
    <w:pPr>
      <w:spacing w:after="0"/>
    </w:pPr>
    <w:rPr>
      <w:sz w:val="20"/>
      <w:szCs w:val="20"/>
    </w:rPr>
  </w:style>
  <w:style w:type="character" w:customStyle="1" w:styleId="EndnoteTextChar">
    <w:name w:val="Endnote Text Char"/>
    <w:basedOn w:val="DefaultParagraphFont"/>
    <w:link w:val="EndnoteText"/>
    <w:uiPriority w:val="99"/>
    <w:semiHidden/>
    <w:rsid w:val="000707B0"/>
    <w:rPr>
      <w:rFonts w:ascii="Calibri" w:eastAsia="Dotum" w:hAnsi="Calibri" w:cs="Calibri"/>
      <w:sz w:val="20"/>
      <w:szCs w:val="20"/>
    </w:rPr>
  </w:style>
  <w:style w:type="character" w:styleId="EndnoteReference">
    <w:name w:val="endnote reference"/>
    <w:basedOn w:val="DefaultParagraphFont"/>
    <w:uiPriority w:val="99"/>
    <w:semiHidden/>
    <w:unhideWhenUsed/>
    <w:rsid w:val="00070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15689357" TargetMode="External"/><Relationship Id="rId18" Type="http://schemas.openxmlformats.org/officeDocument/2006/relationships/hyperlink" Target="https://www.ncbi.nlm.nih.gov/pubmed/234334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9040732" TargetMode="External"/><Relationship Id="rId2" Type="http://schemas.openxmlformats.org/officeDocument/2006/relationships/numbering" Target="numbering.xml"/><Relationship Id="rId16" Type="http://schemas.openxmlformats.org/officeDocument/2006/relationships/hyperlink" Target="https://www.ncbi.nlm.nih.gov/pubmed/2346621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cbi.nlm.nih.gov/pubmed/23794679" TargetMode="External"/><Relationship Id="rId10" Type="http://schemas.openxmlformats.org/officeDocument/2006/relationships/footer" Target="footer1.xml"/><Relationship Id="rId19" Type="http://schemas.openxmlformats.org/officeDocument/2006/relationships/hyperlink" Target="https://www.ncbi.nlm.nih.gov/pubmed/2445718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232166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81E0-C3BA-41DA-A7F8-8FD43520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2701</Words>
  <Characters>15397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2017-04-10T05:49:00Z</cp:lastPrinted>
  <dcterms:created xsi:type="dcterms:W3CDTF">2017-09-08T03:01:00Z</dcterms:created>
  <dcterms:modified xsi:type="dcterms:W3CDTF">2017-09-08T03:01:00Z</dcterms:modified>
</cp:coreProperties>
</file>