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2074" w14:textId="028BB3C3" w:rsidR="00447869" w:rsidRPr="00982E92" w:rsidRDefault="00A63E25" w:rsidP="006027AB">
      <w:pPr>
        <w:pStyle w:val="Heading3"/>
        <w:ind w:left="-284"/>
        <w:rPr>
          <w:color w:val="auto"/>
        </w:rPr>
      </w:pPr>
      <w:bookmarkStart w:id="0" w:name="_GoBack"/>
      <w:bookmarkEnd w:id="0"/>
      <w:r w:rsidRPr="00982E92">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254"/>
        <w:gridCol w:w="10347"/>
      </w:tblGrid>
      <w:tr w:rsidR="008612AB" w:rsidRPr="00447869" w14:paraId="3BC6289C" w14:textId="77777777" w:rsidTr="00832D0D">
        <w:trPr>
          <w:tblHeader/>
        </w:trPr>
        <w:tc>
          <w:tcPr>
            <w:tcW w:w="14601" w:type="dxa"/>
            <w:gridSpan w:val="2"/>
            <w:shd w:val="clear" w:color="auto" w:fill="DBE5F1" w:themeFill="accent1" w:themeFillTint="33"/>
          </w:tcPr>
          <w:p w14:paraId="7DC6C1D4" w14:textId="446F9D44" w:rsidR="003A7E5D" w:rsidRPr="003A7E5D" w:rsidRDefault="00720190" w:rsidP="003A7E5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v2.1 CONDITION NAME: </w:t>
            </w:r>
            <w:r w:rsidR="00ED604E">
              <w:rPr>
                <w:rFonts w:asciiTheme="minorHAnsi" w:eastAsia="Times New Roman" w:hAnsiTheme="minorHAnsi" w:cs="Times New Roman"/>
                <w:b/>
                <w:bCs/>
                <w:lang w:eastAsia="en-AU"/>
              </w:rPr>
              <w:t>Solid o</w:t>
            </w:r>
            <w:r w:rsidR="00FD3845" w:rsidRPr="00FD3845">
              <w:rPr>
                <w:rFonts w:asciiTheme="minorHAnsi" w:eastAsia="Times New Roman" w:hAnsiTheme="minorHAnsi" w:cs="Times New Roman"/>
                <w:b/>
                <w:bCs/>
                <w:lang w:eastAsia="en-AU"/>
              </w:rPr>
              <w:t xml:space="preserve">rgan transplantation </w:t>
            </w:r>
            <w:r w:rsidR="00ED604E">
              <w:rPr>
                <w:rFonts w:asciiTheme="minorHAnsi" w:eastAsia="Times New Roman" w:hAnsiTheme="minorHAnsi" w:cs="Times New Roman"/>
                <w:b/>
                <w:bCs/>
                <w:lang w:eastAsia="en-AU"/>
              </w:rPr>
              <w:t>(other than k</w:t>
            </w:r>
            <w:r w:rsidR="00FD3845" w:rsidRPr="00FD3845">
              <w:rPr>
                <w:rFonts w:asciiTheme="minorHAnsi" w:eastAsia="Times New Roman" w:hAnsiTheme="minorHAnsi" w:cs="Times New Roman"/>
                <w:b/>
                <w:bCs/>
                <w:lang w:eastAsia="en-AU"/>
              </w:rPr>
              <w:t>idney)</w:t>
            </w:r>
          </w:p>
          <w:p w14:paraId="127ED683" w14:textId="6DCB325C" w:rsidR="00ED604E" w:rsidRDefault="003A7E5D" w:rsidP="003A7E5D">
            <w:pPr>
              <w:spacing w:before="120" w:after="120"/>
              <w:rPr>
                <w:rFonts w:asciiTheme="minorHAnsi" w:eastAsia="Times New Roman" w:hAnsiTheme="minorHAnsi" w:cs="Times New Roman"/>
                <w:b/>
                <w:bCs/>
                <w:lang w:eastAsia="en-AU"/>
              </w:rPr>
            </w:pPr>
            <w:r w:rsidRPr="003A7E5D">
              <w:rPr>
                <w:rFonts w:asciiTheme="minorHAnsi" w:eastAsia="Times New Roman" w:hAnsiTheme="minorHAnsi" w:cs="Times New Roman"/>
                <w:b/>
                <w:bCs/>
                <w:lang w:eastAsia="en-AU"/>
              </w:rPr>
              <w:t xml:space="preserve">PREVIOUS PUBLIC CONSULTATION NAME: </w:t>
            </w:r>
            <w:r w:rsidR="00ED604E">
              <w:rPr>
                <w:rFonts w:asciiTheme="minorHAnsi" w:eastAsia="Times New Roman" w:hAnsiTheme="minorHAnsi" w:cs="Times New Roman"/>
                <w:b/>
                <w:bCs/>
                <w:lang w:eastAsia="en-AU"/>
              </w:rPr>
              <w:t>Solid o</w:t>
            </w:r>
            <w:r w:rsidR="00ED604E" w:rsidRPr="00FD3845">
              <w:rPr>
                <w:rFonts w:asciiTheme="minorHAnsi" w:eastAsia="Times New Roman" w:hAnsiTheme="minorHAnsi" w:cs="Times New Roman"/>
                <w:b/>
                <w:bCs/>
                <w:lang w:eastAsia="en-AU"/>
              </w:rPr>
              <w:t xml:space="preserve">rgan transplantation </w:t>
            </w:r>
            <w:r w:rsidR="00ED604E">
              <w:rPr>
                <w:rFonts w:asciiTheme="minorHAnsi" w:eastAsia="Times New Roman" w:hAnsiTheme="minorHAnsi" w:cs="Times New Roman"/>
                <w:b/>
                <w:bCs/>
                <w:lang w:eastAsia="en-AU"/>
              </w:rPr>
              <w:t>(other than k</w:t>
            </w:r>
            <w:r w:rsidR="00ED604E" w:rsidRPr="00FD3845">
              <w:rPr>
                <w:rFonts w:asciiTheme="minorHAnsi" w:eastAsia="Times New Roman" w:hAnsiTheme="minorHAnsi" w:cs="Times New Roman"/>
                <w:b/>
                <w:bCs/>
                <w:lang w:eastAsia="en-AU"/>
              </w:rPr>
              <w:t>idney)</w:t>
            </w:r>
          </w:p>
          <w:p w14:paraId="18A6382F" w14:textId="21C44179" w:rsidR="008612AB" w:rsidRPr="00447869" w:rsidRDefault="00720190" w:rsidP="003A7E5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3A7E5D" w:rsidRPr="003A7E5D">
              <w:rPr>
                <w:rFonts w:asciiTheme="minorHAnsi" w:eastAsia="Times New Roman" w:hAnsiTheme="minorHAnsi" w:cs="Times New Roman"/>
                <w:b/>
                <w:bCs/>
                <w:lang w:eastAsia="en-AU"/>
              </w:rPr>
              <w:t>3</w:t>
            </w:r>
            <w:r w:rsidR="00ED794F">
              <w:rPr>
                <w:rFonts w:asciiTheme="minorHAnsi" w:eastAsia="Times New Roman" w:hAnsiTheme="minorHAnsi" w:cs="Times New Roman"/>
                <w:b/>
                <w:bCs/>
                <w:lang w:eastAsia="en-AU"/>
              </w:rPr>
              <w:t>.0</w:t>
            </w:r>
            <w:r w:rsidR="003A7E5D" w:rsidRPr="003A7E5D">
              <w:rPr>
                <w:rFonts w:asciiTheme="minorHAnsi" w:eastAsia="Times New Roman" w:hAnsiTheme="minorHAnsi" w:cs="Times New Roman"/>
                <w:b/>
                <w:bCs/>
                <w:lang w:eastAsia="en-AU"/>
              </w:rPr>
              <w:t xml:space="preserve"> CONDITION NAME:</w:t>
            </w:r>
            <w:r w:rsidR="003A7E5D">
              <w:rPr>
                <w:rFonts w:asciiTheme="minorHAnsi" w:eastAsia="Times New Roman" w:hAnsiTheme="minorHAnsi" w:cs="Times New Roman"/>
                <w:b/>
                <w:bCs/>
                <w:lang w:eastAsia="en-AU"/>
              </w:rPr>
              <w:t xml:space="preserve"> </w:t>
            </w:r>
            <w:r w:rsidR="00ED604E">
              <w:rPr>
                <w:rFonts w:asciiTheme="minorHAnsi" w:eastAsia="Times New Roman" w:hAnsiTheme="minorHAnsi" w:cs="Times New Roman"/>
                <w:b/>
                <w:bCs/>
                <w:lang w:eastAsia="en-AU"/>
              </w:rPr>
              <w:t>Solid o</w:t>
            </w:r>
            <w:r w:rsidR="00ED604E" w:rsidRPr="00FD3845">
              <w:rPr>
                <w:rFonts w:asciiTheme="minorHAnsi" w:eastAsia="Times New Roman" w:hAnsiTheme="minorHAnsi" w:cs="Times New Roman"/>
                <w:b/>
                <w:bCs/>
                <w:lang w:eastAsia="en-AU"/>
              </w:rPr>
              <w:t xml:space="preserve">rgan transplantation </w:t>
            </w:r>
            <w:r w:rsidR="00ED604E">
              <w:rPr>
                <w:rFonts w:asciiTheme="minorHAnsi" w:eastAsia="Times New Roman" w:hAnsiTheme="minorHAnsi" w:cs="Times New Roman"/>
                <w:b/>
                <w:bCs/>
                <w:lang w:eastAsia="en-AU"/>
              </w:rPr>
              <w:t>(other than k</w:t>
            </w:r>
            <w:r w:rsidR="00ED604E" w:rsidRPr="00FD3845">
              <w:rPr>
                <w:rFonts w:asciiTheme="minorHAnsi" w:eastAsia="Times New Roman" w:hAnsiTheme="minorHAnsi" w:cs="Times New Roman"/>
                <w:b/>
                <w:bCs/>
                <w:lang w:eastAsia="en-AU"/>
              </w:rPr>
              <w:t>idney)</w:t>
            </w:r>
          </w:p>
        </w:tc>
      </w:tr>
      <w:tr w:rsidR="009569A0" w:rsidRPr="00447869" w14:paraId="23A45054" w14:textId="77777777" w:rsidTr="00FE4CD1">
        <w:trPr>
          <w:tblHeader/>
        </w:trPr>
        <w:tc>
          <w:tcPr>
            <w:tcW w:w="4254" w:type="dxa"/>
            <w:shd w:val="clear" w:color="auto" w:fill="auto"/>
          </w:tcPr>
          <w:p w14:paraId="26478CF0" w14:textId="0162D2DA" w:rsidR="009569A0" w:rsidRDefault="00ED604E" w:rsidP="009569A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Solid organ transplantation (o</w:t>
            </w:r>
            <w:r w:rsidR="009569A0">
              <w:rPr>
                <w:rFonts w:asciiTheme="minorHAnsi" w:eastAsia="Times New Roman" w:hAnsiTheme="minorHAnsi" w:cs="Times New Roman"/>
                <w:bCs/>
                <w:lang w:eastAsia="en-AU"/>
              </w:rPr>
              <w:t xml:space="preserve">ther than kidney) has already been endorsed by NIGAC and JBC with criteria as a condition for which Ig has an emerging therapeutic role.  At the time, the need for further review was acknowledged by the </w:t>
            </w:r>
            <w:r w:rsidR="0029006B">
              <w:rPr>
                <w:rFonts w:asciiTheme="minorHAnsi" w:eastAsia="Times New Roman" w:hAnsiTheme="minorHAnsi" w:cs="Times New Roman"/>
                <w:bCs/>
                <w:lang w:eastAsia="en-AU"/>
              </w:rPr>
              <w:t>Specialist Working Group</w:t>
            </w:r>
            <w:r w:rsidR="009569A0">
              <w:rPr>
                <w:rFonts w:asciiTheme="minorHAnsi" w:eastAsia="Times New Roman" w:hAnsiTheme="minorHAnsi" w:cs="Times New Roman"/>
                <w:bCs/>
                <w:lang w:eastAsia="en-AU"/>
              </w:rPr>
              <w:t xml:space="preserve"> and this review has now been completed as part of the current </w:t>
            </w:r>
            <w:r w:rsidR="0029006B">
              <w:rPr>
                <w:rFonts w:asciiTheme="minorHAnsi" w:eastAsia="Times New Roman" w:hAnsiTheme="minorHAnsi" w:cs="Times New Roman"/>
                <w:bCs/>
                <w:lang w:eastAsia="en-AU"/>
              </w:rPr>
              <w:t>Specialist Working Group</w:t>
            </w:r>
            <w:r w:rsidR="009569A0">
              <w:rPr>
                <w:rFonts w:asciiTheme="minorHAnsi" w:eastAsia="Times New Roman" w:hAnsiTheme="minorHAnsi" w:cs="Times New Roman"/>
                <w:bCs/>
                <w:lang w:eastAsia="en-AU"/>
              </w:rPr>
              <w:t xml:space="preserve"> work program. </w:t>
            </w:r>
          </w:p>
          <w:p w14:paraId="473FB75B" w14:textId="726A06CF" w:rsidR="00ED604E" w:rsidRDefault="00ED604E" w:rsidP="009569A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14:paraId="689415F4" w14:textId="0110932E" w:rsidR="00ED604E" w:rsidRDefault="00ED604E" w:rsidP="009569A0">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To retain</w:t>
            </w:r>
            <w:r w:rsidR="00977992">
              <w:t xml:space="preserve"> </w:t>
            </w:r>
            <w:r w:rsidR="00977992" w:rsidRPr="00977992">
              <w:rPr>
                <w:rFonts w:asciiTheme="minorHAnsi" w:eastAsia="Times New Roman" w:hAnsiTheme="minorHAnsi" w:cs="Times New Roman"/>
                <w:b/>
                <w:bCs/>
                <w:lang w:eastAsia="en-AU"/>
              </w:rPr>
              <w:t>Solid organ transplantation (other than kidney)</w:t>
            </w:r>
            <w:r>
              <w:rPr>
                <w:rFonts w:asciiTheme="minorHAnsi" w:eastAsia="Times New Roman" w:hAnsiTheme="minorHAnsi" w:cs="Times New Roman"/>
                <w:b/>
                <w:bCs/>
                <w:lang w:eastAsia="en-AU"/>
              </w:rPr>
              <w:t xml:space="preserve"> in </w:t>
            </w:r>
            <w:r w:rsidRPr="00FD55EB">
              <w:rPr>
                <w:rFonts w:asciiTheme="minorHAnsi" w:eastAsia="Times New Roman" w:hAnsiTheme="minorHAnsi" w:cs="Times New Roman"/>
                <w:b/>
                <w:bCs/>
                <w:i/>
                <w:lang w:eastAsia="en-AU"/>
              </w:rPr>
              <w:t xml:space="preserve">Emerging </w:t>
            </w:r>
            <w:r w:rsidR="00FD55EB">
              <w:rPr>
                <w:rFonts w:asciiTheme="minorHAnsi" w:eastAsia="Times New Roman" w:hAnsiTheme="minorHAnsi" w:cs="Times New Roman"/>
                <w:b/>
                <w:bCs/>
                <w:i/>
                <w:lang w:eastAsia="en-AU"/>
              </w:rPr>
              <w:t xml:space="preserve">therapeutic </w:t>
            </w:r>
            <w:r w:rsidRPr="00FD55EB">
              <w:rPr>
                <w:rFonts w:asciiTheme="minorHAnsi" w:eastAsia="Times New Roman" w:hAnsiTheme="minorHAnsi" w:cs="Times New Roman"/>
                <w:b/>
                <w:bCs/>
                <w:i/>
                <w:lang w:eastAsia="en-AU"/>
              </w:rPr>
              <w:t xml:space="preserve">role </w:t>
            </w:r>
            <w:r>
              <w:rPr>
                <w:rFonts w:asciiTheme="minorHAnsi" w:eastAsia="Times New Roman" w:hAnsiTheme="minorHAnsi" w:cs="Times New Roman"/>
                <w:b/>
                <w:bCs/>
                <w:lang w:eastAsia="en-AU"/>
              </w:rPr>
              <w:t xml:space="preserve">with the changes </w:t>
            </w:r>
            <w:r w:rsidR="006027AB">
              <w:rPr>
                <w:rFonts w:asciiTheme="minorHAnsi" w:eastAsia="Times New Roman" w:hAnsiTheme="minorHAnsi" w:cs="Times New Roman"/>
                <w:b/>
                <w:bCs/>
                <w:lang w:eastAsia="en-AU"/>
              </w:rPr>
              <w:t xml:space="preserve">as </w:t>
            </w:r>
            <w:r>
              <w:rPr>
                <w:rFonts w:asciiTheme="minorHAnsi" w:eastAsia="Times New Roman" w:hAnsiTheme="minorHAnsi" w:cs="Times New Roman"/>
                <w:b/>
                <w:bCs/>
                <w:lang w:eastAsia="en-AU"/>
              </w:rPr>
              <w:t>outlined</w:t>
            </w:r>
            <w:r w:rsidR="00977992">
              <w:rPr>
                <w:rFonts w:asciiTheme="minorHAnsi" w:eastAsia="Times New Roman" w:hAnsiTheme="minorHAnsi" w:cs="Times New Roman"/>
                <w:b/>
                <w:bCs/>
                <w:lang w:eastAsia="en-AU"/>
              </w:rPr>
              <w:t>.</w:t>
            </w:r>
          </w:p>
          <w:p w14:paraId="677F0A3B" w14:textId="77777777" w:rsidR="003E3235" w:rsidRPr="00C92149" w:rsidRDefault="003E3235">
            <w:pPr>
              <w:spacing w:before="120" w:after="120"/>
              <w:rPr>
                <w:rFonts w:asciiTheme="minorHAnsi" w:eastAsia="Times New Roman" w:hAnsiTheme="minorHAnsi" w:cs="Times New Roman"/>
                <w:bCs/>
                <w:lang w:eastAsia="en-AU"/>
              </w:rPr>
            </w:pPr>
          </w:p>
        </w:tc>
        <w:tc>
          <w:tcPr>
            <w:tcW w:w="10347" w:type="dxa"/>
            <w:shd w:val="clear" w:color="auto" w:fill="auto"/>
          </w:tcPr>
          <w:p w14:paraId="0FB85539" w14:textId="77777777"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14:paraId="42395725" w14:textId="2148E20B" w:rsidR="009569A0" w:rsidRPr="004813E2" w:rsidRDefault="009569A0" w:rsidP="009569A0">
            <w:pPr>
              <w:spacing w:before="120" w:after="120"/>
              <w:rPr>
                <w:rFonts w:eastAsia="Times New Roman" w:cs="Times New Roman"/>
                <w:bCs/>
                <w:lang w:eastAsia="en-AU"/>
              </w:rPr>
            </w:pPr>
            <w:r w:rsidRPr="004813E2">
              <w:rPr>
                <w:rFonts w:eastAsia="Times New Roman" w:cs="Times New Roman"/>
                <w:bCs/>
                <w:lang w:eastAsia="en-AU"/>
              </w:rPr>
              <w:t xml:space="preserve">The </w:t>
            </w:r>
            <w:r>
              <w:rPr>
                <w:rFonts w:eastAsia="Times New Roman" w:cs="Times New Roman"/>
                <w:bCs/>
                <w:lang w:eastAsia="en-AU"/>
              </w:rPr>
              <w:t xml:space="preserve">recommended changes are supported by factors including that: </w:t>
            </w:r>
          </w:p>
          <w:p w14:paraId="0E26FE8D" w14:textId="731D5DB2" w:rsidR="003818FC" w:rsidRPr="00FE4CD1" w:rsidRDefault="00491CF5" w:rsidP="009569A0">
            <w:pPr>
              <w:pStyle w:val="ListParagraph"/>
              <w:numPr>
                <w:ilvl w:val="0"/>
                <w:numId w:val="44"/>
              </w:numPr>
              <w:spacing w:before="120" w:after="120"/>
              <w:rPr>
                <w:rFonts w:asciiTheme="minorHAnsi" w:eastAsia="Times New Roman" w:hAnsiTheme="minorHAnsi" w:cs="Times New Roman"/>
                <w:bCs/>
                <w:i/>
                <w:lang w:eastAsia="en-AU"/>
              </w:rPr>
            </w:pPr>
            <w:r>
              <w:rPr>
                <w:rFonts w:asciiTheme="minorHAnsi" w:eastAsia="Times New Roman" w:hAnsiTheme="minorHAnsi" w:cs="Times New Roman"/>
                <w:bCs/>
                <w:lang w:eastAsia="en-AU"/>
              </w:rPr>
              <w:t>A</w:t>
            </w:r>
            <w:r w:rsidR="009569A0">
              <w:rPr>
                <w:rFonts w:asciiTheme="minorHAnsi" w:eastAsia="Times New Roman" w:hAnsiTheme="minorHAnsi" w:cs="Times New Roman"/>
                <w:bCs/>
                <w:lang w:eastAsia="en-AU"/>
              </w:rPr>
              <w:t xml:space="preserve">ccess to ongoing (rather than one-off) Ig treatment is required for desensitisation of patients </w:t>
            </w:r>
            <w:r w:rsidR="002759EA">
              <w:rPr>
                <w:rFonts w:asciiTheme="minorHAnsi" w:eastAsia="Times New Roman" w:hAnsiTheme="minorHAnsi" w:cs="Times New Roman"/>
                <w:bCs/>
                <w:lang w:eastAsia="en-AU"/>
              </w:rPr>
              <w:t>awaiting heart,</w:t>
            </w:r>
            <w:r>
              <w:rPr>
                <w:rFonts w:asciiTheme="minorHAnsi" w:eastAsia="Times New Roman" w:hAnsiTheme="minorHAnsi" w:cs="Times New Roman"/>
                <w:bCs/>
                <w:lang w:eastAsia="en-AU"/>
              </w:rPr>
              <w:t xml:space="preserve"> and occasionally, </w:t>
            </w:r>
            <w:r w:rsidR="002759EA">
              <w:rPr>
                <w:rFonts w:asciiTheme="minorHAnsi" w:eastAsia="Times New Roman" w:hAnsiTheme="minorHAnsi" w:cs="Times New Roman"/>
                <w:bCs/>
                <w:lang w:eastAsia="en-AU"/>
              </w:rPr>
              <w:t xml:space="preserve">lung or other </w:t>
            </w:r>
            <w:r>
              <w:rPr>
                <w:rFonts w:asciiTheme="minorHAnsi" w:eastAsia="Times New Roman" w:hAnsiTheme="minorHAnsi" w:cs="Times New Roman"/>
                <w:bCs/>
                <w:lang w:eastAsia="en-AU"/>
              </w:rPr>
              <w:t>organ transplants</w:t>
            </w:r>
            <w:r w:rsidR="003818FC">
              <w:rPr>
                <w:rFonts w:asciiTheme="minorHAnsi" w:eastAsia="Times New Roman" w:hAnsiTheme="minorHAnsi" w:cs="Times New Roman"/>
                <w:bCs/>
                <w:lang w:eastAsia="en-AU"/>
              </w:rPr>
              <w:t xml:space="preserve"> because the availability of organ donors is sporadic and patients must </w:t>
            </w:r>
            <w:r>
              <w:rPr>
                <w:rFonts w:asciiTheme="minorHAnsi" w:eastAsia="Times New Roman" w:hAnsiTheme="minorHAnsi" w:cs="Times New Roman"/>
                <w:bCs/>
                <w:lang w:eastAsia="en-AU"/>
              </w:rPr>
              <w:t xml:space="preserve">already </w:t>
            </w:r>
            <w:r w:rsidR="003818FC">
              <w:rPr>
                <w:rFonts w:asciiTheme="minorHAnsi" w:eastAsia="Times New Roman" w:hAnsiTheme="minorHAnsi" w:cs="Times New Roman"/>
                <w:bCs/>
                <w:lang w:eastAsia="en-AU"/>
              </w:rPr>
              <w:t xml:space="preserve">be in an optimised state to be selected to receive an organ, which is </w:t>
            </w:r>
            <w:r w:rsidR="00FE4CD1">
              <w:rPr>
                <w:rFonts w:asciiTheme="minorHAnsi" w:eastAsia="Times New Roman" w:hAnsiTheme="minorHAnsi" w:cs="Times New Roman"/>
                <w:bCs/>
                <w:lang w:eastAsia="en-AU"/>
              </w:rPr>
              <w:t>lifesaving</w:t>
            </w:r>
            <w:r w:rsidR="003818FC">
              <w:rPr>
                <w:rFonts w:asciiTheme="minorHAnsi" w:eastAsia="Times New Roman" w:hAnsiTheme="minorHAnsi" w:cs="Times New Roman"/>
                <w:bCs/>
                <w:lang w:eastAsia="en-AU"/>
              </w:rPr>
              <w:t xml:space="preserve">. </w:t>
            </w:r>
            <w:r w:rsidR="002759EA">
              <w:rPr>
                <w:rFonts w:asciiTheme="minorHAnsi" w:eastAsia="Times New Roman" w:hAnsiTheme="minorHAnsi" w:cs="Times New Roman"/>
                <w:bCs/>
                <w:lang w:eastAsia="en-AU"/>
              </w:rPr>
              <w:t xml:space="preserve"> </w:t>
            </w:r>
          </w:p>
          <w:p w14:paraId="2CD1065A" w14:textId="179908FC" w:rsidR="009569A0" w:rsidRPr="00FF49BE" w:rsidRDefault="009569A0" w:rsidP="009569A0">
            <w:pPr>
              <w:pStyle w:val="ListParagraph"/>
              <w:numPr>
                <w:ilvl w:val="0"/>
                <w:numId w:val="44"/>
              </w:numPr>
              <w:spacing w:before="120" w:after="120"/>
              <w:rPr>
                <w:rFonts w:asciiTheme="minorHAnsi" w:eastAsia="Times New Roman" w:hAnsiTheme="minorHAnsi" w:cs="Times New Roman"/>
                <w:bCs/>
                <w:i/>
                <w:lang w:eastAsia="en-AU"/>
              </w:rPr>
            </w:pPr>
            <w:r>
              <w:rPr>
                <w:rFonts w:asciiTheme="minorHAnsi" w:eastAsia="Times New Roman" w:hAnsiTheme="minorHAnsi" w:cs="Times New Roman"/>
                <w:bCs/>
                <w:lang w:eastAsia="en-AU"/>
              </w:rPr>
              <w:t xml:space="preserve">This established practice is being accommodated </w:t>
            </w:r>
            <w:r w:rsidR="003818FC">
              <w:rPr>
                <w:rFonts w:asciiTheme="minorHAnsi" w:eastAsia="Times New Roman" w:hAnsiTheme="minorHAnsi" w:cs="Times New Roman"/>
                <w:bCs/>
                <w:lang w:eastAsia="en-AU"/>
              </w:rPr>
              <w:t xml:space="preserve">currently </w:t>
            </w:r>
            <w:r>
              <w:rPr>
                <w:rFonts w:asciiTheme="minorHAnsi" w:eastAsia="Times New Roman" w:hAnsiTheme="minorHAnsi" w:cs="Times New Roman"/>
                <w:bCs/>
                <w:lang w:eastAsia="en-AU"/>
              </w:rPr>
              <w:t>within v2.1 via work-around solutions.</w:t>
            </w:r>
            <w:r w:rsidR="003818FC">
              <w:rPr>
                <w:rFonts w:asciiTheme="minorHAnsi" w:eastAsia="Times New Roman" w:hAnsiTheme="minorHAnsi" w:cs="Times New Roman"/>
                <w:bCs/>
                <w:lang w:eastAsia="en-AU"/>
              </w:rPr>
              <w:t xml:space="preserve"> The indication</w:t>
            </w:r>
            <w:r>
              <w:rPr>
                <w:rFonts w:asciiTheme="minorHAnsi" w:eastAsia="Times New Roman" w:hAnsiTheme="minorHAnsi" w:cs="Times New Roman"/>
                <w:bCs/>
                <w:lang w:eastAsia="en-AU"/>
              </w:rPr>
              <w:t xml:space="preserve"> would be better managed by the development of formal criteria </w:t>
            </w:r>
            <w:r w:rsidR="003818FC">
              <w:rPr>
                <w:rFonts w:asciiTheme="minorHAnsi" w:eastAsia="Times New Roman" w:hAnsiTheme="minorHAnsi" w:cs="Times New Roman"/>
                <w:bCs/>
                <w:lang w:eastAsia="en-AU"/>
              </w:rPr>
              <w:t>and</w:t>
            </w:r>
            <w:r>
              <w:rPr>
                <w:rFonts w:asciiTheme="minorHAnsi" w:eastAsia="Times New Roman" w:hAnsiTheme="minorHAnsi" w:cs="Times New Roman"/>
                <w:bCs/>
                <w:lang w:eastAsia="en-AU"/>
              </w:rPr>
              <w:t xml:space="preserve"> access to maintenance therapy </w:t>
            </w:r>
            <w:r w:rsidR="003818FC">
              <w:rPr>
                <w:rFonts w:asciiTheme="minorHAnsi" w:eastAsia="Times New Roman" w:hAnsiTheme="minorHAnsi" w:cs="Times New Roman"/>
                <w:bCs/>
                <w:lang w:eastAsia="en-AU"/>
              </w:rPr>
              <w:t>for</w:t>
            </w:r>
            <w:r>
              <w:rPr>
                <w:rFonts w:asciiTheme="minorHAnsi" w:eastAsia="Times New Roman" w:hAnsiTheme="minorHAnsi" w:cs="Times New Roman"/>
                <w:bCs/>
                <w:lang w:eastAsia="en-AU"/>
              </w:rPr>
              <w:t xml:space="preserve"> a maximum of six months</w:t>
            </w:r>
            <w:r w:rsidR="003818FC">
              <w:rPr>
                <w:rFonts w:asciiTheme="minorHAnsi" w:eastAsia="Times New Roman" w:hAnsiTheme="minorHAnsi" w:cs="Times New Roman"/>
                <w:bCs/>
                <w:lang w:eastAsia="en-AU"/>
              </w:rPr>
              <w:t xml:space="preserve"> </w:t>
            </w:r>
            <w:r w:rsidR="00C16E62">
              <w:rPr>
                <w:rFonts w:asciiTheme="minorHAnsi" w:eastAsia="Times New Roman" w:hAnsiTheme="minorHAnsi" w:cs="Times New Roman"/>
                <w:bCs/>
                <w:lang w:eastAsia="en-AU"/>
              </w:rPr>
              <w:t xml:space="preserve">which </w:t>
            </w:r>
            <w:r w:rsidR="003818FC">
              <w:rPr>
                <w:rFonts w:asciiTheme="minorHAnsi" w:eastAsia="Times New Roman" w:hAnsiTheme="minorHAnsi" w:cs="Times New Roman"/>
                <w:bCs/>
                <w:lang w:eastAsia="en-AU"/>
              </w:rPr>
              <w:t xml:space="preserve">is deemed sufficient. As in kidney transplantation, </w:t>
            </w:r>
            <w:r>
              <w:rPr>
                <w:rFonts w:asciiTheme="minorHAnsi" w:eastAsia="Times New Roman" w:hAnsiTheme="minorHAnsi" w:cs="Times New Roman"/>
                <w:bCs/>
                <w:lang w:eastAsia="en-AU"/>
              </w:rPr>
              <w:t xml:space="preserve">a clinical response </w:t>
            </w:r>
            <w:r w:rsidR="003818FC">
              <w:rPr>
                <w:rFonts w:asciiTheme="minorHAnsi" w:eastAsia="Times New Roman" w:hAnsiTheme="minorHAnsi" w:cs="Times New Roman"/>
                <w:bCs/>
                <w:lang w:eastAsia="en-AU"/>
              </w:rPr>
              <w:t>will need to</w:t>
            </w:r>
            <w:r>
              <w:rPr>
                <w:rFonts w:asciiTheme="minorHAnsi" w:eastAsia="Times New Roman" w:hAnsiTheme="minorHAnsi" w:cs="Times New Roman"/>
                <w:bCs/>
                <w:lang w:eastAsia="en-AU"/>
              </w:rPr>
              <w:t xml:space="preserve"> be demonstrated after two months Ig therapy for authorisation of the final four months</w:t>
            </w:r>
            <w:r w:rsidR="003818FC">
              <w:rPr>
                <w:rFonts w:asciiTheme="minorHAnsi" w:eastAsia="Times New Roman" w:hAnsiTheme="minorHAnsi" w:cs="Times New Roman"/>
                <w:bCs/>
                <w:lang w:eastAsia="en-AU"/>
              </w:rPr>
              <w:t>’ treatment</w:t>
            </w:r>
            <w:r>
              <w:rPr>
                <w:rFonts w:asciiTheme="minorHAnsi" w:eastAsia="Times New Roman" w:hAnsiTheme="minorHAnsi" w:cs="Times New Roman"/>
                <w:bCs/>
                <w:lang w:eastAsia="en-AU"/>
              </w:rPr>
              <w:t xml:space="preserve">.  </w:t>
            </w:r>
          </w:p>
          <w:p w14:paraId="69ED715A" w14:textId="2F91ED80" w:rsidR="009569A0" w:rsidRPr="00FE4CD1" w:rsidRDefault="009569A0" w:rsidP="009569A0">
            <w:pPr>
              <w:pStyle w:val="ListParagraph"/>
              <w:numPr>
                <w:ilvl w:val="0"/>
                <w:numId w:val="44"/>
              </w:numPr>
              <w:spacing w:before="120" w:after="120"/>
              <w:rPr>
                <w:rFonts w:asciiTheme="minorHAnsi" w:eastAsia="Times New Roman" w:hAnsiTheme="minorHAnsi" w:cs="Times New Roman"/>
                <w:bCs/>
                <w:i/>
                <w:lang w:eastAsia="en-AU"/>
              </w:rPr>
            </w:pPr>
            <w:r>
              <w:rPr>
                <w:rFonts w:asciiTheme="minorHAnsi" w:eastAsia="Times New Roman" w:hAnsiTheme="minorHAnsi" w:cs="Times New Roman"/>
                <w:bCs/>
                <w:lang w:eastAsia="en-AU"/>
              </w:rPr>
              <w:t xml:space="preserve">Ig use in Solid organ transplantation (other than kidney) has been steadily increasing in line with the investment made by governments </w:t>
            </w:r>
            <w:r w:rsidR="003818FC">
              <w:rPr>
                <w:rFonts w:asciiTheme="minorHAnsi" w:eastAsia="Times New Roman" w:hAnsiTheme="minorHAnsi" w:cs="Times New Roman"/>
                <w:bCs/>
                <w:lang w:eastAsia="en-AU"/>
              </w:rPr>
              <w:t xml:space="preserve">in these programs </w:t>
            </w:r>
            <w:r>
              <w:rPr>
                <w:rFonts w:asciiTheme="minorHAnsi" w:eastAsia="Times New Roman" w:hAnsiTheme="minorHAnsi" w:cs="Times New Roman"/>
                <w:bCs/>
                <w:lang w:eastAsia="en-AU"/>
              </w:rPr>
              <w:t>over the last few years and thi</w:t>
            </w:r>
            <w:r w:rsidR="00C16E62">
              <w:rPr>
                <w:rFonts w:asciiTheme="minorHAnsi" w:eastAsia="Times New Roman" w:hAnsiTheme="minorHAnsi" w:cs="Times New Roman"/>
                <w:bCs/>
                <w:lang w:eastAsia="en-AU"/>
              </w:rPr>
              <w:t>s trend is expected to continue.</w:t>
            </w:r>
            <w:r>
              <w:rPr>
                <w:rFonts w:asciiTheme="minorHAnsi" w:eastAsia="Times New Roman" w:hAnsiTheme="minorHAnsi" w:cs="Times New Roman"/>
                <w:bCs/>
                <w:lang w:eastAsia="en-AU"/>
              </w:rPr>
              <w:t xml:space="preserve"> </w:t>
            </w:r>
            <w:r w:rsidR="00C16E62">
              <w:rPr>
                <w:rFonts w:asciiTheme="minorHAnsi" w:eastAsia="Times New Roman" w:hAnsiTheme="minorHAnsi" w:cs="Times New Roman"/>
                <w:bCs/>
                <w:lang w:eastAsia="en-AU"/>
              </w:rPr>
              <w:t>T</w:t>
            </w:r>
            <w:r>
              <w:rPr>
                <w:rFonts w:asciiTheme="minorHAnsi" w:eastAsia="Times New Roman" w:hAnsiTheme="minorHAnsi" w:cs="Times New Roman"/>
                <w:bCs/>
                <w:lang w:eastAsia="en-AU"/>
              </w:rPr>
              <w:t xml:space="preserve">here </w:t>
            </w:r>
            <w:r w:rsidR="00C16E62">
              <w:rPr>
                <w:rFonts w:asciiTheme="minorHAnsi" w:eastAsia="Times New Roman" w:hAnsiTheme="minorHAnsi" w:cs="Times New Roman"/>
                <w:bCs/>
                <w:lang w:eastAsia="en-AU"/>
              </w:rPr>
              <w:t>is not expected to</w:t>
            </w:r>
            <w:r>
              <w:rPr>
                <w:rFonts w:asciiTheme="minorHAnsi" w:eastAsia="Times New Roman" w:hAnsiTheme="minorHAnsi" w:cs="Times New Roman"/>
                <w:bCs/>
                <w:lang w:eastAsia="en-AU"/>
              </w:rPr>
              <w:t xml:space="preserve"> be </w:t>
            </w:r>
            <w:r w:rsidR="00C16E62">
              <w:rPr>
                <w:rFonts w:asciiTheme="minorHAnsi" w:eastAsia="Times New Roman" w:hAnsiTheme="minorHAnsi" w:cs="Times New Roman"/>
                <w:bCs/>
                <w:lang w:eastAsia="en-AU"/>
              </w:rPr>
              <w:t>any</w:t>
            </w:r>
            <w:r>
              <w:rPr>
                <w:rFonts w:asciiTheme="minorHAnsi" w:eastAsia="Times New Roman" w:hAnsiTheme="minorHAnsi" w:cs="Times New Roman"/>
                <w:bCs/>
                <w:lang w:eastAsia="en-AU"/>
              </w:rPr>
              <w:t xml:space="preserve"> impact </w:t>
            </w:r>
            <w:r w:rsidR="002870BF">
              <w:rPr>
                <w:rFonts w:asciiTheme="minorHAnsi" w:eastAsia="Times New Roman" w:hAnsiTheme="minorHAnsi" w:cs="Times New Roman"/>
                <w:bCs/>
                <w:lang w:eastAsia="en-AU"/>
              </w:rPr>
              <w:t xml:space="preserve">on demand </w:t>
            </w:r>
            <w:r>
              <w:rPr>
                <w:rFonts w:asciiTheme="minorHAnsi" w:eastAsia="Times New Roman" w:hAnsiTheme="minorHAnsi" w:cs="Times New Roman"/>
                <w:bCs/>
                <w:lang w:eastAsia="en-AU"/>
              </w:rPr>
              <w:t>due to the proposed changes</w:t>
            </w:r>
            <w:r w:rsidR="00C16E62">
              <w:rPr>
                <w:rFonts w:asciiTheme="minorHAnsi" w:eastAsia="Times New Roman" w:hAnsiTheme="minorHAnsi" w:cs="Times New Roman"/>
                <w:bCs/>
                <w:lang w:eastAsia="en-AU"/>
              </w:rPr>
              <w:t xml:space="preserve"> as they reflect current clinical practice</w:t>
            </w:r>
            <w:r>
              <w:rPr>
                <w:rFonts w:asciiTheme="minorHAnsi" w:eastAsia="Times New Roman" w:hAnsiTheme="minorHAnsi" w:cs="Times New Roman"/>
                <w:bCs/>
                <w:lang w:eastAsia="en-AU"/>
              </w:rPr>
              <w:t xml:space="preserve">.  </w:t>
            </w:r>
          </w:p>
          <w:p w14:paraId="4B414FEF" w14:textId="37677757" w:rsidR="00FF4718" w:rsidRPr="00C92149" w:rsidRDefault="002759EA" w:rsidP="00FE4CD1">
            <w:pPr>
              <w:pStyle w:val="ListParagraph"/>
              <w:numPr>
                <w:ilvl w:val="0"/>
                <w:numId w:val="44"/>
              </w:num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Treatment for</w:t>
            </w:r>
            <w:r w:rsidR="009569A0">
              <w:rPr>
                <w:rFonts w:asciiTheme="minorHAnsi" w:eastAsia="Times New Roman" w:hAnsiTheme="minorHAnsi" w:cs="Times New Roman"/>
                <w:bCs/>
                <w:lang w:eastAsia="en-AU"/>
              </w:rPr>
              <w:t xml:space="preserve"> ‘de-sensitisation of patients who are highly sensitised and unlikely to otherwise receive a transplant’ </w:t>
            </w:r>
            <w:r>
              <w:rPr>
                <w:rFonts w:asciiTheme="minorHAnsi" w:eastAsia="Times New Roman" w:hAnsiTheme="minorHAnsi" w:cs="Times New Roman"/>
                <w:bCs/>
                <w:lang w:eastAsia="en-AU"/>
              </w:rPr>
              <w:t>is</w:t>
            </w:r>
            <w:r w:rsidR="009569A0">
              <w:rPr>
                <w:rFonts w:asciiTheme="minorHAnsi" w:eastAsia="Times New Roman" w:hAnsiTheme="minorHAnsi" w:cs="Times New Roman"/>
                <w:bCs/>
                <w:lang w:eastAsia="en-AU"/>
              </w:rPr>
              <w:t xml:space="preserve"> included in the </w:t>
            </w:r>
            <w:r w:rsidR="009569A0">
              <w:rPr>
                <w:rFonts w:asciiTheme="minorHAnsi" w:hAnsiTheme="minorHAnsi"/>
              </w:rPr>
              <w:t>Canadian (</w:t>
            </w:r>
            <w:r w:rsidR="009569A0" w:rsidRPr="002A1261">
              <w:rPr>
                <w:rFonts w:asciiTheme="minorHAnsi" w:hAnsiTheme="minorHAnsi"/>
              </w:rPr>
              <w:t>Ontario Regi</w:t>
            </w:r>
            <w:r w:rsidR="009569A0">
              <w:rPr>
                <w:rFonts w:asciiTheme="minorHAnsi" w:hAnsiTheme="minorHAnsi"/>
              </w:rPr>
              <w:t>onal Blood Coordinating Network, 2016) guidelines. The UK guidelines (UK Department of Health, 2011) include desensitisation of antibody incompatible solid organ transplantation</w:t>
            </w:r>
            <w:r>
              <w:rPr>
                <w:rFonts w:asciiTheme="minorHAnsi" w:hAnsiTheme="minorHAnsi"/>
              </w:rPr>
              <w:t xml:space="preserve"> as a ‘blue’ or medium priority </w:t>
            </w:r>
            <w:r w:rsidRPr="008012A0">
              <w:t xml:space="preserve">in times of shortage but recommended for </w:t>
            </w:r>
            <w:r>
              <w:t>use</w:t>
            </w:r>
            <w:r>
              <w:rPr>
                <w:rFonts w:asciiTheme="minorHAnsi" w:hAnsiTheme="minorHAnsi"/>
              </w:rPr>
              <w:t xml:space="preserve">. </w:t>
            </w:r>
          </w:p>
        </w:tc>
      </w:tr>
      <w:tr w:rsidR="00631EAB" w:rsidRPr="00447869" w14:paraId="31E8F8D0" w14:textId="77777777" w:rsidTr="008612AB">
        <w:trPr>
          <w:tblHeader/>
        </w:trPr>
        <w:tc>
          <w:tcPr>
            <w:tcW w:w="14601" w:type="dxa"/>
            <w:gridSpan w:val="2"/>
            <w:shd w:val="clear" w:color="auto" w:fill="auto"/>
          </w:tcPr>
          <w:p w14:paraId="6857B362" w14:textId="26A2DFCE" w:rsidR="00631EAB" w:rsidRDefault="00ED604E" w:rsidP="00ED604E">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2.1 CONDITION CATE</w:t>
            </w:r>
            <w:r w:rsidR="00C16E62">
              <w:rPr>
                <w:rFonts w:asciiTheme="minorHAnsi" w:eastAsia="Times New Roman" w:hAnsiTheme="minorHAnsi" w:cs="Times New Roman"/>
                <w:b/>
                <w:bCs/>
                <w:lang w:eastAsia="en-AU"/>
              </w:rPr>
              <w:t>G</w:t>
            </w:r>
            <w:r w:rsidR="00631EAB">
              <w:rPr>
                <w:rFonts w:asciiTheme="minorHAnsi" w:eastAsia="Times New Roman" w:hAnsiTheme="minorHAnsi" w:cs="Times New Roman"/>
                <w:b/>
                <w:bCs/>
                <w:lang w:eastAsia="en-AU"/>
              </w:rPr>
              <w:t xml:space="preserve">ORY: </w:t>
            </w:r>
            <w:r w:rsidR="009572E8">
              <w:rPr>
                <w:rFonts w:asciiTheme="minorHAnsi" w:eastAsia="Times New Roman" w:hAnsiTheme="minorHAnsi" w:cs="Times New Roman"/>
                <w:b/>
                <w:bCs/>
                <w:lang w:eastAsia="en-AU"/>
              </w:rPr>
              <w:t>Condition for which Ig</w:t>
            </w:r>
            <w:r w:rsidR="0025493C">
              <w:rPr>
                <w:rFonts w:asciiTheme="minorHAnsi" w:eastAsia="Times New Roman" w:hAnsiTheme="minorHAnsi" w:cs="Times New Roman"/>
                <w:b/>
                <w:bCs/>
                <w:lang w:eastAsia="en-AU"/>
              </w:rPr>
              <w:t xml:space="preserve"> has an e</w:t>
            </w:r>
            <w:r w:rsidR="00C16E62">
              <w:rPr>
                <w:rFonts w:asciiTheme="minorHAnsi" w:eastAsia="Times New Roman" w:hAnsiTheme="minorHAnsi" w:cs="Times New Roman"/>
                <w:b/>
                <w:bCs/>
                <w:lang w:eastAsia="en-AU"/>
              </w:rPr>
              <w:t>merging therapeutic role</w:t>
            </w:r>
            <w:r>
              <w:rPr>
                <w:rFonts w:asciiTheme="minorHAnsi" w:eastAsia="Times New Roman" w:hAnsiTheme="minorHAnsi" w:cs="Times New Roman"/>
                <w:b/>
                <w:bCs/>
                <w:lang w:eastAsia="en-AU"/>
              </w:rPr>
              <w:t xml:space="preserve"> (Chapter 6)</w:t>
            </w:r>
          </w:p>
          <w:p w14:paraId="48514972" w14:textId="79578D49" w:rsidR="0049192E" w:rsidRDefault="0049192E" w:rsidP="00ED604E">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2015 PUBLIC CONSULTATION CATEGORY: Condition for which Ig has an emerging therapeutic role (Chapter 6)</w:t>
            </w:r>
          </w:p>
          <w:p w14:paraId="71AA6B72" w14:textId="30F87FF3" w:rsidR="0049192E" w:rsidRDefault="0049192E" w:rsidP="00ED604E">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v3.0 CONDITION CATEGORY: Condition for which Ig has an emerging therapeutic role (Chapter 6)</w:t>
            </w:r>
          </w:p>
        </w:tc>
      </w:tr>
      <w:tr w:rsidR="008612AB" w:rsidRPr="00447869" w14:paraId="39A14CAD" w14:textId="77777777" w:rsidTr="008612AB">
        <w:trPr>
          <w:tblHeader/>
        </w:trPr>
        <w:tc>
          <w:tcPr>
            <w:tcW w:w="14601" w:type="dxa"/>
            <w:gridSpan w:val="2"/>
            <w:shd w:val="clear" w:color="auto" w:fill="auto"/>
          </w:tcPr>
          <w:p w14:paraId="14457C4C" w14:textId="77777777" w:rsidR="00491CF5" w:rsidRDefault="008612AB" w:rsidP="00FE4CD1">
            <w:pPr>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Role of Ig therapy:</w:t>
            </w:r>
            <w:r w:rsidR="002870BF" w:rsidRPr="00FE4CD1">
              <w:rPr>
                <w:rFonts w:asciiTheme="minorHAnsi" w:eastAsia="Times New Roman" w:hAnsiTheme="minorHAnsi" w:cs="Times New Roman"/>
                <w:bCs/>
                <w:lang w:eastAsia="en-AU"/>
              </w:rPr>
              <w:t xml:space="preserve"> </w:t>
            </w:r>
            <w:r w:rsidR="0023200B" w:rsidRPr="0023200B">
              <w:rPr>
                <w:rFonts w:asciiTheme="minorHAnsi" w:eastAsia="Times New Roman" w:hAnsiTheme="minorHAnsi" w:cs="Times New Roman"/>
                <w:bCs/>
                <w:lang w:eastAsia="en-AU"/>
              </w:rPr>
              <w:t xml:space="preserve">Ig </w:t>
            </w:r>
            <w:r w:rsidR="0023200B" w:rsidRPr="00FF49BE">
              <w:rPr>
                <w:rFonts w:asciiTheme="minorHAnsi" w:eastAsia="Times New Roman" w:hAnsiTheme="minorHAnsi" w:cs="Times New Roman"/>
                <w:bCs/>
                <w:lang w:eastAsia="en-AU"/>
              </w:rPr>
              <w:t>therapy plays an important immunomodulatory role in incompatible organ transplantation with proven benefit (Level 1 evidence)</w:t>
            </w:r>
            <w:r w:rsidR="0023200B" w:rsidRPr="002870BF">
              <w:rPr>
                <w:rFonts w:asciiTheme="minorHAnsi" w:eastAsia="Times New Roman" w:hAnsiTheme="minorHAnsi" w:cs="Times New Roman"/>
                <w:bCs/>
                <w:lang w:eastAsia="en-AU"/>
              </w:rPr>
              <w:t xml:space="preserve"> for</w:t>
            </w:r>
            <w:r w:rsidR="0023200B">
              <w:rPr>
                <w:rFonts w:asciiTheme="minorHAnsi" w:eastAsia="Times New Roman" w:hAnsiTheme="minorHAnsi" w:cs="Times New Roman"/>
                <w:b/>
                <w:bCs/>
                <w:lang w:eastAsia="en-AU"/>
              </w:rPr>
              <w:t xml:space="preserve"> </w:t>
            </w:r>
            <w:r w:rsidR="0023200B">
              <w:rPr>
                <w:rFonts w:asciiTheme="minorHAnsi" w:eastAsia="Times New Roman" w:hAnsiTheme="minorHAnsi" w:cs="Times New Roman"/>
                <w:bCs/>
                <w:lang w:eastAsia="en-AU"/>
              </w:rPr>
              <w:t>de-sensitisation of highly sensitised patients pre-transplant to improve transplant rates and clinical outcomes (Jordan</w:t>
            </w:r>
            <w:r w:rsidR="00FE4CD1">
              <w:rPr>
                <w:rFonts w:asciiTheme="minorHAnsi" w:eastAsia="Times New Roman" w:hAnsiTheme="minorHAnsi" w:cs="Times New Roman"/>
                <w:bCs/>
                <w:lang w:eastAsia="en-AU"/>
              </w:rPr>
              <w:t>,</w:t>
            </w:r>
            <w:r w:rsidR="0023200B">
              <w:rPr>
                <w:rFonts w:asciiTheme="minorHAnsi" w:eastAsia="Times New Roman" w:hAnsiTheme="minorHAnsi" w:cs="Times New Roman"/>
                <w:bCs/>
                <w:lang w:eastAsia="en-AU"/>
              </w:rPr>
              <w:t xml:space="preserve"> 2004)</w:t>
            </w:r>
            <w:r w:rsidR="0023200B" w:rsidRPr="00FF49BE">
              <w:rPr>
                <w:rFonts w:asciiTheme="minorHAnsi" w:eastAsia="Times New Roman" w:hAnsiTheme="minorHAnsi" w:cs="Times New Roman"/>
                <w:bCs/>
                <w:lang w:eastAsia="en-AU"/>
              </w:rPr>
              <w:t>.</w:t>
            </w:r>
            <w:r w:rsidR="0023200B">
              <w:rPr>
                <w:rFonts w:asciiTheme="minorHAnsi" w:eastAsia="Times New Roman" w:hAnsiTheme="minorHAnsi" w:cs="Times New Roman"/>
                <w:b/>
                <w:bCs/>
                <w:lang w:eastAsia="en-AU"/>
              </w:rPr>
              <w:t xml:space="preserve"> </w:t>
            </w:r>
            <w:r w:rsidR="00491CF5" w:rsidRPr="00491CF5">
              <w:rPr>
                <w:rFonts w:asciiTheme="minorHAnsi" w:eastAsia="Times New Roman" w:hAnsiTheme="minorHAnsi" w:cs="Times New Roman"/>
                <w:bCs/>
                <w:lang w:eastAsia="en-AU"/>
              </w:rPr>
              <w:t xml:space="preserve">In heart transplant, the approach to desensitise is reasonably common because of the increasing use of device technology (and exposure to blood transfusion), so there is an increasing population of sensitised patients that would not be considered for transplant without desensitisation. Desensitisation is only an occasional occurrence in lung transplantation. </w:t>
            </w:r>
          </w:p>
          <w:p w14:paraId="6FE8CFD7" w14:textId="48BE3AFD" w:rsidR="002870BF" w:rsidRPr="00FF49BE" w:rsidRDefault="00F0497E" w:rsidP="00FE4CD1">
            <w:pPr>
              <w:rPr>
                <w:rFonts w:asciiTheme="minorHAnsi" w:eastAsia="Times New Roman" w:hAnsiTheme="minorHAnsi" w:cs="Times New Roman"/>
                <w:bCs/>
                <w:lang w:eastAsia="en-AU"/>
              </w:rPr>
            </w:pPr>
            <w:r>
              <w:rPr>
                <w:rFonts w:asciiTheme="minorHAnsi" w:hAnsiTheme="minorHAnsi" w:cs="Lucida Grande"/>
                <w:color w:val="000000"/>
              </w:rPr>
              <w:t xml:space="preserve">In </w:t>
            </w:r>
            <w:r w:rsidR="00C16E62">
              <w:rPr>
                <w:rFonts w:asciiTheme="minorHAnsi" w:hAnsiTheme="minorHAnsi" w:cs="Lucida Grande"/>
                <w:color w:val="000000"/>
              </w:rPr>
              <w:t xml:space="preserve">antibody mediated </w:t>
            </w:r>
            <w:r>
              <w:rPr>
                <w:rFonts w:asciiTheme="minorHAnsi" w:hAnsiTheme="minorHAnsi" w:cs="Lucida Grande"/>
                <w:color w:val="000000"/>
              </w:rPr>
              <w:t xml:space="preserve">rejection, the underlying mechanisms of therapy include suppression of the T-cell response (steroids, mycophenolate </w:t>
            </w:r>
            <w:proofErr w:type="spellStart"/>
            <w:r>
              <w:rPr>
                <w:rFonts w:asciiTheme="minorHAnsi" w:hAnsiTheme="minorHAnsi" w:cs="Lucida Grande"/>
                <w:color w:val="000000"/>
              </w:rPr>
              <w:t>mofitil</w:t>
            </w:r>
            <w:proofErr w:type="spellEnd"/>
            <w:r>
              <w:rPr>
                <w:rFonts w:asciiTheme="minorHAnsi" w:hAnsiTheme="minorHAnsi" w:cs="Lucida Grande"/>
                <w:color w:val="000000"/>
              </w:rPr>
              <w:t>, anti-lymphocyte antibodies), elimination of circulating antibodies (plasmapheresis), inhibition of residual antibodies (</w:t>
            </w:r>
            <w:proofErr w:type="spellStart"/>
            <w:r w:rsidR="00CD6B1D">
              <w:rPr>
                <w:rFonts w:asciiTheme="minorHAnsi" w:hAnsiTheme="minorHAnsi" w:cs="Lucida Grande"/>
                <w:color w:val="000000"/>
              </w:rPr>
              <w:t>IVIg</w:t>
            </w:r>
            <w:proofErr w:type="spellEnd"/>
            <w:r>
              <w:rPr>
                <w:rFonts w:asciiTheme="minorHAnsi" w:hAnsiTheme="minorHAnsi" w:cs="Lucida Grande"/>
                <w:color w:val="000000"/>
              </w:rPr>
              <w:t xml:space="preserve"> therapy), suppression or depletion of B cells (steroids, rituximab, splenectomy), inhibition of complement (</w:t>
            </w:r>
            <w:proofErr w:type="spellStart"/>
            <w:r>
              <w:rPr>
                <w:rFonts w:asciiTheme="minorHAnsi" w:hAnsiTheme="minorHAnsi" w:cs="Lucida Grande"/>
                <w:color w:val="000000"/>
              </w:rPr>
              <w:t>eculizumab</w:t>
            </w:r>
            <w:proofErr w:type="spellEnd"/>
            <w:r>
              <w:rPr>
                <w:rFonts w:asciiTheme="minorHAnsi" w:hAnsiTheme="minorHAnsi" w:cs="Lucida Grande"/>
                <w:color w:val="000000"/>
              </w:rPr>
              <w:t xml:space="preserve">, </w:t>
            </w:r>
            <w:proofErr w:type="spellStart"/>
            <w:r w:rsidR="00CD6B1D">
              <w:rPr>
                <w:rFonts w:asciiTheme="minorHAnsi" w:hAnsiTheme="minorHAnsi" w:cs="Lucida Grande"/>
                <w:color w:val="000000"/>
              </w:rPr>
              <w:t>IVIg</w:t>
            </w:r>
            <w:proofErr w:type="spellEnd"/>
            <w:r>
              <w:rPr>
                <w:rFonts w:asciiTheme="minorHAnsi" w:hAnsiTheme="minorHAnsi" w:cs="Lucida Grande"/>
                <w:color w:val="000000"/>
              </w:rPr>
              <w:t xml:space="preserve"> therapy)</w:t>
            </w:r>
            <w:r w:rsidR="00860052">
              <w:rPr>
                <w:rFonts w:asciiTheme="minorHAnsi" w:hAnsiTheme="minorHAnsi" w:cs="Lucida Grande"/>
                <w:color w:val="000000"/>
              </w:rPr>
              <w:t xml:space="preserve"> (Colvin</w:t>
            </w:r>
            <w:r w:rsidR="00FE4CD1">
              <w:rPr>
                <w:rFonts w:asciiTheme="minorHAnsi" w:hAnsiTheme="minorHAnsi" w:cs="Lucida Grande"/>
                <w:color w:val="000000"/>
              </w:rPr>
              <w:t>,</w:t>
            </w:r>
            <w:r w:rsidR="00860052">
              <w:rPr>
                <w:rFonts w:asciiTheme="minorHAnsi" w:hAnsiTheme="minorHAnsi" w:cs="Lucida Grande"/>
                <w:color w:val="000000"/>
              </w:rPr>
              <w:t xml:space="preserve"> 2015)</w:t>
            </w:r>
            <w:r>
              <w:rPr>
                <w:rFonts w:asciiTheme="minorHAnsi" w:hAnsiTheme="minorHAnsi" w:cs="Lucida Grande"/>
                <w:color w:val="000000"/>
              </w:rPr>
              <w:t xml:space="preserve">. </w:t>
            </w:r>
          </w:p>
          <w:p w14:paraId="519E1BE7" w14:textId="53A1BEC4" w:rsidR="008612AB" w:rsidRPr="00491CF5" w:rsidRDefault="002870BF" w:rsidP="002870BF">
            <w:pPr>
              <w:spacing w:before="120" w:after="120"/>
              <w:rPr>
                <w:rFonts w:asciiTheme="minorHAnsi" w:eastAsia="Times New Roman" w:hAnsiTheme="minorHAnsi" w:cs="Times New Roman"/>
                <w:bCs/>
                <w:lang w:eastAsia="en-AU"/>
              </w:rPr>
            </w:pPr>
            <w:r w:rsidRPr="00FF49BE">
              <w:rPr>
                <w:rFonts w:asciiTheme="minorHAnsi" w:eastAsia="Times New Roman" w:hAnsiTheme="minorHAnsi" w:cs="Times New Roman"/>
                <w:bCs/>
                <w:lang w:eastAsia="en-AU"/>
              </w:rPr>
              <w:t>The</w:t>
            </w:r>
            <w:r>
              <w:rPr>
                <w:rFonts w:asciiTheme="minorHAnsi" w:eastAsia="Times New Roman" w:hAnsiTheme="minorHAnsi" w:cs="Times New Roman"/>
                <w:bCs/>
                <w:lang w:eastAsia="en-AU"/>
              </w:rPr>
              <w:t>re are a number of potential</w:t>
            </w:r>
            <w:r w:rsidRPr="00FF49BE">
              <w:rPr>
                <w:rFonts w:asciiTheme="minorHAnsi" w:eastAsia="Times New Roman" w:hAnsiTheme="minorHAnsi" w:cs="Times New Roman"/>
                <w:bCs/>
                <w:lang w:eastAsia="en-AU"/>
              </w:rPr>
              <w:t xml:space="preserve"> mechanism</w:t>
            </w:r>
            <w:r>
              <w:rPr>
                <w:rFonts w:asciiTheme="minorHAnsi" w:eastAsia="Times New Roman" w:hAnsiTheme="minorHAnsi" w:cs="Times New Roman"/>
                <w:bCs/>
                <w:lang w:eastAsia="en-AU"/>
              </w:rPr>
              <w:t>s</w:t>
            </w:r>
            <w:r w:rsidRPr="00FF49BE">
              <w:rPr>
                <w:rFonts w:asciiTheme="minorHAnsi" w:eastAsia="Times New Roman" w:hAnsiTheme="minorHAnsi" w:cs="Times New Roman"/>
                <w:bCs/>
                <w:lang w:eastAsia="en-AU"/>
              </w:rPr>
              <w:t xml:space="preserve"> of action </w:t>
            </w:r>
            <w:r>
              <w:rPr>
                <w:rFonts w:asciiTheme="minorHAnsi" w:eastAsia="Times New Roman" w:hAnsiTheme="minorHAnsi" w:cs="Times New Roman"/>
                <w:bCs/>
                <w:lang w:eastAsia="en-AU"/>
              </w:rPr>
              <w:t xml:space="preserve">reported for Ig therapy in this context. These include inhibition of complement activation by the Fc fragment of IgG molecules in the </w:t>
            </w:r>
            <w:proofErr w:type="spellStart"/>
            <w:r w:rsidR="00CD6B1D">
              <w:rPr>
                <w:rFonts w:asciiTheme="minorHAnsi" w:eastAsia="Times New Roman" w:hAnsiTheme="minorHAnsi" w:cs="Times New Roman"/>
                <w:bCs/>
                <w:lang w:eastAsia="en-AU"/>
              </w:rPr>
              <w:t>IVIg</w:t>
            </w:r>
            <w:proofErr w:type="spellEnd"/>
            <w:r>
              <w:rPr>
                <w:rFonts w:asciiTheme="minorHAnsi" w:eastAsia="Times New Roman" w:hAnsiTheme="minorHAnsi" w:cs="Times New Roman"/>
                <w:bCs/>
                <w:lang w:eastAsia="en-AU"/>
              </w:rPr>
              <w:t xml:space="preserve"> preparations, or possible contamination of </w:t>
            </w:r>
            <w:proofErr w:type="spellStart"/>
            <w:r w:rsidR="00CD6B1D">
              <w:rPr>
                <w:rFonts w:asciiTheme="minorHAnsi" w:eastAsia="Times New Roman" w:hAnsiTheme="minorHAnsi" w:cs="Times New Roman"/>
                <w:bCs/>
                <w:lang w:eastAsia="en-AU"/>
              </w:rPr>
              <w:t>IVIg</w:t>
            </w:r>
            <w:proofErr w:type="spellEnd"/>
            <w:r>
              <w:rPr>
                <w:rFonts w:asciiTheme="minorHAnsi" w:eastAsia="Times New Roman" w:hAnsiTheme="minorHAnsi" w:cs="Times New Roman"/>
                <w:bCs/>
                <w:lang w:eastAsia="en-AU"/>
              </w:rPr>
              <w:t xml:space="preserve"> produ</w:t>
            </w:r>
            <w:r w:rsidR="00491CF5">
              <w:rPr>
                <w:rFonts w:asciiTheme="minorHAnsi" w:eastAsia="Times New Roman" w:hAnsiTheme="minorHAnsi" w:cs="Times New Roman"/>
                <w:bCs/>
                <w:lang w:eastAsia="en-AU"/>
              </w:rPr>
              <w:t xml:space="preserve">cts with soluble HLA molecules </w:t>
            </w:r>
            <w:r>
              <w:rPr>
                <w:rFonts w:asciiTheme="minorHAnsi" w:eastAsia="Times New Roman" w:hAnsiTheme="minorHAnsi" w:cs="Times New Roman"/>
                <w:bCs/>
                <w:lang w:eastAsia="en-AU"/>
              </w:rPr>
              <w:t>(</w:t>
            </w:r>
            <w:proofErr w:type="spellStart"/>
            <w:r>
              <w:rPr>
                <w:rFonts w:asciiTheme="minorHAnsi" w:eastAsia="Times New Roman" w:hAnsiTheme="minorHAnsi" w:cs="Times New Roman"/>
                <w:bCs/>
                <w:lang w:eastAsia="en-AU"/>
              </w:rPr>
              <w:t>Wanatabe</w:t>
            </w:r>
            <w:proofErr w:type="spellEnd"/>
            <w:r w:rsidR="00FE4CD1">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2005).  </w:t>
            </w:r>
          </w:p>
        </w:tc>
      </w:tr>
    </w:tbl>
    <w:p w14:paraId="7C0767EE" w14:textId="77777777" w:rsidR="005851ED" w:rsidRDefault="005851ED"/>
    <w:tbl>
      <w:tblPr>
        <w:tblStyle w:val="TableGrid"/>
        <w:tblW w:w="14601" w:type="dxa"/>
        <w:tblInd w:w="-318" w:type="dxa"/>
        <w:tblLook w:val="0680" w:firstRow="0" w:lastRow="0" w:firstColumn="1" w:lastColumn="0" w:noHBand="1" w:noVBand="1"/>
      </w:tblPr>
      <w:tblGrid>
        <w:gridCol w:w="1560"/>
        <w:gridCol w:w="3828"/>
        <w:gridCol w:w="1606"/>
        <w:gridCol w:w="1606"/>
        <w:gridCol w:w="1607"/>
        <w:gridCol w:w="4394"/>
      </w:tblGrid>
      <w:tr w:rsidR="00447869" w:rsidRPr="00853117" w14:paraId="75D7363E" w14:textId="77777777" w:rsidTr="003A7E5D">
        <w:trPr>
          <w:trHeight w:val="406"/>
          <w:tblHeader/>
        </w:trPr>
        <w:tc>
          <w:tcPr>
            <w:tcW w:w="1560" w:type="dxa"/>
            <w:shd w:val="clear" w:color="auto" w:fill="DBE5F1" w:themeFill="accent1" w:themeFillTint="33"/>
          </w:tcPr>
          <w:p w14:paraId="432B028F"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828" w:type="dxa"/>
            <w:shd w:val="clear" w:color="auto" w:fill="DBE5F1" w:themeFill="accent1" w:themeFillTint="33"/>
          </w:tcPr>
          <w:p w14:paraId="640DED68" w14:textId="6F2CA841" w:rsidR="003A7E5D" w:rsidRPr="003A7E5D" w:rsidRDefault="003A7E5D" w:rsidP="003A7E5D">
            <w:pPr>
              <w:spacing w:before="120" w:after="120"/>
              <w:jc w:val="center"/>
              <w:rPr>
                <w:rFonts w:asciiTheme="minorHAnsi" w:hAnsiTheme="minorHAnsi"/>
                <w:b/>
                <w:sz w:val="20"/>
                <w:szCs w:val="18"/>
              </w:rPr>
            </w:pPr>
            <w:r w:rsidRPr="003A7E5D">
              <w:rPr>
                <w:rFonts w:asciiTheme="minorHAnsi" w:hAnsiTheme="minorHAnsi"/>
                <w:b/>
                <w:sz w:val="20"/>
                <w:szCs w:val="18"/>
              </w:rPr>
              <w:t xml:space="preserve">2015 JBC APPROVED WORDING </w:t>
            </w:r>
          </w:p>
          <w:p w14:paraId="0559973C" w14:textId="1F3FAD04" w:rsidR="004A10A2" w:rsidRPr="00C92149" w:rsidRDefault="004A10A2" w:rsidP="003A7E5D">
            <w:pPr>
              <w:spacing w:before="120" w:after="120"/>
              <w:jc w:val="center"/>
              <w:rPr>
                <w:rFonts w:asciiTheme="minorHAnsi" w:hAnsiTheme="minorHAnsi"/>
                <w:b/>
                <w:sz w:val="20"/>
                <w:szCs w:val="18"/>
              </w:rPr>
            </w:pPr>
          </w:p>
        </w:tc>
        <w:tc>
          <w:tcPr>
            <w:tcW w:w="4819" w:type="dxa"/>
            <w:gridSpan w:val="3"/>
            <w:shd w:val="clear" w:color="auto" w:fill="DBE5F1" w:themeFill="accent1" w:themeFillTint="33"/>
          </w:tcPr>
          <w:p w14:paraId="590B9437" w14:textId="77777777"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14:paraId="2C41DD65" w14:textId="68DD3F67" w:rsidR="00447869" w:rsidRPr="00C92149" w:rsidRDefault="00A63E25">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D740C7">
              <w:rPr>
                <w:rFonts w:asciiTheme="minorHAnsi" w:eastAsia="Times New Roman" w:hAnsiTheme="minorHAnsi" w:cs="Times New Roman"/>
                <w:b/>
                <w:bCs/>
                <w:sz w:val="20"/>
                <w:szCs w:val="20"/>
                <w:lang w:eastAsia="en-AU"/>
              </w:rPr>
              <w:t xml:space="preserve"> </w:t>
            </w:r>
            <w:r w:rsidR="00D740C7" w:rsidRPr="00D740C7">
              <w:rPr>
                <w:rFonts w:asciiTheme="minorHAnsi" w:eastAsia="Times New Roman" w:hAnsiTheme="minorHAnsi" w:cs="Times New Roman"/>
                <w:b/>
                <w:bCs/>
                <w:sz w:val="20"/>
                <w:szCs w:val="20"/>
                <w:lang w:eastAsia="en-AU"/>
              </w:rPr>
              <w:t>RATIONALE FOR ADDITIONS/CLARIFICATIONS</w:t>
            </w:r>
          </w:p>
        </w:tc>
      </w:tr>
      <w:tr w:rsidR="00021243" w:rsidRPr="00447869" w14:paraId="2C484325" w14:textId="77777777" w:rsidTr="003A7E5D">
        <w:tc>
          <w:tcPr>
            <w:tcW w:w="1560" w:type="dxa"/>
            <w:shd w:val="clear" w:color="auto" w:fill="D9D9D9" w:themeFill="background1" w:themeFillShade="D9"/>
          </w:tcPr>
          <w:p w14:paraId="5C48DE76"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3828" w:type="dxa"/>
          </w:tcPr>
          <w:p w14:paraId="728B2B1B" w14:textId="32C29B02" w:rsidR="00021243" w:rsidRPr="00C077BF" w:rsidRDefault="007A263F" w:rsidP="00C077BF">
            <w:pPr>
              <w:pStyle w:val="heading"/>
              <w:spacing w:before="0" w:beforeAutospacing="0" w:after="225" w:afterAutospacing="0" w:line="293" w:lineRule="atLeast"/>
              <w:rPr>
                <w:rFonts w:asciiTheme="minorHAnsi" w:hAnsiTheme="minorHAnsi" w:cs="Times New Roman"/>
                <w:bCs/>
                <w:color w:val="000000"/>
                <w:sz w:val="22"/>
                <w:szCs w:val="22"/>
              </w:rPr>
            </w:pPr>
            <w:r>
              <w:rPr>
                <w:rFonts w:asciiTheme="minorHAnsi" w:hAnsiTheme="minorHAnsi" w:cs="Times New Roman"/>
                <w:bCs/>
                <w:color w:val="000000"/>
                <w:sz w:val="22"/>
                <w:szCs w:val="22"/>
              </w:rPr>
              <w:t>Solid o</w:t>
            </w:r>
            <w:r w:rsidR="00FD3845" w:rsidRPr="00FD3845">
              <w:rPr>
                <w:rFonts w:asciiTheme="minorHAnsi" w:hAnsiTheme="minorHAnsi" w:cs="Times New Roman"/>
                <w:bCs/>
                <w:color w:val="000000"/>
                <w:sz w:val="22"/>
                <w:szCs w:val="22"/>
              </w:rPr>
              <w:t xml:space="preserve">rgan </w:t>
            </w:r>
            <w:r>
              <w:rPr>
                <w:rFonts w:asciiTheme="minorHAnsi" w:hAnsiTheme="minorHAnsi" w:cs="Times New Roman"/>
                <w:bCs/>
                <w:color w:val="000000"/>
                <w:sz w:val="22"/>
                <w:szCs w:val="22"/>
              </w:rPr>
              <w:t>transplantation (other than k</w:t>
            </w:r>
            <w:r w:rsidR="00FD3845" w:rsidRPr="00FD3845">
              <w:rPr>
                <w:rFonts w:asciiTheme="minorHAnsi" w:hAnsiTheme="minorHAnsi" w:cs="Times New Roman"/>
                <w:bCs/>
                <w:color w:val="000000"/>
                <w:sz w:val="22"/>
                <w:szCs w:val="22"/>
              </w:rPr>
              <w:t>idney)</w:t>
            </w:r>
          </w:p>
        </w:tc>
        <w:tc>
          <w:tcPr>
            <w:tcW w:w="4819" w:type="dxa"/>
            <w:gridSpan w:val="3"/>
          </w:tcPr>
          <w:p w14:paraId="6001ADA2" w14:textId="6EEAA29E" w:rsidR="00021243" w:rsidRPr="007A263F" w:rsidRDefault="007A263F" w:rsidP="00C077BF">
            <w:pPr>
              <w:pStyle w:val="heading"/>
              <w:spacing w:before="0" w:beforeAutospacing="0" w:after="225" w:afterAutospacing="0" w:line="293" w:lineRule="atLeast"/>
              <w:rPr>
                <w:rFonts w:asciiTheme="minorHAnsi" w:eastAsia="Dotum" w:hAnsiTheme="minorHAnsi" w:cs="Calibri"/>
                <w:sz w:val="22"/>
              </w:rPr>
            </w:pPr>
            <w:r w:rsidRPr="007A263F">
              <w:rPr>
                <w:rFonts w:asciiTheme="minorHAnsi" w:eastAsia="Dotum" w:hAnsiTheme="minorHAnsi" w:cs="Calibri"/>
                <w:sz w:val="22"/>
              </w:rPr>
              <w:t>Solid organ transplantation (other than k</w:t>
            </w:r>
            <w:r w:rsidR="002870BF" w:rsidRPr="007A263F">
              <w:rPr>
                <w:rFonts w:asciiTheme="minorHAnsi" w:eastAsia="Dotum" w:hAnsiTheme="minorHAnsi" w:cs="Calibri"/>
                <w:sz w:val="22"/>
              </w:rPr>
              <w:t>idney)</w:t>
            </w:r>
          </w:p>
        </w:tc>
        <w:tc>
          <w:tcPr>
            <w:tcW w:w="4394" w:type="dxa"/>
          </w:tcPr>
          <w:p w14:paraId="3B6EFF63" w14:textId="2793CD4E" w:rsidR="005960E7" w:rsidRPr="007A263F" w:rsidRDefault="002870BF" w:rsidP="005960E7">
            <w:pPr>
              <w:pStyle w:val="heading"/>
              <w:spacing w:before="0" w:beforeAutospacing="0" w:after="225" w:afterAutospacing="0" w:line="293" w:lineRule="atLeast"/>
              <w:rPr>
                <w:rFonts w:asciiTheme="minorHAnsi" w:eastAsia="Dotum" w:hAnsiTheme="minorHAnsi" w:cs="Calibri"/>
                <w:sz w:val="22"/>
              </w:rPr>
            </w:pPr>
            <w:r w:rsidRPr="007A263F">
              <w:rPr>
                <w:rFonts w:asciiTheme="minorHAnsi" w:eastAsia="Dotum" w:hAnsiTheme="minorHAnsi" w:cs="Calibri"/>
                <w:sz w:val="22"/>
              </w:rPr>
              <w:t>Unchanged</w:t>
            </w:r>
          </w:p>
        </w:tc>
      </w:tr>
      <w:tr w:rsidR="002870BF" w:rsidRPr="00447869" w14:paraId="73A74644" w14:textId="77777777" w:rsidTr="003A7E5D">
        <w:tc>
          <w:tcPr>
            <w:tcW w:w="1560" w:type="dxa"/>
            <w:shd w:val="clear" w:color="auto" w:fill="D9D9D9" w:themeFill="background1" w:themeFillShade="D9"/>
          </w:tcPr>
          <w:p w14:paraId="6B44B589" w14:textId="77777777" w:rsidR="002870BF" w:rsidRPr="00447869" w:rsidRDefault="002870BF" w:rsidP="00021243">
            <w:pPr>
              <w:spacing w:before="120" w:after="120"/>
              <w:rPr>
                <w:rFonts w:asciiTheme="minorHAnsi" w:hAnsiTheme="minorHAnsi"/>
              </w:rPr>
            </w:pPr>
            <w:r w:rsidRPr="00447869">
              <w:rPr>
                <w:rFonts w:asciiTheme="minorHAnsi" w:hAnsiTheme="minorHAnsi"/>
                <w:b/>
              </w:rPr>
              <w:t>Specialty</w:t>
            </w:r>
          </w:p>
        </w:tc>
        <w:tc>
          <w:tcPr>
            <w:tcW w:w="3828" w:type="dxa"/>
          </w:tcPr>
          <w:p w14:paraId="45F53378" w14:textId="77777777" w:rsidR="002870BF" w:rsidRPr="00447869" w:rsidRDefault="002870BF" w:rsidP="00FD3845">
            <w:pPr>
              <w:spacing w:before="120" w:after="120"/>
              <w:rPr>
                <w:rFonts w:asciiTheme="minorHAnsi" w:hAnsiTheme="minorHAnsi"/>
              </w:rPr>
            </w:pPr>
            <w:r>
              <w:rPr>
                <w:rFonts w:asciiTheme="minorHAnsi" w:hAnsiTheme="minorHAnsi"/>
              </w:rPr>
              <w:t xml:space="preserve"> Transplantation</w:t>
            </w:r>
          </w:p>
        </w:tc>
        <w:tc>
          <w:tcPr>
            <w:tcW w:w="4819" w:type="dxa"/>
            <w:gridSpan w:val="3"/>
          </w:tcPr>
          <w:p w14:paraId="6AC44F3E" w14:textId="67BCF34D" w:rsidR="002870BF" w:rsidRPr="00447869" w:rsidRDefault="002870BF" w:rsidP="00021243">
            <w:pPr>
              <w:spacing w:before="120" w:after="120"/>
              <w:rPr>
                <w:rFonts w:asciiTheme="minorHAnsi" w:hAnsiTheme="minorHAnsi"/>
              </w:rPr>
            </w:pPr>
            <w:r>
              <w:rPr>
                <w:rFonts w:asciiTheme="minorHAnsi" w:hAnsiTheme="minorHAnsi"/>
              </w:rPr>
              <w:t xml:space="preserve"> Transplantation</w:t>
            </w:r>
          </w:p>
        </w:tc>
        <w:tc>
          <w:tcPr>
            <w:tcW w:w="4394" w:type="dxa"/>
          </w:tcPr>
          <w:p w14:paraId="0820F6C3" w14:textId="19388004" w:rsidR="002870BF" w:rsidRPr="009208EC" w:rsidRDefault="002870BF" w:rsidP="00021243">
            <w:pPr>
              <w:spacing w:before="120" w:after="120"/>
              <w:rPr>
                <w:rFonts w:asciiTheme="minorHAnsi" w:hAnsiTheme="minorHAnsi"/>
                <w:szCs w:val="20"/>
              </w:rPr>
            </w:pPr>
            <w:r>
              <w:rPr>
                <w:rFonts w:asciiTheme="minorHAnsi" w:hAnsiTheme="minorHAnsi"/>
                <w:szCs w:val="20"/>
              </w:rPr>
              <w:t>Unchanged</w:t>
            </w:r>
          </w:p>
        </w:tc>
      </w:tr>
      <w:tr w:rsidR="002870BF" w:rsidRPr="00447869" w14:paraId="06918AF1" w14:textId="77777777" w:rsidTr="003A7E5D">
        <w:tc>
          <w:tcPr>
            <w:tcW w:w="1560" w:type="dxa"/>
            <w:shd w:val="clear" w:color="auto" w:fill="D9D9D9" w:themeFill="background1" w:themeFillShade="D9"/>
          </w:tcPr>
          <w:p w14:paraId="733F9E14" w14:textId="0AD6412A" w:rsidR="002870BF" w:rsidRPr="00447869" w:rsidRDefault="00ED604E" w:rsidP="00021243">
            <w:pPr>
              <w:spacing w:before="120" w:after="120"/>
              <w:rPr>
                <w:rFonts w:asciiTheme="minorHAnsi" w:hAnsiTheme="minorHAnsi"/>
              </w:rPr>
            </w:pPr>
            <w:r>
              <w:rPr>
                <w:rFonts w:asciiTheme="minorHAnsi" w:hAnsiTheme="minorHAnsi"/>
                <w:b/>
              </w:rPr>
              <w:t>Category</w:t>
            </w:r>
          </w:p>
        </w:tc>
        <w:tc>
          <w:tcPr>
            <w:tcW w:w="3828" w:type="dxa"/>
          </w:tcPr>
          <w:p w14:paraId="6AA05D60" w14:textId="588EAD91" w:rsidR="002870BF" w:rsidRPr="00447869" w:rsidRDefault="00ED604E" w:rsidP="004B731C">
            <w:pPr>
              <w:spacing w:before="120" w:after="120"/>
              <w:rPr>
                <w:rFonts w:asciiTheme="minorHAnsi" w:hAnsiTheme="minorHAnsi"/>
              </w:rPr>
            </w:pPr>
            <w:r w:rsidRPr="006027AB">
              <w:rPr>
                <w:rFonts w:asciiTheme="minorHAnsi" w:hAnsiTheme="minorHAnsi"/>
                <w:i/>
              </w:rPr>
              <w:t xml:space="preserve">Emerging </w:t>
            </w:r>
            <w:r w:rsidR="00FD55EB" w:rsidRPr="006027AB">
              <w:rPr>
                <w:rFonts w:asciiTheme="minorHAnsi" w:hAnsiTheme="minorHAnsi"/>
                <w:i/>
              </w:rPr>
              <w:t xml:space="preserve">therapeutic </w:t>
            </w:r>
            <w:r w:rsidR="004B731C" w:rsidRPr="006027AB">
              <w:rPr>
                <w:rFonts w:asciiTheme="minorHAnsi" w:hAnsiTheme="minorHAnsi"/>
                <w:i/>
              </w:rPr>
              <w:t>role</w:t>
            </w:r>
            <w:r w:rsidR="004B731C">
              <w:rPr>
                <w:rFonts w:asciiTheme="minorHAnsi" w:hAnsiTheme="minorHAnsi"/>
              </w:rPr>
              <w:t xml:space="preserve"> </w:t>
            </w:r>
          </w:p>
        </w:tc>
        <w:tc>
          <w:tcPr>
            <w:tcW w:w="4819" w:type="dxa"/>
            <w:gridSpan w:val="3"/>
          </w:tcPr>
          <w:p w14:paraId="252B0C4F" w14:textId="74A56E30" w:rsidR="00ED604E" w:rsidRPr="00447869" w:rsidRDefault="00ED604E" w:rsidP="004B731C">
            <w:pPr>
              <w:spacing w:before="120" w:after="120"/>
              <w:rPr>
                <w:rFonts w:asciiTheme="minorHAnsi" w:hAnsiTheme="minorHAnsi"/>
              </w:rPr>
            </w:pPr>
            <w:r w:rsidRPr="006027AB">
              <w:rPr>
                <w:rFonts w:asciiTheme="minorHAnsi" w:hAnsiTheme="minorHAnsi"/>
                <w:i/>
              </w:rPr>
              <w:t xml:space="preserve">Emerging </w:t>
            </w:r>
            <w:r w:rsidR="00FD55EB" w:rsidRPr="006027AB">
              <w:rPr>
                <w:rFonts w:asciiTheme="minorHAnsi" w:hAnsiTheme="minorHAnsi"/>
                <w:i/>
              </w:rPr>
              <w:t xml:space="preserve">therapeutic </w:t>
            </w:r>
            <w:r w:rsidR="004B731C" w:rsidRPr="006027AB">
              <w:rPr>
                <w:rFonts w:asciiTheme="minorHAnsi" w:hAnsiTheme="minorHAnsi"/>
                <w:i/>
              </w:rPr>
              <w:t>role</w:t>
            </w:r>
            <w:r w:rsidR="004B731C">
              <w:rPr>
                <w:rFonts w:asciiTheme="minorHAnsi" w:hAnsiTheme="minorHAnsi"/>
              </w:rPr>
              <w:t xml:space="preserve"> </w:t>
            </w:r>
          </w:p>
        </w:tc>
        <w:tc>
          <w:tcPr>
            <w:tcW w:w="4394" w:type="dxa"/>
          </w:tcPr>
          <w:p w14:paraId="7F8403C5" w14:textId="4332694E" w:rsidR="002870BF" w:rsidRPr="009208EC" w:rsidRDefault="002870BF" w:rsidP="00631EAB">
            <w:pPr>
              <w:spacing w:before="120" w:after="120"/>
              <w:rPr>
                <w:rFonts w:asciiTheme="minorHAnsi" w:hAnsiTheme="minorHAnsi"/>
                <w:szCs w:val="20"/>
              </w:rPr>
            </w:pPr>
            <w:r>
              <w:rPr>
                <w:rFonts w:asciiTheme="minorHAnsi" w:hAnsiTheme="minorHAnsi"/>
                <w:szCs w:val="20"/>
              </w:rPr>
              <w:t>Unchanged</w:t>
            </w:r>
          </w:p>
        </w:tc>
      </w:tr>
      <w:tr w:rsidR="00447869" w:rsidRPr="00447869" w14:paraId="321A2E21" w14:textId="77777777" w:rsidTr="003A7E5D">
        <w:tc>
          <w:tcPr>
            <w:tcW w:w="1560" w:type="dxa"/>
            <w:shd w:val="clear" w:color="auto" w:fill="D9D9D9" w:themeFill="background1" w:themeFillShade="D9"/>
          </w:tcPr>
          <w:p w14:paraId="188BE218" w14:textId="77777777"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3828" w:type="dxa"/>
          </w:tcPr>
          <w:p w14:paraId="496D8271" w14:textId="77777777" w:rsidR="00FD3845" w:rsidRPr="00FD3845"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 xml:space="preserve">Heart </w:t>
            </w:r>
          </w:p>
          <w:p w14:paraId="09320D15" w14:textId="77777777" w:rsidR="00FD3845" w:rsidRPr="00FD3845"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 xml:space="preserve">Lung </w:t>
            </w:r>
          </w:p>
          <w:p w14:paraId="602CA4E9" w14:textId="77777777" w:rsidR="00FD3845" w:rsidRPr="00FD3845"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Heart &amp; Lung</w:t>
            </w:r>
          </w:p>
          <w:p w14:paraId="2BBF6705" w14:textId="77777777" w:rsidR="00FD3845" w:rsidRPr="00FD3845"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Liver</w:t>
            </w:r>
          </w:p>
          <w:p w14:paraId="68E005A1" w14:textId="77777777" w:rsidR="00FD3845" w:rsidRPr="00FD3845"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 xml:space="preserve">Heart kidney </w:t>
            </w:r>
          </w:p>
          <w:p w14:paraId="7544D105" w14:textId="77777777" w:rsidR="00FD3845" w:rsidRPr="00FD3845"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 xml:space="preserve">Heart liver </w:t>
            </w:r>
          </w:p>
          <w:p w14:paraId="6C139D5B" w14:textId="77777777" w:rsidR="00FD3845" w:rsidRPr="00FD3845"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 xml:space="preserve">Liver kidney </w:t>
            </w:r>
          </w:p>
          <w:p w14:paraId="4788A5AB" w14:textId="77777777" w:rsidR="00FD3845" w:rsidRPr="00FD3845"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Pancreas</w:t>
            </w:r>
          </w:p>
          <w:p w14:paraId="60486377" w14:textId="77777777" w:rsidR="004A10A2" w:rsidRPr="00447869" w:rsidRDefault="00FD3845" w:rsidP="00FD3845">
            <w:pPr>
              <w:rPr>
                <w:rFonts w:asciiTheme="minorHAnsi" w:hAnsiTheme="minorHAnsi"/>
              </w:rPr>
            </w:pPr>
            <w:r w:rsidRPr="00FD3845">
              <w:rPr>
                <w:rFonts w:asciiTheme="minorHAnsi" w:hAnsiTheme="minorHAnsi"/>
              </w:rPr>
              <w:t>•</w:t>
            </w:r>
            <w:r w:rsidRPr="00FD3845">
              <w:rPr>
                <w:rFonts w:asciiTheme="minorHAnsi" w:hAnsiTheme="minorHAnsi"/>
              </w:rPr>
              <w:tab/>
              <w:t>Small intestine</w:t>
            </w:r>
          </w:p>
        </w:tc>
        <w:tc>
          <w:tcPr>
            <w:tcW w:w="4819" w:type="dxa"/>
            <w:gridSpan w:val="3"/>
          </w:tcPr>
          <w:p w14:paraId="5E654744" w14:textId="77777777" w:rsidR="002870BF" w:rsidRPr="00FE4CD1" w:rsidRDefault="002870BF" w:rsidP="00FE4CD1">
            <w:pPr>
              <w:pStyle w:val="ListParagraph"/>
              <w:numPr>
                <w:ilvl w:val="0"/>
                <w:numId w:val="50"/>
              </w:numPr>
              <w:ind w:hanging="684"/>
              <w:rPr>
                <w:rFonts w:asciiTheme="minorHAnsi" w:hAnsiTheme="minorHAnsi"/>
              </w:rPr>
            </w:pPr>
            <w:r w:rsidRPr="00FE4CD1">
              <w:rPr>
                <w:rFonts w:asciiTheme="minorHAnsi" w:hAnsiTheme="minorHAnsi"/>
              </w:rPr>
              <w:t xml:space="preserve">Heart </w:t>
            </w:r>
          </w:p>
          <w:p w14:paraId="6E6BECB1" w14:textId="77777777" w:rsidR="002870BF" w:rsidRPr="00FD3845" w:rsidRDefault="002870BF" w:rsidP="002870BF">
            <w:pPr>
              <w:rPr>
                <w:rFonts w:asciiTheme="minorHAnsi" w:hAnsiTheme="minorHAnsi"/>
              </w:rPr>
            </w:pPr>
            <w:r w:rsidRPr="00FD3845">
              <w:rPr>
                <w:rFonts w:asciiTheme="minorHAnsi" w:hAnsiTheme="minorHAnsi"/>
              </w:rPr>
              <w:t>•</w:t>
            </w:r>
            <w:r w:rsidRPr="00FD3845">
              <w:rPr>
                <w:rFonts w:asciiTheme="minorHAnsi" w:hAnsiTheme="minorHAnsi"/>
              </w:rPr>
              <w:tab/>
              <w:t xml:space="preserve">Lung </w:t>
            </w:r>
          </w:p>
          <w:p w14:paraId="3D643F35" w14:textId="77777777" w:rsidR="002870BF" w:rsidRPr="00FD3845" w:rsidRDefault="002870BF" w:rsidP="002870BF">
            <w:pPr>
              <w:rPr>
                <w:rFonts w:asciiTheme="minorHAnsi" w:hAnsiTheme="minorHAnsi"/>
              </w:rPr>
            </w:pPr>
            <w:r w:rsidRPr="00FD3845">
              <w:rPr>
                <w:rFonts w:asciiTheme="minorHAnsi" w:hAnsiTheme="minorHAnsi"/>
              </w:rPr>
              <w:t>•</w:t>
            </w:r>
            <w:r w:rsidRPr="00FD3845">
              <w:rPr>
                <w:rFonts w:asciiTheme="minorHAnsi" w:hAnsiTheme="minorHAnsi"/>
              </w:rPr>
              <w:tab/>
              <w:t>Heart &amp; Lung</w:t>
            </w:r>
          </w:p>
          <w:p w14:paraId="49D9A64D" w14:textId="77777777" w:rsidR="002870BF" w:rsidRPr="00FD3845" w:rsidRDefault="002870BF" w:rsidP="002870BF">
            <w:pPr>
              <w:rPr>
                <w:rFonts w:asciiTheme="minorHAnsi" w:hAnsiTheme="minorHAnsi"/>
              </w:rPr>
            </w:pPr>
            <w:r w:rsidRPr="00FD3845">
              <w:rPr>
                <w:rFonts w:asciiTheme="minorHAnsi" w:hAnsiTheme="minorHAnsi"/>
              </w:rPr>
              <w:t>•</w:t>
            </w:r>
            <w:r w:rsidRPr="00FD3845">
              <w:rPr>
                <w:rFonts w:asciiTheme="minorHAnsi" w:hAnsiTheme="minorHAnsi"/>
              </w:rPr>
              <w:tab/>
              <w:t>Liver</w:t>
            </w:r>
          </w:p>
          <w:p w14:paraId="3DCDADD7" w14:textId="77777777" w:rsidR="002870BF" w:rsidRPr="00FD3845" w:rsidRDefault="002870BF" w:rsidP="002870BF">
            <w:pPr>
              <w:rPr>
                <w:rFonts w:asciiTheme="minorHAnsi" w:hAnsiTheme="minorHAnsi"/>
              </w:rPr>
            </w:pPr>
            <w:r w:rsidRPr="00FD3845">
              <w:rPr>
                <w:rFonts w:asciiTheme="minorHAnsi" w:hAnsiTheme="minorHAnsi"/>
              </w:rPr>
              <w:t>•</w:t>
            </w:r>
            <w:r w:rsidRPr="00FD3845">
              <w:rPr>
                <w:rFonts w:asciiTheme="minorHAnsi" w:hAnsiTheme="minorHAnsi"/>
              </w:rPr>
              <w:tab/>
              <w:t xml:space="preserve">Heart kidney </w:t>
            </w:r>
          </w:p>
          <w:p w14:paraId="1692F117" w14:textId="77777777" w:rsidR="002870BF" w:rsidRPr="00FD3845" w:rsidRDefault="002870BF" w:rsidP="002870BF">
            <w:pPr>
              <w:rPr>
                <w:rFonts w:asciiTheme="minorHAnsi" w:hAnsiTheme="minorHAnsi"/>
              </w:rPr>
            </w:pPr>
            <w:r w:rsidRPr="00FD3845">
              <w:rPr>
                <w:rFonts w:asciiTheme="minorHAnsi" w:hAnsiTheme="minorHAnsi"/>
              </w:rPr>
              <w:t>•</w:t>
            </w:r>
            <w:r w:rsidRPr="00FD3845">
              <w:rPr>
                <w:rFonts w:asciiTheme="minorHAnsi" w:hAnsiTheme="minorHAnsi"/>
              </w:rPr>
              <w:tab/>
              <w:t xml:space="preserve">Heart liver </w:t>
            </w:r>
          </w:p>
          <w:p w14:paraId="1E37CCFC" w14:textId="77777777" w:rsidR="002870BF" w:rsidRPr="00FD3845" w:rsidRDefault="002870BF" w:rsidP="002870BF">
            <w:pPr>
              <w:rPr>
                <w:rFonts w:asciiTheme="minorHAnsi" w:hAnsiTheme="minorHAnsi"/>
              </w:rPr>
            </w:pPr>
            <w:r w:rsidRPr="00FD3845">
              <w:rPr>
                <w:rFonts w:asciiTheme="minorHAnsi" w:hAnsiTheme="minorHAnsi"/>
              </w:rPr>
              <w:t>•</w:t>
            </w:r>
            <w:r w:rsidRPr="00FD3845">
              <w:rPr>
                <w:rFonts w:asciiTheme="minorHAnsi" w:hAnsiTheme="minorHAnsi"/>
              </w:rPr>
              <w:tab/>
              <w:t xml:space="preserve">Liver kidney </w:t>
            </w:r>
          </w:p>
          <w:p w14:paraId="5DBF99EA" w14:textId="77777777" w:rsidR="002870BF" w:rsidRPr="00FD3845" w:rsidRDefault="002870BF" w:rsidP="002870BF">
            <w:pPr>
              <w:rPr>
                <w:rFonts w:asciiTheme="minorHAnsi" w:hAnsiTheme="minorHAnsi"/>
              </w:rPr>
            </w:pPr>
            <w:r w:rsidRPr="00FD3845">
              <w:rPr>
                <w:rFonts w:asciiTheme="minorHAnsi" w:hAnsiTheme="minorHAnsi"/>
              </w:rPr>
              <w:t>•</w:t>
            </w:r>
            <w:r w:rsidRPr="00FD3845">
              <w:rPr>
                <w:rFonts w:asciiTheme="minorHAnsi" w:hAnsiTheme="minorHAnsi"/>
              </w:rPr>
              <w:tab/>
              <w:t>Pancreas</w:t>
            </w:r>
          </w:p>
          <w:p w14:paraId="541CBDF9" w14:textId="1A8092F5" w:rsidR="00447869" w:rsidRPr="00447869" w:rsidRDefault="002870BF" w:rsidP="002870BF">
            <w:pPr>
              <w:rPr>
                <w:rFonts w:asciiTheme="minorHAnsi" w:hAnsiTheme="minorHAnsi"/>
              </w:rPr>
            </w:pPr>
            <w:r w:rsidRPr="00FD3845">
              <w:rPr>
                <w:rFonts w:asciiTheme="minorHAnsi" w:hAnsiTheme="minorHAnsi"/>
              </w:rPr>
              <w:t>•</w:t>
            </w:r>
            <w:r w:rsidRPr="00FD3845">
              <w:rPr>
                <w:rFonts w:asciiTheme="minorHAnsi" w:hAnsiTheme="minorHAnsi"/>
              </w:rPr>
              <w:tab/>
              <w:t>Small intestine</w:t>
            </w:r>
          </w:p>
        </w:tc>
        <w:tc>
          <w:tcPr>
            <w:tcW w:w="4394" w:type="dxa"/>
          </w:tcPr>
          <w:p w14:paraId="6DB0C8F4" w14:textId="6C37F77C" w:rsidR="00447869" w:rsidRPr="00C92149" w:rsidRDefault="002870BF" w:rsidP="00021243">
            <w:pPr>
              <w:spacing w:before="120" w:after="120"/>
              <w:rPr>
                <w:rFonts w:asciiTheme="minorHAnsi" w:hAnsiTheme="minorHAnsi"/>
                <w:szCs w:val="20"/>
              </w:rPr>
            </w:pPr>
            <w:r>
              <w:rPr>
                <w:rFonts w:asciiTheme="minorHAnsi" w:hAnsiTheme="minorHAnsi"/>
                <w:szCs w:val="20"/>
              </w:rPr>
              <w:t>Unchanged</w:t>
            </w:r>
          </w:p>
        </w:tc>
      </w:tr>
      <w:tr w:rsidR="00021243" w:rsidRPr="00447869" w14:paraId="4632BF40" w14:textId="77777777" w:rsidTr="003A7E5D">
        <w:tc>
          <w:tcPr>
            <w:tcW w:w="1560" w:type="dxa"/>
            <w:shd w:val="clear" w:color="auto" w:fill="D9D9D9" w:themeFill="background1" w:themeFillShade="D9"/>
          </w:tcPr>
          <w:p w14:paraId="31687AA3" w14:textId="77777777" w:rsidR="00021243" w:rsidRPr="00447869" w:rsidRDefault="00021243" w:rsidP="00021243">
            <w:pPr>
              <w:spacing w:before="120" w:after="120"/>
              <w:rPr>
                <w:rFonts w:asciiTheme="minorHAnsi" w:hAnsiTheme="minorHAnsi"/>
                <w:b/>
              </w:rPr>
            </w:pPr>
            <w:r w:rsidRPr="00447869">
              <w:rPr>
                <w:rFonts w:asciiTheme="minorHAnsi" w:hAnsiTheme="minorHAnsi"/>
                <w:b/>
              </w:rPr>
              <w:t xml:space="preserve">Level of </w:t>
            </w:r>
            <w:r w:rsidRPr="00447869">
              <w:rPr>
                <w:rFonts w:asciiTheme="minorHAnsi" w:hAnsiTheme="minorHAnsi"/>
                <w:b/>
              </w:rPr>
              <w:lastRenderedPageBreak/>
              <w:t>Evidence</w:t>
            </w:r>
          </w:p>
          <w:p w14:paraId="1035801B" w14:textId="77777777" w:rsidR="00021243" w:rsidRPr="00447869" w:rsidRDefault="00021243" w:rsidP="00021243">
            <w:pPr>
              <w:spacing w:before="120" w:after="120"/>
              <w:rPr>
                <w:rFonts w:asciiTheme="minorHAnsi" w:hAnsiTheme="minorHAnsi"/>
              </w:rPr>
            </w:pPr>
          </w:p>
        </w:tc>
        <w:tc>
          <w:tcPr>
            <w:tcW w:w="3828" w:type="dxa"/>
          </w:tcPr>
          <w:p w14:paraId="6F804AD2" w14:textId="77777777" w:rsidR="00021243" w:rsidRPr="00447869" w:rsidRDefault="00FD3845" w:rsidP="00021243">
            <w:pPr>
              <w:spacing w:before="120" w:after="120"/>
              <w:rPr>
                <w:rFonts w:asciiTheme="minorHAnsi" w:hAnsiTheme="minorHAnsi"/>
              </w:rPr>
            </w:pPr>
            <w:r w:rsidRPr="00FD3845">
              <w:rPr>
                <w:rFonts w:asciiTheme="minorHAnsi" w:hAnsiTheme="minorHAnsi"/>
              </w:rPr>
              <w:lastRenderedPageBreak/>
              <w:t xml:space="preserve">Small case studies only; insufficient data </w:t>
            </w:r>
            <w:r w:rsidRPr="00FD3845">
              <w:rPr>
                <w:rFonts w:asciiTheme="minorHAnsi" w:hAnsiTheme="minorHAnsi"/>
              </w:rPr>
              <w:lastRenderedPageBreak/>
              <w:t>(Category 4a)</w:t>
            </w:r>
          </w:p>
        </w:tc>
        <w:tc>
          <w:tcPr>
            <w:tcW w:w="4819" w:type="dxa"/>
            <w:gridSpan w:val="3"/>
          </w:tcPr>
          <w:p w14:paraId="27C35147" w14:textId="5411A323" w:rsidR="00021243" w:rsidRPr="00447869" w:rsidRDefault="00282F66" w:rsidP="00FE4CD1">
            <w:pPr>
              <w:spacing w:before="120" w:after="120"/>
              <w:rPr>
                <w:rFonts w:asciiTheme="minorHAnsi" w:hAnsiTheme="minorHAnsi"/>
              </w:rPr>
            </w:pPr>
            <w:r>
              <w:lastRenderedPageBreak/>
              <w:t xml:space="preserve"> </w:t>
            </w:r>
            <w:r w:rsidR="00FE4CD1">
              <w:rPr>
                <w:rFonts w:asciiTheme="minorHAnsi" w:hAnsiTheme="minorHAnsi"/>
              </w:rPr>
              <w:t>I</w:t>
            </w:r>
            <w:r w:rsidR="002870BF" w:rsidRPr="00FD3845">
              <w:rPr>
                <w:rFonts w:asciiTheme="minorHAnsi" w:hAnsiTheme="minorHAnsi"/>
              </w:rPr>
              <w:t>nsufficient data (Category 4a)</w:t>
            </w:r>
          </w:p>
        </w:tc>
        <w:tc>
          <w:tcPr>
            <w:tcW w:w="4394" w:type="dxa"/>
          </w:tcPr>
          <w:p w14:paraId="0B11D55B" w14:textId="3A1E3B32" w:rsidR="00021243" w:rsidRPr="009208EC" w:rsidRDefault="002870BF" w:rsidP="00021243">
            <w:pPr>
              <w:spacing w:before="120" w:after="120"/>
              <w:rPr>
                <w:rFonts w:asciiTheme="minorHAnsi" w:hAnsiTheme="minorHAnsi"/>
                <w:szCs w:val="20"/>
              </w:rPr>
            </w:pPr>
            <w:r>
              <w:rPr>
                <w:rFonts w:asciiTheme="minorHAnsi" w:hAnsiTheme="minorHAnsi"/>
                <w:szCs w:val="20"/>
              </w:rPr>
              <w:t>Unchanged</w:t>
            </w:r>
          </w:p>
        </w:tc>
      </w:tr>
      <w:tr w:rsidR="00AB120F" w:rsidRPr="00447869" w14:paraId="11CD3EC4" w14:textId="77777777" w:rsidTr="003A7E5D">
        <w:tc>
          <w:tcPr>
            <w:tcW w:w="1560" w:type="dxa"/>
            <w:shd w:val="clear" w:color="auto" w:fill="D9D9D9" w:themeFill="background1" w:themeFillShade="D9"/>
          </w:tcPr>
          <w:p w14:paraId="23DFE71F" w14:textId="77777777" w:rsidR="00AB120F" w:rsidRPr="00447869" w:rsidRDefault="00AB120F" w:rsidP="00860052">
            <w:pPr>
              <w:spacing w:before="120" w:after="120"/>
              <w:rPr>
                <w:rFonts w:asciiTheme="minorHAnsi" w:hAnsiTheme="minorHAnsi"/>
                <w:b/>
              </w:rPr>
            </w:pPr>
            <w:r w:rsidRPr="00447869">
              <w:rPr>
                <w:rFonts w:asciiTheme="minorHAnsi" w:hAnsiTheme="minorHAnsi"/>
                <w:b/>
              </w:rPr>
              <w:lastRenderedPageBreak/>
              <w:t>Justification for Evidence Category</w:t>
            </w:r>
          </w:p>
          <w:p w14:paraId="5FB2672D" w14:textId="77777777" w:rsidR="00AB120F" w:rsidRPr="00447869" w:rsidRDefault="00AB120F" w:rsidP="00860052">
            <w:pPr>
              <w:spacing w:before="120" w:after="120"/>
              <w:rPr>
                <w:rFonts w:asciiTheme="minorHAnsi" w:hAnsiTheme="minorHAnsi"/>
              </w:rPr>
            </w:pPr>
          </w:p>
        </w:tc>
        <w:tc>
          <w:tcPr>
            <w:tcW w:w="3828" w:type="dxa"/>
          </w:tcPr>
          <w:p w14:paraId="5A2D1E29" w14:textId="3C955465" w:rsidR="00FD3845" w:rsidRPr="00FD3845" w:rsidRDefault="00FD3845" w:rsidP="00FD3845">
            <w:pPr>
              <w:spacing w:before="120" w:after="120"/>
              <w:rPr>
                <w:rFonts w:asciiTheme="minorHAnsi" w:hAnsiTheme="minorHAnsi"/>
              </w:rPr>
            </w:pPr>
            <w:r w:rsidRPr="00FD3845">
              <w:rPr>
                <w:rFonts w:asciiTheme="minorHAnsi" w:hAnsiTheme="minorHAnsi"/>
              </w:rPr>
              <w:t>Jordan et al (1998) combined data from seven renal transplant recipients and three heart transplant recipients with steroid-resistant combined antibody-mediated (</w:t>
            </w:r>
            <w:proofErr w:type="spellStart"/>
            <w:r w:rsidRPr="00FD3845">
              <w:rPr>
                <w:rFonts w:asciiTheme="minorHAnsi" w:hAnsiTheme="minorHAnsi"/>
              </w:rPr>
              <w:t>AbMR</w:t>
            </w:r>
            <w:proofErr w:type="spellEnd"/>
            <w:r w:rsidRPr="00FD3845">
              <w:rPr>
                <w:rFonts w:asciiTheme="minorHAnsi" w:hAnsiTheme="minorHAnsi"/>
              </w:rPr>
              <w:t xml:space="preserve">) and cellular rejection. All patients in this series were successfully treated with high-dose </w:t>
            </w:r>
            <w:proofErr w:type="spellStart"/>
            <w:r w:rsidR="00CD6B1D">
              <w:rPr>
                <w:rFonts w:asciiTheme="minorHAnsi" w:hAnsiTheme="minorHAnsi"/>
              </w:rPr>
              <w:t>IVIg</w:t>
            </w:r>
            <w:proofErr w:type="spellEnd"/>
            <w:r w:rsidRPr="00FD3845">
              <w:rPr>
                <w:rFonts w:asciiTheme="minorHAnsi" w:hAnsiTheme="minorHAnsi"/>
              </w:rPr>
              <w:t>.</w:t>
            </w:r>
          </w:p>
          <w:p w14:paraId="0FEAEB8E" w14:textId="14DA76E8" w:rsidR="00FD3845" w:rsidRPr="00FD3845" w:rsidRDefault="00FD3845" w:rsidP="00FD3845">
            <w:pPr>
              <w:spacing w:before="120" w:after="120"/>
              <w:rPr>
                <w:rFonts w:asciiTheme="minorHAnsi" w:hAnsiTheme="minorHAnsi"/>
              </w:rPr>
            </w:pPr>
            <w:r w:rsidRPr="00FD3845">
              <w:rPr>
                <w:rFonts w:asciiTheme="minorHAnsi" w:hAnsiTheme="minorHAnsi"/>
              </w:rPr>
              <w:t xml:space="preserve">Findings from an International Consensus Conference in 2011 noted that </w:t>
            </w:r>
            <w:proofErr w:type="spellStart"/>
            <w:r w:rsidR="00CD6B1D">
              <w:rPr>
                <w:rFonts w:asciiTheme="minorHAnsi" w:hAnsiTheme="minorHAnsi"/>
              </w:rPr>
              <w:t>IVIg</w:t>
            </w:r>
            <w:proofErr w:type="spellEnd"/>
            <w:r w:rsidRPr="00FD3845">
              <w:rPr>
                <w:rFonts w:asciiTheme="minorHAnsi" w:hAnsiTheme="minorHAnsi"/>
              </w:rPr>
              <w:t xml:space="preserve"> has never been systematically studied in patients after transplant to prophylactically reduce the incidence of </w:t>
            </w:r>
            <w:proofErr w:type="spellStart"/>
            <w:r w:rsidRPr="00FD3845">
              <w:rPr>
                <w:rFonts w:asciiTheme="minorHAnsi" w:hAnsiTheme="minorHAnsi"/>
              </w:rPr>
              <w:t>AbMR</w:t>
            </w:r>
            <w:proofErr w:type="spellEnd"/>
            <w:r w:rsidRPr="00FD3845">
              <w:rPr>
                <w:rFonts w:asciiTheme="minorHAnsi" w:hAnsiTheme="minorHAnsi"/>
              </w:rPr>
              <w:t xml:space="preserve">. Despite being routinely used for the treatment of </w:t>
            </w:r>
            <w:proofErr w:type="spellStart"/>
            <w:r w:rsidRPr="00FD3845">
              <w:rPr>
                <w:rFonts w:asciiTheme="minorHAnsi" w:hAnsiTheme="minorHAnsi"/>
              </w:rPr>
              <w:t>AbMR</w:t>
            </w:r>
            <w:proofErr w:type="spellEnd"/>
            <w:r w:rsidRPr="00FD3845">
              <w:rPr>
                <w:rFonts w:asciiTheme="minorHAnsi" w:hAnsiTheme="minorHAnsi"/>
              </w:rPr>
              <w:t>, only 1 study has reported the efficacy of Ig</w:t>
            </w:r>
          </w:p>
          <w:p w14:paraId="425B6633" w14:textId="383E3617" w:rsidR="00AB120F" w:rsidRPr="00447869" w:rsidRDefault="00FD3845" w:rsidP="00FD3845">
            <w:pPr>
              <w:spacing w:before="120" w:after="120"/>
              <w:rPr>
                <w:rFonts w:asciiTheme="minorHAnsi" w:hAnsiTheme="minorHAnsi"/>
              </w:rPr>
            </w:pPr>
            <w:proofErr w:type="gramStart"/>
            <w:r w:rsidRPr="00FD3845">
              <w:rPr>
                <w:rFonts w:asciiTheme="minorHAnsi" w:hAnsiTheme="minorHAnsi"/>
              </w:rPr>
              <w:t>therapy</w:t>
            </w:r>
            <w:proofErr w:type="gramEnd"/>
            <w:r w:rsidRPr="00FD3845">
              <w:rPr>
                <w:rFonts w:asciiTheme="minorHAnsi" w:hAnsiTheme="minorHAnsi"/>
              </w:rPr>
              <w:t xml:space="preserve"> in this setting.  Five patients with evidence of </w:t>
            </w:r>
            <w:proofErr w:type="spellStart"/>
            <w:r w:rsidRPr="00FD3845">
              <w:rPr>
                <w:rFonts w:asciiTheme="minorHAnsi" w:hAnsiTheme="minorHAnsi"/>
              </w:rPr>
              <w:t>AbMR</w:t>
            </w:r>
            <w:proofErr w:type="spellEnd"/>
            <w:r w:rsidRPr="00FD3845">
              <w:rPr>
                <w:rFonts w:asciiTheme="minorHAnsi" w:hAnsiTheme="minorHAnsi"/>
              </w:rPr>
              <w:t xml:space="preserve"> were treated with a combination of </w:t>
            </w:r>
            <w:proofErr w:type="spellStart"/>
            <w:r w:rsidR="00CD6B1D">
              <w:rPr>
                <w:rFonts w:asciiTheme="minorHAnsi" w:hAnsiTheme="minorHAnsi"/>
              </w:rPr>
              <w:t>IVIg</w:t>
            </w:r>
            <w:proofErr w:type="spellEnd"/>
            <w:r w:rsidRPr="00FD3845">
              <w:rPr>
                <w:rFonts w:asciiTheme="minorHAnsi" w:hAnsiTheme="minorHAnsi"/>
              </w:rPr>
              <w:t xml:space="preserve"> and plasmapheresis. </w:t>
            </w:r>
            <w:proofErr w:type="spellStart"/>
            <w:r w:rsidRPr="00FD3845">
              <w:rPr>
                <w:rFonts w:asciiTheme="minorHAnsi" w:hAnsiTheme="minorHAnsi"/>
              </w:rPr>
              <w:t>Hemodynamics</w:t>
            </w:r>
            <w:proofErr w:type="spellEnd"/>
            <w:r w:rsidRPr="00FD3845">
              <w:rPr>
                <w:rFonts w:asciiTheme="minorHAnsi" w:hAnsiTheme="minorHAnsi"/>
              </w:rPr>
              <w:t xml:space="preserve"> initially improved in all 5 patients, but 2 patients later required further therapy with rituximab because of recurrent hemodynamic rejection.</w:t>
            </w:r>
          </w:p>
        </w:tc>
        <w:tc>
          <w:tcPr>
            <w:tcW w:w="4819" w:type="dxa"/>
            <w:gridSpan w:val="3"/>
          </w:tcPr>
          <w:p w14:paraId="3991273F" w14:textId="3C576DD4" w:rsidR="00CB6462" w:rsidRDefault="00CB6462" w:rsidP="002870BF">
            <w:pPr>
              <w:spacing w:before="120" w:after="120"/>
              <w:rPr>
                <w:rFonts w:asciiTheme="minorHAnsi" w:eastAsia="Times New Roman" w:hAnsiTheme="minorHAnsi" w:cs="Times New Roman"/>
                <w:bCs/>
                <w:lang w:eastAsia="en-AU"/>
              </w:rPr>
            </w:pPr>
            <w:r w:rsidRPr="0023200B">
              <w:rPr>
                <w:rFonts w:asciiTheme="minorHAnsi" w:eastAsia="Times New Roman" w:hAnsiTheme="minorHAnsi" w:cs="Times New Roman"/>
                <w:bCs/>
                <w:lang w:eastAsia="en-AU"/>
              </w:rPr>
              <w:t xml:space="preserve">Ig </w:t>
            </w:r>
            <w:r w:rsidRPr="00FF49BE">
              <w:rPr>
                <w:rFonts w:asciiTheme="minorHAnsi" w:eastAsia="Times New Roman" w:hAnsiTheme="minorHAnsi" w:cs="Times New Roman"/>
                <w:bCs/>
                <w:lang w:eastAsia="en-AU"/>
              </w:rPr>
              <w:t>therapy plays an important immunomodulatory role in incompatible organ transplantation with proven benefit (Level 1 evidence)</w:t>
            </w:r>
            <w:r w:rsidRPr="002870BF">
              <w:rPr>
                <w:rFonts w:asciiTheme="minorHAnsi" w:eastAsia="Times New Roman" w:hAnsiTheme="minorHAnsi" w:cs="Times New Roman"/>
                <w:bCs/>
                <w:lang w:eastAsia="en-AU"/>
              </w:rPr>
              <w:t xml:space="preserve"> for</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de-sensitisation of highly sensitised patients pre-transplant to improve transplant rates and clinical outcomes (Jordan</w:t>
            </w:r>
            <w:r w:rsidR="00FE4CD1">
              <w:rPr>
                <w:rFonts w:asciiTheme="minorHAnsi" w:eastAsia="Times New Roman" w:hAnsiTheme="minorHAnsi" w:cs="Times New Roman"/>
                <w:bCs/>
                <w:lang w:eastAsia="en-AU"/>
              </w:rPr>
              <w:t>,</w:t>
            </w:r>
            <w:r>
              <w:rPr>
                <w:rFonts w:asciiTheme="minorHAnsi" w:eastAsia="Times New Roman" w:hAnsiTheme="minorHAnsi" w:cs="Times New Roman"/>
                <w:bCs/>
                <w:lang w:eastAsia="en-AU"/>
              </w:rPr>
              <w:t xml:space="preserve"> 2004)</w:t>
            </w:r>
            <w:r w:rsidRPr="00FF49BE">
              <w:rPr>
                <w:rFonts w:asciiTheme="minorHAnsi" w:eastAsia="Times New Roman" w:hAnsiTheme="minorHAnsi" w:cs="Times New Roman"/>
                <w:bCs/>
                <w:lang w:eastAsia="en-AU"/>
              </w:rPr>
              <w:t>.</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 xml:space="preserve">For desensitisation, trials have demonstrated improved outcomes when </w:t>
            </w:r>
            <w:proofErr w:type="spellStart"/>
            <w:r w:rsidR="00CD6B1D">
              <w:rPr>
                <w:rFonts w:asciiTheme="minorHAnsi" w:eastAsia="Times New Roman" w:hAnsiTheme="minorHAnsi" w:cs="Times New Roman"/>
                <w:bCs/>
                <w:lang w:eastAsia="en-AU"/>
              </w:rPr>
              <w:t>IVIg</w:t>
            </w:r>
            <w:proofErr w:type="spellEnd"/>
            <w:r>
              <w:rPr>
                <w:rFonts w:asciiTheme="minorHAnsi" w:eastAsia="Times New Roman" w:hAnsiTheme="minorHAnsi" w:cs="Times New Roman"/>
                <w:bCs/>
                <w:lang w:eastAsia="en-AU"/>
              </w:rPr>
              <w:t xml:space="preserve"> is used in association with </w:t>
            </w:r>
            <w:r w:rsidR="001855B3">
              <w:rPr>
                <w:rFonts w:asciiTheme="minorHAnsi" w:eastAsia="Times New Roman" w:hAnsiTheme="minorHAnsi" w:cs="Times New Roman"/>
                <w:bCs/>
                <w:lang w:eastAsia="en-AU"/>
              </w:rPr>
              <w:t>Ri</w:t>
            </w:r>
            <w:r w:rsidRPr="00FF49BE">
              <w:rPr>
                <w:rFonts w:asciiTheme="minorHAnsi" w:eastAsia="Times New Roman" w:hAnsiTheme="minorHAnsi" w:cs="Times New Roman"/>
                <w:bCs/>
                <w:lang w:eastAsia="en-AU"/>
              </w:rPr>
              <w:t xml:space="preserve">tuximab </w:t>
            </w:r>
            <w:r>
              <w:rPr>
                <w:rFonts w:asciiTheme="minorHAnsi" w:eastAsia="Times New Roman" w:hAnsiTheme="minorHAnsi" w:cs="Times New Roman"/>
                <w:bCs/>
                <w:lang w:eastAsia="en-AU"/>
              </w:rPr>
              <w:t xml:space="preserve">and/or other immunosuppressant agents. </w:t>
            </w:r>
          </w:p>
          <w:p w14:paraId="4EE05E27" w14:textId="56FD94DD" w:rsidR="002870BF" w:rsidRPr="00FD3845" w:rsidRDefault="002870BF" w:rsidP="002870BF">
            <w:pPr>
              <w:spacing w:before="120" w:after="120"/>
              <w:rPr>
                <w:rFonts w:asciiTheme="minorHAnsi" w:hAnsiTheme="minorHAnsi"/>
              </w:rPr>
            </w:pPr>
            <w:r w:rsidRPr="00FD3845">
              <w:rPr>
                <w:rFonts w:asciiTheme="minorHAnsi" w:hAnsiTheme="minorHAnsi"/>
              </w:rPr>
              <w:t>Jordan et al (1998) combined data from seven renal transplant recipients and three heart transplant recipients with steroid-resistant combined antibody-mediated (</w:t>
            </w:r>
            <w:proofErr w:type="spellStart"/>
            <w:r w:rsidRPr="00FD3845">
              <w:rPr>
                <w:rFonts w:asciiTheme="minorHAnsi" w:hAnsiTheme="minorHAnsi"/>
              </w:rPr>
              <w:t>AbMR</w:t>
            </w:r>
            <w:proofErr w:type="spellEnd"/>
            <w:r w:rsidRPr="00FD3845">
              <w:rPr>
                <w:rFonts w:asciiTheme="minorHAnsi" w:hAnsiTheme="minorHAnsi"/>
              </w:rPr>
              <w:t xml:space="preserve">) and cellular rejection. All patients in this series were successfully treated with high-dose </w:t>
            </w:r>
            <w:proofErr w:type="spellStart"/>
            <w:r w:rsidR="00CD6B1D">
              <w:rPr>
                <w:rFonts w:asciiTheme="minorHAnsi" w:hAnsiTheme="minorHAnsi"/>
              </w:rPr>
              <w:t>IVIg</w:t>
            </w:r>
            <w:proofErr w:type="spellEnd"/>
            <w:r w:rsidRPr="00FD3845">
              <w:rPr>
                <w:rFonts w:asciiTheme="minorHAnsi" w:hAnsiTheme="minorHAnsi"/>
              </w:rPr>
              <w:t>.</w:t>
            </w:r>
          </w:p>
          <w:p w14:paraId="476C9489" w14:textId="5324D280" w:rsidR="00AB120F" w:rsidRPr="00447869" w:rsidRDefault="002870BF" w:rsidP="00860052">
            <w:pPr>
              <w:spacing w:before="120" w:after="120"/>
              <w:rPr>
                <w:rFonts w:asciiTheme="minorHAnsi" w:hAnsiTheme="minorHAnsi"/>
              </w:rPr>
            </w:pPr>
            <w:r w:rsidRPr="00FD3845">
              <w:rPr>
                <w:rFonts w:asciiTheme="minorHAnsi" w:hAnsiTheme="minorHAnsi"/>
              </w:rPr>
              <w:t xml:space="preserve">Findings from an International Consensus Conference in 2011 noted that </w:t>
            </w:r>
            <w:proofErr w:type="spellStart"/>
            <w:r w:rsidR="00CD6B1D">
              <w:rPr>
                <w:rFonts w:asciiTheme="minorHAnsi" w:hAnsiTheme="minorHAnsi"/>
              </w:rPr>
              <w:t>IVIg</w:t>
            </w:r>
            <w:proofErr w:type="spellEnd"/>
            <w:r w:rsidRPr="00FD3845">
              <w:rPr>
                <w:rFonts w:asciiTheme="minorHAnsi" w:hAnsiTheme="minorHAnsi"/>
              </w:rPr>
              <w:t xml:space="preserve"> has never been systematically studied in patients after transplant to prophylactically reduce the incidence of </w:t>
            </w:r>
            <w:proofErr w:type="spellStart"/>
            <w:r w:rsidRPr="00FD3845">
              <w:rPr>
                <w:rFonts w:asciiTheme="minorHAnsi" w:hAnsiTheme="minorHAnsi"/>
              </w:rPr>
              <w:t>AbMR</w:t>
            </w:r>
            <w:proofErr w:type="spellEnd"/>
            <w:r w:rsidRPr="00FD3845">
              <w:rPr>
                <w:rFonts w:asciiTheme="minorHAnsi" w:hAnsiTheme="minorHAnsi"/>
              </w:rPr>
              <w:t xml:space="preserve">. Despite being routinely used for the treatment of </w:t>
            </w:r>
            <w:proofErr w:type="spellStart"/>
            <w:r w:rsidRPr="00FD3845">
              <w:rPr>
                <w:rFonts w:asciiTheme="minorHAnsi" w:hAnsiTheme="minorHAnsi"/>
              </w:rPr>
              <w:t>AbMR</w:t>
            </w:r>
            <w:proofErr w:type="spellEnd"/>
            <w:r w:rsidRPr="00FD3845">
              <w:rPr>
                <w:rFonts w:asciiTheme="minorHAnsi" w:hAnsiTheme="minorHAnsi"/>
              </w:rPr>
              <w:t>, only 1 study has reported the efficacy of Ig</w:t>
            </w:r>
            <w:r w:rsidR="007A263F">
              <w:rPr>
                <w:rFonts w:asciiTheme="minorHAnsi" w:hAnsiTheme="minorHAnsi"/>
              </w:rPr>
              <w:t xml:space="preserve"> </w:t>
            </w:r>
            <w:r w:rsidRPr="00FD3845">
              <w:rPr>
                <w:rFonts w:asciiTheme="minorHAnsi" w:hAnsiTheme="minorHAnsi"/>
              </w:rPr>
              <w:t xml:space="preserve">therapy in this setting.  Five patients with evidence of </w:t>
            </w:r>
            <w:proofErr w:type="spellStart"/>
            <w:r w:rsidRPr="00FD3845">
              <w:rPr>
                <w:rFonts w:asciiTheme="minorHAnsi" w:hAnsiTheme="minorHAnsi"/>
              </w:rPr>
              <w:t>AbMR</w:t>
            </w:r>
            <w:proofErr w:type="spellEnd"/>
            <w:r w:rsidRPr="00FD3845">
              <w:rPr>
                <w:rFonts w:asciiTheme="minorHAnsi" w:hAnsiTheme="minorHAnsi"/>
              </w:rPr>
              <w:t xml:space="preserve"> were treated with a combination of </w:t>
            </w:r>
            <w:proofErr w:type="spellStart"/>
            <w:r w:rsidR="00CD6B1D">
              <w:rPr>
                <w:rFonts w:asciiTheme="minorHAnsi" w:hAnsiTheme="minorHAnsi"/>
              </w:rPr>
              <w:t>IVIg</w:t>
            </w:r>
            <w:proofErr w:type="spellEnd"/>
            <w:r w:rsidRPr="00FD3845">
              <w:rPr>
                <w:rFonts w:asciiTheme="minorHAnsi" w:hAnsiTheme="minorHAnsi"/>
              </w:rPr>
              <w:t xml:space="preserve"> and plasmapheresis. </w:t>
            </w:r>
            <w:proofErr w:type="spellStart"/>
            <w:r w:rsidRPr="00FD3845">
              <w:rPr>
                <w:rFonts w:asciiTheme="minorHAnsi" w:hAnsiTheme="minorHAnsi"/>
              </w:rPr>
              <w:t>Hemodynamics</w:t>
            </w:r>
            <w:proofErr w:type="spellEnd"/>
            <w:r w:rsidRPr="00FD3845">
              <w:rPr>
                <w:rFonts w:asciiTheme="minorHAnsi" w:hAnsiTheme="minorHAnsi"/>
              </w:rPr>
              <w:t xml:space="preserve"> initially improved in all 5 patients, but 2 patients later required further therapy with rituximab because of </w:t>
            </w:r>
            <w:r w:rsidRPr="00FD3845">
              <w:rPr>
                <w:rFonts w:asciiTheme="minorHAnsi" w:hAnsiTheme="minorHAnsi"/>
              </w:rPr>
              <w:lastRenderedPageBreak/>
              <w:t>recurrent hemodynamic rejection.</w:t>
            </w:r>
            <w:r w:rsidR="00860052">
              <w:rPr>
                <w:rFonts w:asciiTheme="minorHAnsi" w:hAnsiTheme="minorHAnsi"/>
              </w:rPr>
              <w:t xml:space="preserve"> The role of Ig therapy in antibody mediated rejection is confirmed in a recent Scientific Statement of the American Heart Association (Colvin</w:t>
            </w:r>
            <w:r w:rsidR="00FE4CD1">
              <w:rPr>
                <w:rFonts w:asciiTheme="minorHAnsi" w:hAnsiTheme="minorHAnsi"/>
              </w:rPr>
              <w:t>,</w:t>
            </w:r>
            <w:r w:rsidR="00860052">
              <w:rPr>
                <w:rFonts w:asciiTheme="minorHAnsi" w:hAnsiTheme="minorHAnsi"/>
              </w:rPr>
              <w:t xml:space="preserve"> 2015).</w:t>
            </w:r>
          </w:p>
        </w:tc>
        <w:tc>
          <w:tcPr>
            <w:tcW w:w="4394" w:type="dxa"/>
          </w:tcPr>
          <w:p w14:paraId="2B8B15BA" w14:textId="790520DC" w:rsidR="00AB120F" w:rsidRPr="00C92149" w:rsidRDefault="00860052" w:rsidP="00C415E4">
            <w:pPr>
              <w:spacing w:before="120" w:after="120"/>
              <w:rPr>
                <w:rFonts w:asciiTheme="minorHAnsi" w:hAnsiTheme="minorHAnsi"/>
                <w:szCs w:val="20"/>
              </w:rPr>
            </w:pPr>
            <w:r>
              <w:rPr>
                <w:rFonts w:asciiTheme="minorHAnsi" w:hAnsiTheme="minorHAnsi"/>
                <w:szCs w:val="20"/>
              </w:rPr>
              <w:lastRenderedPageBreak/>
              <w:t xml:space="preserve">This section has been strengthened </w:t>
            </w:r>
            <w:r w:rsidR="00C415E4">
              <w:rPr>
                <w:rFonts w:asciiTheme="minorHAnsi" w:hAnsiTheme="minorHAnsi"/>
                <w:szCs w:val="20"/>
              </w:rPr>
              <w:t>to include supporting</w:t>
            </w:r>
            <w:r w:rsidR="002F5509">
              <w:rPr>
                <w:rFonts w:asciiTheme="minorHAnsi" w:hAnsiTheme="minorHAnsi"/>
                <w:szCs w:val="20"/>
              </w:rPr>
              <w:t xml:space="preserve"> evidence for desensitisation and </w:t>
            </w:r>
            <w:r w:rsidR="00C415E4">
              <w:rPr>
                <w:rFonts w:asciiTheme="minorHAnsi" w:hAnsiTheme="minorHAnsi"/>
                <w:szCs w:val="20"/>
              </w:rPr>
              <w:t xml:space="preserve">additional literature related to </w:t>
            </w:r>
            <w:r w:rsidR="002F5509">
              <w:rPr>
                <w:rFonts w:asciiTheme="minorHAnsi" w:hAnsiTheme="minorHAnsi"/>
                <w:szCs w:val="20"/>
              </w:rPr>
              <w:t xml:space="preserve">antibody mediated rejection.  </w:t>
            </w:r>
          </w:p>
        </w:tc>
      </w:tr>
      <w:tr w:rsidR="00AB120F" w:rsidRPr="00447869" w14:paraId="4E187FF1" w14:textId="77777777" w:rsidTr="003A7E5D">
        <w:tc>
          <w:tcPr>
            <w:tcW w:w="1560" w:type="dxa"/>
            <w:shd w:val="clear" w:color="auto" w:fill="D9D9D9" w:themeFill="background1" w:themeFillShade="D9"/>
          </w:tcPr>
          <w:p w14:paraId="09ED8F8B" w14:textId="77777777" w:rsidR="00AB120F" w:rsidRPr="00F91CA7" w:rsidRDefault="00AB120F" w:rsidP="00F91CA7">
            <w:pPr>
              <w:rPr>
                <w:b/>
              </w:rPr>
            </w:pPr>
            <w:r w:rsidRPr="00F91CA7">
              <w:rPr>
                <w:b/>
              </w:rPr>
              <w:lastRenderedPageBreak/>
              <w:t>Indications</w:t>
            </w:r>
          </w:p>
        </w:tc>
        <w:tc>
          <w:tcPr>
            <w:tcW w:w="3828" w:type="dxa"/>
          </w:tcPr>
          <w:p w14:paraId="79A86CA8" w14:textId="77777777" w:rsidR="00FD3845" w:rsidRPr="00FD3845" w:rsidRDefault="00AB120F" w:rsidP="00FD3845">
            <w:pPr>
              <w:spacing w:before="120" w:after="120"/>
              <w:rPr>
                <w:rFonts w:asciiTheme="minorHAnsi" w:hAnsiTheme="minorHAnsi"/>
                <w:b/>
              </w:rPr>
            </w:pPr>
            <w:r>
              <w:t xml:space="preserve"> </w:t>
            </w:r>
            <w:r w:rsidR="00FD3845" w:rsidRPr="00FD3845">
              <w:rPr>
                <w:rFonts w:asciiTheme="minorHAnsi" w:hAnsiTheme="minorHAnsi"/>
                <w:b/>
              </w:rPr>
              <w:t>Pre - transplant where donor specific antibody/antibodies prevent transplantation (HLA or anti-blood group) in highly sensitised patients</w:t>
            </w:r>
          </w:p>
          <w:p w14:paraId="4D5D6CD4" w14:textId="77777777" w:rsidR="00FD3845" w:rsidRPr="00FD3845" w:rsidRDefault="00FD3845" w:rsidP="00FD3845">
            <w:pPr>
              <w:spacing w:before="120" w:after="120"/>
              <w:rPr>
                <w:rFonts w:asciiTheme="minorHAnsi" w:hAnsiTheme="minorHAnsi"/>
                <w:b/>
              </w:rPr>
            </w:pPr>
          </w:p>
          <w:p w14:paraId="1424EE57" w14:textId="77777777" w:rsidR="00FD3845" w:rsidRPr="00FD3845" w:rsidRDefault="00FD3845" w:rsidP="00FD3845">
            <w:pPr>
              <w:spacing w:before="120" w:after="120"/>
              <w:rPr>
                <w:rFonts w:asciiTheme="minorHAnsi" w:hAnsiTheme="minorHAnsi"/>
                <w:b/>
              </w:rPr>
            </w:pPr>
            <w:r w:rsidRPr="00FD3845">
              <w:rPr>
                <w:rFonts w:asciiTheme="minorHAnsi" w:hAnsiTheme="minorHAnsi"/>
                <w:b/>
              </w:rPr>
              <w:t>Post-transplant - acute anti-body mediated rejection with clinical evidence of graft dysfunction</w:t>
            </w:r>
          </w:p>
          <w:p w14:paraId="67D8339B" w14:textId="77777777" w:rsidR="00FD3845" w:rsidRPr="00FD3845" w:rsidRDefault="00FD3845" w:rsidP="00FD3845">
            <w:pPr>
              <w:spacing w:before="120" w:after="120"/>
              <w:rPr>
                <w:rFonts w:asciiTheme="minorHAnsi" w:hAnsiTheme="minorHAnsi"/>
                <w:b/>
              </w:rPr>
            </w:pPr>
          </w:p>
          <w:p w14:paraId="6C409D65" w14:textId="77777777" w:rsidR="00AB120F" w:rsidRPr="00447869" w:rsidRDefault="00FD3845" w:rsidP="00FD3845">
            <w:pPr>
              <w:spacing w:before="120" w:after="120"/>
              <w:rPr>
                <w:rFonts w:asciiTheme="minorHAnsi" w:hAnsiTheme="minorHAnsi"/>
              </w:rPr>
            </w:pPr>
            <w:r w:rsidRPr="00FD3845">
              <w:rPr>
                <w:rFonts w:asciiTheme="minorHAnsi" w:hAnsiTheme="minorHAnsi"/>
                <w:b/>
              </w:rPr>
              <w:t>Treatment or prevention of graft rejection where conventional immunosuppressive therapies is contraindicated or pose a threat to the graft or patient</w:t>
            </w:r>
          </w:p>
        </w:tc>
        <w:tc>
          <w:tcPr>
            <w:tcW w:w="4819" w:type="dxa"/>
            <w:gridSpan w:val="3"/>
          </w:tcPr>
          <w:p w14:paraId="01FE0E10" w14:textId="77777777" w:rsidR="00A148BE" w:rsidRPr="00A148BE" w:rsidRDefault="00A148BE" w:rsidP="009D0B54">
            <w:pPr>
              <w:spacing w:before="240"/>
              <w:rPr>
                <w:rFonts w:cs="Lucida Grande"/>
                <w:b/>
                <w:color w:val="000000"/>
              </w:rPr>
            </w:pPr>
            <w:r w:rsidRPr="00A148BE">
              <w:rPr>
                <w:rFonts w:cs="Lucida Grande"/>
                <w:b/>
                <w:color w:val="000000"/>
              </w:rPr>
              <w:t xml:space="preserve">De-sensitisation of patients to improve the likelihood of transplantation </w:t>
            </w:r>
          </w:p>
          <w:p w14:paraId="637EC244" w14:textId="0A6E3942" w:rsidR="002870BF" w:rsidRPr="00FD3845" w:rsidRDefault="002870BF" w:rsidP="002870BF">
            <w:pPr>
              <w:spacing w:before="120" w:after="120"/>
              <w:rPr>
                <w:rFonts w:asciiTheme="minorHAnsi" w:hAnsiTheme="minorHAnsi"/>
                <w:b/>
              </w:rPr>
            </w:pPr>
          </w:p>
          <w:p w14:paraId="10EF9E78" w14:textId="0FDF0802" w:rsidR="002870BF" w:rsidRPr="00FD3845" w:rsidRDefault="002870BF" w:rsidP="002870BF">
            <w:pPr>
              <w:spacing w:before="120" w:after="120"/>
              <w:rPr>
                <w:rFonts w:asciiTheme="minorHAnsi" w:hAnsiTheme="minorHAnsi"/>
                <w:b/>
              </w:rPr>
            </w:pPr>
            <w:r w:rsidRPr="00FD3845">
              <w:rPr>
                <w:rFonts w:asciiTheme="minorHAnsi" w:hAnsiTheme="minorHAnsi"/>
                <w:b/>
              </w:rPr>
              <w:t xml:space="preserve">Post-transplant - acute anti-body mediated rejection </w:t>
            </w:r>
          </w:p>
          <w:p w14:paraId="539F2D6C" w14:textId="77777777" w:rsidR="002870BF" w:rsidRPr="00FD3845" w:rsidRDefault="002870BF" w:rsidP="002870BF">
            <w:pPr>
              <w:spacing w:before="120" w:after="120"/>
              <w:rPr>
                <w:rFonts w:asciiTheme="minorHAnsi" w:hAnsiTheme="minorHAnsi"/>
                <w:b/>
              </w:rPr>
            </w:pPr>
          </w:p>
          <w:p w14:paraId="05E30E9A" w14:textId="1C9E5B2F" w:rsidR="002E21C4" w:rsidRPr="00C077BF" w:rsidRDefault="002870BF" w:rsidP="002870BF">
            <w:pPr>
              <w:spacing w:before="120" w:after="120"/>
              <w:rPr>
                <w:rFonts w:asciiTheme="minorHAnsi" w:hAnsiTheme="minorHAnsi"/>
                <w:b/>
              </w:rPr>
            </w:pPr>
            <w:r w:rsidRPr="00FD3845">
              <w:rPr>
                <w:rFonts w:asciiTheme="minorHAnsi" w:hAnsiTheme="minorHAnsi"/>
                <w:b/>
              </w:rPr>
              <w:t>Treatment or prevention of graft rejection where conventional immunosuppressive therapies is contraindicated or pose a threat to the graft or patient</w:t>
            </w:r>
          </w:p>
        </w:tc>
        <w:tc>
          <w:tcPr>
            <w:tcW w:w="4394" w:type="dxa"/>
          </w:tcPr>
          <w:p w14:paraId="72B3D46D" w14:textId="3E403E5F" w:rsidR="00AB120F" w:rsidRPr="00FE4CD1" w:rsidRDefault="002F5509" w:rsidP="00860052">
            <w:pPr>
              <w:spacing w:before="120" w:after="120"/>
              <w:rPr>
                <w:rFonts w:asciiTheme="minorHAnsi" w:hAnsiTheme="minorHAnsi"/>
              </w:rPr>
            </w:pPr>
            <w:r w:rsidRPr="00FE4CD1">
              <w:rPr>
                <w:rFonts w:asciiTheme="minorHAnsi" w:hAnsiTheme="minorHAnsi"/>
              </w:rPr>
              <w:t>The</w:t>
            </w:r>
            <w:r w:rsidR="00DC147D" w:rsidRPr="00FE4CD1">
              <w:rPr>
                <w:rFonts w:asciiTheme="minorHAnsi" w:hAnsiTheme="minorHAnsi"/>
              </w:rPr>
              <w:t xml:space="preserve"> first indication </w:t>
            </w:r>
            <w:r w:rsidRPr="00FE4CD1">
              <w:rPr>
                <w:rFonts w:asciiTheme="minorHAnsi" w:hAnsiTheme="minorHAnsi"/>
              </w:rPr>
              <w:t xml:space="preserve">has been amended </w:t>
            </w:r>
            <w:r w:rsidR="00470187">
              <w:rPr>
                <w:rFonts w:asciiTheme="minorHAnsi" w:hAnsiTheme="minorHAnsi"/>
              </w:rPr>
              <w:t xml:space="preserve">since 2015 </w:t>
            </w:r>
            <w:r w:rsidRPr="00FE4CD1">
              <w:rPr>
                <w:rFonts w:asciiTheme="minorHAnsi" w:hAnsiTheme="minorHAnsi"/>
              </w:rPr>
              <w:t xml:space="preserve">to better describe clinical practice including maintaining </w:t>
            </w:r>
            <w:r w:rsidR="00DC147D" w:rsidRPr="00FE4CD1">
              <w:rPr>
                <w:rFonts w:asciiTheme="minorHAnsi" w:hAnsiTheme="minorHAnsi"/>
              </w:rPr>
              <w:t>consistency with Kidney transplantation</w:t>
            </w:r>
            <w:r w:rsidRPr="00FE4CD1">
              <w:rPr>
                <w:rFonts w:asciiTheme="minorHAnsi" w:hAnsiTheme="minorHAnsi"/>
              </w:rPr>
              <w:t xml:space="preserve"> for access </w:t>
            </w:r>
            <w:r w:rsidR="00FE4CD1" w:rsidRPr="00FE4CD1">
              <w:rPr>
                <w:rFonts w:asciiTheme="minorHAnsi" w:hAnsiTheme="minorHAnsi"/>
              </w:rPr>
              <w:t>to</w:t>
            </w:r>
            <w:r w:rsidRPr="00FE4CD1">
              <w:rPr>
                <w:rFonts w:asciiTheme="minorHAnsi" w:hAnsiTheme="minorHAnsi"/>
              </w:rPr>
              <w:t xml:space="preserve"> Ig treatment</w:t>
            </w:r>
            <w:r w:rsidR="00470187">
              <w:rPr>
                <w:rFonts w:asciiTheme="minorHAnsi" w:hAnsiTheme="minorHAnsi"/>
              </w:rPr>
              <w:t xml:space="preserve"> for up to six months</w:t>
            </w:r>
            <w:r w:rsidR="00DC147D" w:rsidRPr="00FE4CD1">
              <w:rPr>
                <w:rFonts w:asciiTheme="minorHAnsi" w:hAnsiTheme="minorHAnsi"/>
              </w:rPr>
              <w:t xml:space="preserve">. One-off treatment is not required for these patients as there is no planned desensitisation for a living donor organ. </w:t>
            </w:r>
          </w:p>
          <w:p w14:paraId="77E9596C" w14:textId="086F84EC" w:rsidR="00AB120F" w:rsidRPr="006A3A86" w:rsidRDefault="006B5BC6" w:rsidP="00FF0363">
            <w:pPr>
              <w:spacing w:before="120" w:after="120"/>
              <w:rPr>
                <w:rFonts w:asciiTheme="minorHAnsi" w:hAnsiTheme="minorHAnsi"/>
              </w:rPr>
            </w:pPr>
            <w:r w:rsidRPr="006A3A86">
              <w:rPr>
                <w:rFonts w:asciiTheme="minorHAnsi" w:hAnsiTheme="minorHAnsi"/>
              </w:rPr>
              <w:t xml:space="preserve">The second indication has been amended to </w:t>
            </w:r>
            <w:r>
              <w:rPr>
                <w:rFonts w:asciiTheme="minorHAnsi" w:hAnsiTheme="minorHAnsi"/>
              </w:rPr>
              <w:t>more accurately</w:t>
            </w:r>
            <w:r w:rsidRPr="006A3A86">
              <w:rPr>
                <w:rFonts w:asciiTheme="minorHAnsi" w:hAnsiTheme="minorHAnsi"/>
              </w:rPr>
              <w:t xml:space="preserve"> reflect </w:t>
            </w:r>
            <w:r>
              <w:rPr>
                <w:rFonts w:asciiTheme="minorHAnsi" w:hAnsiTheme="minorHAnsi"/>
              </w:rPr>
              <w:t xml:space="preserve">the fact that clinical evidence of graft dysfunction is not always required - a one-off request may be approved in the early period of rejection where there is a high clinical suspicion. The criteria themselves have not changed and </w:t>
            </w:r>
            <w:r w:rsidR="00FF0363">
              <w:rPr>
                <w:rFonts w:asciiTheme="minorHAnsi" w:hAnsiTheme="minorHAnsi"/>
              </w:rPr>
              <w:t>this change is</w:t>
            </w:r>
            <w:r>
              <w:rPr>
                <w:rFonts w:asciiTheme="minorHAnsi" w:hAnsiTheme="minorHAnsi"/>
              </w:rPr>
              <w:t xml:space="preserve"> consistent with Kidney transplantation.  </w:t>
            </w:r>
          </w:p>
        </w:tc>
      </w:tr>
      <w:tr w:rsidR="00BA76E3" w:rsidRPr="00447869" w14:paraId="741ED469" w14:textId="77777777" w:rsidTr="003A7E5D">
        <w:tc>
          <w:tcPr>
            <w:tcW w:w="1560" w:type="dxa"/>
            <w:shd w:val="clear" w:color="auto" w:fill="D9D9D9" w:themeFill="background1" w:themeFillShade="D9"/>
          </w:tcPr>
          <w:p w14:paraId="1CF11632" w14:textId="77777777"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14:paraId="67ED473D" w14:textId="77777777" w:rsidR="00BA76E3" w:rsidRPr="00447869" w:rsidRDefault="00BA76E3" w:rsidP="00282F66">
            <w:pPr>
              <w:spacing w:before="120" w:after="120"/>
              <w:rPr>
                <w:rFonts w:asciiTheme="minorHAnsi" w:hAnsiTheme="minorHAnsi"/>
              </w:rPr>
            </w:pPr>
          </w:p>
        </w:tc>
        <w:tc>
          <w:tcPr>
            <w:tcW w:w="3828" w:type="dxa"/>
          </w:tcPr>
          <w:p w14:paraId="14D2EF84" w14:textId="77777777" w:rsidR="00FD3845" w:rsidRPr="00FD3845" w:rsidRDefault="00FD3845" w:rsidP="00FD3845">
            <w:pPr>
              <w:rPr>
                <w:rFonts w:asciiTheme="minorHAnsi" w:hAnsiTheme="minorHAnsi"/>
              </w:rPr>
            </w:pPr>
            <w:r w:rsidRPr="00FD3845">
              <w:rPr>
                <w:rFonts w:asciiTheme="minorHAnsi" w:hAnsiTheme="minorHAnsi"/>
              </w:rPr>
              <w:t xml:space="preserve">Transplant rejection occurs when a recipient’s immune system attacks a transplanted organ or tissue. Despite the use of </w:t>
            </w:r>
            <w:proofErr w:type="spellStart"/>
            <w:r w:rsidRPr="00FD3845">
              <w:rPr>
                <w:rFonts w:asciiTheme="minorHAnsi" w:hAnsiTheme="minorHAnsi"/>
              </w:rPr>
              <w:t>immunosuppressants</w:t>
            </w:r>
            <w:proofErr w:type="spellEnd"/>
            <w:r w:rsidRPr="00FD3845">
              <w:rPr>
                <w:rFonts w:asciiTheme="minorHAnsi" w:hAnsiTheme="minorHAnsi"/>
              </w:rPr>
              <w:t>, one or more episodes of rejection can occur after transplantation. Both cellular and humoral (antibody-mediated) effector mechanisms can play a role.</w:t>
            </w:r>
          </w:p>
          <w:p w14:paraId="7B3B5432" w14:textId="77777777" w:rsidR="00FD3845" w:rsidRPr="00FD3845" w:rsidRDefault="00FD3845" w:rsidP="00FD3845">
            <w:pPr>
              <w:rPr>
                <w:rFonts w:asciiTheme="minorHAnsi" w:hAnsiTheme="minorHAnsi"/>
              </w:rPr>
            </w:pPr>
            <w:r w:rsidRPr="00FD3845">
              <w:rPr>
                <w:rFonts w:asciiTheme="minorHAnsi" w:hAnsiTheme="minorHAnsi"/>
              </w:rPr>
              <w:t xml:space="preserve">The presence and pattern of rejection </w:t>
            </w:r>
            <w:r w:rsidRPr="00FD3845">
              <w:rPr>
                <w:rFonts w:asciiTheme="minorHAnsi" w:hAnsiTheme="minorHAnsi"/>
              </w:rPr>
              <w:lastRenderedPageBreak/>
              <w:t>need to be established by biopsy. Laboratory tests to assess the presence and strength of antibodies to the donor antigens can provide additional useful information. Clinical assessment, blood tests, ultrasound and nuclear imaging are used primarily to exclude other causes of organ dysfunction.</w:t>
            </w:r>
          </w:p>
          <w:p w14:paraId="2E19F9AD" w14:textId="1C7BD949" w:rsidR="00FD3845" w:rsidRPr="00FD3845" w:rsidRDefault="00FD3845" w:rsidP="00FD3845">
            <w:pPr>
              <w:rPr>
                <w:rFonts w:asciiTheme="minorHAnsi" w:hAnsiTheme="minorHAnsi"/>
              </w:rPr>
            </w:pPr>
            <w:r w:rsidRPr="00FD3845">
              <w:rPr>
                <w:rFonts w:asciiTheme="minorHAnsi" w:hAnsiTheme="minorHAnsi"/>
              </w:rPr>
              <w:t xml:space="preserve">Acute cellular rejection occurs in 15–30% of organ transplants and is responsive to steroids in more than 90% of cases. When rejection is steroid resistant, </w:t>
            </w:r>
            <w:proofErr w:type="spellStart"/>
            <w:r w:rsidR="00CD6B1D">
              <w:rPr>
                <w:rFonts w:asciiTheme="minorHAnsi" w:hAnsiTheme="minorHAnsi"/>
              </w:rPr>
              <w:t>IVIg</w:t>
            </w:r>
            <w:proofErr w:type="spellEnd"/>
            <w:r w:rsidRPr="00FD3845">
              <w:rPr>
                <w:rFonts w:asciiTheme="minorHAnsi" w:hAnsiTheme="minorHAnsi"/>
              </w:rPr>
              <w:t xml:space="preserve"> is a safer therapy than anti-T cell antibody therapy with equal efficacy.</w:t>
            </w:r>
          </w:p>
          <w:p w14:paraId="358C30E6" w14:textId="2CB0778D" w:rsidR="00FD3845" w:rsidRPr="00FD3845" w:rsidRDefault="00FD3845" w:rsidP="00FD3845">
            <w:pPr>
              <w:rPr>
                <w:rFonts w:asciiTheme="minorHAnsi" w:hAnsiTheme="minorHAnsi"/>
              </w:rPr>
            </w:pPr>
            <w:r w:rsidRPr="00FD3845">
              <w:rPr>
                <w:rFonts w:asciiTheme="minorHAnsi" w:hAnsiTheme="minorHAnsi"/>
              </w:rPr>
              <w:t>Antibody mediated rejection (</w:t>
            </w:r>
            <w:proofErr w:type="spellStart"/>
            <w:r w:rsidRPr="00FD3845">
              <w:rPr>
                <w:rFonts w:asciiTheme="minorHAnsi" w:hAnsiTheme="minorHAnsi"/>
              </w:rPr>
              <w:t>AbMR</w:t>
            </w:r>
            <w:proofErr w:type="spellEnd"/>
            <w:r w:rsidRPr="00FD3845">
              <w:rPr>
                <w:rFonts w:asciiTheme="minorHAnsi" w:hAnsiTheme="minorHAnsi"/>
              </w:rPr>
              <w:t xml:space="preserve">) occurs in 10–20% of heart transplants that have been performed with a compatible cross match. </w:t>
            </w:r>
            <w:proofErr w:type="spellStart"/>
            <w:r w:rsidRPr="00FD3845">
              <w:rPr>
                <w:rFonts w:asciiTheme="minorHAnsi" w:hAnsiTheme="minorHAnsi"/>
              </w:rPr>
              <w:t>AbMR</w:t>
            </w:r>
            <w:proofErr w:type="spellEnd"/>
            <w:r w:rsidRPr="00FD3845">
              <w:rPr>
                <w:rFonts w:asciiTheme="minorHAnsi" w:hAnsiTheme="minorHAnsi"/>
              </w:rPr>
              <w:t xml:space="preserve"> is associated with increased incidence of graft dysfunction, coronary allograft </w:t>
            </w:r>
            <w:proofErr w:type="spellStart"/>
            <w:r w:rsidRPr="00FD3845">
              <w:rPr>
                <w:rFonts w:asciiTheme="minorHAnsi" w:hAnsiTheme="minorHAnsi"/>
              </w:rPr>
              <w:t>vasculopathy</w:t>
            </w:r>
            <w:proofErr w:type="spellEnd"/>
            <w:r w:rsidRPr="00FD3845">
              <w:rPr>
                <w:rFonts w:asciiTheme="minorHAnsi" w:hAnsiTheme="minorHAnsi"/>
              </w:rPr>
              <w:t xml:space="preserve"> and mortality. Before the use of </w:t>
            </w:r>
            <w:proofErr w:type="spellStart"/>
            <w:r w:rsidR="00CD6B1D">
              <w:rPr>
                <w:rFonts w:asciiTheme="minorHAnsi" w:hAnsiTheme="minorHAnsi"/>
              </w:rPr>
              <w:t>IVIg</w:t>
            </w:r>
            <w:proofErr w:type="spellEnd"/>
            <w:r w:rsidRPr="00FD3845">
              <w:rPr>
                <w:rFonts w:asciiTheme="minorHAnsi" w:hAnsiTheme="minorHAnsi"/>
              </w:rPr>
              <w:t xml:space="preserve"> and plasma exchange, </w:t>
            </w:r>
            <w:proofErr w:type="spellStart"/>
            <w:r w:rsidRPr="00FD3845">
              <w:rPr>
                <w:rFonts w:asciiTheme="minorHAnsi" w:hAnsiTheme="minorHAnsi"/>
              </w:rPr>
              <w:t>AbMR</w:t>
            </w:r>
            <w:proofErr w:type="spellEnd"/>
            <w:r w:rsidRPr="00FD3845">
              <w:rPr>
                <w:rFonts w:asciiTheme="minorHAnsi" w:hAnsiTheme="minorHAnsi"/>
              </w:rPr>
              <w:t xml:space="preserve"> failed to respond adequately to therapy in most cases. Additionally, complications from therapy were severe and sometimes fatal. </w:t>
            </w:r>
            <w:proofErr w:type="spellStart"/>
            <w:r w:rsidRPr="00FD3845">
              <w:rPr>
                <w:rFonts w:asciiTheme="minorHAnsi" w:hAnsiTheme="minorHAnsi"/>
              </w:rPr>
              <w:t>AbMR</w:t>
            </w:r>
            <w:proofErr w:type="spellEnd"/>
            <w:r w:rsidRPr="00FD3845">
              <w:rPr>
                <w:rFonts w:asciiTheme="minorHAnsi" w:hAnsiTheme="minorHAnsi"/>
              </w:rPr>
              <w:t xml:space="preserve"> responds to </w:t>
            </w:r>
            <w:proofErr w:type="spellStart"/>
            <w:r w:rsidR="00CD6B1D">
              <w:rPr>
                <w:rFonts w:asciiTheme="minorHAnsi" w:hAnsiTheme="minorHAnsi"/>
              </w:rPr>
              <w:t>IVIg</w:t>
            </w:r>
            <w:proofErr w:type="spellEnd"/>
            <w:r w:rsidRPr="00FD3845">
              <w:rPr>
                <w:rFonts w:asciiTheme="minorHAnsi" w:hAnsiTheme="minorHAnsi"/>
              </w:rPr>
              <w:t xml:space="preserve"> with or without plasma exchange in more than 85% of patients.</w:t>
            </w:r>
          </w:p>
          <w:p w14:paraId="5E3CB33B" w14:textId="77777777" w:rsidR="00BA76E3" w:rsidRPr="00447869" w:rsidRDefault="00FD3845" w:rsidP="00FD3845">
            <w:pPr>
              <w:spacing w:after="225" w:line="293" w:lineRule="atLeast"/>
              <w:rPr>
                <w:rFonts w:asciiTheme="minorHAnsi" w:hAnsiTheme="minorHAnsi"/>
              </w:rPr>
            </w:pPr>
            <w:r w:rsidRPr="00FD3845">
              <w:rPr>
                <w:rFonts w:asciiTheme="minorHAnsi" w:hAnsiTheme="minorHAnsi"/>
              </w:rPr>
              <w:t xml:space="preserve">Diagnostic criteria for </w:t>
            </w:r>
            <w:proofErr w:type="spellStart"/>
            <w:r w:rsidRPr="00FD3845">
              <w:rPr>
                <w:rFonts w:asciiTheme="minorHAnsi" w:hAnsiTheme="minorHAnsi"/>
              </w:rPr>
              <w:t>AbMR</w:t>
            </w:r>
            <w:proofErr w:type="spellEnd"/>
            <w:r w:rsidRPr="00FD3845">
              <w:rPr>
                <w:rFonts w:asciiTheme="minorHAnsi" w:hAnsiTheme="minorHAnsi"/>
              </w:rPr>
              <w:t xml:space="preserve"> must be </w:t>
            </w:r>
            <w:r w:rsidRPr="00FD3845">
              <w:rPr>
                <w:rFonts w:asciiTheme="minorHAnsi" w:hAnsiTheme="minorHAnsi"/>
              </w:rPr>
              <w:lastRenderedPageBreak/>
              <w:t>consistent with the International Society for Heart and Lung Transplantation (IHSLT) Criteria (2011).</w:t>
            </w:r>
          </w:p>
        </w:tc>
        <w:tc>
          <w:tcPr>
            <w:tcW w:w="4819" w:type="dxa"/>
            <w:gridSpan w:val="3"/>
          </w:tcPr>
          <w:p w14:paraId="12A5CB4E" w14:textId="088BD5B9" w:rsidR="00CB6462" w:rsidRDefault="00CB6462" w:rsidP="00CB6462">
            <w:pPr>
              <w:rPr>
                <w:rFonts w:asciiTheme="minorHAnsi" w:hAnsiTheme="minorHAnsi" w:cs="Lucida Grande"/>
                <w:color w:val="000000"/>
                <w:sz w:val="18"/>
                <w:szCs w:val="18"/>
              </w:rPr>
            </w:pPr>
            <w:r w:rsidRPr="00FF49BE">
              <w:rPr>
                <w:rFonts w:asciiTheme="minorHAnsi" w:hAnsiTheme="minorHAnsi" w:cs="Lucida Grande"/>
                <w:color w:val="000000"/>
              </w:rPr>
              <w:lastRenderedPageBreak/>
              <w:t xml:space="preserve">In heart transplant, the approach to desensitise </w:t>
            </w:r>
            <w:r>
              <w:rPr>
                <w:rFonts w:asciiTheme="minorHAnsi" w:hAnsiTheme="minorHAnsi" w:cs="Lucida Grande"/>
                <w:color w:val="000000"/>
              </w:rPr>
              <w:t xml:space="preserve">patients </w:t>
            </w:r>
            <w:r w:rsidRPr="00FF49BE">
              <w:rPr>
                <w:rFonts w:asciiTheme="minorHAnsi" w:hAnsiTheme="minorHAnsi" w:cs="Lucida Grande"/>
                <w:color w:val="000000"/>
              </w:rPr>
              <w:t>is reasonably common because of the increasing use of device technology (and exposure to blood transfusion), so there is an increasing population of sensitised patients</w:t>
            </w:r>
            <w:r>
              <w:rPr>
                <w:rFonts w:asciiTheme="minorHAnsi" w:hAnsiTheme="minorHAnsi" w:cs="Lucida Grande"/>
                <w:color w:val="000000"/>
              </w:rPr>
              <w:t xml:space="preserve"> that would not be considered for transplant without this approach</w:t>
            </w:r>
            <w:r w:rsidRPr="00FF49BE">
              <w:rPr>
                <w:rFonts w:asciiTheme="minorHAnsi" w:hAnsiTheme="minorHAnsi" w:cs="Lucida Grande"/>
                <w:color w:val="000000"/>
              </w:rPr>
              <w:t xml:space="preserve">. </w:t>
            </w:r>
          </w:p>
          <w:p w14:paraId="7D752D39" w14:textId="77777777" w:rsidR="00CB6462" w:rsidRPr="00FF49BE" w:rsidRDefault="00CB6462" w:rsidP="00CB6462">
            <w:pPr>
              <w:spacing w:before="120" w:after="120"/>
              <w:rPr>
                <w:rFonts w:asciiTheme="minorHAnsi" w:eastAsia="Times New Roman" w:hAnsiTheme="minorHAnsi" w:cs="Times New Roman"/>
                <w:bCs/>
                <w:lang w:eastAsia="en-AU"/>
              </w:rPr>
            </w:pPr>
            <w:r w:rsidRPr="00FF49BE">
              <w:rPr>
                <w:rFonts w:asciiTheme="minorHAnsi" w:hAnsiTheme="minorHAnsi" w:cs="Lucida Grande"/>
                <w:color w:val="000000"/>
              </w:rPr>
              <w:t>Desensitisation is only an occasional occurrence in lung transplantation</w:t>
            </w:r>
            <w:r>
              <w:rPr>
                <w:rFonts w:asciiTheme="minorHAnsi" w:hAnsiTheme="minorHAnsi" w:cs="Lucida Grande"/>
                <w:color w:val="000000"/>
              </w:rPr>
              <w:t xml:space="preserve">. </w:t>
            </w:r>
          </w:p>
          <w:p w14:paraId="6CC6EFFD" w14:textId="77777777" w:rsidR="006A5213" w:rsidRPr="00FD3845" w:rsidRDefault="006A5213" w:rsidP="006A5213">
            <w:pPr>
              <w:rPr>
                <w:rFonts w:asciiTheme="minorHAnsi" w:hAnsiTheme="minorHAnsi"/>
              </w:rPr>
            </w:pPr>
            <w:r w:rsidRPr="00FD3845">
              <w:rPr>
                <w:rFonts w:asciiTheme="minorHAnsi" w:hAnsiTheme="minorHAnsi"/>
              </w:rPr>
              <w:lastRenderedPageBreak/>
              <w:t xml:space="preserve">Transplant rejection occurs when a recipient’s immune system attacks a transplanted organ or tissue. Despite the use of </w:t>
            </w:r>
            <w:proofErr w:type="spellStart"/>
            <w:r w:rsidRPr="00FD3845">
              <w:rPr>
                <w:rFonts w:asciiTheme="minorHAnsi" w:hAnsiTheme="minorHAnsi"/>
              </w:rPr>
              <w:t>immunosuppressants</w:t>
            </w:r>
            <w:proofErr w:type="spellEnd"/>
            <w:r w:rsidRPr="00FD3845">
              <w:rPr>
                <w:rFonts w:asciiTheme="minorHAnsi" w:hAnsiTheme="minorHAnsi"/>
              </w:rPr>
              <w:t>, one or more episodes of rejection can occur after transplantation. Both cellular and humoral (antibody-mediated) effector mechanisms can play a role.</w:t>
            </w:r>
          </w:p>
          <w:p w14:paraId="26F1B7B8" w14:textId="77777777" w:rsidR="006A5213" w:rsidRPr="00FD3845" w:rsidRDefault="006A5213" w:rsidP="006A5213">
            <w:pPr>
              <w:rPr>
                <w:rFonts w:asciiTheme="minorHAnsi" w:hAnsiTheme="minorHAnsi"/>
              </w:rPr>
            </w:pPr>
            <w:r w:rsidRPr="00FD3845">
              <w:rPr>
                <w:rFonts w:asciiTheme="minorHAnsi" w:hAnsiTheme="minorHAnsi"/>
              </w:rPr>
              <w:t>The presence and pattern of rejection need to be established by biopsy. Laboratory tests to assess the presence and strength of antibodies to the donor antigens can provide additional useful information. Clinical assessment, blood tests, ultrasound and nuclear imaging are used primarily to exclude other causes of organ dysfunction.</w:t>
            </w:r>
          </w:p>
          <w:p w14:paraId="2221DC98" w14:textId="2637B656" w:rsidR="006A5213" w:rsidRPr="00FD3845" w:rsidRDefault="006A5213" w:rsidP="006A5213">
            <w:pPr>
              <w:rPr>
                <w:rFonts w:asciiTheme="minorHAnsi" w:hAnsiTheme="minorHAnsi"/>
              </w:rPr>
            </w:pPr>
            <w:r w:rsidRPr="00FD3845">
              <w:rPr>
                <w:rFonts w:asciiTheme="minorHAnsi" w:hAnsiTheme="minorHAnsi"/>
              </w:rPr>
              <w:t xml:space="preserve">Acute cellular rejection occurs in 15–30% of organ transplants and is responsive to steroids in more than 90% of cases. When rejection is steroid resistant, </w:t>
            </w:r>
            <w:proofErr w:type="spellStart"/>
            <w:r w:rsidR="00CD6B1D">
              <w:rPr>
                <w:rFonts w:asciiTheme="minorHAnsi" w:hAnsiTheme="minorHAnsi"/>
              </w:rPr>
              <w:t>IVIg</w:t>
            </w:r>
            <w:proofErr w:type="spellEnd"/>
            <w:r w:rsidRPr="00FD3845">
              <w:rPr>
                <w:rFonts w:asciiTheme="minorHAnsi" w:hAnsiTheme="minorHAnsi"/>
              </w:rPr>
              <w:t xml:space="preserve"> is a safer therapy than anti-T cell antibody therapy with equal efficacy.</w:t>
            </w:r>
          </w:p>
          <w:p w14:paraId="08188964" w14:textId="60865F94" w:rsidR="006A5213" w:rsidRPr="00FD3845" w:rsidRDefault="006A5213" w:rsidP="006A5213">
            <w:pPr>
              <w:rPr>
                <w:rFonts w:asciiTheme="minorHAnsi" w:hAnsiTheme="minorHAnsi"/>
              </w:rPr>
            </w:pPr>
            <w:r w:rsidRPr="00FD3845">
              <w:rPr>
                <w:rFonts w:asciiTheme="minorHAnsi" w:hAnsiTheme="minorHAnsi"/>
              </w:rPr>
              <w:t>Antibody mediated rejection (</w:t>
            </w:r>
            <w:proofErr w:type="spellStart"/>
            <w:r w:rsidRPr="00FD3845">
              <w:rPr>
                <w:rFonts w:asciiTheme="minorHAnsi" w:hAnsiTheme="minorHAnsi"/>
              </w:rPr>
              <w:t>AbMR</w:t>
            </w:r>
            <w:proofErr w:type="spellEnd"/>
            <w:r w:rsidRPr="00FD3845">
              <w:rPr>
                <w:rFonts w:asciiTheme="minorHAnsi" w:hAnsiTheme="minorHAnsi"/>
              </w:rPr>
              <w:t xml:space="preserve">) occurs in 10–20% of heart transplants that have been performed with a compatible cross match. </w:t>
            </w:r>
            <w:proofErr w:type="spellStart"/>
            <w:r w:rsidRPr="00FD3845">
              <w:rPr>
                <w:rFonts w:asciiTheme="minorHAnsi" w:hAnsiTheme="minorHAnsi"/>
              </w:rPr>
              <w:t>AbMR</w:t>
            </w:r>
            <w:proofErr w:type="spellEnd"/>
            <w:r w:rsidRPr="00FD3845">
              <w:rPr>
                <w:rFonts w:asciiTheme="minorHAnsi" w:hAnsiTheme="minorHAnsi"/>
              </w:rPr>
              <w:t xml:space="preserve"> is associated with increased incidence of graft dysfunction, coronary allograft </w:t>
            </w:r>
            <w:proofErr w:type="spellStart"/>
            <w:r w:rsidRPr="00FD3845">
              <w:rPr>
                <w:rFonts w:asciiTheme="minorHAnsi" w:hAnsiTheme="minorHAnsi"/>
              </w:rPr>
              <w:t>vasculopathy</w:t>
            </w:r>
            <w:proofErr w:type="spellEnd"/>
            <w:r w:rsidRPr="00FD3845">
              <w:rPr>
                <w:rFonts w:asciiTheme="minorHAnsi" w:hAnsiTheme="minorHAnsi"/>
              </w:rPr>
              <w:t xml:space="preserve"> and mortality. Before the use of </w:t>
            </w:r>
            <w:proofErr w:type="spellStart"/>
            <w:r w:rsidR="00CD6B1D">
              <w:rPr>
                <w:rFonts w:asciiTheme="minorHAnsi" w:hAnsiTheme="minorHAnsi"/>
              </w:rPr>
              <w:t>IVIg</w:t>
            </w:r>
            <w:proofErr w:type="spellEnd"/>
            <w:r w:rsidRPr="00FD3845">
              <w:rPr>
                <w:rFonts w:asciiTheme="minorHAnsi" w:hAnsiTheme="minorHAnsi"/>
              </w:rPr>
              <w:t xml:space="preserve"> and plasma exchange, </w:t>
            </w:r>
            <w:proofErr w:type="spellStart"/>
            <w:r w:rsidRPr="00FD3845">
              <w:rPr>
                <w:rFonts w:asciiTheme="minorHAnsi" w:hAnsiTheme="minorHAnsi"/>
              </w:rPr>
              <w:t>AbMR</w:t>
            </w:r>
            <w:proofErr w:type="spellEnd"/>
            <w:r w:rsidRPr="00FD3845">
              <w:rPr>
                <w:rFonts w:asciiTheme="minorHAnsi" w:hAnsiTheme="minorHAnsi"/>
              </w:rPr>
              <w:t xml:space="preserve"> failed to respond adequately to therapy in most cases. Additionally, complications from therapy were severe and sometimes fatal. </w:t>
            </w:r>
            <w:proofErr w:type="spellStart"/>
            <w:r w:rsidRPr="00FD3845">
              <w:rPr>
                <w:rFonts w:asciiTheme="minorHAnsi" w:hAnsiTheme="minorHAnsi"/>
              </w:rPr>
              <w:t>AbMR</w:t>
            </w:r>
            <w:proofErr w:type="spellEnd"/>
            <w:r w:rsidRPr="00FD3845">
              <w:rPr>
                <w:rFonts w:asciiTheme="minorHAnsi" w:hAnsiTheme="minorHAnsi"/>
              </w:rPr>
              <w:t xml:space="preserve"> responds to </w:t>
            </w:r>
            <w:proofErr w:type="spellStart"/>
            <w:r w:rsidR="00CD6B1D">
              <w:rPr>
                <w:rFonts w:asciiTheme="minorHAnsi" w:hAnsiTheme="minorHAnsi"/>
              </w:rPr>
              <w:t>IVIg</w:t>
            </w:r>
            <w:proofErr w:type="spellEnd"/>
            <w:r w:rsidRPr="00FD3845">
              <w:rPr>
                <w:rFonts w:asciiTheme="minorHAnsi" w:hAnsiTheme="minorHAnsi"/>
              </w:rPr>
              <w:t xml:space="preserve"> with or without plasma exchange in more than 85% of patients.</w:t>
            </w:r>
          </w:p>
          <w:p w14:paraId="59B4C9CE" w14:textId="305B7076" w:rsidR="008515FF" w:rsidRPr="00282F66" w:rsidRDefault="006A5213" w:rsidP="006A5213">
            <w:pPr>
              <w:rPr>
                <w:rFonts w:asciiTheme="minorHAnsi" w:hAnsiTheme="minorHAnsi" w:cs="Lucida Grande"/>
                <w:color w:val="000000"/>
              </w:rPr>
            </w:pPr>
            <w:r w:rsidRPr="00FD3845">
              <w:rPr>
                <w:rFonts w:asciiTheme="minorHAnsi" w:hAnsiTheme="minorHAnsi"/>
              </w:rPr>
              <w:t xml:space="preserve">Diagnostic criteria for </w:t>
            </w:r>
            <w:proofErr w:type="spellStart"/>
            <w:r w:rsidRPr="00FD3845">
              <w:rPr>
                <w:rFonts w:asciiTheme="minorHAnsi" w:hAnsiTheme="minorHAnsi"/>
              </w:rPr>
              <w:t>AbMR</w:t>
            </w:r>
            <w:proofErr w:type="spellEnd"/>
            <w:r w:rsidRPr="00FD3845">
              <w:rPr>
                <w:rFonts w:asciiTheme="minorHAnsi" w:hAnsiTheme="minorHAnsi"/>
              </w:rPr>
              <w:t xml:space="preserve"> must be consistent </w:t>
            </w:r>
            <w:r w:rsidRPr="00FD3845">
              <w:rPr>
                <w:rFonts w:asciiTheme="minorHAnsi" w:hAnsiTheme="minorHAnsi"/>
              </w:rPr>
              <w:lastRenderedPageBreak/>
              <w:t>with the International Society for Heart and Lung Transplantation (IHSLT) Criteria (2011).</w:t>
            </w:r>
            <w:r w:rsidR="00282F66" w:rsidRPr="00282F66">
              <w:rPr>
                <w:rFonts w:asciiTheme="minorHAnsi" w:eastAsia="Times New Roman" w:hAnsiTheme="minorHAnsi" w:cs="Times New Roman"/>
                <w:color w:val="000000"/>
                <w:lang w:eastAsia="en-AU"/>
              </w:rPr>
              <w:t xml:space="preserve"> </w:t>
            </w:r>
          </w:p>
          <w:p w14:paraId="07AEC8D8" w14:textId="77777777" w:rsidR="00BA76E3" w:rsidRPr="00447869" w:rsidRDefault="00BA76E3" w:rsidP="00C077BF">
            <w:pPr>
              <w:rPr>
                <w:rFonts w:asciiTheme="minorHAnsi" w:hAnsiTheme="minorHAnsi"/>
              </w:rPr>
            </w:pPr>
          </w:p>
        </w:tc>
        <w:tc>
          <w:tcPr>
            <w:tcW w:w="4394" w:type="dxa"/>
          </w:tcPr>
          <w:p w14:paraId="575BB440" w14:textId="2AA76C8A" w:rsidR="00BA76E3" w:rsidRPr="00FE4CD1" w:rsidRDefault="00DC147D" w:rsidP="00282F66">
            <w:pPr>
              <w:spacing w:before="120" w:after="120"/>
              <w:rPr>
                <w:rFonts w:asciiTheme="minorHAnsi" w:hAnsiTheme="minorHAnsi"/>
              </w:rPr>
            </w:pPr>
            <w:r w:rsidRPr="00FE4CD1">
              <w:rPr>
                <w:rFonts w:asciiTheme="minorHAnsi" w:hAnsiTheme="minorHAnsi"/>
              </w:rPr>
              <w:lastRenderedPageBreak/>
              <w:t>A short description relating to desensiti</w:t>
            </w:r>
            <w:r w:rsidR="00C16E62" w:rsidRPr="00FE4CD1">
              <w:rPr>
                <w:rFonts w:asciiTheme="minorHAnsi" w:hAnsiTheme="minorHAnsi"/>
              </w:rPr>
              <w:t>sa</w:t>
            </w:r>
            <w:r w:rsidRPr="00FE4CD1">
              <w:rPr>
                <w:rFonts w:asciiTheme="minorHAnsi" w:hAnsiTheme="minorHAnsi"/>
              </w:rPr>
              <w:t>t</w:t>
            </w:r>
            <w:r w:rsidR="00C16E62" w:rsidRPr="00FE4CD1">
              <w:rPr>
                <w:rFonts w:asciiTheme="minorHAnsi" w:hAnsiTheme="minorHAnsi"/>
              </w:rPr>
              <w:t>i</w:t>
            </w:r>
            <w:r w:rsidRPr="00FE4CD1">
              <w:rPr>
                <w:rFonts w:asciiTheme="minorHAnsi" w:hAnsiTheme="minorHAnsi"/>
              </w:rPr>
              <w:t xml:space="preserve">on has been added. </w:t>
            </w:r>
          </w:p>
        </w:tc>
      </w:tr>
      <w:tr w:rsidR="00447869" w:rsidRPr="00853117" w14:paraId="4392EFE4" w14:textId="77777777" w:rsidTr="00FE4CD1">
        <w:tc>
          <w:tcPr>
            <w:tcW w:w="1560" w:type="dxa"/>
            <w:shd w:val="clear" w:color="auto" w:fill="D9D9D9" w:themeFill="background1" w:themeFillShade="D9"/>
          </w:tcPr>
          <w:p w14:paraId="5DC7C631" w14:textId="77777777"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828" w:type="dxa"/>
            <w:vMerge w:val="restart"/>
          </w:tcPr>
          <w:p w14:paraId="540B1DFE" w14:textId="77777777" w:rsidR="00447869" w:rsidRPr="00447869" w:rsidRDefault="00282F66" w:rsidP="00021243">
            <w:pPr>
              <w:spacing w:before="120" w:after="120"/>
              <w:rPr>
                <w:rFonts w:asciiTheme="minorHAnsi" w:hAnsiTheme="minorHAnsi"/>
                <w:b/>
              </w:rPr>
            </w:pPr>
            <w:r>
              <w:t xml:space="preserve"> </w:t>
            </w:r>
          </w:p>
        </w:tc>
        <w:tc>
          <w:tcPr>
            <w:tcW w:w="1606" w:type="dxa"/>
          </w:tcPr>
          <w:p w14:paraId="498A6B18" w14:textId="77777777" w:rsidR="00447869" w:rsidRPr="00447869" w:rsidRDefault="002E21C4" w:rsidP="00021243">
            <w:pPr>
              <w:spacing w:before="120" w:after="120"/>
              <w:rPr>
                <w:rFonts w:asciiTheme="minorHAnsi" w:hAnsiTheme="minorHAnsi"/>
              </w:rPr>
            </w:pPr>
            <w:r>
              <w:rPr>
                <w:rFonts w:asciiTheme="minorHAnsi" w:hAnsiTheme="minorHAnsi"/>
              </w:rPr>
              <w:t>No</w:t>
            </w:r>
          </w:p>
        </w:tc>
        <w:tc>
          <w:tcPr>
            <w:tcW w:w="1606" w:type="dxa"/>
            <w:shd w:val="clear" w:color="auto" w:fill="BFBFBF" w:themeFill="background1" w:themeFillShade="BF"/>
          </w:tcPr>
          <w:p w14:paraId="5E3B5F0B"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607" w:type="dxa"/>
          </w:tcPr>
          <w:p w14:paraId="26BA1558" w14:textId="77777777" w:rsidR="00447869" w:rsidRPr="00447869" w:rsidRDefault="00447869" w:rsidP="00021243">
            <w:pPr>
              <w:spacing w:before="120" w:after="120"/>
              <w:rPr>
                <w:rFonts w:asciiTheme="minorHAnsi" w:hAnsiTheme="minorHAnsi"/>
              </w:rPr>
            </w:pPr>
          </w:p>
        </w:tc>
        <w:tc>
          <w:tcPr>
            <w:tcW w:w="4394" w:type="dxa"/>
            <w:vMerge w:val="restart"/>
          </w:tcPr>
          <w:p w14:paraId="4BD19D78" w14:textId="0414B6E3" w:rsidR="00447869" w:rsidRPr="00C92149" w:rsidRDefault="0023200B" w:rsidP="008515FF">
            <w:pPr>
              <w:spacing w:before="120" w:after="120"/>
              <w:ind w:right="90"/>
              <w:rPr>
                <w:rFonts w:asciiTheme="minorHAnsi" w:hAnsiTheme="minorHAnsi"/>
                <w:szCs w:val="20"/>
              </w:rPr>
            </w:pPr>
            <w:r>
              <w:rPr>
                <w:rFonts w:asciiTheme="minorHAnsi" w:hAnsiTheme="minorHAnsi"/>
                <w:szCs w:val="20"/>
              </w:rPr>
              <w:t>Unchanged</w:t>
            </w:r>
          </w:p>
        </w:tc>
      </w:tr>
      <w:tr w:rsidR="00447869" w:rsidRPr="00853117" w14:paraId="7133931C" w14:textId="77777777" w:rsidTr="00FE4CD1">
        <w:tc>
          <w:tcPr>
            <w:tcW w:w="1560" w:type="dxa"/>
            <w:shd w:val="clear" w:color="auto" w:fill="D9D9D9" w:themeFill="background1" w:themeFillShade="D9"/>
          </w:tcPr>
          <w:p w14:paraId="7709DBDC" w14:textId="77777777"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828" w:type="dxa"/>
            <w:vMerge/>
          </w:tcPr>
          <w:p w14:paraId="5044858D" w14:textId="77777777" w:rsidR="00447869" w:rsidRPr="00447869" w:rsidRDefault="00447869" w:rsidP="00021243">
            <w:pPr>
              <w:spacing w:before="120" w:after="120"/>
              <w:rPr>
                <w:rFonts w:asciiTheme="minorHAnsi" w:hAnsiTheme="minorHAnsi"/>
              </w:rPr>
            </w:pPr>
          </w:p>
        </w:tc>
        <w:tc>
          <w:tcPr>
            <w:tcW w:w="1606" w:type="dxa"/>
          </w:tcPr>
          <w:p w14:paraId="6FC44B29" w14:textId="77777777" w:rsidR="00447869" w:rsidRPr="00447869" w:rsidRDefault="00447869" w:rsidP="00021243">
            <w:pPr>
              <w:spacing w:before="120" w:after="120"/>
              <w:rPr>
                <w:rFonts w:asciiTheme="minorHAnsi" w:hAnsiTheme="minorHAnsi"/>
              </w:rPr>
            </w:pPr>
            <w:r w:rsidRPr="00447869">
              <w:rPr>
                <w:rFonts w:asciiTheme="minorHAnsi" w:hAnsiTheme="minorHAnsi"/>
              </w:rPr>
              <w:t>No</w:t>
            </w:r>
          </w:p>
        </w:tc>
        <w:tc>
          <w:tcPr>
            <w:tcW w:w="1606" w:type="dxa"/>
            <w:shd w:val="clear" w:color="auto" w:fill="BFBFBF" w:themeFill="background1" w:themeFillShade="BF"/>
          </w:tcPr>
          <w:p w14:paraId="58845509" w14:textId="77777777"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607" w:type="dxa"/>
          </w:tcPr>
          <w:p w14:paraId="67BF1EE5" w14:textId="77777777" w:rsidR="00447869" w:rsidRPr="00447869" w:rsidRDefault="00447869" w:rsidP="00021243">
            <w:pPr>
              <w:spacing w:before="120" w:after="120"/>
              <w:rPr>
                <w:rFonts w:asciiTheme="minorHAnsi" w:hAnsiTheme="minorHAnsi"/>
              </w:rPr>
            </w:pPr>
          </w:p>
        </w:tc>
        <w:tc>
          <w:tcPr>
            <w:tcW w:w="4394" w:type="dxa"/>
            <w:vMerge/>
          </w:tcPr>
          <w:p w14:paraId="2A113539" w14:textId="77777777" w:rsidR="00447869" w:rsidRPr="00C92149" w:rsidRDefault="00447869" w:rsidP="00021243">
            <w:pPr>
              <w:spacing w:before="120" w:after="120"/>
              <w:rPr>
                <w:rFonts w:asciiTheme="minorHAnsi" w:hAnsiTheme="minorHAnsi"/>
                <w:szCs w:val="20"/>
              </w:rPr>
            </w:pPr>
          </w:p>
        </w:tc>
      </w:tr>
      <w:tr w:rsidR="00447869" w:rsidRPr="00853117" w14:paraId="7C2B4CEB" w14:textId="77777777" w:rsidTr="003A7E5D">
        <w:tc>
          <w:tcPr>
            <w:tcW w:w="1560" w:type="dxa"/>
            <w:shd w:val="clear" w:color="auto" w:fill="D9D9D9" w:themeFill="background1" w:themeFillShade="D9"/>
          </w:tcPr>
          <w:p w14:paraId="206422B2" w14:textId="2A054AFF" w:rsidR="00447869" w:rsidRPr="005F79EE" w:rsidRDefault="00447869" w:rsidP="00021243">
            <w:pPr>
              <w:spacing w:before="120" w:after="120"/>
              <w:rPr>
                <w:rFonts w:asciiTheme="minorHAnsi" w:hAnsiTheme="minorHAnsi"/>
                <w:b/>
              </w:rPr>
            </w:pPr>
            <w:r w:rsidRPr="00447869">
              <w:rPr>
                <w:rFonts w:asciiTheme="minorHAnsi" w:hAnsiTheme="minorHAnsi"/>
                <w:b/>
              </w:rPr>
              <w:t>Exclusion Criteria</w:t>
            </w:r>
          </w:p>
        </w:tc>
        <w:tc>
          <w:tcPr>
            <w:tcW w:w="3828" w:type="dxa"/>
          </w:tcPr>
          <w:p w14:paraId="3C93C574" w14:textId="77777777"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4819" w:type="dxa"/>
            <w:gridSpan w:val="3"/>
          </w:tcPr>
          <w:p w14:paraId="0C0AD53A" w14:textId="77777777" w:rsidR="00447869" w:rsidRPr="00447869" w:rsidRDefault="00447869" w:rsidP="00021243">
            <w:pPr>
              <w:spacing w:before="120" w:after="120"/>
              <w:rPr>
                <w:rFonts w:asciiTheme="minorHAnsi" w:hAnsiTheme="minorHAnsi"/>
                <w:strike/>
              </w:rPr>
            </w:pPr>
          </w:p>
        </w:tc>
        <w:tc>
          <w:tcPr>
            <w:tcW w:w="4394" w:type="dxa"/>
          </w:tcPr>
          <w:p w14:paraId="16A2BCA2" w14:textId="77777777" w:rsidR="00447869" w:rsidRPr="00C92149" w:rsidRDefault="00447869" w:rsidP="003A1F9D">
            <w:pPr>
              <w:spacing w:before="120" w:after="120"/>
              <w:rPr>
                <w:rFonts w:asciiTheme="minorHAnsi" w:hAnsiTheme="minorHAnsi"/>
                <w:szCs w:val="20"/>
              </w:rPr>
            </w:pPr>
          </w:p>
        </w:tc>
      </w:tr>
      <w:tr w:rsidR="00021243" w:rsidRPr="00853117" w14:paraId="3EB2F2D8" w14:textId="77777777" w:rsidTr="003A7E5D">
        <w:tc>
          <w:tcPr>
            <w:tcW w:w="1560" w:type="dxa"/>
            <w:shd w:val="clear" w:color="auto" w:fill="D9D9D9" w:themeFill="background1" w:themeFillShade="D9"/>
          </w:tcPr>
          <w:p w14:paraId="2432CACF" w14:textId="77777777" w:rsidR="00021243" w:rsidRPr="00F91CA7" w:rsidRDefault="00021243" w:rsidP="00F91CA7">
            <w:pPr>
              <w:spacing w:before="120" w:after="120"/>
              <w:rPr>
                <w:rFonts w:asciiTheme="minorHAnsi" w:hAnsiTheme="minorHAnsi"/>
                <w:b/>
              </w:rPr>
            </w:pPr>
            <w:r w:rsidRPr="00447869">
              <w:rPr>
                <w:rFonts w:asciiTheme="minorHAnsi" w:hAnsiTheme="minorHAnsi"/>
                <w:b/>
              </w:rPr>
              <w:t>Qualifying Criteria</w:t>
            </w:r>
          </w:p>
        </w:tc>
        <w:tc>
          <w:tcPr>
            <w:tcW w:w="3828" w:type="dxa"/>
          </w:tcPr>
          <w:p w14:paraId="4B9B2F5B" w14:textId="77777777" w:rsidR="00FD3845" w:rsidRPr="00FD3845" w:rsidRDefault="00FD3845" w:rsidP="003F60D2">
            <w:pPr>
              <w:spacing w:line="360" w:lineRule="atLeast"/>
              <w:rPr>
                <w:rFonts w:asciiTheme="minorHAnsi" w:hAnsiTheme="minorHAnsi"/>
                <w:b/>
              </w:rPr>
            </w:pPr>
            <w:r w:rsidRPr="00FD3845">
              <w:rPr>
                <w:rFonts w:asciiTheme="minorHAnsi" w:hAnsiTheme="minorHAnsi"/>
                <w:b/>
              </w:rPr>
              <w:t>Pre - transplant where donor specific antibody/antibodies prevent transplantation (HLA and/or anti-blood group)</w:t>
            </w:r>
          </w:p>
          <w:p w14:paraId="1B748CD4" w14:textId="77777777" w:rsidR="00FD3845" w:rsidRPr="00FD3845" w:rsidRDefault="00FD3845" w:rsidP="003F60D2">
            <w:pPr>
              <w:spacing w:line="360" w:lineRule="atLeast"/>
              <w:rPr>
                <w:rFonts w:asciiTheme="minorHAnsi" w:hAnsiTheme="minorHAnsi"/>
                <w:b/>
              </w:rPr>
            </w:pPr>
          </w:p>
          <w:p w14:paraId="614B6187" w14:textId="77777777" w:rsidR="00FD3845" w:rsidRPr="003F60D2" w:rsidRDefault="00FD3845" w:rsidP="003F60D2">
            <w:pPr>
              <w:pStyle w:val="ListParagraph"/>
              <w:numPr>
                <w:ilvl w:val="0"/>
                <w:numId w:val="49"/>
              </w:numPr>
              <w:spacing w:line="360" w:lineRule="atLeast"/>
              <w:rPr>
                <w:rFonts w:asciiTheme="minorHAnsi" w:hAnsiTheme="minorHAnsi"/>
              </w:rPr>
            </w:pPr>
            <w:r w:rsidRPr="003F60D2">
              <w:rPr>
                <w:rFonts w:asciiTheme="minorHAnsi" w:hAnsiTheme="minorHAnsi"/>
              </w:rPr>
              <w:t xml:space="preserve">ABO incompatible transplant planned with or without HLA antibody or antibodies (minimum of 500 MFI) preventing organ transplantation. </w:t>
            </w:r>
          </w:p>
          <w:p w14:paraId="23E960F2" w14:textId="77777777" w:rsidR="00FD3845" w:rsidRPr="00FD3845" w:rsidRDefault="00FD3845" w:rsidP="00FD3845">
            <w:pPr>
              <w:spacing w:after="225" w:line="360" w:lineRule="atLeast"/>
              <w:rPr>
                <w:rFonts w:asciiTheme="minorHAnsi" w:hAnsiTheme="minorHAnsi"/>
                <w:b/>
              </w:rPr>
            </w:pPr>
          </w:p>
          <w:p w14:paraId="4B38E2C7" w14:textId="77777777" w:rsidR="00FD3845" w:rsidRPr="00FD3845" w:rsidRDefault="00FD3845" w:rsidP="003F60D2">
            <w:pPr>
              <w:spacing w:line="360" w:lineRule="atLeast"/>
              <w:rPr>
                <w:rFonts w:asciiTheme="minorHAnsi" w:hAnsiTheme="minorHAnsi"/>
                <w:b/>
              </w:rPr>
            </w:pPr>
            <w:r w:rsidRPr="00FD3845">
              <w:rPr>
                <w:rFonts w:asciiTheme="minorHAnsi" w:hAnsiTheme="minorHAnsi"/>
                <w:b/>
              </w:rPr>
              <w:lastRenderedPageBreak/>
              <w:t>Post-transplant - active acute antibody mediated rejection</w:t>
            </w:r>
          </w:p>
          <w:p w14:paraId="6060D557" w14:textId="77777777" w:rsidR="00FD3845" w:rsidRPr="003F60D2" w:rsidRDefault="00FD3845" w:rsidP="003F60D2">
            <w:pPr>
              <w:pStyle w:val="ListParagraph"/>
              <w:numPr>
                <w:ilvl w:val="0"/>
                <w:numId w:val="49"/>
              </w:numPr>
              <w:spacing w:line="360" w:lineRule="atLeast"/>
              <w:rPr>
                <w:rFonts w:asciiTheme="minorHAnsi" w:hAnsiTheme="minorHAnsi"/>
              </w:rPr>
            </w:pPr>
            <w:r w:rsidRPr="003F60D2">
              <w:rPr>
                <w:rFonts w:asciiTheme="minorHAnsi" w:hAnsiTheme="minorHAnsi"/>
              </w:rPr>
              <w:t xml:space="preserve">Presence of incompatible ABO blood group donor specific antibody/antibodies and/or donor specific HLA antibody / antibodies (at least a minimum of 500 MFI) </w:t>
            </w:r>
          </w:p>
          <w:p w14:paraId="7DE55DC4" w14:textId="77777777" w:rsidR="00FD3845" w:rsidRPr="003F60D2" w:rsidRDefault="003F60D2" w:rsidP="003F60D2">
            <w:pPr>
              <w:spacing w:line="360" w:lineRule="atLeast"/>
              <w:rPr>
                <w:rFonts w:asciiTheme="minorHAnsi" w:hAnsiTheme="minorHAnsi"/>
              </w:rPr>
            </w:pPr>
            <w:r>
              <w:rPr>
                <w:rFonts w:asciiTheme="minorHAnsi" w:hAnsiTheme="minorHAnsi"/>
              </w:rPr>
              <w:t xml:space="preserve">AND </w:t>
            </w:r>
          </w:p>
          <w:p w14:paraId="634B2F5F" w14:textId="77777777" w:rsidR="00FD3845" w:rsidRPr="003F60D2" w:rsidRDefault="00FD3845" w:rsidP="003F60D2">
            <w:pPr>
              <w:pStyle w:val="ListParagraph"/>
              <w:numPr>
                <w:ilvl w:val="0"/>
                <w:numId w:val="49"/>
              </w:numPr>
              <w:spacing w:line="360" w:lineRule="atLeast"/>
              <w:rPr>
                <w:rFonts w:asciiTheme="minorHAnsi" w:hAnsiTheme="minorHAnsi"/>
              </w:rPr>
            </w:pPr>
            <w:r w:rsidRPr="003F60D2">
              <w:rPr>
                <w:rFonts w:asciiTheme="minorHAnsi" w:hAnsiTheme="minorHAnsi"/>
              </w:rPr>
              <w:t xml:space="preserve">Current clinical and laboratory evidence of graft dysfunction where biopsy not available </w:t>
            </w:r>
          </w:p>
          <w:p w14:paraId="5665436D" w14:textId="59535EA3" w:rsidR="00FD3845" w:rsidRPr="003F60D2" w:rsidRDefault="00FD3845" w:rsidP="00FE4CD1">
            <w:pPr>
              <w:spacing w:line="360" w:lineRule="atLeast"/>
              <w:jc w:val="center"/>
              <w:rPr>
                <w:rFonts w:asciiTheme="minorHAnsi" w:hAnsiTheme="minorHAnsi"/>
              </w:rPr>
            </w:pPr>
            <w:r w:rsidRPr="00EB55CD">
              <w:rPr>
                <w:rFonts w:asciiTheme="minorHAnsi" w:hAnsiTheme="minorHAnsi"/>
              </w:rPr>
              <w:t>OR</w:t>
            </w:r>
          </w:p>
          <w:p w14:paraId="05D8865E" w14:textId="77777777" w:rsidR="00FD3845" w:rsidRPr="003F60D2" w:rsidRDefault="00FD3845" w:rsidP="003F60D2">
            <w:pPr>
              <w:pStyle w:val="ListParagraph"/>
              <w:numPr>
                <w:ilvl w:val="0"/>
                <w:numId w:val="49"/>
              </w:numPr>
              <w:spacing w:line="360" w:lineRule="atLeast"/>
              <w:rPr>
                <w:rFonts w:asciiTheme="minorHAnsi" w:hAnsiTheme="minorHAnsi"/>
              </w:rPr>
            </w:pPr>
            <w:r w:rsidRPr="003F60D2">
              <w:rPr>
                <w:rFonts w:asciiTheme="minorHAnsi" w:hAnsiTheme="minorHAnsi"/>
              </w:rPr>
              <w:t>Organ biopsy demonstrates antibody mediated rejection according to Banff or IHSLT criteria1</w:t>
            </w:r>
          </w:p>
          <w:p w14:paraId="5EA7687D" w14:textId="77777777" w:rsidR="00FD3845" w:rsidRPr="003F60D2" w:rsidRDefault="00FD3845" w:rsidP="00FE4CD1">
            <w:pPr>
              <w:spacing w:line="360" w:lineRule="atLeast"/>
              <w:jc w:val="center"/>
              <w:rPr>
                <w:rFonts w:asciiTheme="minorHAnsi" w:hAnsiTheme="minorHAnsi"/>
              </w:rPr>
            </w:pPr>
            <w:r w:rsidRPr="00EB55CD">
              <w:rPr>
                <w:rFonts w:asciiTheme="minorHAnsi" w:hAnsiTheme="minorHAnsi"/>
              </w:rPr>
              <w:t>OR</w:t>
            </w:r>
          </w:p>
          <w:p w14:paraId="576060EB" w14:textId="77777777" w:rsidR="00FD3845" w:rsidRPr="003F60D2" w:rsidRDefault="00FD3845" w:rsidP="003F60D2">
            <w:pPr>
              <w:pStyle w:val="ListParagraph"/>
              <w:numPr>
                <w:ilvl w:val="0"/>
                <w:numId w:val="49"/>
              </w:numPr>
              <w:spacing w:line="360" w:lineRule="atLeast"/>
              <w:rPr>
                <w:rFonts w:asciiTheme="minorHAnsi" w:hAnsiTheme="minorHAnsi"/>
              </w:rPr>
            </w:pPr>
            <w:r w:rsidRPr="003F60D2">
              <w:rPr>
                <w:rFonts w:asciiTheme="minorHAnsi" w:hAnsiTheme="minorHAnsi"/>
              </w:rPr>
              <w:t>There is a high clinical suspicion that it is antibody mediated rejection and evidence not yet available (one-off request in early period of acute rejection).</w:t>
            </w:r>
          </w:p>
          <w:p w14:paraId="039048C5" w14:textId="77777777" w:rsidR="00FD3845" w:rsidRPr="00982E92" w:rsidRDefault="00FD3845" w:rsidP="003F60D2">
            <w:pPr>
              <w:spacing w:line="360" w:lineRule="atLeast"/>
              <w:rPr>
                <w:rFonts w:asciiTheme="minorHAnsi" w:hAnsiTheme="minorHAnsi"/>
                <w:b/>
                <w:color w:val="808080" w:themeColor="background1" w:themeShade="80"/>
              </w:rPr>
            </w:pPr>
            <w:r w:rsidRPr="00982E92">
              <w:rPr>
                <w:rFonts w:asciiTheme="minorHAnsi" w:hAnsiTheme="minorHAnsi"/>
                <w:b/>
                <w:color w:val="808080" w:themeColor="background1" w:themeShade="80"/>
              </w:rPr>
              <w:lastRenderedPageBreak/>
              <w:t>For a 2</w:t>
            </w:r>
            <w:r w:rsidRPr="00982E92">
              <w:rPr>
                <w:rFonts w:asciiTheme="minorHAnsi" w:hAnsiTheme="minorHAnsi"/>
                <w:b/>
                <w:color w:val="808080" w:themeColor="background1" w:themeShade="80"/>
                <w:vertAlign w:val="superscript"/>
              </w:rPr>
              <w:t>nd</w:t>
            </w:r>
            <w:r w:rsidRPr="00982E92">
              <w:rPr>
                <w:rFonts w:asciiTheme="minorHAnsi" w:hAnsiTheme="minorHAnsi"/>
                <w:b/>
                <w:color w:val="808080" w:themeColor="background1" w:themeShade="80"/>
              </w:rPr>
              <w:t xml:space="preserve"> dose, Donor Specific </w:t>
            </w:r>
            <w:proofErr w:type="gramStart"/>
            <w:r w:rsidRPr="00982E92">
              <w:rPr>
                <w:rFonts w:asciiTheme="minorHAnsi" w:hAnsiTheme="minorHAnsi"/>
                <w:b/>
                <w:color w:val="808080" w:themeColor="background1" w:themeShade="80"/>
              </w:rPr>
              <w:t>Antibody(</w:t>
            </w:r>
            <w:proofErr w:type="spellStart"/>
            <w:proofErr w:type="gramEnd"/>
            <w:r w:rsidRPr="00982E92">
              <w:rPr>
                <w:rFonts w:asciiTheme="minorHAnsi" w:hAnsiTheme="minorHAnsi"/>
                <w:b/>
                <w:color w:val="808080" w:themeColor="background1" w:themeShade="80"/>
              </w:rPr>
              <w:t>ies</w:t>
            </w:r>
            <w:proofErr w:type="spellEnd"/>
            <w:r w:rsidRPr="00982E92">
              <w:rPr>
                <w:rFonts w:asciiTheme="minorHAnsi" w:hAnsiTheme="minorHAnsi"/>
                <w:b/>
                <w:color w:val="808080" w:themeColor="background1" w:themeShade="80"/>
              </w:rPr>
              <w:t xml:space="preserve">) must be proven and biopsy must be abnormal but may not yet be diagnostic meeting all of the IHSLT1 criteria. For subsequent doses, all IHSLT criteria on biopsy must be met. </w:t>
            </w:r>
          </w:p>
          <w:p w14:paraId="514467C9" w14:textId="77777777" w:rsidR="00FD3845" w:rsidRPr="003F60D2" w:rsidRDefault="00FD3845" w:rsidP="003F60D2">
            <w:pPr>
              <w:spacing w:line="360" w:lineRule="atLeast"/>
              <w:rPr>
                <w:rFonts w:asciiTheme="minorHAnsi" w:hAnsiTheme="minorHAnsi"/>
                <w:i/>
              </w:rPr>
            </w:pPr>
          </w:p>
          <w:p w14:paraId="484E6907" w14:textId="77777777" w:rsidR="00FD3845" w:rsidRPr="003F60D2" w:rsidRDefault="00FD3845" w:rsidP="003F60D2">
            <w:pPr>
              <w:spacing w:line="360" w:lineRule="atLeast"/>
              <w:rPr>
                <w:rFonts w:asciiTheme="minorHAnsi" w:hAnsiTheme="minorHAnsi"/>
                <w:i/>
              </w:rPr>
            </w:pPr>
            <w:r w:rsidRPr="003F60D2">
              <w:rPr>
                <w:rFonts w:asciiTheme="minorHAnsi" w:hAnsiTheme="minorHAnsi"/>
                <w:i/>
              </w:rPr>
              <w:t xml:space="preserve">1 The ISHLT working formulation for pathologic diagnosis of antibody-mediated rejection in heart transplantation: </w:t>
            </w:r>
          </w:p>
          <w:p w14:paraId="032017AD" w14:textId="77777777" w:rsidR="00FD3845" w:rsidRPr="003F60D2" w:rsidRDefault="00FD3845" w:rsidP="003F60D2">
            <w:pPr>
              <w:spacing w:line="360" w:lineRule="atLeast"/>
              <w:rPr>
                <w:rFonts w:asciiTheme="minorHAnsi" w:hAnsiTheme="minorHAnsi"/>
                <w:i/>
              </w:rPr>
            </w:pPr>
            <w:r w:rsidRPr="003F60D2">
              <w:rPr>
                <w:rFonts w:asciiTheme="minorHAnsi" w:hAnsiTheme="minorHAnsi"/>
                <w:i/>
              </w:rPr>
              <w:t xml:space="preserve">Evolution and current status (2005–2011) Berry et al JHLT 2011. </w:t>
            </w:r>
          </w:p>
          <w:p w14:paraId="0138EB11" w14:textId="77777777" w:rsidR="00FD3845" w:rsidRPr="003F60D2" w:rsidRDefault="00FD3845" w:rsidP="003F60D2">
            <w:pPr>
              <w:spacing w:line="360" w:lineRule="atLeast"/>
              <w:rPr>
                <w:rFonts w:asciiTheme="minorHAnsi" w:hAnsiTheme="minorHAnsi"/>
              </w:rPr>
            </w:pPr>
          </w:p>
          <w:p w14:paraId="7F9EACE3" w14:textId="77777777" w:rsidR="00FD3845" w:rsidRPr="003F60D2" w:rsidRDefault="00FD3845" w:rsidP="003F60D2">
            <w:pPr>
              <w:spacing w:line="360" w:lineRule="atLeast"/>
              <w:rPr>
                <w:rFonts w:asciiTheme="minorHAnsi" w:hAnsiTheme="minorHAnsi"/>
                <w:b/>
              </w:rPr>
            </w:pPr>
            <w:r w:rsidRPr="003F60D2">
              <w:rPr>
                <w:rFonts w:asciiTheme="minorHAnsi" w:hAnsiTheme="minorHAnsi"/>
                <w:b/>
              </w:rPr>
              <w:t>Treatment or prevention of graft rejection where conventional immunosuppressive therapies is contraindicated or pose a threat to the graft or patient</w:t>
            </w:r>
          </w:p>
          <w:p w14:paraId="055B7CC5" w14:textId="77777777" w:rsidR="00FD3845" w:rsidRPr="003F60D2" w:rsidRDefault="00FD3845" w:rsidP="003F60D2">
            <w:pPr>
              <w:spacing w:line="360" w:lineRule="atLeast"/>
              <w:rPr>
                <w:rFonts w:asciiTheme="minorHAnsi" w:hAnsiTheme="minorHAnsi"/>
              </w:rPr>
            </w:pPr>
          </w:p>
          <w:p w14:paraId="21CE3F0D" w14:textId="77777777" w:rsidR="002E21C4" w:rsidRPr="003F60D2" w:rsidRDefault="00FD3845" w:rsidP="003F60D2">
            <w:pPr>
              <w:pStyle w:val="ListParagraph"/>
              <w:numPr>
                <w:ilvl w:val="0"/>
                <w:numId w:val="49"/>
              </w:numPr>
              <w:spacing w:before="120" w:after="120"/>
              <w:rPr>
                <w:rFonts w:asciiTheme="minorHAnsi" w:hAnsiTheme="minorHAnsi"/>
              </w:rPr>
            </w:pPr>
            <w:r w:rsidRPr="003F60D2">
              <w:rPr>
                <w:rFonts w:asciiTheme="minorHAnsi" w:hAnsiTheme="minorHAnsi"/>
              </w:rPr>
              <w:t xml:space="preserve">Conventional immunosuppressive therapy is </w:t>
            </w:r>
            <w:r w:rsidRPr="003F60D2">
              <w:rPr>
                <w:rFonts w:asciiTheme="minorHAnsi" w:hAnsiTheme="minorHAnsi"/>
              </w:rPr>
              <w:lastRenderedPageBreak/>
              <w:t xml:space="preserve">contraindicated and the reason is provided. </w:t>
            </w:r>
          </w:p>
        </w:tc>
        <w:tc>
          <w:tcPr>
            <w:tcW w:w="4819" w:type="dxa"/>
            <w:gridSpan w:val="3"/>
          </w:tcPr>
          <w:p w14:paraId="43C74E53" w14:textId="77777777" w:rsidR="006B3E35" w:rsidRPr="00FE4CD1" w:rsidRDefault="006B3E35" w:rsidP="006B3E35">
            <w:pPr>
              <w:rPr>
                <w:rFonts w:cs="Lucida Grande"/>
                <w:b/>
                <w:color w:val="000000"/>
              </w:rPr>
            </w:pPr>
            <w:r w:rsidRPr="00FE4CD1">
              <w:rPr>
                <w:rFonts w:cs="Lucida Grande"/>
                <w:b/>
                <w:color w:val="000000"/>
              </w:rPr>
              <w:lastRenderedPageBreak/>
              <w:t xml:space="preserve">De-sensitisation of patients to increase the likelihood of transplantation </w:t>
            </w:r>
          </w:p>
          <w:p w14:paraId="50149AAC" w14:textId="77777777" w:rsidR="006B3E35" w:rsidRPr="00FE4CD1" w:rsidRDefault="006B3E35" w:rsidP="006B3E35">
            <w:pPr>
              <w:rPr>
                <w:b/>
              </w:rPr>
            </w:pPr>
          </w:p>
          <w:p w14:paraId="417E8E21" w14:textId="77777777" w:rsidR="006B3E35" w:rsidRDefault="006B3E35" w:rsidP="006B3E35">
            <w:pPr>
              <w:pStyle w:val="ListParagraph"/>
              <w:numPr>
                <w:ilvl w:val="0"/>
                <w:numId w:val="50"/>
              </w:numPr>
            </w:pPr>
            <w:r w:rsidRPr="006B3E35">
              <w:t>Highly sensitised patient with known antibody(</w:t>
            </w:r>
            <w:proofErr w:type="spellStart"/>
            <w:r w:rsidRPr="006B3E35">
              <w:t>ies</w:t>
            </w:r>
            <w:proofErr w:type="spellEnd"/>
            <w:r w:rsidRPr="006B3E35">
              <w:t>) of at least 1000 MFI</w:t>
            </w:r>
          </w:p>
          <w:p w14:paraId="2784EA4E" w14:textId="77777777" w:rsidR="006B3E35" w:rsidRPr="00F157C8" w:rsidRDefault="006B3E35" w:rsidP="006B3E35">
            <w:pPr>
              <w:rPr>
                <w:iCs/>
              </w:rPr>
            </w:pPr>
            <w:r w:rsidRPr="00F157C8">
              <w:rPr>
                <w:iCs/>
              </w:rPr>
              <w:t xml:space="preserve">AND </w:t>
            </w:r>
          </w:p>
          <w:p w14:paraId="311D8A14" w14:textId="77777777" w:rsidR="006B3E35" w:rsidRPr="006B3E35" w:rsidRDefault="006B3E35" w:rsidP="006B3E35">
            <w:pPr>
              <w:rPr>
                <w:iCs/>
                <w:color w:val="243F60" w:themeColor="accent1" w:themeShade="7F"/>
              </w:rPr>
            </w:pPr>
          </w:p>
          <w:p w14:paraId="5546EFA4" w14:textId="77777777" w:rsidR="006B3E35" w:rsidRPr="006B3E35" w:rsidRDefault="006B3E35" w:rsidP="00ED5D61">
            <w:pPr>
              <w:pStyle w:val="ListParagraph"/>
              <w:numPr>
                <w:ilvl w:val="0"/>
                <w:numId w:val="49"/>
              </w:numPr>
            </w:pPr>
            <w:r w:rsidRPr="006B3E35">
              <w:t>Circumstances indicate that the likelihood of receiving an organ is very low</w:t>
            </w:r>
          </w:p>
          <w:p w14:paraId="01A38DF3" w14:textId="77777777" w:rsidR="006B3E35" w:rsidRDefault="006B3E35" w:rsidP="00FE4CD1"/>
          <w:p w14:paraId="1C8E3837" w14:textId="77777777" w:rsidR="006B3E35" w:rsidRDefault="006B3E35" w:rsidP="00FE4CD1"/>
          <w:p w14:paraId="3D1F8F08" w14:textId="77777777" w:rsidR="006B3E35" w:rsidRDefault="006B3E35" w:rsidP="00FE4CD1"/>
          <w:p w14:paraId="7EBEEDAF" w14:textId="77777777" w:rsidR="006B3E35" w:rsidRDefault="006B3E35" w:rsidP="00FE4CD1"/>
          <w:p w14:paraId="7DB15339" w14:textId="77777777" w:rsidR="006B3E35" w:rsidRDefault="006B3E35" w:rsidP="00FE4CD1"/>
          <w:p w14:paraId="16D2AD44" w14:textId="77777777" w:rsidR="006B3E35" w:rsidRDefault="006B3E35" w:rsidP="00FE4CD1"/>
          <w:p w14:paraId="2B4DD169" w14:textId="77777777" w:rsidR="006B3E35" w:rsidRDefault="006B3E35" w:rsidP="00FE4CD1"/>
          <w:p w14:paraId="79E4743E" w14:textId="73010E00" w:rsidR="006B3E35" w:rsidRPr="00FD3845" w:rsidRDefault="006B3E35" w:rsidP="006B3E35">
            <w:pPr>
              <w:spacing w:line="360" w:lineRule="atLeast"/>
              <w:rPr>
                <w:rFonts w:asciiTheme="minorHAnsi" w:hAnsiTheme="minorHAnsi"/>
                <w:b/>
              </w:rPr>
            </w:pPr>
            <w:r w:rsidRPr="00FD3845">
              <w:rPr>
                <w:rFonts w:asciiTheme="minorHAnsi" w:hAnsiTheme="minorHAnsi"/>
                <w:b/>
              </w:rPr>
              <w:lastRenderedPageBreak/>
              <w:t>Post-transplant - active acute antibody mediated rejection</w:t>
            </w:r>
            <w:r w:rsidR="00982E92">
              <w:rPr>
                <w:rFonts w:asciiTheme="minorHAnsi" w:hAnsiTheme="minorHAnsi"/>
                <w:b/>
              </w:rPr>
              <w:t xml:space="preserve"> </w:t>
            </w:r>
          </w:p>
          <w:p w14:paraId="4C4C68E2" w14:textId="77777777" w:rsidR="006B3E35" w:rsidRPr="003F60D2" w:rsidRDefault="006B3E35" w:rsidP="006B3E35">
            <w:pPr>
              <w:pStyle w:val="ListParagraph"/>
              <w:numPr>
                <w:ilvl w:val="0"/>
                <w:numId w:val="49"/>
              </w:numPr>
              <w:spacing w:line="360" w:lineRule="atLeast"/>
              <w:rPr>
                <w:rFonts w:asciiTheme="minorHAnsi" w:hAnsiTheme="minorHAnsi"/>
              </w:rPr>
            </w:pPr>
            <w:r w:rsidRPr="003F60D2">
              <w:rPr>
                <w:rFonts w:asciiTheme="minorHAnsi" w:hAnsiTheme="minorHAnsi"/>
              </w:rPr>
              <w:t xml:space="preserve">Presence of incompatible ABO blood group donor specific antibody/antibodies and/or donor specific HLA antibody / antibodies (at least a minimum of 500 MFI) </w:t>
            </w:r>
          </w:p>
          <w:p w14:paraId="2A607168" w14:textId="77777777" w:rsidR="006B3E35" w:rsidRDefault="006B3E35" w:rsidP="006B3E35">
            <w:pPr>
              <w:spacing w:line="360" w:lineRule="atLeast"/>
              <w:rPr>
                <w:rFonts w:asciiTheme="minorHAnsi" w:hAnsiTheme="minorHAnsi"/>
              </w:rPr>
            </w:pPr>
            <w:r>
              <w:rPr>
                <w:rFonts w:asciiTheme="minorHAnsi" w:hAnsiTheme="minorHAnsi"/>
              </w:rPr>
              <w:t xml:space="preserve">AND </w:t>
            </w:r>
          </w:p>
          <w:p w14:paraId="228297A7" w14:textId="77777777" w:rsidR="00FD1B8A" w:rsidRPr="003F60D2" w:rsidRDefault="00FD1B8A" w:rsidP="006B3E35">
            <w:pPr>
              <w:spacing w:line="360" w:lineRule="atLeast"/>
              <w:rPr>
                <w:rFonts w:asciiTheme="minorHAnsi" w:hAnsiTheme="minorHAnsi"/>
              </w:rPr>
            </w:pPr>
          </w:p>
          <w:p w14:paraId="50EB6B50" w14:textId="77777777" w:rsidR="006B3E35" w:rsidRPr="003F60D2" w:rsidRDefault="006B3E35" w:rsidP="006B3E35">
            <w:pPr>
              <w:pStyle w:val="ListParagraph"/>
              <w:numPr>
                <w:ilvl w:val="0"/>
                <w:numId w:val="49"/>
              </w:numPr>
              <w:spacing w:line="360" w:lineRule="atLeast"/>
              <w:rPr>
                <w:rFonts w:asciiTheme="minorHAnsi" w:hAnsiTheme="minorHAnsi"/>
              </w:rPr>
            </w:pPr>
            <w:r w:rsidRPr="003F60D2">
              <w:rPr>
                <w:rFonts w:asciiTheme="minorHAnsi" w:hAnsiTheme="minorHAnsi"/>
              </w:rPr>
              <w:t xml:space="preserve">Current clinical and laboratory evidence of graft dysfunction where biopsy not available </w:t>
            </w:r>
          </w:p>
          <w:p w14:paraId="7280AF4E" w14:textId="6E6277D7" w:rsidR="006B3E35" w:rsidRDefault="006B3E35" w:rsidP="00FE4CD1">
            <w:pPr>
              <w:spacing w:line="360" w:lineRule="atLeast"/>
              <w:jc w:val="center"/>
              <w:rPr>
                <w:rFonts w:asciiTheme="minorHAnsi" w:hAnsiTheme="minorHAnsi"/>
              </w:rPr>
            </w:pPr>
            <w:r w:rsidRPr="003F60D2">
              <w:rPr>
                <w:rFonts w:asciiTheme="minorHAnsi" w:hAnsiTheme="minorHAnsi"/>
              </w:rPr>
              <w:t>OR</w:t>
            </w:r>
          </w:p>
          <w:p w14:paraId="742EC4BC" w14:textId="77777777" w:rsidR="00FD1B8A" w:rsidRPr="003F60D2" w:rsidRDefault="00FD1B8A" w:rsidP="00FE4CD1">
            <w:pPr>
              <w:spacing w:line="360" w:lineRule="atLeast"/>
              <w:jc w:val="center"/>
              <w:rPr>
                <w:rFonts w:asciiTheme="minorHAnsi" w:hAnsiTheme="minorHAnsi"/>
              </w:rPr>
            </w:pPr>
          </w:p>
          <w:p w14:paraId="4DD23BF8" w14:textId="1E283BC0" w:rsidR="006B3E35" w:rsidRPr="003F60D2" w:rsidRDefault="006B3E35" w:rsidP="006B3E35">
            <w:pPr>
              <w:pStyle w:val="ListParagraph"/>
              <w:numPr>
                <w:ilvl w:val="0"/>
                <w:numId w:val="49"/>
              </w:numPr>
              <w:spacing w:line="360" w:lineRule="atLeast"/>
              <w:rPr>
                <w:rFonts w:asciiTheme="minorHAnsi" w:hAnsiTheme="minorHAnsi"/>
              </w:rPr>
            </w:pPr>
            <w:r w:rsidRPr="003F60D2">
              <w:rPr>
                <w:rFonts w:asciiTheme="minorHAnsi" w:hAnsiTheme="minorHAnsi"/>
              </w:rPr>
              <w:t>Organ biopsy demonstrates antibody mediated rejection accor</w:t>
            </w:r>
            <w:r w:rsidR="00F157C8">
              <w:rPr>
                <w:rFonts w:asciiTheme="minorHAnsi" w:hAnsiTheme="minorHAnsi"/>
              </w:rPr>
              <w:t>ding to Banff or IHSLT criteria (Berry et al, 2005-2011)</w:t>
            </w:r>
          </w:p>
          <w:p w14:paraId="15538405" w14:textId="77777777" w:rsidR="006B3E35" w:rsidRDefault="006B3E35" w:rsidP="00FE4CD1">
            <w:pPr>
              <w:spacing w:line="360" w:lineRule="atLeast"/>
              <w:jc w:val="center"/>
              <w:rPr>
                <w:rFonts w:asciiTheme="minorHAnsi" w:hAnsiTheme="minorHAnsi"/>
              </w:rPr>
            </w:pPr>
            <w:r w:rsidRPr="003F60D2">
              <w:rPr>
                <w:rFonts w:asciiTheme="minorHAnsi" w:hAnsiTheme="minorHAnsi"/>
              </w:rPr>
              <w:t>OR</w:t>
            </w:r>
          </w:p>
          <w:p w14:paraId="2C34417D" w14:textId="77777777" w:rsidR="00FD1B8A" w:rsidRPr="003F60D2" w:rsidRDefault="00FD1B8A" w:rsidP="00FE4CD1">
            <w:pPr>
              <w:spacing w:line="360" w:lineRule="atLeast"/>
              <w:jc w:val="center"/>
              <w:rPr>
                <w:rFonts w:asciiTheme="minorHAnsi" w:hAnsiTheme="minorHAnsi"/>
              </w:rPr>
            </w:pPr>
          </w:p>
          <w:p w14:paraId="3FFC6F03" w14:textId="77777777" w:rsidR="006B3E35" w:rsidRPr="003F60D2" w:rsidRDefault="006B3E35" w:rsidP="006B3E35">
            <w:pPr>
              <w:pStyle w:val="ListParagraph"/>
              <w:numPr>
                <w:ilvl w:val="0"/>
                <w:numId w:val="49"/>
              </w:numPr>
              <w:spacing w:line="360" w:lineRule="atLeast"/>
              <w:rPr>
                <w:rFonts w:asciiTheme="minorHAnsi" w:hAnsiTheme="minorHAnsi"/>
              </w:rPr>
            </w:pPr>
            <w:r w:rsidRPr="003F60D2">
              <w:rPr>
                <w:rFonts w:asciiTheme="minorHAnsi" w:hAnsiTheme="minorHAnsi"/>
              </w:rPr>
              <w:t>There is a high clinical suspicion that it is antibody mediated rejection and evidence not yet available (one-off request in early period of acute rejection).</w:t>
            </w:r>
          </w:p>
          <w:p w14:paraId="523B8C99" w14:textId="77777777" w:rsidR="006B3E35" w:rsidRPr="003F60D2" w:rsidRDefault="006B3E35" w:rsidP="006B3E35">
            <w:pPr>
              <w:spacing w:line="360" w:lineRule="atLeast"/>
              <w:rPr>
                <w:rFonts w:asciiTheme="minorHAnsi" w:hAnsiTheme="minorHAnsi"/>
              </w:rPr>
            </w:pPr>
          </w:p>
          <w:p w14:paraId="518DA080" w14:textId="3081714E" w:rsidR="006B3E35" w:rsidRPr="00982E92" w:rsidRDefault="006B3E35" w:rsidP="006B3E35">
            <w:pPr>
              <w:spacing w:line="360" w:lineRule="atLeast"/>
              <w:rPr>
                <w:rFonts w:asciiTheme="minorHAnsi" w:hAnsiTheme="minorHAnsi"/>
                <w:b/>
                <w:color w:val="808080" w:themeColor="background1" w:themeShade="80"/>
              </w:rPr>
            </w:pPr>
            <w:r w:rsidRPr="00982E92">
              <w:rPr>
                <w:rFonts w:asciiTheme="minorHAnsi" w:hAnsiTheme="minorHAnsi"/>
                <w:b/>
                <w:color w:val="808080" w:themeColor="background1" w:themeShade="80"/>
              </w:rPr>
              <w:lastRenderedPageBreak/>
              <w:t xml:space="preserve">For </w:t>
            </w:r>
            <w:r w:rsidR="00560140" w:rsidRPr="00982E92">
              <w:rPr>
                <w:rFonts w:asciiTheme="minorHAnsi" w:hAnsiTheme="minorHAnsi"/>
                <w:b/>
                <w:color w:val="808080" w:themeColor="background1" w:themeShade="80"/>
              </w:rPr>
              <w:t>second</w:t>
            </w:r>
            <w:r w:rsidRPr="00982E92">
              <w:rPr>
                <w:rFonts w:asciiTheme="minorHAnsi" w:hAnsiTheme="minorHAnsi"/>
                <w:b/>
                <w:color w:val="808080" w:themeColor="background1" w:themeShade="80"/>
              </w:rPr>
              <w:t xml:space="preserve"> dose, Donor Specific </w:t>
            </w:r>
            <w:proofErr w:type="gramStart"/>
            <w:r w:rsidRPr="00982E92">
              <w:rPr>
                <w:rFonts w:asciiTheme="minorHAnsi" w:hAnsiTheme="minorHAnsi"/>
                <w:b/>
                <w:color w:val="808080" w:themeColor="background1" w:themeShade="80"/>
              </w:rPr>
              <w:t>Antibody(</w:t>
            </w:r>
            <w:proofErr w:type="spellStart"/>
            <w:proofErr w:type="gramEnd"/>
            <w:r w:rsidRPr="00982E92">
              <w:rPr>
                <w:rFonts w:asciiTheme="minorHAnsi" w:hAnsiTheme="minorHAnsi"/>
                <w:b/>
                <w:color w:val="808080" w:themeColor="background1" w:themeShade="80"/>
              </w:rPr>
              <w:t>ies</w:t>
            </w:r>
            <w:proofErr w:type="spellEnd"/>
            <w:r w:rsidRPr="00982E92">
              <w:rPr>
                <w:rFonts w:asciiTheme="minorHAnsi" w:hAnsiTheme="minorHAnsi"/>
                <w:b/>
                <w:color w:val="808080" w:themeColor="background1" w:themeShade="80"/>
              </w:rPr>
              <w:t>) must be proven and biopsy must be abnormal but may not yet be meeting all of the IHSLT</w:t>
            </w:r>
            <w:r w:rsidR="00F157C8" w:rsidRPr="00982E92">
              <w:rPr>
                <w:rFonts w:asciiTheme="minorHAnsi" w:hAnsiTheme="minorHAnsi"/>
                <w:b/>
                <w:color w:val="808080" w:themeColor="background1" w:themeShade="80"/>
              </w:rPr>
              <w:t xml:space="preserve"> (Berry et al, 2005-2011)</w:t>
            </w:r>
            <w:r w:rsidRPr="00982E92">
              <w:rPr>
                <w:rFonts w:asciiTheme="minorHAnsi" w:hAnsiTheme="minorHAnsi"/>
                <w:b/>
                <w:color w:val="808080" w:themeColor="background1" w:themeShade="80"/>
              </w:rPr>
              <w:t xml:space="preserve"> </w:t>
            </w:r>
            <w:r w:rsidR="00470187" w:rsidRPr="00982E92">
              <w:rPr>
                <w:rFonts w:asciiTheme="minorHAnsi" w:hAnsiTheme="minorHAnsi"/>
                <w:b/>
                <w:color w:val="808080" w:themeColor="background1" w:themeShade="80"/>
              </w:rPr>
              <w:t xml:space="preserve">diagnostic </w:t>
            </w:r>
            <w:r w:rsidRPr="00982E92">
              <w:rPr>
                <w:rFonts w:asciiTheme="minorHAnsi" w:hAnsiTheme="minorHAnsi"/>
                <w:b/>
                <w:color w:val="808080" w:themeColor="background1" w:themeShade="80"/>
              </w:rPr>
              <w:t xml:space="preserve">criteria. For subsequent doses, all IHSLT criteria on biopsy must be met. </w:t>
            </w:r>
            <w:r w:rsidR="00470187" w:rsidRPr="00982E92">
              <w:rPr>
                <w:rFonts w:asciiTheme="minorHAnsi" w:hAnsiTheme="minorHAnsi"/>
                <w:b/>
                <w:color w:val="808080" w:themeColor="background1" w:themeShade="80"/>
              </w:rPr>
              <w:t xml:space="preserve"> </w:t>
            </w:r>
          </w:p>
          <w:p w14:paraId="41531CF3" w14:textId="77777777" w:rsidR="006B3E35" w:rsidRPr="003F60D2" w:rsidRDefault="006B3E35" w:rsidP="006B3E35">
            <w:pPr>
              <w:spacing w:line="360" w:lineRule="atLeast"/>
              <w:rPr>
                <w:rFonts w:asciiTheme="minorHAnsi" w:hAnsiTheme="minorHAnsi"/>
                <w:i/>
              </w:rPr>
            </w:pPr>
          </w:p>
          <w:p w14:paraId="63748F4A" w14:textId="77777777" w:rsidR="001A0725" w:rsidRDefault="001A0725" w:rsidP="006B3E35">
            <w:pPr>
              <w:spacing w:line="360" w:lineRule="atLeast"/>
              <w:rPr>
                <w:rFonts w:asciiTheme="minorHAnsi" w:hAnsiTheme="minorHAnsi"/>
                <w:i/>
                <w:vertAlign w:val="superscript"/>
              </w:rPr>
            </w:pPr>
          </w:p>
          <w:p w14:paraId="7013E416" w14:textId="77777777" w:rsidR="00F157C8" w:rsidRDefault="00F157C8" w:rsidP="006B3E35">
            <w:pPr>
              <w:spacing w:line="360" w:lineRule="atLeast"/>
              <w:rPr>
                <w:rFonts w:asciiTheme="minorHAnsi" w:hAnsiTheme="minorHAnsi"/>
                <w:i/>
                <w:vertAlign w:val="superscript"/>
              </w:rPr>
            </w:pPr>
          </w:p>
          <w:p w14:paraId="46221F4C" w14:textId="77777777" w:rsidR="00F157C8" w:rsidRDefault="00F157C8" w:rsidP="006B3E35">
            <w:pPr>
              <w:spacing w:line="360" w:lineRule="atLeast"/>
              <w:rPr>
                <w:rFonts w:asciiTheme="minorHAnsi" w:hAnsiTheme="minorHAnsi"/>
                <w:i/>
                <w:vertAlign w:val="superscript"/>
              </w:rPr>
            </w:pPr>
          </w:p>
          <w:p w14:paraId="26177177" w14:textId="77777777" w:rsidR="00F157C8" w:rsidRDefault="00F157C8" w:rsidP="006B3E35">
            <w:pPr>
              <w:spacing w:line="360" w:lineRule="atLeast"/>
              <w:rPr>
                <w:rFonts w:asciiTheme="minorHAnsi" w:hAnsiTheme="minorHAnsi"/>
                <w:i/>
                <w:vertAlign w:val="superscript"/>
              </w:rPr>
            </w:pPr>
          </w:p>
          <w:p w14:paraId="6C68A750" w14:textId="77777777" w:rsidR="00F157C8" w:rsidRDefault="00F157C8" w:rsidP="006B3E35">
            <w:pPr>
              <w:spacing w:line="360" w:lineRule="atLeast"/>
              <w:rPr>
                <w:rFonts w:asciiTheme="minorHAnsi" w:hAnsiTheme="minorHAnsi"/>
                <w:i/>
                <w:vertAlign w:val="superscript"/>
              </w:rPr>
            </w:pPr>
          </w:p>
          <w:p w14:paraId="05E7940A" w14:textId="77777777" w:rsidR="00F157C8" w:rsidRDefault="00F157C8" w:rsidP="006B3E35">
            <w:pPr>
              <w:spacing w:line="360" w:lineRule="atLeast"/>
              <w:rPr>
                <w:rFonts w:asciiTheme="minorHAnsi" w:hAnsiTheme="minorHAnsi"/>
              </w:rPr>
            </w:pPr>
          </w:p>
          <w:p w14:paraId="54198006" w14:textId="77777777" w:rsidR="00FD1B8A" w:rsidRDefault="00FD1B8A" w:rsidP="006B3E35">
            <w:pPr>
              <w:spacing w:line="360" w:lineRule="atLeast"/>
              <w:rPr>
                <w:rFonts w:asciiTheme="minorHAnsi" w:hAnsiTheme="minorHAnsi"/>
              </w:rPr>
            </w:pPr>
          </w:p>
          <w:p w14:paraId="71514BB4" w14:textId="77777777" w:rsidR="00FD1B8A" w:rsidRDefault="00FD1B8A" w:rsidP="006B3E35">
            <w:pPr>
              <w:spacing w:line="360" w:lineRule="atLeast"/>
              <w:rPr>
                <w:rFonts w:asciiTheme="minorHAnsi" w:hAnsiTheme="minorHAnsi"/>
              </w:rPr>
            </w:pPr>
          </w:p>
          <w:p w14:paraId="096D0313" w14:textId="77777777" w:rsidR="00FD1B8A" w:rsidRDefault="00FD1B8A" w:rsidP="006B3E35">
            <w:pPr>
              <w:spacing w:line="360" w:lineRule="atLeast"/>
              <w:rPr>
                <w:rFonts w:asciiTheme="minorHAnsi" w:hAnsiTheme="minorHAnsi"/>
              </w:rPr>
            </w:pPr>
          </w:p>
          <w:p w14:paraId="5635DEA2" w14:textId="77777777" w:rsidR="00FD1B8A" w:rsidRPr="003F60D2" w:rsidRDefault="00FD1B8A" w:rsidP="00FD1B8A">
            <w:pPr>
              <w:spacing w:line="360" w:lineRule="atLeast"/>
              <w:rPr>
                <w:rFonts w:asciiTheme="minorHAnsi" w:hAnsiTheme="minorHAnsi"/>
                <w:b/>
              </w:rPr>
            </w:pPr>
            <w:r w:rsidRPr="003F60D2">
              <w:rPr>
                <w:rFonts w:asciiTheme="minorHAnsi" w:hAnsiTheme="minorHAnsi"/>
                <w:b/>
              </w:rPr>
              <w:t>Treatment or prevention of graft rejection where conventional immunosuppressive therapies is contraindicated or pose a threat to the graft or patient</w:t>
            </w:r>
          </w:p>
          <w:p w14:paraId="5DE74B71" w14:textId="77777777" w:rsidR="00FD1B8A" w:rsidRDefault="00FD1B8A" w:rsidP="006B3E35">
            <w:pPr>
              <w:spacing w:line="360" w:lineRule="atLeast"/>
              <w:rPr>
                <w:rFonts w:asciiTheme="minorHAnsi" w:hAnsiTheme="minorHAnsi"/>
              </w:rPr>
            </w:pPr>
          </w:p>
          <w:p w14:paraId="342F4985" w14:textId="569BD14B" w:rsidR="00FD1B8A" w:rsidRPr="00FE4CD1" w:rsidRDefault="00FD1B8A" w:rsidP="00FE4CD1">
            <w:pPr>
              <w:pStyle w:val="ListParagraph"/>
              <w:numPr>
                <w:ilvl w:val="0"/>
                <w:numId w:val="50"/>
              </w:numPr>
              <w:spacing w:line="360" w:lineRule="atLeast"/>
              <w:rPr>
                <w:rFonts w:asciiTheme="minorHAnsi" w:hAnsiTheme="minorHAnsi"/>
              </w:rPr>
            </w:pPr>
            <w:r w:rsidRPr="00FE4CD1">
              <w:rPr>
                <w:rFonts w:asciiTheme="minorHAnsi" w:hAnsiTheme="minorHAnsi"/>
              </w:rPr>
              <w:t>Conventional immunosuppressive therapy is contraindicated and the reason is provided.</w:t>
            </w:r>
          </w:p>
          <w:p w14:paraId="00559305" w14:textId="77777777" w:rsidR="00624E82" w:rsidRPr="00624E82" w:rsidRDefault="00624E82" w:rsidP="00FE4CD1">
            <w:pPr>
              <w:rPr>
                <w:rFonts w:asciiTheme="minorHAnsi" w:hAnsiTheme="minorHAnsi"/>
              </w:rPr>
            </w:pPr>
          </w:p>
        </w:tc>
        <w:tc>
          <w:tcPr>
            <w:tcW w:w="4394" w:type="dxa"/>
          </w:tcPr>
          <w:p w14:paraId="10703442" w14:textId="13D4E703" w:rsidR="00FD1B8A" w:rsidRDefault="00282F66" w:rsidP="00FD3845">
            <w:pPr>
              <w:tabs>
                <w:tab w:val="left" w:pos="283"/>
              </w:tabs>
              <w:ind w:left="-77"/>
              <w:rPr>
                <w:szCs w:val="20"/>
              </w:rPr>
            </w:pPr>
            <w:r w:rsidRPr="009208EC">
              <w:rPr>
                <w:szCs w:val="20"/>
              </w:rPr>
              <w:lastRenderedPageBreak/>
              <w:t xml:space="preserve"> </w:t>
            </w:r>
            <w:r w:rsidR="00DC147D">
              <w:rPr>
                <w:szCs w:val="20"/>
              </w:rPr>
              <w:t xml:space="preserve">The </w:t>
            </w:r>
            <w:r w:rsidR="00C16E62">
              <w:rPr>
                <w:szCs w:val="20"/>
              </w:rPr>
              <w:t xml:space="preserve">first indication has been revised to be </w:t>
            </w:r>
            <w:r w:rsidR="00DC147D">
              <w:rPr>
                <w:szCs w:val="20"/>
              </w:rPr>
              <w:t xml:space="preserve">consistent with </w:t>
            </w:r>
            <w:r w:rsidR="00C16E62">
              <w:rPr>
                <w:szCs w:val="20"/>
              </w:rPr>
              <w:t xml:space="preserve">the changes to </w:t>
            </w:r>
            <w:r w:rsidR="00DC147D">
              <w:rPr>
                <w:szCs w:val="20"/>
              </w:rPr>
              <w:t>kidney transplantation</w:t>
            </w:r>
            <w:r w:rsidR="00FD1B8A">
              <w:rPr>
                <w:szCs w:val="20"/>
              </w:rPr>
              <w:t xml:space="preserve"> </w:t>
            </w:r>
            <w:r w:rsidR="002F5509">
              <w:rPr>
                <w:szCs w:val="20"/>
              </w:rPr>
              <w:t xml:space="preserve">and now </w:t>
            </w:r>
            <w:r w:rsidR="00FD1B8A">
              <w:rPr>
                <w:szCs w:val="20"/>
              </w:rPr>
              <w:t>require a higher barrier to entry for the level of antibody</w:t>
            </w:r>
            <w:r w:rsidR="00C16E62">
              <w:rPr>
                <w:szCs w:val="20"/>
              </w:rPr>
              <w:t xml:space="preserve"> for access to ongoing therapy</w:t>
            </w:r>
            <w:r w:rsidR="00DC147D">
              <w:rPr>
                <w:szCs w:val="20"/>
              </w:rPr>
              <w:t>.</w:t>
            </w:r>
            <w:r w:rsidR="00FD1B8A">
              <w:rPr>
                <w:szCs w:val="20"/>
              </w:rPr>
              <w:t xml:space="preserve"> </w:t>
            </w:r>
          </w:p>
          <w:p w14:paraId="5745624B" w14:textId="77777777" w:rsidR="00FD1B8A" w:rsidRDefault="00FD1B8A" w:rsidP="00FD3845">
            <w:pPr>
              <w:tabs>
                <w:tab w:val="left" w:pos="283"/>
              </w:tabs>
              <w:ind w:left="-77"/>
              <w:rPr>
                <w:szCs w:val="20"/>
              </w:rPr>
            </w:pPr>
          </w:p>
          <w:p w14:paraId="1BD8C684" w14:textId="77777777" w:rsidR="00FD1B8A" w:rsidRDefault="00FD1B8A" w:rsidP="00FD3845">
            <w:pPr>
              <w:tabs>
                <w:tab w:val="left" w:pos="283"/>
              </w:tabs>
              <w:ind w:left="-77"/>
              <w:rPr>
                <w:szCs w:val="20"/>
              </w:rPr>
            </w:pPr>
          </w:p>
          <w:p w14:paraId="664485AD" w14:textId="77777777" w:rsidR="00FD1B8A" w:rsidRDefault="00FD1B8A" w:rsidP="00FD3845">
            <w:pPr>
              <w:tabs>
                <w:tab w:val="left" w:pos="283"/>
              </w:tabs>
              <w:ind w:left="-77"/>
              <w:rPr>
                <w:szCs w:val="20"/>
              </w:rPr>
            </w:pPr>
          </w:p>
          <w:p w14:paraId="6DC921E0" w14:textId="77777777" w:rsidR="00FD1B8A" w:rsidRDefault="00FD1B8A" w:rsidP="00FD3845">
            <w:pPr>
              <w:tabs>
                <w:tab w:val="left" w:pos="283"/>
              </w:tabs>
              <w:ind w:left="-77"/>
              <w:rPr>
                <w:szCs w:val="20"/>
              </w:rPr>
            </w:pPr>
          </w:p>
          <w:p w14:paraId="58257B05" w14:textId="77777777" w:rsidR="00FD1B8A" w:rsidRDefault="00FD1B8A" w:rsidP="00FD3845">
            <w:pPr>
              <w:tabs>
                <w:tab w:val="left" w:pos="283"/>
              </w:tabs>
              <w:ind w:left="-77"/>
              <w:rPr>
                <w:szCs w:val="20"/>
              </w:rPr>
            </w:pPr>
          </w:p>
          <w:p w14:paraId="30ED5758" w14:textId="77777777" w:rsidR="00FD1B8A" w:rsidRDefault="00FD1B8A" w:rsidP="00FD3845">
            <w:pPr>
              <w:tabs>
                <w:tab w:val="left" w:pos="283"/>
              </w:tabs>
              <w:ind w:left="-77"/>
              <w:rPr>
                <w:szCs w:val="20"/>
              </w:rPr>
            </w:pPr>
          </w:p>
          <w:p w14:paraId="1C3C8D5C" w14:textId="77777777" w:rsidR="00FD1B8A" w:rsidRDefault="00FD1B8A" w:rsidP="00FD3845">
            <w:pPr>
              <w:tabs>
                <w:tab w:val="left" w:pos="283"/>
              </w:tabs>
              <w:ind w:left="-77"/>
              <w:rPr>
                <w:szCs w:val="20"/>
              </w:rPr>
            </w:pPr>
          </w:p>
          <w:p w14:paraId="5A07B359" w14:textId="77777777" w:rsidR="00FD1B8A" w:rsidRDefault="00FD1B8A" w:rsidP="00FD3845">
            <w:pPr>
              <w:tabs>
                <w:tab w:val="left" w:pos="283"/>
              </w:tabs>
              <w:ind w:left="-77"/>
              <w:rPr>
                <w:szCs w:val="20"/>
              </w:rPr>
            </w:pPr>
          </w:p>
          <w:p w14:paraId="74784E9F" w14:textId="77777777" w:rsidR="00FD1B8A" w:rsidRDefault="00FD1B8A" w:rsidP="00FD3845">
            <w:pPr>
              <w:tabs>
                <w:tab w:val="left" w:pos="283"/>
              </w:tabs>
              <w:ind w:left="-77"/>
              <w:rPr>
                <w:szCs w:val="20"/>
              </w:rPr>
            </w:pPr>
          </w:p>
          <w:p w14:paraId="466D1C2D" w14:textId="77777777" w:rsidR="00FD1B8A" w:rsidRDefault="00FD1B8A" w:rsidP="00FD3845">
            <w:pPr>
              <w:tabs>
                <w:tab w:val="left" w:pos="283"/>
              </w:tabs>
              <w:ind w:left="-77"/>
              <w:rPr>
                <w:szCs w:val="20"/>
              </w:rPr>
            </w:pPr>
          </w:p>
          <w:p w14:paraId="62DED245" w14:textId="77777777" w:rsidR="00FD1B8A" w:rsidRDefault="00FD1B8A" w:rsidP="00FD3845">
            <w:pPr>
              <w:tabs>
                <w:tab w:val="left" w:pos="283"/>
              </w:tabs>
              <w:ind w:left="-77"/>
              <w:rPr>
                <w:szCs w:val="20"/>
              </w:rPr>
            </w:pPr>
          </w:p>
          <w:p w14:paraId="19359ECC" w14:textId="77777777" w:rsidR="00FD1B8A" w:rsidRDefault="00FD1B8A" w:rsidP="00FD3845">
            <w:pPr>
              <w:tabs>
                <w:tab w:val="left" w:pos="283"/>
              </w:tabs>
              <w:ind w:left="-77"/>
              <w:rPr>
                <w:szCs w:val="20"/>
              </w:rPr>
            </w:pPr>
          </w:p>
          <w:p w14:paraId="2D6776A9" w14:textId="3678E4D3" w:rsidR="00FD1B8A" w:rsidRDefault="00FD1B8A" w:rsidP="005F79EE">
            <w:pPr>
              <w:tabs>
                <w:tab w:val="left" w:pos="283"/>
              </w:tabs>
              <w:rPr>
                <w:szCs w:val="20"/>
              </w:rPr>
            </w:pPr>
            <w:r>
              <w:rPr>
                <w:szCs w:val="20"/>
              </w:rPr>
              <w:lastRenderedPageBreak/>
              <w:t>Criteria for the second two indications are unchanged</w:t>
            </w:r>
            <w:r w:rsidR="00470187">
              <w:rPr>
                <w:szCs w:val="20"/>
              </w:rPr>
              <w:t xml:space="preserve"> from 2015</w:t>
            </w:r>
            <w:r>
              <w:rPr>
                <w:szCs w:val="20"/>
              </w:rPr>
              <w:t xml:space="preserve">. </w:t>
            </w:r>
          </w:p>
          <w:p w14:paraId="753FF341" w14:textId="77777777" w:rsidR="00FD1B8A" w:rsidRDefault="00FD1B8A" w:rsidP="00FD3845">
            <w:pPr>
              <w:tabs>
                <w:tab w:val="left" w:pos="283"/>
              </w:tabs>
              <w:ind w:left="-77"/>
              <w:rPr>
                <w:szCs w:val="20"/>
              </w:rPr>
            </w:pPr>
          </w:p>
          <w:p w14:paraId="6DF5CA41" w14:textId="77D062EE" w:rsidR="00D95517" w:rsidRDefault="00DC147D" w:rsidP="00FD3845">
            <w:pPr>
              <w:tabs>
                <w:tab w:val="left" w:pos="283"/>
              </w:tabs>
              <w:ind w:left="-77"/>
              <w:rPr>
                <w:rFonts w:asciiTheme="minorHAnsi" w:hAnsiTheme="minorHAnsi"/>
                <w:sz w:val="24"/>
                <w:szCs w:val="24"/>
              </w:rPr>
            </w:pPr>
            <w:r>
              <w:rPr>
                <w:szCs w:val="20"/>
              </w:rPr>
              <w:t xml:space="preserve"> </w:t>
            </w:r>
          </w:p>
          <w:p w14:paraId="095D1C99" w14:textId="77777777" w:rsidR="00D95517" w:rsidRPr="00C92149" w:rsidRDefault="00D95517" w:rsidP="008515FF">
            <w:pPr>
              <w:spacing w:before="120" w:after="120"/>
              <w:rPr>
                <w:rFonts w:asciiTheme="minorHAnsi" w:hAnsiTheme="minorHAnsi"/>
                <w:szCs w:val="20"/>
              </w:rPr>
            </w:pPr>
          </w:p>
          <w:p w14:paraId="541EDA8B" w14:textId="77777777" w:rsidR="00880ECB" w:rsidRPr="00C92149" w:rsidRDefault="00880ECB" w:rsidP="003A1F9D">
            <w:pPr>
              <w:spacing w:before="120" w:after="120"/>
              <w:rPr>
                <w:rFonts w:asciiTheme="minorHAnsi" w:hAnsiTheme="minorHAnsi"/>
                <w:szCs w:val="20"/>
              </w:rPr>
            </w:pPr>
          </w:p>
        </w:tc>
      </w:tr>
      <w:tr w:rsidR="00021243" w:rsidRPr="00853117" w14:paraId="7749F69C" w14:textId="77777777" w:rsidTr="003A7E5D">
        <w:tc>
          <w:tcPr>
            <w:tcW w:w="1560" w:type="dxa"/>
            <w:shd w:val="clear" w:color="auto" w:fill="D9D9D9" w:themeFill="background1" w:themeFillShade="D9"/>
          </w:tcPr>
          <w:p w14:paraId="721B14F8" w14:textId="3B917BC1" w:rsidR="00021243" w:rsidRPr="00447869" w:rsidRDefault="00021243" w:rsidP="00F91CA7">
            <w:pPr>
              <w:spacing w:before="120" w:after="120"/>
              <w:rPr>
                <w:rFonts w:asciiTheme="minorHAnsi" w:hAnsiTheme="minorHAnsi"/>
              </w:rPr>
            </w:pPr>
            <w:r w:rsidRPr="00447869">
              <w:rPr>
                <w:rFonts w:asciiTheme="minorHAnsi" w:hAnsiTheme="minorHAnsi"/>
                <w:b/>
              </w:rPr>
              <w:lastRenderedPageBreak/>
              <w:t>Review Criteria</w:t>
            </w:r>
          </w:p>
        </w:tc>
        <w:tc>
          <w:tcPr>
            <w:tcW w:w="3828" w:type="dxa"/>
          </w:tcPr>
          <w:p w14:paraId="14005965" w14:textId="77777777" w:rsidR="00021243" w:rsidRPr="003F60D2" w:rsidRDefault="00282F66" w:rsidP="003F60D2">
            <w:pPr>
              <w:spacing w:before="120" w:after="120"/>
              <w:rPr>
                <w:b/>
              </w:rPr>
            </w:pPr>
            <w:r>
              <w:rPr>
                <w:rFonts w:asciiTheme="minorHAnsi" w:hAnsiTheme="minorHAnsi"/>
              </w:rPr>
              <w:t xml:space="preserve"> </w:t>
            </w:r>
            <w:r w:rsidR="00D95517" w:rsidRPr="00D95517">
              <w:rPr>
                <w:rFonts w:asciiTheme="minorHAnsi" w:hAnsiTheme="minorHAnsi"/>
              </w:rPr>
              <w:t xml:space="preserve"> </w:t>
            </w:r>
            <w:r w:rsidR="003A7E5D" w:rsidRPr="00D95517">
              <w:rPr>
                <w:b/>
              </w:rPr>
              <w:t>No review is required for one-off dosing</w:t>
            </w:r>
          </w:p>
        </w:tc>
        <w:tc>
          <w:tcPr>
            <w:tcW w:w="4819" w:type="dxa"/>
            <w:gridSpan w:val="3"/>
          </w:tcPr>
          <w:p w14:paraId="4E7B19B7" w14:textId="77777777" w:rsidR="00FD1B8A" w:rsidRPr="00FF49BE" w:rsidRDefault="00282F66" w:rsidP="00FD1B8A">
            <w:pPr>
              <w:spacing w:before="120" w:after="120"/>
              <w:rPr>
                <w:rFonts w:asciiTheme="minorHAnsi" w:eastAsia="Times New Roman" w:hAnsiTheme="minorHAnsi" w:cs="Times New Roman"/>
                <w:b/>
                <w:color w:val="000000"/>
                <w:lang w:eastAsia="en-AU"/>
              </w:rPr>
            </w:pPr>
            <w:r>
              <w:rPr>
                <w:b/>
              </w:rPr>
              <w:t xml:space="preserve"> </w:t>
            </w:r>
            <w:r w:rsidR="00FD1B8A" w:rsidRPr="00FF49BE">
              <w:rPr>
                <w:rFonts w:asciiTheme="minorHAnsi" w:eastAsia="Times New Roman" w:hAnsiTheme="minorHAnsi" w:cs="Times New Roman"/>
                <w:b/>
                <w:color w:val="000000"/>
                <w:lang w:eastAsia="en-AU"/>
              </w:rPr>
              <w:t xml:space="preserve">De-sensitisation of patients to improve the likelihood of transplantation </w:t>
            </w:r>
          </w:p>
          <w:p w14:paraId="1C791099" w14:textId="77777777" w:rsidR="00FD1B8A" w:rsidRPr="00FF49BE" w:rsidRDefault="00FD1B8A" w:rsidP="00FD1B8A">
            <w:pPr>
              <w:spacing w:before="120" w:after="120"/>
              <w:rPr>
                <w:rFonts w:asciiTheme="minorHAnsi" w:eastAsia="Times New Roman" w:hAnsiTheme="minorHAnsi" w:cs="Times New Roman"/>
                <w:color w:val="000000"/>
                <w:lang w:eastAsia="en-AU"/>
              </w:rPr>
            </w:pPr>
            <w:r w:rsidRPr="00FF49BE">
              <w:rPr>
                <w:rFonts w:asciiTheme="minorHAnsi" w:eastAsia="Times New Roman" w:hAnsiTheme="minorHAnsi" w:cs="Times New Roman"/>
                <w:color w:val="000000"/>
                <w:lang w:eastAsia="en-AU"/>
              </w:rPr>
              <w:t xml:space="preserve">Review by a Transplantation Specialist is required within 2 months of treatment to determine whether the patient has responded. </w:t>
            </w:r>
            <w:r w:rsidRPr="00FF49BE">
              <w:rPr>
                <w:rFonts w:asciiTheme="minorHAnsi" w:hAnsiTheme="minorHAnsi"/>
              </w:rPr>
              <w:t>If no response, Ig therapy should be ceased. The maximum period of treatment is six months.</w:t>
            </w:r>
          </w:p>
          <w:p w14:paraId="7417CBD0" w14:textId="0C8E3AE2" w:rsidR="00FD1B8A" w:rsidRDefault="00FD1B8A" w:rsidP="00FD1B8A">
            <w:pPr>
              <w:spacing w:before="120" w:after="120"/>
              <w:rPr>
                <w:rFonts w:asciiTheme="minorHAnsi" w:eastAsia="Times New Roman" w:hAnsiTheme="minorHAnsi" w:cs="Times New Roman"/>
                <w:color w:val="000000"/>
                <w:lang w:eastAsia="en-AU"/>
              </w:rPr>
            </w:pPr>
            <w:r w:rsidRPr="00FF49BE">
              <w:rPr>
                <w:rFonts w:asciiTheme="minorHAnsi" w:eastAsia="Times New Roman" w:hAnsiTheme="minorHAnsi" w:cs="Times New Roman"/>
                <w:color w:val="000000"/>
                <w:lang w:eastAsia="en-AU"/>
              </w:rPr>
              <w:t xml:space="preserve">Documentation of clinical effectiveness is </w:t>
            </w:r>
            <w:r w:rsidR="00E240E1">
              <w:rPr>
                <w:rFonts w:asciiTheme="minorHAnsi" w:eastAsia="Times New Roman" w:hAnsiTheme="minorHAnsi" w:cs="Times New Roman"/>
                <w:color w:val="000000"/>
                <w:lang w:eastAsia="en-AU"/>
              </w:rPr>
              <w:t xml:space="preserve">necessary for continuation of </w:t>
            </w:r>
            <w:r w:rsidRPr="00FF49BE">
              <w:rPr>
                <w:rFonts w:asciiTheme="minorHAnsi" w:eastAsia="Times New Roman" w:hAnsiTheme="minorHAnsi" w:cs="Times New Roman"/>
                <w:color w:val="000000"/>
                <w:lang w:eastAsia="en-AU"/>
              </w:rPr>
              <w:t xml:space="preserve">Ig therapy.  </w:t>
            </w:r>
          </w:p>
          <w:p w14:paraId="331FCA3B" w14:textId="77777777" w:rsidR="00FD1B8A" w:rsidRDefault="00FD1B8A" w:rsidP="00FD1B8A">
            <w:pPr>
              <w:spacing w:before="120" w:after="120"/>
              <w:rPr>
                <w:rFonts w:asciiTheme="minorHAnsi" w:eastAsia="Times New Roman" w:hAnsiTheme="minorHAnsi" w:cs="Times New Roman"/>
                <w:color w:val="000000"/>
                <w:lang w:eastAsia="en-AU"/>
              </w:rPr>
            </w:pPr>
          </w:p>
          <w:p w14:paraId="6B7E8463" w14:textId="6A0E36A1" w:rsidR="00FD1B8A" w:rsidRPr="00FF49BE" w:rsidRDefault="00FD1B8A" w:rsidP="00FD1B8A">
            <w:pPr>
              <w:spacing w:before="120" w:after="120"/>
              <w:rPr>
                <w:rFonts w:asciiTheme="minorHAnsi" w:eastAsia="Times New Roman" w:hAnsiTheme="minorHAnsi" w:cs="Times New Roman"/>
                <w:b/>
                <w:color w:val="000000"/>
                <w:lang w:eastAsia="en-AU"/>
              </w:rPr>
            </w:pPr>
            <w:r w:rsidRPr="00FF49BE">
              <w:rPr>
                <w:rFonts w:asciiTheme="minorHAnsi" w:eastAsia="Times New Roman" w:hAnsiTheme="minorHAnsi" w:cs="Times New Roman"/>
                <w:b/>
                <w:color w:val="000000"/>
                <w:lang w:eastAsia="en-AU"/>
              </w:rPr>
              <w:t xml:space="preserve">On review of the </w:t>
            </w:r>
            <w:r w:rsidR="000A04DE">
              <w:rPr>
                <w:rFonts w:asciiTheme="minorHAnsi" w:eastAsia="Times New Roman" w:hAnsiTheme="minorHAnsi" w:cs="Times New Roman"/>
                <w:b/>
                <w:color w:val="000000"/>
                <w:lang w:eastAsia="en-AU"/>
              </w:rPr>
              <w:t xml:space="preserve">initial </w:t>
            </w:r>
            <w:r w:rsidRPr="00FF49BE">
              <w:rPr>
                <w:rFonts w:asciiTheme="minorHAnsi" w:eastAsia="Times New Roman" w:hAnsiTheme="minorHAnsi" w:cs="Times New Roman"/>
                <w:b/>
                <w:color w:val="000000"/>
                <w:lang w:eastAsia="en-AU"/>
              </w:rPr>
              <w:t>authorisation period</w:t>
            </w:r>
          </w:p>
          <w:p w14:paraId="6FA9BCC1" w14:textId="77777777" w:rsidR="00FD1B8A" w:rsidRPr="00FF49BE" w:rsidRDefault="00FD1B8A" w:rsidP="00FD1B8A">
            <w:pPr>
              <w:spacing w:before="120" w:after="120"/>
              <w:rPr>
                <w:rFonts w:asciiTheme="minorHAnsi" w:eastAsia="Times New Roman" w:hAnsiTheme="minorHAnsi" w:cs="Times New Roman"/>
                <w:color w:val="000000"/>
                <w:lang w:eastAsia="en-AU"/>
              </w:rPr>
            </w:pPr>
            <w:r w:rsidRPr="00FF49BE">
              <w:rPr>
                <w:rFonts w:asciiTheme="minorHAnsi" w:eastAsia="Times New Roman" w:hAnsiTheme="minorHAnsi" w:cs="Times New Roman"/>
                <w:color w:val="000000"/>
                <w:lang w:eastAsia="en-AU"/>
              </w:rPr>
              <w:t xml:space="preserve">Clinical effectiveness of Ig therapy can be demonstrated by: </w:t>
            </w:r>
          </w:p>
          <w:p w14:paraId="5DBB1C71" w14:textId="77777777" w:rsidR="00FD1B8A" w:rsidRPr="00FF49BE" w:rsidRDefault="00FD1B8A" w:rsidP="00FD1B8A">
            <w:pPr>
              <w:pStyle w:val="ListParagraph"/>
              <w:numPr>
                <w:ilvl w:val="0"/>
                <w:numId w:val="51"/>
              </w:numPr>
              <w:rPr>
                <w:rFonts w:asciiTheme="minorHAnsi" w:hAnsiTheme="minorHAnsi"/>
                <w:lang w:eastAsia="en-AU"/>
              </w:rPr>
            </w:pPr>
            <w:r w:rsidRPr="00FF49BE">
              <w:rPr>
                <w:rFonts w:asciiTheme="minorHAnsi" w:hAnsiTheme="minorHAnsi"/>
                <w:lang w:eastAsia="en-AU"/>
              </w:rPr>
              <w:t>Reduction in the level of HLA Antibody(</w:t>
            </w:r>
            <w:proofErr w:type="spellStart"/>
            <w:r w:rsidRPr="00FF49BE">
              <w:rPr>
                <w:rFonts w:asciiTheme="minorHAnsi" w:hAnsiTheme="minorHAnsi"/>
                <w:lang w:eastAsia="en-AU"/>
              </w:rPr>
              <w:t>ies</w:t>
            </w:r>
            <w:proofErr w:type="spellEnd"/>
            <w:r w:rsidRPr="00FF49BE">
              <w:rPr>
                <w:rFonts w:asciiTheme="minorHAnsi" w:hAnsiTheme="minorHAnsi"/>
                <w:lang w:eastAsia="en-AU"/>
              </w:rPr>
              <w:t>) as demonstrated by a decrease in the MFI (or functional reactivity) compared to the qualifying assessment</w:t>
            </w:r>
          </w:p>
          <w:p w14:paraId="6E3EFD47" w14:textId="77777777" w:rsidR="00FD1B8A" w:rsidRPr="00FF49BE" w:rsidRDefault="00FD1B8A" w:rsidP="00FD1B8A">
            <w:pPr>
              <w:rPr>
                <w:rFonts w:asciiTheme="minorHAnsi" w:hAnsiTheme="minorHAnsi"/>
                <w:lang w:eastAsia="en-AU"/>
              </w:rPr>
            </w:pPr>
          </w:p>
          <w:p w14:paraId="01879205" w14:textId="77777777" w:rsidR="00FD1B8A" w:rsidRPr="00FF49BE" w:rsidRDefault="00FD1B8A" w:rsidP="00FD1B8A">
            <w:pPr>
              <w:ind w:left="23"/>
              <w:jc w:val="center"/>
              <w:rPr>
                <w:rFonts w:asciiTheme="minorHAnsi" w:hAnsiTheme="minorHAnsi"/>
                <w:lang w:eastAsia="en-AU"/>
              </w:rPr>
            </w:pPr>
            <w:r w:rsidRPr="00FF49BE">
              <w:rPr>
                <w:rFonts w:asciiTheme="minorHAnsi" w:hAnsiTheme="minorHAnsi"/>
                <w:lang w:eastAsia="en-AU"/>
              </w:rPr>
              <w:t>OR</w:t>
            </w:r>
          </w:p>
          <w:p w14:paraId="48F97BCB" w14:textId="77777777" w:rsidR="00FD1B8A" w:rsidRPr="00FF49BE" w:rsidRDefault="00FD1B8A" w:rsidP="00FD1B8A">
            <w:pPr>
              <w:ind w:left="23"/>
              <w:jc w:val="center"/>
              <w:rPr>
                <w:rFonts w:asciiTheme="minorHAnsi" w:hAnsiTheme="minorHAnsi"/>
                <w:lang w:eastAsia="en-AU"/>
              </w:rPr>
            </w:pPr>
          </w:p>
          <w:p w14:paraId="260EFA82" w14:textId="77777777" w:rsidR="00FD1B8A" w:rsidRPr="00FF49BE" w:rsidRDefault="00FD1B8A" w:rsidP="00FD1B8A">
            <w:pPr>
              <w:pStyle w:val="ListParagraph"/>
              <w:numPr>
                <w:ilvl w:val="0"/>
                <w:numId w:val="51"/>
              </w:numPr>
              <w:jc w:val="center"/>
              <w:rPr>
                <w:rFonts w:asciiTheme="minorHAnsi" w:hAnsiTheme="minorHAnsi"/>
                <w:lang w:eastAsia="en-AU"/>
              </w:rPr>
            </w:pPr>
            <w:r w:rsidRPr="00FF49BE">
              <w:rPr>
                <w:rFonts w:asciiTheme="minorHAnsi" w:hAnsiTheme="minorHAnsi"/>
                <w:lang w:eastAsia="en-AU"/>
              </w:rPr>
              <w:t>A reduction in non-HLA Ab, if relevant</w:t>
            </w:r>
          </w:p>
          <w:p w14:paraId="27AD116A" w14:textId="77777777" w:rsidR="00FD1B8A" w:rsidRPr="00FF49BE" w:rsidRDefault="00FD1B8A" w:rsidP="00FD1B8A">
            <w:pPr>
              <w:ind w:left="-1743"/>
              <w:jc w:val="center"/>
              <w:rPr>
                <w:rFonts w:asciiTheme="minorHAnsi" w:hAnsiTheme="minorHAnsi"/>
                <w:lang w:eastAsia="en-AU"/>
              </w:rPr>
            </w:pPr>
          </w:p>
          <w:p w14:paraId="3581CE39" w14:textId="77777777" w:rsidR="00FD1B8A" w:rsidRPr="00FF49BE" w:rsidRDefault="00FD1B8A" w:rsidP="00FD1B8A">
            <w:pPr>
              <w:spacing w:before="120" w:after="120"/>
              <w:rPr>
                <w:rFonts w:asciiTheme="minorHAnsi" w:eastAsia="Times New Roman" w:hAnsiTheme="minorHAnsi" w:cs="Times New Roman"/>
                <w:color w:val="000000"/>
                <w:lang w:eastAsia="en-AU"/>
              </w:rPr>
            </w:pPr>
            <w:r w:rsidRPr="00FF49BE">
              <w:rPr>
                <w:rFonts w:asciiTheme="minorHAnsi" w:eastAsia="Times New Roman" w:hAnsiTheme="minorHAnsi" w:cs="Times New Roman"/>
                <w:color w:val="000000"/>
                <w:lang w:eastAsia="en-AU"/>
              </w:rPr>
              <w:t xml:space="preserve">AND </w:t>
            </w:r>
          </w:p>
          <w:p w14:paraId="4FD13BD2" w14:textId="77777777" w:rsidR="00FD1B8A" w:rsidRPr="00FF49BE" w:rsidRDefault="00FD1B8A" w:rsidP="00FD1B8A">
            <w:pPr>
              <w:spacing w:before="120" w:after="120"/>
              <w:rPr>
                <w:rFonts w:asciiTheme="minorHAnsi" w:eastAsia="Times New Roman" w:hAnsiTheme="minorHAnsi" w:cs="Times New Roman"/>
                <w:color w:val="000000"/>
                <w:lang w:eastAsia="en-AU"/>
              </w:rPr>
            </w:pPr>
          </w:p>
          <w:p w14:paraId="28F0BC56" w14:textId="77777777" w:rsidR="00FD1B8A" w:rsidRPr="00FF49BE" w:rsidRDefault="00FD1B8A" w:rsidP="00FD1B8A">
            <w:pPr>
              <w:pStyle w:val="ListParagraph"/>
              <w:numPr>
                <w:ilvl w:val="0"/>
                <w:numId w:val="51"/>
              </w:numPr>
              <w:spacing w:before="120" w:after="120"/>
              <w:rPr>
                <w:rFonts w:asciiTheme="minorHAnsi" w:eastAsia="Times New Roman" w:hAnsiTheme="minorHAnsi" w:cs="Times New Roman"/>
                <w:color w:val="000000"/>
                <w:lang w:eastAsia="en-AU"/>
              </w:rPr>
            </w:pPr>
            <w:r w:rsidRPr="00FF49BE">
              <w:rPr>
                <w:rFonts w:asciiTheme="minorHAnsi" w:eastAsia="Times New Roman" w:hAnsiTheme="minorHAnsi" w:cs="Times New Roman"/>
                <w:color w:val="000000"/>
                <w:lang w:eastAsia="en-AU"/>
              </w:rPr>
              <w:lastRenderedPageBreak/>
              <w:t>Specific circumstances exist to justify treatment for a further course</w:t>
            </w:r>
          </w:p>
          <w:p w14:paraId="3675E8F0" w14:textId="77777777" w:rsidR="00FD1B8A" w:rsidRPr="00FF49BE" w:rsidRDefault="00FD1B8A" w:rsidP="00FD1B8A">
            <w:pPr>
              <w:spacing w:before="120" w:after="120"/>
              <w:jc w:val="center"/>
              <w:rPr>
                <w:rFonts w:asciiTheme="minorHAnsi" w:eastAsia="Times New Roman" w:hAnsiTheme="minorHAnsi" w:cs="Times New Roman"/>
                <w:color w:val="000000"/>
                <w:lang w:eastAsia="en-AU"/>
              </w:rPr>
            </w:pPr>
            <w:r w:rsidRPr="00FF49BE">
              <w:rPr>
                <w:rFonts w:asciiTheme="minorHAnsi" w:eastAsia="Times New Roman" w:hAnsiTheme="minorHAnsi" w:cs="Times New Roman"/>
                <w:color w:val="000000"/>
                <w:lang w:eastAsia="en-AU"/>
              </w:rPr>
              <w:t>OR</w:t>
            </w:r>
          </w:p>
          <w:p w14:paraId="647613C8" w14:textId="77777777" w:rsidR="00FD1B8A" w:rsidRPr="00FF49BE" w:rsidRDefault="00FD1B8A" w:rsidP="00FD1B8A">
            <w:pPr>
              <w:pStyle w:val="ListParagraph"/>
              <w:numPr>
                <w:ilvl w:val="0"/>
                <w:numId w:val="51"/>
              </w:numPr>
              <w:rPr>
                <w:lang w:eastAsia="en-AU"/>
              </w:rPr>
            </w:pPr>
            <w:r w:rsidRPr="00905667">
              <w:rPr>
                <w:lang w:eastAsia="en-AU"/>
              </w:rPr>
              <w:t>Th</w:t>
            </w:r>
            <w:r w:rsidRPr="00FF49BE">
              <w:rPr>
                <w:lang w:eastAsia="en-AU"/>
              </w:rPr>
              <w:t>e patient has received an organ</w:t>
            </w:r>
          </w:p>
          <w:p w14:paraId="20E1BC45" w14:textId="77777777" w:rsidR="00D95517" w:rsidRDefault="00D95517" w:rsidP="003A7E5D">
            <w:pPr>
              <w:spacing w:before="120" w:after="120"/>
              <w:rPr>
                <w:rFonts w:asciiTheme="minorHAnsi" w:hAnsiTheme="minorHAnsi"/>
              </w:rPr>
            </w:pPr>
          </w:p>
          <w:p w14:paraId="4E44235F" w14:textId="77777777" w:rsidR="00A95E5F" w:rsidRPr="00FD3845" w:rsidRDefault="00A95E5F" w:rsidP="00A95E5F">
            <w:pPr>
              <w:spacing w:before="120" w:after="120"/>
              <w:rPr>
                <w:rFonts w:asciiTheme="minorHAnsi" w:hAnsiTheme="minorHAnsi"/>
                <w:b/>
              </w:rPr>
            </w:pPr>
            <w:r w:rsidRPr="00FD3845">
              <w:rPr>
                <w:rFonts w:asciiTheme="minorHAnsi" w:hAnsiTheme="minorHAnsi"/>
                <w:b/>
              </w:rPr>
              <w:t xml:space="preserve">Post-transplant - acute anti-body mediated rejection </w:t>
            </w:r>
          </w:p>
          <w:p w14:paraId="026E9D98" w14:textId="77777777" w:rsidR="00A85A56" w:rsidRPr="00FA1C94" w:rsidRDefault="00A85A56" w:rsidP="00A85A56">
            <w:pPr>
              <w:spacing w:before="120" w:after="120"/>
              <w:rPr>
                <w:rFonts w:asciiTheme="minorHAnsi" w:hAnsiTheme="minorHAnsi"/>
              </w:rPr>
            </w:pPr>
            <w:r w:rsidRPr="00FA1C94">
              <w:rPr>
                <w:rFonts w:asciiTheme="minorHAnsi" w:hAnsiTheme="minorHAnsi"/>
              </w:rPr>
              <w:t>Review is not mandated for this indication however the following criteria may be useful in assessing the effectiveness of therapy.</w:t>
            </w:r>
          </w:p>
          <w:p w14:paraId="68A09167" w14:textId="77777777" w:rsidR="00A85A56" w:rsidRPr="00FA1C94" w:rsidRDefault="00A85A56" w:rsidP="00A85A56">
            <w:pPr>
              <w:spacing w:before="120" w:after="120"/>
              <w:rPr>
                <w:rFonts w:asciiTheme="minorHAnsi" w:hAnsiTheme="minorHAnsi"/>
              </w:rPr>
            </w:pPr>
            <w:r w:rsidRPr="00FA1C94">
              <w:rPr>
                <w:rFonts w:asciiTheme="minorHAnsi" w:hAnsiTheme="minorHAnsi"/>
              </w:rPr>
              <w:t xml:space="preserve">Clinical effectiveness of Ig therapy may be demonstrated by: </w:t>
            </w:r>
          </w:p>
          <w:p w14:paraId="72F71DAB" w14:textId="77777777" w:rsidR="00A85A56" w:rsidRPr="00FA1C94" w:rsidRDefault="00A85A56" w:rsidP="00A85A56">
            <w:pPr>
              <w:pStyle w:val="ListParagraph"/>
              <w:numPr>
                <w:ilvl w:val="0"/>
                <w:numId w:val="52"/>
              </w:numPr>
              <w:spacing w:before="120" w:after="120"/>
              <w:rPr>
                <w:rFonts w:asciiTheme="minorHAnsi" w:hAnsiTheme="minorHAnsi"/>
              </w:rPr>
            </w:pPr>
            <w:r w:rsidRPr="00FA1C94">
              <w:rPr>
                <w:rFonts w:asciiTheme="minorHAnsi" w:hAnsiTheme="minorHAnsi"/>
              </w:rPr>
              <w:t>Reduction in antibody level</w:t>
            </w:r>
          </w:p>
          <w:p w14:paraId="0D3A26A1" w14:textId="77777777" w:rsidR="00A85A56" w:rsidRPr="00FA1C94" w:rsidRDefault="00A85A56" w:rsidP="00A85A56">
            <w:pPr>
              <w:pStyle w:val="ListParagraph"/>
              <w:numPr>
                <w:ilvl w:val="0"/>
                <w:numId w:val="52"/>
              </w:numPr>
              <w:spacing w:before="120" w:after="120"/>
              <w:rPr>
                <w:rFonts w:asciiTheme="minorHAnsi" w:hAnsiTheme="minorHAnsi"/>
              </w:rPr>
            </w:pPr>
            <w:r w:rsidRPr="00FA1C94">
              <w:rPr>
                <w:rFonts w:asciiTheme="minorHAnsi" w:hAnsiTheme="minorHAnsi"/>
              </w:rPr>
              <w:t xml:space="preserve">Reduction in evidence of graft rejection on biopsy </w:t>
            </w:r>
          </w:p>
          <w:p w14:paraId="0AE8AB8F" w14:textId="77777777" w:rsidR="00A85A56" w:rsidRPr="00FA1C94" w:rsidRDefault="00A85A56" w:rsidP="00A85A56">
            <w:pPr>
              <w:pStyle w:val="ListParagraph"/>
              <w:numPr>
                <w:ilvl w:val="0"/>
                <w:numId w:val="52"/>
              </w:numPr>
              <w:spacing w:before="120" w:after="120"/>
              <w:rPr>
                <w:rFonts w:asciiTheme="minorHAnsi" w:hAnsiTheme="minorHAnsi"/>
              </w:rPr>
            </w:pPr>
            <w:r w:rsidRPr="00FA1C94">
              <w:rPr>
                <w:rFonts w:asciiTheme="minorHAnsi" w:hAnsiTheme="minorHAnsi"/>
              </w:rPr>
              <w:t>Improvement in graft function</w:t>
            </w:r>
          </w:p>
          <w:p w14:paraId="270DCB1B" w14:textId="77777777" w:rsidR="00A95E5F" w:rsidRPr="00FD3845" w:rsidRDefault="00A95E5F" w:rsidP="00A95E5F">
            <w:pPr>
              <w:spacing w:before="120" w:after="120"/>
              <w:rPr>
                <w:rFonts w:asciiTheme="minorHAnsi" w:hAnsiTheme="minorHAnsi"/>
                <w:b/>
              </w:rPr>
            </w:pPr>
          </w:p>
          <w:p w14:paraId="4A55E3B0" w14:textId="57358B3F" w:rsidR="00A95E5F" w:rsidRDefault="00A95E5F" w:rsidP="00A95E5F">
            <w:pPr>
              <w:spacing w:before="120" w:after="120"/>
              <w:rPr>
                <w:rFonts w:asciiTheme="minorHAnsi" w:hAnsiTheme="minorHAnsi"/>
              </w:rPr>
            </w:pPr>
            <w:r w:rsidRPr="00FD3845">
              <w:rPr>
                <w:rFonts w:asciiTheme="minorHAnsi" w:hAnsiTheme="minorHAnsi"/>
                <w:b/>
              </w:rPr>
              <w:t>Treatment or prevention of graft rejection where conventional immunosuppressive therapies is contraindicated or pose a threat to the graft or patient</w:t>
            </w:r>
          </w:p>
          <w:p w14:paraId="019ED00F" w14:textId="77777777" w:rsidR="00A85A56" w:rsidRPr="00FA1C94" w:rsidRDefault="00A95E5F" w:rsidP="00A85A56">
            <w:pPr>
              <w:spacing w:before="120" w:after="120"/>
              <w:rPr>
                <w:rFonts w:asciiTheme="minorHAnsi" w:hAnsiTheme="minorHAnsi"/>
              </w:rPr>
            </w:pPr>
            <w:r w:rsidRPr="00FA1C94">
              <w:rPr>
                <w:rFonts w:asciiTheme="minorHAnsi" w:hAnsiTheme="minorHAnsi"/>
              </w:rPr>
              <w:t xml:space="preserve">Review is not mandated for this indication </w:t>
            </w:r>
            <w:r w:rsidR="00A85A56" w:rsidRPr="00FA1C94">
              <w:rPr>
                <w:rFonts w:asciiTheme="minorHAnsi" w:hAnsiTheme="minorHAnsi"/>
              </w:rPr>
              <w:t>however the following criteria may be useful in assessing the effectiveness of therapy.</w:t>
            </w:r>
          </w:p>
          <w:p w14:paraId="44A0767D" w14:textId="77777777" w:rsidR="00A85A56" w:rsidRPr="00FA1C94" w:rsidRDefault="00A85A56" w:rsidP="00A85A56">
            <w:pPr>
              <w:spacing w:before="120" w:after="120"/>
              <w:rPr>
                <w:rFonts w:asciiTheme="minorHAnsi" w:hAnsiTheme="minorHAnsi"/>
              </w:rPr>
            </w:pPr>
            <w:r w:rsidRPr="00FA1C94">
              <w:rPr>
                <w:rFonts w:asciiTheme="minorHAnsi" w:hAnsiTheme="minorHAnsi"/>
              </w:rPr>
              <w:t xml:space="preserve">Clinical effectiveness of Ig therapy may be </w:t>
            </w:r>
            <w:r w:rsidRPr="00FA1C94">
              <w:rPr>
                <w:rFonts w:asciiTheme="minorHAnsi" w:hAnsiTheme="minorHAnsi"/>
              </w:rPr>
              <w:lastRenderedPageBreak/>
              <w:t xml:space="preserve">demonstrated by: </w:t>
            </w:r>
          </w:p>
          <w:p w14:paraId="5AEE653D" w14:textId="0C225FD3" w:rsidR="00A85A56" w:rsidRPr="00FA1C94" w:rsidRDefault="00A85A56" w:rsidP="00A85A56">
            <w:pPr>
              <w:pStyle w:val="ListParagraph"/>
              <w:numPr>
                <w:ilvl w:val="0"/>
                <w:numId w:val="52"/>
              </w:numPr>
              <w:spacing w:before="120" w:after="120"/>
              <w:rPr>
                <w:rFonts w:asciiTheme="minorHAnsi" w:hAnsiTheme="minorHAnsi"/>
              </w:rPr>
            </w:pPr>
            <w:r w:rsidRPr="00FA1C94">
              <w:rPr>
                <w:rFonts w:asciiTheme="minorHAnsi" w:hAnsiTheme="minorHAnsi"/>
              </w:rPr>
              <w:t>Redu</w:t>
            </w:r>
            <w:r w:rsidR="00BB38AD">
              <w:rPr>
                <w:rFonts w:asciiTheme="minorHAnsi" w:hAnsiTheme="minorHAnsi"/>
              </w:rPr>
              <w:t>ction in evidence of rejection o</w:t>
            </w:r>
            <w:r w:rsidRPr="00FA1C94">
              <w:rPr>
                <w:rFonts w:asciiTheme="minorHAnsi" w:hAnsiTheme="minorHAnsi"/>
              </w:rPr>
              <w:t xml:space="preserve">n biopsy </w:t>
            </w:r>
          </w:p>
          <w:p w14:paraId="6C722F5C" w14:textId="032C515E" w:rsidR="00FD1B8A" w:rsidRPr="005F79EE" w:rsidRDefault="00A85A56" w:rsidP="00A85A56">
            <w:pPr>
              <w:pStyle w:val="ListParagraph"/>
              <w:numPr>
                <w:ilvl w:val="0"/>
                <w:numId w:val="52"/>
              </w:numPr>
              <w:spacing w:before="120" w:after="120"/>
              <w:rPr>
                <w:rFonts w:asciiTheme="minorHAnsi" w:hAnsiTheme="minorHAnsi"/>
              </w:rPr>
            </w:pPr>
            <w:r w:rsidRPr="00FA1C94">
              <w:rPr>
                <w:rFonts w:asciiTheme="minorHAnsi" w:hAnsiTheme="minorHAnsi"/>
              </w:rPr>
              <w:t>Improvement in graft function</w:t>
            </w:r>
          </w:p>
        </w:tc>
        <w:tc>
          <w:tcPr>
            <w:tcW w:w="4394" w:type="dxa"/>
          </w:tcPr>
          <w:p w14:paraId="44DA1C23" w14:textId="77777777" w:rsidR="00860052" w:rsidRDefault="00282F66" w:rsidP="00021243">
            <w:pPr>
              <w:spacing w:before="120" w:after="120"/>
              <w:rPr>
                <w:szCs w:val="20"/>
              </w:rPr>
            </w:pPr>
            <w:r w:rsidRPr="009208EC">
              <w:rPr>
                <w:szCs w:val="20"/>
              </w:rPr>
              <w:lastRenderedPageBreak/>
              <w:t xml:space="preserve"> </w:t>
            </w:r>
            <w:r w:rsidR="00FD1B8A">
              <w:rPr>
                <w:szCs w:val="20"/>
              </w:rPr>
              <w:t>After an initial authorisation period of two months</w:t>
            </w:r>
            <w:r w:rsidR="00860052">
              <w:rPr>
                <w:szCs w:val="20"/>
              </w:rPr>
              <w:t>, patient</w:t>
            </w:r>
            <w:r w:rsidR="00FD1B8A">
              <w:rPr>
                <w:szCs w:val="20"/>
              </w:rPr>
              <w:t>s</w:t>
            </w:r>
            <w:r w:rsidR="00860052">
              <w:rPr>
                <w:szCs w:val="20"/>
              </w:rPr>
              <w:t xml:space="preserve"> </w:t>
            </w:r>
            <w:r w:rsidR="00FD1B8A">
              <w:rPr>
                <w:szCs w:val="20"/>
              </w:rPr>
              <w:t xml:space="preserve">must demonstrate </w:t>
            </w:r>
            <w:r w:rsidR="00860052">
              <w:rPr>
                <w:szCs w:val="20"/>
              </w:rPr>
              <w:t xml:space="preserve">a clinical </w:t>
            </w:r>
            <w:r w:rsidR="00FD1B8A">
              <w:rPr>
                <w:szCs w:val="20"/>
              </w:rPr>
              <w:t>response to Ig therapy by either a reduc</w:t>
            </w:r>
            <w:r w:rsidR="00860052">
              <w:rPr>
                <w:szCs w:val="20"/>
              </w:rPr>
              <w:t>tio</w:t>
            </w:r>
            <w:r w:rsidR="00FD1B8A">
              <w:rPr>
                <w:szCs w:val="20"/>
              </w:rPr>
              <w:t>n in antibody lev</w:t>
            </w:r>
            <w:r w:rsidR="00860052">
              <w:rPr>
                <w:szCs w:val="20"/>
              </w:rPr>
              <w:t>e</w:t>
            </w:r>
            <w:r w:rsidR="00FD1B8A">
              <w:rPr>
                <w:szCs w:val="20"/>
              </w:rPr>
              <w:t xml:space="preserve">l or </w:t>
            </w:r>
            <w:r w:rsidR="00860052">
              <w:rPr>
                <w:szCs w:val="20"/>
              </w:rPr>
              <w:t xml:space="preserve">a </w:t>
            </w:r>
            <w:r w:rsidR="00FD1B8A">
              <w:rPr>
                <w:szCs w:val="20"/>
              </w:rPr>
              <w:t xml:space="preserve">measurable reduction in </w:t>
            </w:r>
            <w:r w:rsidR="00860052">
              <w:rPr>
                <w:szCs w:val="20"/>
              </w:rPr>
              <w:t xml:space="preserve">functional </w:t>
            </w:r>
            <w:r w:rsidR="00FD1B8A">
              <w:rPr>
                <w:szCs w:val="20"/>
              </w:rPr>
              <w:t>antibody reactivity. If this is demon</w:t>
            </w:r>
            <w:r w:rsidR="00860052">
              <w:rPr>
                <w:szCs w:val="20"/>
              </w:rPr>
              <w:t>strated, a further four months Ig therapy may be</w:t>
            </w:r>
            <w:r w:rsidR="00FD1B8A">
              <w:rPr>
                <w:szCs w:val="20"/>
              </w:rPr>
              <w:t xml:space="preserve"> authorised. </w:t>
            </w:r>
          </w:p>
          <w:p w14:paraId="738FDB0C" w14:textId="18340427" w:rsidR="00BD6C2D" w:rsidRDefault="00FD1B8A" w:rsidP="00021243">
            <w:pPr>
              <w:spacing w:before="120" w:after="120"/>
              <w:rPr>
                <w:szCs w:val="20"/>
              </w:rPr>
            </w:pPr>
            <w:r>
              <w:rPr>
                <w:szCs w:val="20"/>
              </w:rPr>
              <w:t xml:space="preserve">A total of six months treatment </w:t>
            </w:r>
            <w:r w:rsidR="00860052">
              <w:rPr>
                <w:szCs w:val="20"/>
              </w:rPr>
              <w:t xml:space="preserve">is available. </w:t>
            </w:r>
          </w:p>
          <w:p w14:paraId="6BA38D95" w14:textId="77777777" w:rsidR="00BC3961" w:rsidRPr="00C92149" w:rsidRDefault="00BC3961" w:rsidP="00021243">
            <w:pPr>
              <w:spacing w:before="120" w:after="120"/>
              <w:rPr>
                <w:szCs w:val="20"/>
              </w:rPr>
            </w:pPr>
          </w:p>
          <w:p w14:paraId="1E8FFFCC" w14:textId="77777777" w:rsidR="00BD6C2D" w:rsidRDefault="00BD6C2D" w:rsidP="00021243">
            <w:pPr>
              <w:spacing w:before="120" w:after="120"/>
              <w:rPr>
                <w:rFonts w:asciiTheme="minorHAnsi" w:hAnsiTheme="minorHAnsi"/>
                <w:szCs w:val="20"/>
              </w:rPr>
            </w:pPr>
          </w:p>
          <w:p w14:paraId="1554EE5C" w14:textId="77777777" w:rsidR="00860052" w:rsidRDefault="00860052" w:rsidP="00021243">
            <w:pPr>
              <w:spacing w:before="120" w:after="120"/>
              <w:rPr>
                <w:rFonts w:asciiTheme="minorHAnsi" w:hAnsiTheme="minorHAnsi"/>
                <w:szCs w:val="20"/>
              </w:rPr>
            </w:pPr>
          </w:p>
          <w:p w14:paraId="7648EA34" w14:textId="77777777" w:rsidR="00860052" w:rsidRDefault="00860052" w:rsidP="00021243">
            <w:pPr>
              <w:spacing w:before="120" w:after="120"/>
              <w:rPr>
                <w:rFonts w:asciiTheme="minorHAnsi" w:hAnsiTheme="minorHAnsi"/>
                <w:szCs w:val="20"/>
              </w:rPr>
            </w:pPr>
          </w:p>
          <w:p w14:paraId="664DC23A" w14:textId="77777777" w:rsidR="00860052" w:rsidRDefault="00860052" w:rsidP="00021243">
            <w:pPr>
              <w:spacing w:before="120" w:after="120"/>
              <w:rPr>
                <w:rFonts w:asciiTheme="minorHAnsi" w:hAnsiTheme="minorHAnsi"/>
                <w:szCs w:val="20"/>
              </w:rPr>
            </w:pPr>
          </w:p>
          <w:p w14:paraId="5021164B" w14:textId="77777777" w:rsidR="00860052" w:rsidRDefault="00860052" w:rsidP="00021243">
            <w:pPr>
              <w:spacing w:before="120" w:after="120"/>
              <w:rPr>
                <w:rFonts w:asciiTheme="minorHAnsi" w:hAnsiTheme="minorHAnsi"/>
                <w:szCs w:val="20"/>
              </w:rPr>
            </w:pPr>
          </w:p>
          <w:p w14:paraId="20611251" w14:textId="77777777" w:rsidR="00860052" w:rsidRDefault="00860052" w:rsidP="00021243">
            <w:pPr>
              <w:spacing w:before="120" w:after="120"/>
              <w:rPr>
                <w:rFonts w:asciiTheme="minorHAnsi" w:hAnsiTheme="minorHAnsi"/>
                <w:szCs w:val="20"/>
              </w:rPr>
            </w:pPr>
          </w:p>
          <w:p w14:paraId="47086373" w14:textId="77777777" w:rsidR="00860052" w:rsidRDefault="00860052" w:rsidP="00021243">
            <w:pPr>
              <w:spacing w:before="120" w:after="120"/>
              <w:rPr>
                <w:rFonts w:asciiTheme="minorHAnsi" w:hAnsiTheme="minorHAnsi"/>
                <w:szCs w:val="20"/>
              </w:rPr>
            </w:pPr>
          </w:p>
          <w:p w14:paraId="27DC0B32" w14:textId="77777777" w:rsidR="00860052" w:rsidRDefault="00860052" w:rsidP="00021243">
            <w:pPr>
              <w:spacing w:before="120" w:after="120"/>
              <w:rPr>
                <w:rFonts w:asciiTheme="minorHAnsi" w:hAnsiTheme="minorHAnsi"/>
                <w:szCs w:val="20"/>
              </w:rPr>
            </w:pPr>
          </w:p>
          <w:p w14:paraId="3FA63D87" w14:textId="77777777" w:rsidR="00860052" w:rsidRDefault="00860052" w:rsidP="00021243">
            <w:pPr>
              <w:spacing w:before="120" w:after="120"/>
              <w:rPr>
                <w:rFonts w:asciiTheme="minorHAnsi" w:hAnsiTheme="minorHAnsi"/>
                <w:szCs w:val="20"/>
              </w:rPr>
            </w:pPr>
          </w:p>
          <w:p w14:paraId="67933F01" w14:textId="77777777" w:rsidR="00860052" w:rsidRDefault="00860052" w:rsidP="00021243">
            <w:pPr>
              <w:spacing w:before="120" w:after="120"/>
              <w:rPr>
                <w:rFonts w:asciiTheme="minorHAnsi" w:hAnsiTheme="minorHAnsi"/>
                <w:szCs w:val="20"/>
              </w:rPr>
            </w:pPr>
          </w:p>
          <w:p w14:paraId="16E4F6D6" w14:textId="77777777" w:rsidR="00860052" w:rsidRDefault="00860052" w:rsidP="00021243">
            <w:pPr>
              <w:spacing w:before="120" w:after="120"/>
              <w:rPr>
                <w:rFonts w:asciiTheme="minorHAnsi" w:hAnsiTheme="minorHAnsi"/>
                <w:szCs w:val="20"/>
              </w:rPr>
            </w:pPr>
          </w:p>
          <w:p w14:paraId="68DE31AD" w14:textId="77777777" w:rsidR="00860052" w:rsidRDefault="00860052" w:rsidP="00021243">
            <w:pPr>
              <w:spacing w:before="120" w:after="120"/>
              <w:rPr>
                <w:rFonts w:asciiTheme="minorHAnsi" w:hAnsiTheme="minorHAnsi"/>
                <w:szCs w:val="20"/>
              </w:rPr>
            </w:pPr>
          </w:p>
          <w:p w14:paraId="2F24B40F" w14:textId="77777777" w:rsidR="00860052" w:rsidRDefault="00860052" w:rsidP="00021243">
            <w:pPr>
              <w:spacing w:before="120" w:after="120"/>
              <w:rPr>
                <w:rFonts w:asciiTheme="minorHAnsi" w:hAnsiTheme="minorHAnsi"/>
                <w:szCs w:val="20"/>
              </w:rPr>
            </w:pPr>
          </w:p>
          <w:p w14:paraId="2E1C60BE" w14:textId="77777777" w:rsidR="00860052" w:rsidRDefault="00860052" w:rsidP="00021243">
            <w:pPr>
              <w:spacing w:before="120" w:after="120"/>
              <w:rPr>
                <w:rFonts w:asciiTheme="minorHAnsi" w:hAnsiTheme="minorHAnsi"/>
                <w:szCs w:val="20"/>
              </w:rPr>
            </w:pPr>
          </w:p>
          <w:p w14:paraId="11B822D5" w14:textId="77777777" w:rsidR="00860052" w:rsidRDefault="00860052" w:rsidP="00021243">
            <w:pPr>
              <w:spacing w:before="120" w:after="120"/>
              <w:rPr>
                <w:rFonts w:asciiTheme="minorHAnsi" w:hAnsiTheme="minorHAnsi"/>
                <w:szCs w:val="20"/>
              </w:rPr>
            </w:pPr>
          </w:p>
          <w:p w14:paraId="601CF5A2" w14:textId="77777777" w:rsidR="00860052" w:rsidRDefault="00860052" w:rsidP="00021243">
            <w:pPr>
              <w:spacing w:before="120" w:after="120"/>
              <w:rPr>
                <w:rFonts w:asciiTheme="minorHAnsi" w:hAnsiTheme="minorHAnsi"/>
                <w:szCs w:val="20"/>
              </w:rPr>
            </w:pPr>
          </w:p>
          <w:p w14:paraId="520820CA" w14:textId="77777777" w:rsidR="00860052" w:rsidRDefault="00860052" w:rsidP="00021243">
            <w:pPr>
              <w:spacing w:before="120" w:after="120"/>
              <w:rPr>
                <w:rFonts w:asciiTheme="minorHAnsi" w:hAnsiTheme="minorHAnsi"/>
                <w:szCs w:val="20"/>
              </w:rPr>
            </w:pPr>
          </w:p>
          <w:p w14:paraId="70D35AA9" w14:textId="35C2A981" w:rsidR="00860052" w:rsidRPr="00C92149" w:rsidRDefault="00A85A56" w:rsidP="00A95E5F">
            <w:pPr>
              <w:spacing w:before="120" w:after="120"/>
              <w:rPr>
                <w:rFonts w:asciiTheme="minorHAnsi" w:hAnsiTheme="minorHAnsi"/>
                <w:szCs w:val="20"/>
              </w:rPr>
            </w:pPr>
            <w:r>
              <w:rPr>
                <w:rFonts w:asciiTheme="minorHAnsi" w:hAnsiTheme="minorHAnsi"/>
                <w:szCs w:val="20"/>
              </w:rPr>
              <w:t>Outcome measures have been developed for the second two indications.</w:t>
            </w:r>
          </w:p>
        </w:tc>
      </w:tr>
      <w:tr w:rsidR="00021243" w:rsidRPr="00853117" w14:paraId="4C0CAB36" w14:textId="77777777" w:rsidTr="003A7E5D">
        <w:tc>
          <w:tcPr>
            <w:tcW w:w="1560" w:type="dxa"/>
            <w:shd w:val="clear" w:color="auto" w:fill="D9D9D9" w:themeFill="background1" w:themeFillShade="D9"/>
          </w:tcPr>
          <w:p w14:paraId="6B86AA31" w14:textId="77777777" w:rsidR="00021243" w:rsidRPr="00447869" w:rsidRDefault="00021243" w:rsidP="00F91CA7">
            <w:pPr>
              <w:spacing w:before="120" w:after="120"/>
              <w:rPr>
                <w:rFonts w:asciiTheme="minorHAnsi" w:hAnsiTheme="minorHAnsi"/>
              </w:rPr>
            </w:pPr>
            <w:r w:rsidRPr="00447869">
              <w:rPr>
                <w:rFonts w:asciiTheme="minorHAnsi" w:hAnsiTheme="minorHAnsi"/>
                <w:b/>
              </w:rPr>
              <w:lastRenderedPageBreak/>
              <w:t>Dose</w:t>
            </w:r>
          </w:p>
        </w:tc>
        <w:tc>
          <w:tcPr>
            <w:tcW w:w="3828" w:type="dxa"/>
          </w:tcPr>
          <w:p w14:paraId="283C0CD1" w14:textId="0D08FA41" w:rsidR="003F60D2" w:rsidRPr="00507D71" w:rsidRDefault="00CD6B1D" w:rsidP="003F60D2">
            <w:pPr>
              <w:rPr>
                <w:rFonts w:asciiTheme="minorHAnsi" w:hAnsiTheme="minorHAnsi"/>
                <w:b/>
                <w:i/>
                <w:iCs/>
                <w:color w:val="243F60" w:themeColor="accent1" w:themeShade="7F"/>
                <w:sz w:val="24"/>
                <w:szCs w:val="24"/>
              </w:rPr>
            </w:pPr>
            <w:proofErr w:type="spellStart"/>
            <w:r>
              <w:rPr>
                <w:rFonts w:asciiTheme="minorHAnsi" w:hAnsiTheme="minorHAnsi"/>
                <w:b/>
                <w:sz w:val="24"/>
                <w:szCs w:val="24"/>
              </w:rPr>
              <w:t>IVIg</w:t>
            </w:r>
            <w:proofErr w:type="spellEnd"/>
            <w:r w:rsidR="003F60D2" w:rsidRPr="00507D71">
              <w:rPr>
                <w:rFonts w:asciiTheme="minorHAnsi" w:hAnsiTheme="minorHAnsi"/>
                <w:b/>
                <w:sz w:val="24"/>
                <w:szCs w:val="24"/>
              </w:rPr>
              <w:t xml:space="preserve"> with plasma exchange </w:t>
            </w:r>
            <w:r w:rsidR="003F60D2" w:rsidRPr="00507D71">
              <w:rPr>
                <w:rFonts w:asciiTheme="minorHAnsi" w:hAnsiTheme="minorHAnsi"/>
                <w:sz w:val="24"/>
                <w:szCs w:val="24"/>
              </w:rPr>
              <w:t>0.1 to 0.5 g/kg after each exchange (Total maximum dose of 2.5g/Kg divided over 5 doses).</w:t>
            </w:r>
          </w:p>
          <w:p w14:paraId="22C480E0" w14:textId="77777777" w:rsidR="003F60D2" w:rsidRPr="00507D71" w:rsidRDefault="003F60D2" w:rsidP="003F60D2">
            <w:pPr>
              <w:rPr>
                <w:rFonts w:asciiTheme="minorHAnsi" w:hAnsiTheme="minorHAnsi"/>
                <w:b/>
                <w:sz w:val="24"/>
                <w:szCs w:val="24"/>
              </w:rPr>
            </w:pPr>
          </w:p>
          <w:p w14:paraId="6790C7C5" w14:textId="29B859BC" w:rsidR="003F60D2" w:rsidRPr="00507D71" w:rsidRDefault="00CD6B1D" w:rsidP="003F60D2">
            <w:pPr>
              <w:rPr>
                <w:rFonts w:asciiTheme="minorHAnsi" w:hAnsiTheme="minorHAnsi"/>
                <w:b/>
                <w:sz w:val="24"/>
                <w:szCs w:val="24"/>
              </w:rPr>
            </w:pPr>
            <w:proofErr w:type="spellStart"/>
            <w:r>
              <w:rPr>
                <w:rFonts w:asciiTheme="minorHAnsi" w:hAnsiTheme="minorHAnsi"/>
                <w:b/>
                <w:sz w:val="24"/>
                <w:szCs w:val="24"/>
              </w:rPr>
              <w:t>IVIg</w:t>
            </w:r>
            <w:proofErr w:type="spellEnd"/>
            <w:r w:rsidR="003F60D2" w:rsidRPr="00507D71">
              <w:rPr>
                <w:rFonts w:asciiTheme="minorHAnsi" w:hAnsiTheme="minorHAnsi"/>
                <w:b/>
                <w:sz w:val="24"/>
                <w:szCs w:val="24"/>
              </w:rPr>
              <w:t xml:space="preserve"> without plasma exchange (single dose) Up to </w:t>
            </w:r>
            <w:r w:rsidR="003F60D2" w:rsidRPr="00507D71">
              <w:rPr>
                <w:rFonts w:asciiTheme="minorHAnsi" w:hAnsiTheme="minorHAnsi"/>
                <w:sz w:val="24"/>
                <w:szCs w:val="24"/>
              </w:rPr>
              <w:t>2 g/kg to a maximum of 140 g as a single dose</w:t>
            </w:r>
            <w:r w:rsidR="003F60D2" w:rsidRPr="00507D71">
              <w:rPr>
                <w:rFonts w:asciiTheme="minorHAnsi" w:hAnsiTheme="minorHAnsi"/>
                <w:sz w:val="24"/>
                <w:szCs w:val="24"/>
              </w:rPr>
              <w:tab/>
            </w:r>
            <w:r w:rsidR="003F60D2" w:rsidRPr="00507D71">
              <w:rPr>
                <w:rFonts w:asciiTheme="minorHAnsi" w:hAnsiTheme="minorHAnsi"/>
                <w:sz w:val="24"/>
                <w:szCs w:val="24"/>
              </w:rPr>
              <w:tab/>
            </w:r>
            <w:r w:rsidR="003F60D2" w:rsidRPr="00507D71">
              <w:rPr>
                <w:rFonts w:asciiTheme="minorHAnsi" w:hAnsiTheme="minorHAnsi"/>
                <w:sz w:val="24"/>
                <w:szCs w:val="24"/>
              </w:rPr>
              <w:tab/>
            </w:r>
            <w:r w:rsidR="003F60D2" w:rsidRPr="00507D71">
              <w:rPr>
                <w:rFonts w:asciiTheme="minorHAnsi" w:hAnsiTheme="minorHAnsi"/>
                <w:sz w:val="24"/>
                <w:szCs w:val="24"/>
              </w:rPr>
              <w:tab/>
            </w:r>
          </w:p>
          <w:p w14:paraId="384CCBD3" w14:textId="51D1A514" w:rsidR="003F60D2" w:rsidRPr="00507D71" w:rsidRDefault="00CD6B1D" w:rsidP="003F60D2">
            <w:pPr>
              <w:rPr>
                <w:rFonts w:asciiTheme="minorHAnsi" w:hAnsiTheme="minorHAnsi"/>
                <w:b/>
                <w:i/>
                <w:iCs/>
                <w:color w:val="243F60" w:themeColor="accent1" w:themeShade="7F"/>
                <w:sz w:val="24"/>
                <w:szCs w:val="24"/>
              </w:rPr>
            </w:pPr>
            <w:proofErr w:type="spellStart"/>
            <w:r>
              <w:rPr>
                <w:rFonts w:asciiTheme="minorHAnsi" w:hAnsiTheme="minorHAnsi"/>
                <w:b/>
                <w:sz w:val="24"/>
                <w:szCs w:val="24"/>
              </w:rPr>
              <w:t>IVIg</w:t>
            </w:r>
            <w:proofErr w:type="spellEnd"/>
            <w:r w:rsidR="003F60D2" w:rsidRPr="00507D71">
              <w:rPr>
                <w:rFonts w:asciiTheme="minorHAnsi" w:hAnsiTheme="minorHAnsi"/>
                <w:b/>
                <w:sz w:val="24"/>
                <w:szCs w:val="24"/>
              </w:rPr>
              <w:t xml:space="preserve"> without plasma exchange (divided dose) </w:t>
            </w:r>
            <w:r w:rsidR="003F60D2" w:rsidRPr="00507D71">
              <w:rPr>
                <w:rFonts w:asciiTheme="minorHAnsi" w:hAnsiTheme="minorHAnsi"/>
                <w:sz w:val="24"/>
                <w:szCs w:val="24"/>
              </w:rPr>
              <w:t xml:space="preserve">2 to 3.5g/kg in a divided dose </w:t>
            </w:r>
            <w:r w:rsidR="003F60D2" w:rsidRPr="00507D71">
              <w:rPr>
                <w:rFonts w:asciiTheme="minorHAnsi" w:hAnsiTheme="minorHAnsi"/>
                <w:sz w:val="24"/>
                <w:szCs w:val="24"/>
              </w:rPr>
              <w:tab/>
            </w:r>
            <w:r w:rsidR="003F60D2" w:rsidRPr="00507D71">
              <w:rPr>
                <w:rFonts w:asciiTheme="minorHAnsi" w:hAnsiTheme="minorHAnsi"/>
                <w:sz w:val="24"/>
                <w:szCs w:val="24"/>
              </w:rPr>
              <w:tab/>
            </w:r>
          </w:p>
          <w:p w14:paraId="75342FC5" w14:textId="77777777" w:rsidR="003F60D2" w:rsidRPr="00507D71" w:rsidRDefault="003F60D2" w:rsidP="003F60D2">
            <w:pPr>
              <w:rPr>
                <w:rFonts w:asciiTheme="minorHAnsi" w:hAnsiTheme="minorHAnsi"/>
                <w:b/>
                <w:sz w:val="24"/>
                <w:szCs w:val="24"/>
              </w:rPr>
            </w:pPr>
          </w:p>
          <w:p w14:paraId="6E199BC3" w14:textId="67D0925C" w:rsidR="003F60D2" w:rsidRPr="00507D71" w:rsidRDefault="003F60D2" w:rsidP="003F60D2">
            <w:pPr>
              <w:spacing w:after="225" w:line="276" w:lineRule="auto"/>
              <w:rPr>
                <w:rFonts w:asciiTheme="minorHAnsi" w:eastAsia="Times New Roman" w:hAnsiTheme="minorHAnsi" w:cstheme="minorHAnsi"/>
                <w:b/>
                <w:color w:val="000000"/>
                <w:sz w:val="24"/>
                <w:szCs w:val="24"/>
              </w:rPr>
            </w:pPr>
            <w:r w:rsidRPr="00507D71">
              <w:rPr>
                <w:rFonts w:asciiTheme="minorHAnsi" w:eastAsia="Times New Roman" w:hAnsiTheme="minorHAnsi" w:cstheme="minorHAnsi"/>
                <w:b/>
                <w:color w:val="000000"/>
                <w:sz w:val="24"/>
                <w:szCs w:val="24"/>
              </w:rPr>
              <w:t xml:space="preserve">Dosing above 1 g/kg per day is contraindicated for some </w:t>
            </w:r>
            <w:proofErr w:type="spellStart"/>
            <w:r w:rsidR="00CD6B1D">
              <w:rPr>
                <w:rFonts w:asciiTheme="minorHAnsi" w:eastAsia="Times New Roman" w:hAnsiTheme="minorHAnsi" w:cstheme="minorHAnsi"/>
                <w:b/>
                <w:color w:val="000000"/>
                <w:sz w:val="24"/>
                <w:szCs w:val="24"/>
              </w:rPr>
              <w:t>IVIg</w:t>
            </w:r>
            <w:proofErr w:type="spellEnd"/>
            <w:r w:rsidRPr="00507D71">
              <w:rPr>
                <w:rFonts w:asciiTheme="minorHAnsi" w:eastAsia="Times New Roman" w:hAnsiTheme="minorHAnsi" w:cstheme="minorHAnsi"/>
                <w:b/>
                <w:color w:val="000000"/>
                <w:sz w:val="24"/>
                <w:szCs w:val="24"/>
              </w:rPr>
              <w:t xml:space="preserve"> products.</w:t>
            </w:r>
          </w:p>
          <w:p w14:paraId="67798A23" w14:textId="77777777" w:rsidR="003F60D2" w:rsidRPr="00507D71" w:rsidRDefault="003F60D2" w:rsidP="003F60D2">
            <w:pPr>
              <w:spacing w:after="225" w:line="276" w:lineRule="auto"/>
              <w:rPr>
                <w:rFonts w:asciiTheme="minorHAnsi" w:eastAsia="Times New Roman" w:hAnsiTheme="minorHAnsi" w:cstheme="minorHAnsi"/>
                <w:b/>
                <w:color w:val="000000"/>
                <w:sz w:val="24"/>
                <w:szCs w:val="24"/>
              </w:rPr>
            </w:pPr>
            <w:r w:rsidRPr="00507D71">
              <w:rPr>
                <w:rFonts w:asciiTheme="minorHAnsi" w:eastAsia="Times New Roman" w:hAnsiTheme="minorHAnsi" w:cstheme="minorHAnsi"/>
                <w:b/>
                <w:color w:val="000000"/>
                <w:sz w:val="24"/>
                <w:szCs w:val="24"/>
              </w:rPr>
              <w:t>Refer to the current product information sheet for further information.</w:t>
            </w:r>
          </w:p>
          <w:p w14:paraId="3CB55C1F" w14:textId="77777777" w:rsidR="00021243" w:rsidRPr="003F60D2" w:rsidRDefault="003F60D2" w:rsidP="003F60D2">
            <w:pPr>
              <w:rPr>
                <w:rFonts w:asciiTheme="minorHAnsi" w:eastAsia="Times New Roman" w:hAnsiTheme="minorHAnsi" w:cstheme="minorHAnsi"/>
                <w:b/>
                <w:i/>
                <w:iCs/>
                <w:color w:val="000000"/>
                <w:sz w:val="24"/>
                <w:szCs w:val="24"/>
              </w:rPr>
            </w:pPr>
            <w:r w:rsidRPr="00507D71">
              <w:rPr>
                <w:rFonts w:asciiTheme="minorHAnsi" w:eastAsia="Times New Roman" w:hAnsiTheme="minorHAnsi" w:cstheme="minorHAnsi"/>
                <w:b/>
                <w:color w:val="000000"/>
                <w:sz w:val="24"/>
                <w:szCs w:val="24"/>
              </w:rPr>
              <w:t xml:space="preserve">The aim should be to use the lowest dose possible that achieves the </w:t>
            </w:r>
            <w:r w:rsidRPr="00507D71">
              <w:rPr>
                <w:rFonts w:asciiTheme="minorHAnsi" w:eastAsia="Times New Roman" w:hAnsiTheme="minorHAnsi" w:cstheme="minorHAnsi"/>
                <w:b/>
                <w:color w:val="000000"/>
                <w:sz w:val="24"/>
                <w:szCs w:val="24"/>
              </w:rPr>
              <w:lastRenderedPageBreak/>
              <w:t>appropriate clinical outcome for each patient.</w:t>
            </w:r>
          </w:p>
        </w:tc>
        <w:tc>
          <w:tcPr>
            <w:tcW w:w="4819" w:type="dxa"/>
            <w:gridSpan w:val="3"/>
          </w:tcPr>
          <w:p w14:paraId="12EC4D5C" w14:textId="77777777" w:rsidR="00BC3961" w:rsidRPr="00FE4CD1" w:rsidRDefault="00BC3961" w:rsidP="00BC3961">
            <w:pPr>
              <w:spacing w:before="120" w:after="120"/>
              <w:rPr>
                <w:rFonts w:cs="Lucida Grande"/>
                <w:b/>
                <w:color w:val="000000"/>
              </w:rPr>
            </w:pPr>
            <w:r w:rsidRPr="00FE4CD1">
              <w:rPr>
                <w:rFonts w:cs="Lucida Grande"/>
                <w:b/>
                <w:color w:val="000000"/>
              </w:rPr>
              <w:lastRenderedPageBreak/>
              <w:t xml:space="preserve">De-sensitisation of patients to increase the likelihood of transplantation </w:t>
            </w:r>
          </w:p>
          <w:p w14:paraId="4A4A8E33" w14:textId="635587AF" w:rsidR="00BC3961" w:rsidRDefault="00CD6B1D" w:rsidP="00BC3961">
            <w:proofErr w:type="spellStart"/>
            <w:r>
              <w:rPr>
                <w:b/>
              </w:rPr>
              <w:t>IVIg</w:t>
            </w:r>
            <w:proofErr w:type="spellEnd"/>
            <w:r w:rsidR="00BC3961" w:rsidRPr="00FE4CD1">
              <w:rPr>
                <w:b/>
              </w:rPr>
              <w:t xml:space="preserve"> with plasma exchange</w:t>
            </w:r>
            <w:r w:rsidR="005C09F3">
              <w:rPr>
                <w:b/>
              </w:rPr>
              <w:t>:</w:t>
            </w:r>
            <w:r w:rsidR="00BC3961" w:rsidRPr="00FE4CD1">
              <w:t xml:space="preserve"> 0.1 to 0.5 g/kg after each exchange (Total maximum dose of 2.0g/Kg across divided doses monthly) </w:t>
            </w:r>
          </w:p>
          <w:p w14:paraId="63433A23" w14:textId="77777777" w:rsidR="005C09F3" w:rsidRPr="00FE4CD1" w:rsidRDefault="005C09F3" w:rsidP="00BC3961">
            <w:pPr>
              <w:rPr>
                <w:b/>
              </w:rPr>
            </w:pPr>
          </w:p>
          <w:p w14:paraId="428B4BE4" w14:textId="77777777" w:rsidR="00BC3961" w:rsidRPr="00FE4CD1" w:rsidRDefault="00BC3961" w:rsidP="00BC3961">
            <w:pPr>
              <w:spacing w:after="225" w:line="276" w:lineRule="auto"/>
              <w:rPr>
                <w:rFonts w:asciiTheme="minorHAnsi" w:eastAsia="Times New Roman" w:hAnsiTheme="minorHAnsi" w:cstheme="minorHAnsi"/>
                <w:color w:val="000000"/>
              </w:rPr>
            </w:pPr>
            <w:r w:rsidRPr="00FE4CD1">
              <w:rPr>
                <w:rFonts w:asciiTheme="minorHAnsi" w:eastAsia="Times New Roman" w:hAnsiTheme="minorHAnsi" w:cstheme="minorHAnsi"/>
                <w:color w:val="000000"/>
              </w:rPr>
              <w:t>The aim should be to use the lowest dose possible that achieves the appropriate clinical outcome for each patient</w:t>
            </w:r>
          </w:p>
          <w:p w14:paraId="25E2D61A" w14:textId="44720BAC" w:rsidR="00D2350C" w:rsidRPr="00FE4CD1" w:rsidRDefault="00BC3961" w:rsidP="00BC3961">
            <w:pPr>
              <w:spacing w:after="225" w:line="276" w:lineRule="auto"/>
              <w:rPr>
                <w:rFonts w:asciiTheme="minorHAnsi" w:eastAsia="Times New Roman" w:hAnsiTheme="minorHAnsi" w:cstheme="minorHAnsi"/>
                <w:b/>
                <w:color w:val="000000"/>
              </w:rPr>
            </w:pPr>
            <w:r w:rsidRPr="00FE4CD1">
              <w:rPr>
                <w:rFonts w:asciiTheme="minorHAnsi" w:eastAsia="Times New Roman" w:hAnsiTheme="minorHAnsi" w:cstheme="minorHAnsi"/>
                <w:b/>
                <w:color w:val="000000"/>
              </w:rPr>
              <w:t>Refer to the current product information sheet for further information</w:t>
            </w:r>
            <w:r w:rsidR="00FE4CD1">
              <w:rPr>
                <w:rFonts w:asciiTheme="minorHAnsi" w:eastAsia="Times New Roman" w:hAnsiTheme="minorHAnsi" w:cstheme="minorHAnsi"/>
                <w:b/>
                <w:color w:val="000000"/>
              </w:rPr>
              <w:t xml:space="preserve"> on dose, administration and contraindications</w:t>
            </w:r>
            <w:r w:rsidRPr="00FE4CD1">
              <w:rPr>
                <w:rFonts w:asciiTheme="minorHAnsi" w:eastAsia="Times New Roman" w:hAnsiTheme="minorHAnsi" w:cstheme="minorHAnsi"/>
                <w:b/>
                <w:color w:val="000000"/>
              </w:rPr>
              <w:t>.</w:t>
            </w:r>
          </w:p>
          <w:p w14:paraId="5001181C" w14:textId="77777777" w:rsidR="00ED5D61" w:rsidRDefault="00ED5D61" w:rsidP="00D2350C">
            <w:pPr>
              <w:spacing w:before="120" w:after="120"/>
              <w:rPr>
                <w:rFonts w:asciiTheme="minorHAnsi" w:hAnsiTheme="minorHAnsi"/>
                <w:b/>
              </w:rPr>
            </w:pPr>
          </w:p>
          <w:p w14:paraId="3377A73D" w14:textId="610065C2" w:rsidR="00D2350C" w:rsidRDefault="00D2350C" w:rsidP="00D2350C">
            <w:pPr>
              <w:spacing w:before="120" w:after="120"/>
              <w:rPr>
                <w:rFonts w:asciiTheme="minorHAnsi" w:hAnsiTheme="minorHAnsi"/>
                <w:b/>
              </w:rPr>
            </w:pPr>
            <w:r w:rsidRPr="00FD3845">
              <w:rPr>
                <w:rFonts w:asciiTheme="minorHAnsi" w:hAnsiTheme="minorHAnsi"/>
                <w:b/>
              </w:rPr>
              <w:t xml:space="preserve">Post-transplant - acute anti-body mediated rejection </w:t>
            </w:r>
          </w:p>
          <w:p w14:paraId="5A9DE8AE" w14:textId="6C224643" w:rsidR="006A3A86" w:rsidRDefault="00ED5D61" w:rsidP="001671A7">
            <w:proofErr w:type="spellStart"/>
            <w:r w:rsidRPr="00982E92">
              <w:rPr>
                <w:b/>
              </w:rPr>
              <w:t>IVIg</w:t>
            </w:r>
            <w:proofErr w:type="spellEnd"/>
            <w:r w:rsidRPr="00982E92">
              <w:rPr>
                <w:b/>
              </w:rPr>
              <w:t xml:space="preserve"> with plasma </w:t>
            </w:r>
            <w:proofErr w:type="gramStart"/>
            <w:r w:rsidRPr="00982E92">
              <w:rPr>
                <w:b/>
              </w:rPr>
              <w:t>exchange</w:t>
            </w:r>
            <w:r w:rsidRPr="00982E92">
              <w:t xml:space="preserve">  0.1</w:t>
            </w:r>
            <w:proofErr w:type="gramEnd"/>
            <w:r w:rsidRPr="00982E92">
              <w:t xml:space="preserve"> to 0.5 g/kg after each exchange (Total maximum dose of 2.5g/Kg divided over 5 doses).</w:t>
            </w:r>
          </w:p>
          <w:p w14:paraId="13C62CD3" w14:textId="77777777" w:rsidR="006A3A86" w:rsidRDefault="006A3A86" w:rsidP="001671A7"/>
          <w:p w14:paraId="34F704D8" w14:textId="76F44349" w:rsidR="001671A7" w:rsidRPr="006A3A86" w:rsidRDefault="001671A7" w:rsidP="001671A7">
            <w:pPr>
              <w:rPr>
                <w:rFonts w:asciiTheme="minorHAnsi" w:hAnsiTheme="minorHAnsi"/>
                <w:b/>
              </w:rPr>
            </w:pPr>
            <w:proofErr w:type="spellStart"/>
            <w:r w:rsidRPr="006A3A86">
              <w:rPr>
                <w:rFonts w:asciiTheme="minorHAnsi" w:hAnsiTheme="minorHAnsi"/>
                <w:b/>
              </w:rPr>
              <w:t>IVIg</w:t>
            </w:r>
            <w:proofErr w:type="spellEnd"/>
            <w:r w:rsidRPr="006A3A86">
              <w:rPr>
                <w:rFonts w:asciiTheme="minorHAnsi" w:hAnsiTheme="minorHAnsi"/>
                <w:b/>
              </w:rPr>
              <w:t xml:space="preserve"> without plasma exchange (single dose) Up to </w:t>
            </w:r>
            <w:r w:rsidRPr="006A3A86">
              <w:rPr>
                <w:rFonts w:asciiTheme="minorHAnsi" w:hAnsiTheme="minorHAnsi"/>
              </w:rPr>
              <w:t>2 g/kg to a maximum of 140 g as a single dose</w:t>
            </w:r>
            <w:r w:rsidRPr="006A3A86">
              <w:rPr>
                <w:rFonts w:asciiTheme="minorHAnsi" w:hAnsiTheme="minorHAnsi"/>
              </w:rPr>
              <w:tab/>
            </w:r>
            <w:r w:rsidRPr="006A3A86">
              <w:rPr>
                <w:rFonts w:asciiTheme="minorHAnsi" w:hAnsiTheme="minorHAnsi"/>
              </w:rPr>
              <w:lastRenderedPageBreak/>
              <w:tab/>
            </w:r>
            <w:r w:rsidRPr="006A3A86">
              <w:rPr>
                <w:rFonts w:asciiTheme="minorHAnsi" w:hAnsiTheme="minorHAnsi"/>
              </w:rPr>
              <w:tab/>
            </w:r>
            <w:r w:rsidRPr="006A3A86">
              <w:rPr>
                <w:rFonts w:asciiTheme="minorHAnsi" w:hAnsiTheme="minorHAnsi"/>
              </w:rPr>
              <w:tab/>
            </w:r>
          </w:p>
          <w:p w14:paraId="09419B7F" w14:textId="14996B23" w:rsidR="001671A7" w:rsidRPr="00FD3845" w:rsidRDefault="001671A7" w:rsidP="00D2350C">
            <w:pPr>
              <w:spacing w:before="120" w:after="120"/>
              <w:rPr>
                <w:rFonts w:asciiTheme="minorHAnsi" w:hAnsiTheme="minorHAnsi"/>
                <w:b/>
              </w:rPr>
            </w:pPr>
            <w:proofErr w:type="spellStart"/>
            <w:r w:rsidRPr="006A3A86">
              <w:rPr>
                <w:rFonts w:asciiTheme="minorHAnsi" w:hAnsiTheme="minorHAnsi"/>
                <w:b/>
              </w:rPr>
              <w:t>IVIg</w:t>
            </w:r>
            <w:proofErr w:type="spellEnd"/>
            <w:r w:rsidRPr="006A3A86">
              <w:rPr>
                <w:rFonts w:asciiTheme="minorHAnsi" w:hAnsiTheme="minorHAnsi"/>
                <w:b/>
              </w:rPr>
              <w:t xml:space="preserve"> without plasma exchange (divided dose) </w:t>
            </w:r>
            <w:r w:rsidRPr="006A3A86">
              <w:rPr>
                <w:rFonts w:asciiTheme="minorHAnsi" w:hAnsiTheme="minorHAnsi"/>
              </w:rPr>
              <w:t>2 to 3.5g/kg in a divided dose</w:t>
            </w:r>
          </w:p>
          <w:p w14:paraId="5313241D" w14:textId="77777777" w:rsidR="001671A7" w:rsidRPr="007379A7" w:rsidRDefault="001671A7" w:rsidP="001671A7">
            <w:pPr>
              <w:spacing w:after="225" w:line="276" w:lineRule="auto"/>
              <w:rPr>
                <w:rFonts w:asciiTheme="minorHAnsi" w:eastAsia="Times New Roman" w:hAnsiTheme="minorHAnsi" w:cstheme="minorHAnsi"/>
                <w:b/>
                <w:color w:val="000000"/>
              </w:rPr>
            </w:pPr>
            <w:r w:rsidRPr="007379A7">
              <w:rPr>
                <w:rFonts w:asciiTheme="minorHAnsi" w:eastAsia="Times New Roman" w:hAnsiTheme="minorHAnsi" w:cstheme="minorHAnsi"/>
                <w:b/>
                <w:color w:val="000000"/>
              </w:rPr>
              <w:t>Refer to the current product information sheet for further information on dose, administration and contraindications.</w:t>
            </w:r>
          </w:p>
          <w:p w14:paraId="3702EC96" w14:textId="205D4F98" w:rsidR="00ED5D61" w:rsidRPr="00AC0D0A" w:rsidRDefault="001671A7" w:rsidP="001671A7">
            <w:pPr>
              <w:rPr>
                <w:rFonts w:asciiTheme="minorHAnsi" w:eastAsia="Times New Roman" w:hAnsiTheme="minorHAnsi" w:cstheme="minorHAnsi"/>
                <w:color w:val="000000"/>
              </w:rPr>
            </w:pPr>
            <w:r w:rsidRPr="00AC0D0A">
              <w:rPr>
                <w:rFonts w:asciiTheme="minorHAnsi" w:eastAsia="Times New Roman" w:hAnsiTheme="minorHAnsi" w:cstheme="minorHAnsi"/>
                <w:color w:val="000000"/>
              </w:rPr>
              <w:t>The aim should be to use the lowest dose possible that achieves the appropriate clinical outcome for each patient.</w:t>
            </w:r>
          </w:p>
          <w:p w14:paraId="36C332A4" w14:textId="77777777" w:rsidR="001671A7" w:rsidRDefault="001671A7" w:rsidP="001671A7">
            <w:pPr>
              <w:rPr>
                <w:rFonts w:asciiTheme="minorHAnsi" w:hAnsiTheme="minorHAnsi"/>
                <w:b/>
              </w:rPr>
            </w:pPr>
          </w:p>
          <w:p w14:paraId="64765616" w14:textId="0CAAE5CE" w:rsidR="00D2350C" w:rsidRDefault="00D2350C" w:rsidP="00D2350C">
            <w:pPr>
              <w:rPr>
                <w:rFonts w:asciiTheme="minorHAnsi" w:hAnsiTheme="minorHAnsi"/>
                <w:b/>
                <w:sz w:val="24"/>
                <w:szCs w:val="24"/>
              </w:rPr>
            </w:pPr>
            <w:r w:rsidRPr="00FD3845">
              <w:rPr>
                <w:rFonts w:asciiTheme="minorHAnsi" w:hAnsiTheme="minorHAnsi"/>
                <w:b/>
              </w:rPr>
              <w:t>Treatment or prevention of graft rejection where conventional immunosuppressive therapies is contraindicated or pose a threat to the graft or patient</w:t>
            </w:r>
          </w:p>
          <w:p w14:paraId="2AD167CE" w14:textId="77777777" w:rsidR="00D2350C" w:rsidRDefault="00D2350C" w:rsidP="00D2350C">
            <w:pPr>
              <w:rPr>
                <w:rFonts w:asciiTheme="minorHAnsi" w:hAnsiTheme="minorHAnsi"/>
                <w:b/>
                <w:sz w:val="24"/>
                <w:szCs w:val="24"/>
              </w:rPr>
            </w:pPr>
          </w:p>
          <w:p w14:paraId="6658CB53" w14:textId="777D2084" w:rsidR="001671A7" w:rsidRDefault="001671A7" w:rsidP="00D2350C">
            <w:r w:rsidRPr="00982E92">
              <w:rPr>
                <w:b/>
              </w:rPr>
              <w:t>Dose Type:</w:t>
            </w:r>
            <w:r w:rsidRPr="00982E92">
              <w:t xml:space="preserve"> </w:t>
            </w:r>
            <w:proofErr w:type="spellStart"/>
            <w:r w:rsidRPr="00982E92">
              <w:rPr>
                <w:b/>
              </w:rPr>
              <w:t>IVIg</w:t>
            </w:r>
            <w:proofErr w:type="spellEnd"/>
            <w:r w:rsidRPr="00982E92">
              <w:rPr>
                <w:b/>
              </w:rPr>
              <w:t xml:space="preserve"> with plasma </w:t>
            </w:r>
            <w:proofErr w:type="gramStart"/>
            <w:r w:rsidRPr="00982E92">
              <w:rPr>
                <w:b/>
              </w:rPr>
              <w:t>exchange</w:t>
            </w:r>
            <w:r w:rsidRPr="00982E92">
              <w:t xml:space="preserve">  0.1</w:t>
            </w:r>
            <w:proofErr w:type="gramEnd"/>
            <w:r w:rsidRPr="00982E92">
              <w:t xml:space="preserve"> to 0.5 g/kg after each exchange (Total maximum dose of 2.5g/Kg divided over 5 doses).</w:t>
            </w:r>
          </w:p>
          <w:p w14:paraId="16556157" w14:textId="77777777" w:rsidR="001671A7" w:rsidRDefault="001671A7" w:rsidP="00D2350C">
            <w:pPr>
              <w:rPr>
                <w:rFonts w:asciiTheme="minorHAnsi" w:hAnsiTheme="minorHAnsi"/>
                <w:b/>
                <w:sz w:val="24"/>
                <w:szCs w:val="24"/>
              </w:rPr>
            </w:pPr>
          </w:p>
          <w:p w14:paraId="31AD5E59" w14:textId="0DEF60B1" w:rsidR="00D2350C" w:rsidRPr="006A3A86" w:rsidRDefault="00CD6B1D" w:rsidP="00D2350C">
            <w:pPr>
              <w:rPr>
                <w:rFonts w:asciiTheme="minorHAnsi" w:hAnsiTheme="minorHAnsi"/>
                <w:b/>
              </w:rPr>
            </w:pPr>
            <w:proofErr w:type="spellStart"/>
            <w:r w:rsidRPr="006A3A86">
              <w:rPr>
                <w:rFonts w:asciiTheme="minorHAnsi" w:hAnsiTheme="minorHAnsi"/>
                <w:b/>
              </w:rPr>
              <w:t>IVIg</w:t>
            </w:r>
            <w:proofErr w:type="spellEnd"/>
            <w:r w:rsidR="00D2350C" w:rsidRPr="006A3A86">
              <w:rPr>
                <w:rFonts w:asciiTheme="minorHAnsi" w:hAnsiTheme="minorHAnsi"/>
                <w:b/>
              </w:rPr>
              <w:t xml:space="preserve"> without plasma exchange (single dose)</w:t>
            </w:r>
            <w:r w:rsidR="00EB55CD" w:rsidRPr="006A3A86">
              <w:rPr>
                <w:rFonts w:asciiTheme="minorHAnsi" w:hAnsiTheme="minorHAnsi"/>
                <w:b/>
              </w:rPr>
              <w:t>:</w:t>
            </w:r>
            <w:r w:rsidR="00D2350C" w:rsidRPr="006A3A86">
              <w:rPr>
                <w:rFonts w:asciiTheme="minorHAnsi" w:hAnsiTheme="minorHAnsi"/>
                <w:b/>
              </w:rPr>
              <w:t xml:space="preserve"> </w:t>
            </w:r>
            <w:r w:rsidR="00D2350C" w:rsidRPr="006A3A86">
              <w:rPr>
                <w:rFonts w:asciiTheme="minorHAnsi" w:hAnsiTheme="minorHAnsi"/>
              </w:rPr>
              <w:t>Up to</w:t>
            </w:r>
            <w:r w:rsidR="00D2350C" w:rsidRPr="006A3A86">
              <w:rPr>
                <w:rFonts w:asciiTheme="minorHAnsi" w:hAnsiTheme="minorHAnsi"/>
                <w:b/>
              </w:rPr>
              <w:t xml:space="preserve"> </w:t>
            </w:r>
            <w:r w:rsidR="00D2350C" w:rsidRPr="006A3A86">
              <w:rPr>
                <w:rFonts w:asciiTheme="minorHAnsi" w:hAnsiTheme="minorHAnsi"/>
              </w:rPr>
              <w:t>2 g/kg to a maximum of 140 g as a single dose</w:t>
            </w:r>
            <w:r w:rsidR="00D2350C" w:rsidRPr="006A3A86">
              <w:rPr>
                <w:rFonts w:asciiTheme="minorHAnsi" w:hAnsiTheme="minorHAnsi"/>
              </w:rPr>
              <w:tab/>
            </w:r>
            <w:r w:rsidR="00D2350C" w:rsidRPr="006A3A86">
              <w:rPr>
                <w:rFonts w:asciiTheme="minorHAnsi" w:hAnsiTheme="minorHAnsi"/>
              </w:rPr>
              <w:tab/>
            </w:r>
            <w:r w:rsidR="00D2350C" w:rsidRPr="006A3A86">
              <w:rPr>
                <w:rFonts w:asciiTheme="minorHAnsi" w:hAnsiTheme="minorHAnsi"/>
              </w:rPr>
              <w:tab/>
            </w:r>
            <w:r w:rsidR="00D2350C" w:rsidRPr="006A3A86">
              <w:rPr>
                <w:rFonts w:asciiTheme="minorHAnsi" w:hAnsiTheme="minorHAnsi"/>
              </w:rPr>
              <w:tab/>
            </w:r>
          </w:p>
          <w:p w14:paraId="63094A68" w14:textId="335D1FEC" w:rsidR="00D2350C" w:rsidRPr="00507D71" w:rsidRDefault="00CD6B1D" w:rsidP="00D2350C">
            <w:pPr>
              <w:rPr>
                <w:rFonts w:asciiTheme="minorHAnsi" w:hAnsiTheme="minorHAnsi"/>
                <w:b/>
                <w:i/>
                <w:iCs/>
                <w:color w:val="243F60" w:themeColor="accent1" w:themeShade="7F"/>
                <w:sz w:val="24"/>
                <w:szCs w:val="24"/>
              </w:rPr>
            </w:pPr>
            <w:proofErr w:type="spellStart"/>
            <w:r w:rsidRPr="006A3A86">
              <w:rPr>
                <w:rFonts w:asciiTheme="minorHAnsi" w:hAnsiTheme="minorHAnsi"/>
                <w:b/>
              </w:rPr>
              <w:t>IVIg</w:t>
            </w:r>
            <w:proofErr w:type="spellEnd"/>
            <w:r w:rsidR="00D2350C" w:rsidRPr="006A3A86">
              <w:rPr>
                <w:rFonts w:asciiTheme="minorHAnsi" w:hAnsiTheme="minorHAnsi"/>
                <w:b/>
              </w:rPr>
              <w:t xml:space="preserve"> without plasma exchange (divided dose)</w:t>
            </w:r>
            <w:r w:rsidR="00EB55CD" w:rsidRPr="006A3A86">
              <w:rPr>
                <w:rFonts w:asciiTheme="minorHAnsi" w:hAnsiTheme="minorHAnsi"/>
                <w:b/>
              </w:rPr>
              <w:t>:</w:t>
            </w:r>
            <w:r w:rsidR="00D2350C" w:rsidRPr="006A3A86">
              <w:rPr>
                <w:rFonts w:asciiTheme="minorHAnsi" w:hAnsiTheme="minorHAnsi"/>
                <w:b/>
              </w:rPr>
              <w:t xml:space="preserve"> </w:t>
            </w:r>
            <w:r w:rsidR="00D2350C" w:rsidRPr="006A3A86">
              <w:rPr>
                <w:rFonts w:asciiTheme="minorHAnsi" w:hAnsiTheme="minorHAnsi"/>
              </w:rPr>
              <w:t>2 to 3.5g/kg in a divided dose</w:t>
            </w:r>
            <w:r w:rsidR="00D2350C" w:rsidRPr="00507D71">
              <w:rPr>
                <w:rFonts w:asciiTheme="minorHAnsi" w:hAnsiTheme="minorHAnsi"/>
                <w:sz w:val="24"/>
                <w:szCs w:val="24"/>
              </w:rPr>
              <w:t xml:space="preserve"> </w:t>
            </w:r>
            <w:r w:rsidR="00D2350C" w:rsidRPr="00507D71">
              <w:rPr>
                <w:rFonts w:asciiTheme="minorHAnsi" w:hAnsiTheme="minorHAnsi"/>
                <w:sz w:val="24"/>
                <w:szCs w:val="24"/>
              </w:rPr>
              <w:tab/>
            </w:r>
            <w:r w:rsidR="00D2350C" w:rsidRPr="00507D71">
              <w:rPr>
                <w:rFonts w:asciiTheme="minorHAnsi" w:hAnsiTheme="minorHAnsi"/>
                <w:sz w:val="24"/>
                <w:szCs w:val="24"/>
              </w:rPr>
              <w:tab/>
            </w:r>
          </w:p>
          <w:p w14:paraId="76785BF5" w14:textId="77777777" w:rsidR="00D2350C" w:rsidRPr="00507D71" w:rsidRDefault="00D2350C" w:rsidP="00D2350C">
            <w:pPr>
              <w:rPr>
                <w:rFonts w:asciiTheme="minorHAnsi" w:hAnsiTheme="minorHAnsi"/>
                <w:b/>
                <w:sz w:val="24"/>
                <w:szCs w:val="24"/>
              </w:rPr>
            </w:pPr>
          </w:p>
          <w:p w14:paraId="21251AA1" w14:textId="66369FD9" w:rsidR="00D2350C" w:rsidRPr="006A3A86" w:rsidRDefault="00D2350C" w:rsidP="00D2350C">
            <w:pPr>
              <w:spacing w:after="225" w:line="276" w:lineRule="auto"/>
              <w:rPr>
                <w:rFonts w:asciiTheme="minorHAnsi" w:eastAsia="Times New Roman" w:hAnsiTheme="minorHAnsi" w:cstheme="minorHAnsi"/>
                <w:b/>
                <w:color w:val="000000"/>
              </w:rPr>
            </w:pPr>
            <w:r w:rsidRPr="006A3A86">
              <w:rPr>
                <w:rFonts w:asciiTheme="minorHAnsi" w:eastAsia="Times New Roman" w:hAnsiTheme="minorHAnsi" w:cstheme="minorHAnsi"/>
                <w:b/>
                <w:color w:val="000000"/>
              </w:rPr>
              <w:t>Refer to the current product information sheet for further information</w:t>
            </w:r>
            <w:r w:rsidR="00FE4CD1" w:rsidRPr="006A3A86">
              <w:rPr>
                <w:rFonts w:asciiTheme="minorHAnsi" w:eastAsia="Times New Roman" w:hAnsiTheme="minorHAnsi" w:cstheme="minorHAnsi"/>
                <w:b/>
                <w:color w:val="000000"/>
              </w:rPr>
              <w:t xml:space="preserve"> on dose, administration and </w:t>
            </w:r>
            <w:r w:rsidR="00FE4CD1" w:rsidRPr="006A3A86">
              <w:rPr>
                <w:rFonts w:asciiTheme="minorHAnsi" w:eastAsia="Times New Roman" w:hAnsiTheme="minorHAnsi" w:cstheme="minorHAnsi"/>
                <w:b/>
                <w:color w:val="000000"/>
              </w:rPr>
              <w:lastRenderedPageBreak/>
              <w:t>contraindications</w:t>
            </w:r>
            <w:r w:rsidRPr="006A3A86">
              <w:rPr>
                <w:rFonts w:asciiTheme="minorHAnsi" w:eastAsia="Times New Roman" w:hAnsiTheme="minorHAnsi" w:cstheme="minorHAnsi"/>
                <w:b/>
                <w:color w:val="000000"/>
              </w:rPr>
              <w:t>.</w:t>
            </w:r>
          </w:p>
          <w:p w14:paraId="149BF153" w14:textId="277B47B1" w:rsidR="00021243" w:rsidRPr="00AC0D0A" w:rsidRDefault="00D2350C" w:rsidP="00D2350C">
            <w:pPr>
              <w:spacing w:before="120" w:after="120"/>
              <w:rPr>
                <w:rFonts w:asciiTheme="minorHAnsi" w:hAnsiTheme="minorHAnsi"/>
                <w:sz w:val="18"/>
                <w:szCs w:val="18"/>
              </w:rPr>
            </w:pPr>
            <w:r w:rsidRPr="00AC0D0A">
              <w:rPr>
                <w:rFonts w:asciiTheme="minorHAnsi" w:eastAsia="Times New Roman" w:hAnsiTheme="minorHAnsi" w:cstheme="minorHAnsi"/>
                <w:color w:val="000000"/>
              </w:rPr>
              <w:t>The aim should be to use the lowest dose possible that achieves the appropriate clinical outcome for each patient.</w:t>
            </w:r>
          </w:p>
        </w:tc>
        <w:tc>
          <w:tcPr>
            <w:tcW w:w="4394" w:type="dxa"/>
          </w:tcPr>
          <w:p w14:paraId="368FC73F" w14:textId="797A8ECC" w:rsidR="00D2350C" w:rsidRDefault="00D2350C" w:rsidP="00880ECB">
            <w:pPr>
              <w:spacing w:before="120" w:after="120"/>
              <w:rPr>
                <w:rFonts w:asciiTheme="minorHAnsi" w:hAnsiTheme="minorHAnsi"/>
              </w:rPr>
            </w:pPr>
            <w:r>
              <w:rPr>
                <w:rFonts w:asciiTheme="minorHAnsi" w:hAnsiTheme="minorHAnsi"/>
              </w:rPr>
              <w:lastRenderedPageBreak/>
              <w:t xml:space="preserve">Dosing has been </w:t>
            </w:r>
            <w:r w:rsidR="00860052">
              <w:rPr>
                <w:rFonts w:asciiTheme="minorHAnsi" w:hAnsiTheme="minorHAnsi"/>
              </w:rPr>
              <w:t>amended</w:t>
            </w:r>
            <w:r>
              <w:rPr>
                <w:rFonts w:asciiTheme="minorHAnsi" w:hAnsiTheme="minorHAnsi"/>
              </w:rPr>
              <w:t xml:space="preserve"> for the </w:t>
            </w:r>
            <w:r w:rsidR="00860052">
              <w:rPr>
                <w:rFonts w:asciiTheme="minorHAnsi" w:hAnsiTheme="minorHAnsi"/>
              </w:rPr>
              <w:t xml:space="preserve">revised </w:t>
            </w:r>
            <w:r>
              <w:rPr>
                <w:rFonts w:asciiTheme="minorHAnsi" w:hAnsiTheme="minorHAnsi"/>
              </w:rPr>
              <w:t>first indication</w:t>
            </w:r>
            <w:r w:rsidR="00860052">
              <w:rPr>
                <w:rFonts w:asciiTheme="minorHAnsi" w:hAnsiTheme="minorHAnsi"/>
              </w:rPr>
              <w:t>, now being</w:t>
            </w:r>
            <w:r>
              <w:rPr>
                <w:rFonts w:asciiTheme="minorHAnsi" w:hAnsiTheme="minorHAnsi"/>
              </w:rPr>
              <w:t xml:space="preserve"> limited to </w:t>
            </w:r>
            <w:r w:rsidR="00860052">
              <w:rPr>
                <w:rFonts w:asciiTheme="minorHAnsi" w:hAnsiTheme="minorHAnsi"/>
              </w:rPr>
              <w:t xml:space="preserve">Ig </w:t>
            </w:r>
            <w:r>
              <w:rPr>
                <w:rFonts w:asciiTheme="minorHAnsi" w:hAnsiTheme="minorHAnsi"/>
              </w:rPr>
              <w:t xml:space="preserve">treatment </w:t>
            </w:r>
            <w:r w:rsidR="00860052">
              <w:rPr>
                <w:rFonts w:asciiTheme="minorHAnsi" w:hAnsiTheme="minorHAnsi"/>
              </w:rPr>
              <w:t xml:space="preserve">in association </w:t>
            </w:r>
            <w:r>
              <w:rPr>
                <w:rFonts w:asciiTheme="minorHAnsi" w:hAnsiTheme="minorHAnsi"/>
              </w:rPr>
              <w:t>with plasmapheresis</w:t>
            </w:r>
            <w:r w:rsidR="001671A7">
              <w:rPr>
                <w:rFonts w:asciiTheme="minorHAnsi" w:hAnsiTheme="minorHAnsi"/>
              </w:rPr>
              <w:t xml:space="preserve"> only</w:t>
            </w:r>
            <w:r>
              <w:rPr>
                <w:rFonts w:asciiTheme="minorHAnsi" w:hAnsiTheme="minorHAnsi"/>
              </w:rPr>
              <w:t xml:space="preserve">. </w:t>
            </w:r>
          </w:p>
          <w:p w14:paraId="3653DA85" w14:textId="77777777" w:rsidR="00D2350C" w:rsidRDefault="00D2350C" w:rsidP="00880ECB">
            <w:pPr>
              <w:spacing w:before="120" w:after="120"/>
              <w:rPr>
                <w:rFonts w:asciiTheme="minorHAnsi" w:hAnsiTheme="minorHAnsi"/>
              </w:rPr>
            </w:pPr>
          </w:p>
          <w:p w14:paraId="49F2F4E9" w14:textId="77777777" w:rsidR="00D2350C" w:rsidRDefault="00D2350C" w:rsidP="00880ECB">
            <w:pPr>
              <w:spacing w:before="120" w:after="120"/>
              <w:rPr>
                <w:rFonts w:asciiTheme="minorHAnsi" w:hAnsiTheme="minorHAnsi"/>
              </w:rPr>
            </w:pPr>
          </w:p>
          <w:p w14:paraId="08AA6B42" w14:textId="77777777" w:rsidR="00D2350C" w:rsidRDefault="00D2350C" w:rsidP="00880ECB">
            <w:pPr>
              <w:spacing w:before="120" w:after="120"/>
              <w:rPr>
                <w:rFonts w:asciiTheme="minorHAnsi" w:hAnsiTheme="minorHAnsi"/>
              </w:rPr>
            </w:pPr>
          </w:p>
          <w:p w14:paraId="0CE189F0" w14:textId="77777777" w:rsidR="00D2350C" w:rsidRDefault="00D2350C" w:rsidP="00880ECB">
            <w:pPr>
              <w:spacing w:before="120" w:after="120"/>
              <w:rPr>
                <w:rFonts w:asciiTheme="minorHAnsi" w:hAnsiTheme="minorHAnsi"/>
              </w:rPr>
            </w:pPr>
          </w:p>
          <w:p w14:paraId="43757030" w14:textId="77777777" w:rsidR="00D2350C" w:rsidRDefault="00D2350C" w:rsidP="00880ECB">
            <w:pPr>
              <w:spacing w:before="120" w:after="120"/>
              <w:rPr>
                <w:rFonts w:asciiTheme="minorHAnsi" w:hAnsiTheme="minorHAnsi"/>
              </w:rPr>
            </w:pPr>
          </w:p>
          <w:p w14:paraId="0B5DBD87" w14:textId="77777777" w:rsidR="00D2350C" w:rsidRDefault="00D2350C" w:rsidP="00880ECB">
            <w:pPr>
              <w:spacing w:before="120" w:after="120"/>
              <w:rPr>
                <w:rFonts w:asciiTheme="minorHAnsi" w:hAnsiTheme="minorHAnsi"/>
              </w:rPr>
            </w:pPr>
          </w:p>
          <w:p w14:paraId="263CA096" w14:textId="77777777" w:rsidR="00D2350C" w:rsidRDefault="00D2350C" w:rsidP="00880ECB">
            <w:pPr>
              <w:spacing w:before="120" w:after="120"/>
              <w:rPr>
                <w:rFonts w:asciiTheme="minorHAnsi" w:hAnsiTheme="minorHAnsi"/>
              </w:rPr>
            </w:pPr>
          </w:p>
          <w:p w14:paraId="7EE96B56" w14:textId="77777777" w:rsidR="00D2350C" w:rsidRDefault="00D2350C" w:rsidP="00880ECB">
            <w:pPr>
              <w:spacing w:before="120" w:after="120"/>
              <w:rPr>
                <w:rFonts w:asciiTheme="minorHAnsi" w:hAnsiTheme="minorHAnsi"/>
              </w:rPr>
            </w:pPr>
          </w:p>
          <w:p w14:paraId="563A4635" w14:textId="77777777" w:rsidR="005F79EE" w:rsidRDefault="005F79EE" w:rsidP="00880ECB">
            <w:pPr>
              <w:spacing w:before="120" w:after="120"/>
              <w:rPr>
                <w:rFonts w:asciiTheme="minorHAnsi" w:hAnsiTheme="minorHAnsi"/>
              </w:rPr>
            </w:pPr>
          </w:p>
          <w:p w14:paraId="0F5CAFA3" w14:textId="41BB2364" w:rsidR="00021243" w:rsidRDefault="00BC3961" w:rsidP="00880ECB">
            <w:pPr>
              <w:spacing w:before="120" w:after="120"/>
              <w:rPr>
                <w:rFonts w:asciiTheme="minorHAnsi" w:hAnsiTheme="minorHAnsi"/>
                <w:szCs w:val="20"/>
              </w:rPr>
            </w:pPr>
            <w:r w:rsidRPr="00BC3961">
              <w:rPr>
                <w:rFonts w:asciiTheme="minorHAnsi" w:hAnsiTheme="minorHAnsi"/>
              </w:rPr>
              <w:t xml:space="preserve">Dosing </w:t>
            </w:r>
            <w:r w:rsidR="00860052">
              <w:rPr>
                <w:rFonts w:asciiTheme="minorHAnsi" w:hAnsiTheme="minorHAnsi"/>
              </w:rPr>
              <w:t xml:space="preserve">controls </w:t>
            </w:r>
            <w:r w:rsidRPr="00BC3961">
              <w:rPr>
                <w:rFonts w:asciiTheme="minorHAnsi" w:hAnsiTheme="minorHAnsi"/>
              </w:rPr>
              <w:t xml:space="preserve">for the </w:t>
            </w:r>
            <w:r w:rsidR="00D2350C">
              <w:rPr>
                <w:rFonts w:asciiTheme="minorHAnsi" w:hAnsiTheme="minorHAnsi"/>
              </w:rPr>
              <w:t>second two</w:t>
            </w:r>
            <w:r w:rsidRPr="00BC3961">
              <w:rPr>
                <w:rFonts w:asciiTheme="minorHAnsi" w:hAnsiTheme="minorHAnsi"/>
              </w:rPr>
              <w:t xml:space="preserve"> indications </w:t>
            </w:r>
            <w:r w:rsidR="00860052">
              <w:rPr>
                <w:rFonts w:asciiTheme="minorHAnsi" w:hAnsiTheme="minorHAnsi"/>
              </w:rPr>
              <w:t>are</w:t>
            </w:r>
            <w:r w:rsidRPr="00BC3961">
              <w:rPr>
                <w:rFonts w:asciiTheme="minorHAnsi" w:hAnsiTheme="minorHAnsi"/>
              </w:rPr>
              <w:t xml:space="preserve"> unchanged</w:t>
            </w:r>
            <w:r w:rsidR="00AF147B">
              <w:rPr>
                <w:rFonts w:asciiTheme="minorHAnsi" w:hAnsiTheme="minorHAnsi"/>
              </w:rPr>
              <w:t xml:space="preserve"> from 2015</w:t>
            </w:r>
            <w:r w:rsidRPr="00FF49BE">
              <w:rPr>
                <w:rFonts w:asciiTheme="minorHAnsi" w:hAnsiTheme="minorHAnsi"/>
                <w:sz w:val="18"/>
                <w:szCs w:val="18"/>
              </w:rPr>
              <w:t>.</w:t>
            </w:r>
          </w:p>
          <w:p w14:paraId="3D85AB62" w14:textId="77777777" w:rsidR="00BC3961" w:rsidRPr="00C92149" w:rsidRDefault="00BC3961" w:rsidP="00880ECB">
            <w:pPr>
              <w:spacing w:before="120" w:after="120"/>
              <w:rPr>
                <w:rFonts w:asciiTheme="minorHAnsi" w:hAnsiTheme="minorHAnsi"/>
                <w:szCs w:val="20"/>
              </w:rPr>
            </w:pPr>
          </w:p>
        </w:tc>
      </w:tr>
    </w:tbl>
    <w:p w14:paraId="1D1123F1" w14:textId="77777777"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14:paraId="224E6A9B" w14:textId="77777777" w:rsidTr="008612AB">
        <w:tc>
          <w:tcPr>
            <w:tcW w:w="14601" w:type="dxa"/>
            <w:shd w:val="clear" w:color="auto" w:fill="B8CCE4" w:themeFill="accent1" w:themeFillTint="66"/>
          </w:tcPr>
          <w:p w14:paraId="359C888D" w14:textId="77777777" w:rsidR="00A80A19" w:rsidRDefault="00F42816" w:rsidP="00860052">
            <w:pPr>
              <w:spacing w:before="120" w:after="120"/>
              <w:jc w:val="center"/>
              <w:rPr>
                <w:rFonts w:asciiTheme="minorHAnsi" w:hAnsiTheme="minorHAnsi"/>
                <w:b/>
              </w:rPr>
            </w:pPr>
            <w:r>
              <w:rPr>
                <w:rFonts w:asciiTheme="minorHAnsi" w:hAnsiTheme="minorHAnsi"/>
                <w:b/>
              </w:rPr>
              <w:lastRenderedPageBreak/>
              <w:t>References</w:t>
            </w:r>
          </w:p>
          <w:p w14:paraId="512F654F" w14:textId="73CB11C0" w:rsidR="00901F76" w:rsidRPr="00021243" w:rsidRDefault="00901F76" w:rsidP="004B6B5E">
            <w:pPr>
              <w:spacing w:before="120" w:after="120"/>
              <w:jc w:val="center"/>
              <w:rPr>
                <w:rFonts w:asciiTheme="minorHAnsi" w:hAnsiTheme="minorHAnsi"/>
                <w:b/>
              </w:rPr>
            </w:pPr>
            <w:r>
              <w:rPr>
                <w:rFonts w:asciiTheme="minorHAnsi" w:hAnsiTheme="minorHAnsi"/>
                <w:b/>
              </w:rPr>
              <w:t>(</w:t>
            </w:r>
            <w:r w:rsidR="000639A1">
              <w:rPr>
                <w:rFonts w:asciiTheme="minorHAnsi" w:hAnsiTheme="minorHAnsi"/>
                <w:b/>
              </w:rPr>
              <w:t xml:space="preserve">most </w:t>
            </w:r>
            <w:r>
              <w:rPr>
                <w:rFonts w:asciiTheme="minorHAnsi" w:hAnsiTheme="minorHAnsi"/>
                <w:b/>
              </w:rPr>
              <w:t>recent update</w:t>
            </w:r>
            <w:r w:rsidR="000639A1">
              <w:rPr>
                <w:rFonts w:asciiTheme="minorHAnsi" w:hAnsiTheme="minorHAnsi"/>
                <w:b/>
              </w:rPr>
              <w:t xml:space="preserve">: </w:t>
            </w:r>
            <w:r w:rsidR="004B6B5E">
              <w:rPr>
                <w:rFonts w:asciiTheme="minorHAnsi" w:hAnsiTheme="minorHAnsi"/>
                <w:b/>
              </w:rPr>
              <w:t>February 2016</w:t>
            </w:r>
            <w:r>
              <w:rPr>
                <w:rFonts w:asciiTheme="minorHAnsi" w:hAnsiTheme="minorHAnsi"/>
                <w:b/>
              </w:rPr>
              <w:t>)</w:t>
            </w:r>
          </w:p>
        </w:tc>
      </w:tr>
      <w:tr w:rsidR="008612AB" w:rsidRPr="00255740" w14:paraId="33D64203" w14:textId="77777777" w:rsidTr="008612AB">
        <w:tc>
          <w:tcPr>
            <w:tcW w:w="14601" w:type="dxa"/>
          </w:tcPr>
          <w:p w14:paraId="1243E1FE" w14:textId="679EF40B" w:rsidR="00FE4CD1" w:rsidRDefault="00FE4CD1" w:rsidP="00FE4CD1">
            <w:pPr>
              <w:pStyle w:val="heading"/>
              <w:spacing w:line="360" w:lineRule="atLeast"/>
              <w:rPr>
                <w:rFonts w:asciiTheme="minorHAnsi" w:hAnsiTheme="minorHAnsi"/>
                <w:sz w:val="22"/>
                <w:szCs w:val="22"/>
                <w:lang w:val="en-US"/>
              </w:rPr>
            </w:pPr>
            <w:r>
              <w:rPr>
                <w:rFonts w:asciiTheme="minorHAnsi" w:hAnsiTheme="minorHAnsi"/>
                <w:sz w:val="22"/>
                <w:szCs w:val="22"/>
                <w:lang w:val="en-US"/>
              </w:rPr>
              <w:t xml:space="preserve">Berry G et al </w:t>
            </w:r>
            <w:r w:rsidR="001A0725">
              <w:rPr>
                <w:rFonts w:asciiTheme="minorHAnsi" w:hAnsiTheme="minorHAnsi"/>
                <w:sz w:val="22"/>
                <w:szCs w:val="22"/>
                <w:lang w:val="en-US"/>
              </w:rPr>
              <w:t>(</w:t>
            </w:r>
            <w:r>
              <w:rPr>
                <w:rFonts w:asciiTheme="minorHAnsi" w:hAnsiTheme="minorHAnsi"/>
                <w:sz w:val="22"/>
                <w:szCs w:val="22"/>
                <w:lang w:val="en-US"/>
              </w:rPr>
              <w:t xml:space="preserve">2005-2011) </w:t>
            </w:r>
            <w:r w:rsidRPr="00FE4CD1">
              <w:rPr>
                <w:rFonts w:asciiTheme="minorHAnsi" w:hAnsiTheme="minorHAnsi"/>
                <w:sz w:val="22"/>
                <w:szCs w:val="22"/>
                <w:lang w:val="en-US"/>
              </w:rPr>
              <w:t>The ISHLT working formulation for pathologic diagnosis of antibody-mediated rejection in heart transplantation</w:t>
            </w:r>
            <w:r>
              <w:rPr>
                <w:rFonts w:asciiTheme="minorHAnsi" w:hAnsiTheme="minorHAnsi"/>
                <w:sz w:val="22"/>
                <w:szCs w:val="22"/>
                <w:lang w:val="en-US"/>
              </w:rPr>
              <w:t xml:space="preserve">: Evolution and current status. </w:t>
            </w:r>
            <w:r w:rsidRPr="00FE4CD1">
              <w:rPr>
                <w:rFonts w:asciiTheme="minorHAnsi" w:hAnsiTheme="minorHAnsi"/>
                <w:i/>
                <w:sz w:val="22"/>
                <w:szCs w:val="22"/>
                <w:lang w:val="en-US"/>
              </w:rPr>
              <w:t>The Journal of Heart and Lung Transplant</w:t>
            </w:r>
            <w:r>
              <w:rPr>
                <w:rFonts w:asciiTheme="minorHAnsi" w:hAnsiTheme="minorHAnsi"/>
                <w:sz w:val="22"/>
                <w:szCs w:val="22"/>
                <w:lang w:val="en-US"/>
              </w:rPr>
              <w:t>, 30(6): 601:611.</w:t>
            </w:r>
          </w:p>
          <w:p w14:paraId="464B2324" w14:textId="576B097B" w:rsidR="00FE4CD1" w:rsidRDefault="009049B6" w:rsidP="00FE4CD1">
            <w:pPr>
              <w:pStyle w:val="heading"/>
              <w:spacing w:line="360" w:lineRule="atLeast"/>
              <w:rPr>
                <w:rFonts w:asciiTheme="minorHAnsi" w:hAnsiTheme="minorHAnsi"/>
                <w:sz w:val="22"/>
                <w:szCs w:val="22"/>
                <w:lang w:val="en-US"/>
              </w:rPr>
            </w:pPr>
            <w:hyperlink r:id="rId13" w:history="1">
              <w:r w:rsidR="00FE4CD1" w:rsidRPr="00FE4CD1">
                <w:rPr>
                  <w:rStyle w:val="Hyperlink"/>
                  <w:rFonts w:asciiTheme="minorHAnsi" w:hAnsiTheme="minorHAnsi"/>
                  <w:color w:val="808080" w:themeColor="background1" w:themeShade="80"/>
                  <w:sz w:val="22"/>
                  <w:szCs w:val="22"/>
                  <w:lang w:val="en-US"/>
                </w:rPr>
                <w:t>http://www.jhltonline.org/article/S1053-2498(11)00796-0/abstract</w:t>
              </w:r>
            </w:hyperlink>
          </w:p>
          <w:p w14:paraId="6EDE22E0" w14:textId="417D94DA" w:rsidR="00404AD1" w:rsidRDefault="00FE4CD1" w:rsidP="00FE4CD1">
            <w:pPr>
              <w:rPr>
                <w:lang w:val="en-US"/>
              </w:rPr>
            </w:pPr>
            <w:r>
              <w:rPr>
                <w:lang w:val="en-US"/>
              </w:rPr>
              <w:t>Colvin MM, Cook JL, et al</w:t>
            </w:r>
            <w:r w:rsidR="00404AD1">
              <w:rPr>
                <w:lang w:val="en-US"/>
              </w:rPr>
              <w:t xml:space="preserve"> (2015)</w:t>
            </w:r>
            <w:r>
              <w:rPr>
                <w:lang w:val="en-US"/>
              </w:rPr>
              <w:t xml:space="preserve"> </w:t>
            </w:r>
            <w:r w:rsidR="00404AD1">
              <w:rPr>
                <w:lang w:val="en-US"/>
              </w:rPr>
              <w:t>Antibody mediated rejection in cardiac Transplantation: Emerging knowledge in Diagnosis and Management. A Scientific statement from</w:t>
            </w:r>
            <w:r>
              <w:rPr>
                <w:lang w:val="en-US"/>
              </w:rPr>
              <w:t xml:space="preserve"> the American Heart Association. </w:t>
            </w:r>
            <w:r w:rsidR="00404AD1" w:rsidRPr="00FE4CD1">
              <w:rPr>
                <w:i/>
                <w:lang w:val="en-US"/>
              </w:rPr>
              <w:t>Circulation</w:t>
            </w:r>
            <w:r>
              <w:rPr>
                <w:lang w:val="en-US"/>
              </w:rPr>
              <w:t>, 131:1608-1639.</w:t>
            </w:r>
          </w:p>
          <w:p w14:paraId="09C43901" w14:textId="77777777" w:rsidR="00FE4CD1" w:rsidRDefault="00FE4CD1" w:rsidP="00FE4CD1">
            <w:pPr>
              <w:rPr>
                <w:lang w:val="en-US"/>
              </w:rPr>
            </w:pPr>
          </w:p>
          <w:p w14:paraId="1A1916A7" w14:textId="52BD2141" w:rsidR="00FE4CD1" w:rsidRDefault="009049B6" w:rsidP="00FE4CD1">
            <w:pPr>
              <w:rPr>
                <w:lang w:val="en-US"/>
              </w:rPr>
            </w:pPr>
            <w:hyperlink r:id="rId14" w:history="1">
              <w:r w:rsidR="00FE4CD1" w:rsidRPr="00FE4CD1">
                <w:rPr>
                  <w:rStyle w:val="Hyperlink"/>
                  <w:color w:val="808080" w:themeColor="background1" w:themeShade="80"/>
                  <w:lang w:val="en-US"/>
                </w:rPr>
                <w:t>https://www.ncbi.nlm.nih.gov/pubmed/25838326</w:t>
              </w:r>
            </w:hyperlink>
          </w:p>
          <w:p w14:paraId="1204E047" w14:textId="77777777" w:rsidR="00FE4CD1" w:rsidRDefault="00FE4CD1" w:rsidP="00FE4CD1">
            <w:pPr>
              <w:rPr>
                <w:lang w:val="en-US"/>
              </w:rPr>
            </w:pPr>
          </w:p>
          <w:p w14:paraId="74C06B4D" w14:textId="77777777" w:rsidR="00404AD1" w:rsidRDefault="00404AD1" w:rsidP="003F60D2">
            <w:pPr>
              <w:rPr>
                <w:lang w:val="en-US"/>
              </w:rPr>
            </w:pPr>
          </w:p>
          <w:p w14:paraId="3AA010FF" w14:textId="76047238" w:rsidR="003F60D2" w:rsidRDefault="003F60D2" w:rsidP="003F60D2">
            <w:pPr>
              <w:rPr>
                <w:lang w:val="en-US"/>
              </w:rPr>
            </w:pPr>
            <w:r w:rsidRPr="003A5FA0">
              <w:rPr>
                <w:lang w:val="en-US"/>
              </w:rPr>
              <w:t xml:space="preserve">Jordan, SC, Vo, A, </w:t>
            </w:r>
            <w:proofErr w:type="spellStart"/>
            <w:r w:rsidRPr="003A5FA0">
              <w:rPr>
                <w:lang w:val="en-US"/>
              </w:rPr>
              <w:t>Bunnapradist</w:t>
            </w:r>
            <w:proofErr w:type="spellEnd"/>
            <w:r w:rsidRPr="003A5FA0">
              <w:rPr>
                <w:lang w:val="en-US"/>
              </w:rPr>
              <w:t xml:space="preserve">, S, et al </w:t>
            </w:r>
            <w:r w:rsidR="00FE4CD1">
              <w:rPr>
                <w:lang w:val="en-US"/>
              </w:rPr>
              <w:t>(</w:t>
            </w:r>
            <w:r w:rsidRPr="003A5FA0">
              <w:rPr>
                <w:lang w:val="en-US"/>
              </w:rPr>
              <w:t>2003</w:t>
            </w:r>
            <w:r w:rsidR="00FE4CD1">
              <w:rPr>
                <w:lang w:val="en-US"/>
              </w:rPr>
              <w:t xml:space="preserve">) </w:t>
            </w:r>
            <w:r w:rsidRPr="003A5FA0">
              <w:rPr>
                <w:lang w:val="en-US"/>
              </w:rPr>
              <w:t>Intravenous immune globulin treatment inhibits cross match positivity and allows for successful transplantation of incompatible organs in living</w:t>
            </w:r>
            <w:r w:rsidR="00FE4CD1">
              <w:rPr>
                <w:lang w:val="en-US"/>
              </w:rPr>
              <w:t xml:space="preserve">-donor and cadaver recipients. </w:t>
            </w:r>
            <w:r w:rsidRPr="003A5FA0">
              <w:rPr>
                <w:i/>
                <w:iCs/>
                <w:lang w:val="en-US"/>
              </w:rPr>
              <w:t>Transplantation</w:t>
            </w:r>
            <w:r w:rsidR="00FE4CD1">
              <w:rPr>
                <w:lang w:val="en-US"/>
              </w:rPr>
              <w:t>, 76(</w:t>
            </w:r>
            <w:r w:rsidRPr="003A5FA0">
              <w:rPr>
                <w:lang w:val="en-US"/>
              </w:rPr>
              <w:t>4</w:t>
            </w:r>
            <w:r w:rsidR="00FE4CD1">
              <w:rPr>
                <w:lang w:val="en-US"/>
              </w:rPr>
              <w:t>):</w:t>
            </w:r>
            <w:r w:rsidRPr="003A5FA0">
              <w:rPr>
                <w:lang w:val="en-US"/>
              </w:rPr>
              <w:t xml:space="preserve"> 631–6</w:t>
            </w:r>
            <w:r>
              <w:rPr>
                <w:lang w:val="en-US"/>
              </w:rPr>
              <w:t>.</w:t>
            </w:r>
          </w:p>
          <w:p w14:paraId="57D0ADF7" w14:textId="77777777" w:rsidR="00FE4CD1" w:rsidRDefault="00FE4CD1" w:rsidP="003F60D2">
            <w:pPr>
              <w:rPr>
                <w:lang w:val="en-US"/>
              </w:rPr>
            </w:pPr>
          </w:p>
          <w:p w14:paraId="3303BE67" w14:textId="58C2D81B" w:rsidR="00FE4CD1" w:rsidRDefault="009049B6" w:rsidP="003F60D2">
            <w:pPr>
              <w:rPr>
                <w:color w:val="808080" w:themeColor="background1" w:themeShade="80"/>
                <w:lang w:val="en-US"/>
              </w:rPr>
            </w:pPr>
            <w:hyperlink r:id="rId15" w:history="1">
              <w:r w:rsidR="00FE4CD1" w:rsidRPr="00FE4CD1">
                <w:rPr>
                  <w:rStyle w:val="Hyperlink"/>
                  <w:color w:val="808080" w:themeColor="background1" w:themeShade="80"/>
                  <w:lang w:val="en-US"/>
                </w:rPr>
                <w:t>https://www.ncbi.nlm.nih.gov/pubmed/12973100</w:t>
              </w:r>
            </w:hyperlink>
          </w:p>
          <w:p w14:paraId="208C9763" w14:textId="77777777" w:rsidR="00FE4CD1" w:rsidRDefault="00FE4CD1" w:rsidP="003F60D2">
            <w:pPr>
              <w:rPr>
                <w:color w:val="808080" w:themeColor="background1" w:themeShade="80"/>
                <w:lang w:val="en-US"/>
              </w:rPr>
            </w:pPr>
          </w:p>
          <w:p w14:paraId="4C9875C0" w14:textId="27884880" w:rsidR="00FE4CD1" w:rsidRPr="00FE4CD1" w:rsidRDefault="00FE4CD1" w:rsidP="003F60D2">
            <w:pPr>
              <w:rPr>
                <w:color w:val="808080" w:themeColor="background1" w:themeShade="80"/>
                <w:lang w:val="en-US"/>
              </w:rPr>
            </w:pPr>
            <w:r w:rsidRPr="00FE4CD1">
              <w:rPr>
                <w:lang w:val="en-US"/>
              </w:rPr>
              <w:t>Ontario Regional Blood Coordinating Network (2016). Ontario Intravenous Immune Globulin (</w:t>
            </w:r>
            <w:proofErr w:type="spellStart"/>
            <w:r w:rsidR="00CD6B1D">
              <w:rPr>
                <w:lang w:val="en-US"/>
              </w:rPr>
              <w:t>IVIg</w:t>
            </w:r>
            <w:proofErr w:type="spellEnd"/>
            <w:r w:rsidRPr="00FE4CD1">
              <w:rPr>
                <w:lang w:val="en-US"/>
              </w:rPr>
              <w:t>) Utilization Management Guidelines, Version 3.0. [</w:t>
            </w:r>
            <w:proofErr w:type="gramStart"/>
            <w:r w:rsidRPr="00FE4CD1">
              <w:rPr>
                <w:lang w:val="en-US"/>
              </w:rPr>
              <w:t>online</w:t>
            </w:r>
            <w:proofErr w:type="gramEnd"/>
            <w:r w:rsidRPr="00FE4CD1">
              <w:rPr>
                <w:lang w:val="en-US"/>
              </w:rPr>
              <w:t xml:space="preserve">]. Available at: </w:t>
            </w:r>
            <w:r w:rsidRPr="00FE4CD1">
              <w:rPr>
                <w:color w:val="808080" w:themeColor="background1" w:themeShade="80"/>
                <w:lang w:val="en-US"/>
              </w:rPr>
              <w:t>http://transfusionontario.org/en/download/ontario-intravenous-immune-globulin-</w:t>
            </w:r>
            <w:r w:rsidR="00CD6B1D">
              <w:rPr>
                <w:color w:val="808080" w:themeColor="background1" w:themeShade="80"/>
                <w:lang w:val="en-US"/>
              </w:rPr>
              <w:t>IVIg</w:t>
            </w:r>
            <w:r w:rsidRPr="00FE4CD1">
              <w:rPr>
                <w:color w:val="808080" w:themeColor="background1" w:themeShade="80"/>
                <w:lang w:val="en-US"/>
              </w:rPr>
              <w:t>-utilization-management-guidelines-2/.</w:t>
            </w:r>
          </w:p>
          <w:p w14:paraId="751B7D68" w14:textId="5FFC1BB9" w:rsidR="00FE4CD1" w:rsidRPr="00FE4CD1" w:rsidRDefault="00FE4CD1" w:rsidP="00FE4CD1">
            <w:pPr>
              <w:pStyle w:val="NormalWeb"/>
              <w:spacing w:after="0" w:line="360" w:lineRule="atLeast"/>
              <w:contextualSpacing/>
              <w:rPr>
                <w:rFonts w:ascii="Calibri" w:eastAsia="Dotum" w:hAnsi="Calibri" w:cs="Calibri"/>
                <w:sz w:val="22"/>
                <w:szCs w:val="22"/>
                <w:lang w:val="en-US"/>
              </w:rPr>
            </w:pPr>
            <w:r w:rsidRPr="00FE4CD1">
              <w:rPr>
                <w:rFonts w:ascii="Calibri" w:eastAsia="Dotum" w:hAnsi="Calibri" w:cs="Calibri"/>
                <w:sz w:val="22"/>
                <w:szCs w:val="22"/>
                <w:lang w:val="en-US"/>
              </w:rPr>
              <w:t xml:space="preserve">UK Department of Health (2011) Clinical Guidelines for Immunoglobulin Use: Second Edition Update. Available at: </w:t>
            </w:r>
            <w:r w:rsidRPr="00FE4CD1">
              <w:rPr>
                <w:rFonts w:ascii="Calibri" w:eastAsia="Dotum" w:hAnsi="Calibri" w:cs="Calibri"/>
                <w:color w:val="808080" w:themeColor="background1" w:themeShade="80"/>
                <w:sz w:val="22"/>
                <w:szCs w:val="22"/>
                <w:lang w:val="en-US"/>
              </w:rPr>
              <w:lastRenderedPageBreak/>
              <w:t>https://www.gov.uk/government/uploads/system/uploads/attachment_data/file/216671/dh_131107.pdf</w:t>
            </w:r>
          </w:p>
          <w:p w14:paraId="29B8DBD5" w14:textId="3AA6FF82" w:rsidR="00901F76" w:rsidRPr="003F60D2" w:rsidRDefault="00FE4CD1" w:rsidP="00FE4CD1">
            <w:pPr>
              <w:pStyle w:val="NormalWeb"/>
              <w:spacing w:before="0" w:beforeAutospacing="0" w:after="0" w:afterAutospacing="0" w:line="360" w:lineRule="atLeast"/>
              <w:contextualSpacing/>
              <w:rPr>
                <w:rFonts w:ascii="Lucida Sans" w:hAnsi="Lucida Sans"/>
                <w:color w:val="000000"/>
                <w:lang w:val="en-US"/>
              </w:rPr>
            </w:pPr>
            <w:r w:rsidRPr="00FE4CD1">
              <w:rPr>
                <w:rFonts w:ascii="Calibri" w:eastAsia="Dotum" w:hAnsi="Calibri" w:cs="Calibri"/>
                <w:sz w:val="22"/>
                <w:szCs w:val="22"/>
                <w:lang w:val="en-US"/>
              </w:rPr>
              <w:t xml:space="preserve">UK Department of Health (2011) Clinical Guidelines for Immunoglobulin Use: Second Edition Update: Summary Poster. Available at: </w:t>
            </w:r>
            <w:r w:rsidRPr="00FE4CD1">
              <w:rPr>
                <w:rFonts w:ascii="Calibri" w:eastAsia="Dotum" w:hAnsi="Calibri" w:cs="Calibri"/>
                <w:color w:val="808080" w:themeColor="background1" w:themeShade="80"/>
                <w:sz w:val="22"/>
                <w:szCs w:val="22"/>
                <w:lang w:val="en-US"/>
              </w:rPr>
              <w:t>https://www.igd.nhs.uk/wp-content/uploads/2016/04/DemandManagementPoster_v4_February2016.pdf</w:t>
            </w:r>
          </w:p>
        </w:tc>
      </w:tr>
    </w:tbl>
    <w:p w14:paraId="3DAF3971" w14:textId="77777777"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14:paraId="33E07F6C" w14:textId="77777777" w:rsidTr="008612AB">
        <w:tc>
          <w:tcPr>
            <w:tcW w:w="14601" w:type="dxa"/>
            <w:gridSpan w:val="7"/>
            <w:shd w:val="clear" w:color="auto" w:fill="F79646" w:themeFill="accent6"/>
          </w:tcPr>
          <w:p w14:paraId="063B816A" w14:textId="77777777"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14:paraId="531B5025" w14:textId="77777777" w:rsidTr="008612AB">
        <w:tc>
          <w:tcPr>
            <w:tcW w:w="14601" w:type="dxa"/>
            <w:gridSpan w:val="7"/>
            <w:shd w:val="clear" w:color="auto" w:fill="auto"/>
          </w:tcPr>
          <w:p w14:paraId="4E349A96" w14:textId="2CE0AE15" w:rsidR="00EA2E82" w:rsidRPr="00EA2E82" w:rsidRDefault="00D2350C" w:rsidP="004A10A2">
            <w:pPr>
              <w:spacing w:before="120" w:after="120"/>
              <w:rPr>
                <w:rFonts w:asciiTheme="minorHAnsi" w:hAnsiTheme="minorHAnsi"/>
              </w:rPr>
            </w:pPr>
            <w:r>
              <w:rPr>
                <w:rFonts w:asciiTheme="minorHAnsi" w:hAnsiTheme="minorHAnsi"/>
              </w:rPr>
              <w:t xml:space="preserve">There is unlikely to be any significant operational impact due to the proposed changes, apart from a reduced workload </w:t>
            </w:r>
            <w:r w:rsidR="00764B57">
              <w:rPr>
                <w:rFonts w:asciiTheme="minorHAnsi" w:hAnsiTheme="minorHAnsi"/>
              </w:rPr>
              <w:t>for</w:t>
            </w:r>
            <w:r>
              <w:rPr>
                <w:rFonts w:asciiTheme="minorHAnsi" w:hAnsiTheme="minorHAnsi"/>
              </w:rPr>
              <w:t xml:space="preserve"> </w:t>
            </w:r>
            <w:r w:rsidR="00764B57">
              <w:rPr>
                <w:rFonts w:asciiTheme="minorHAnsi" w:hAnsiTheme="minorHAnsi"/>
              </w:rPr>
              <w:t>staff re-ordering as</w:t>
            </w:r>
            <w:r>
              <w:rPr>
                <w:rFonts w:asciiTheme="minorHAnsi" w:hAnsiTheme="minorHAnsi"/>
              </w:rPr>
              <w:t xml:space="preserve"> access </w:t>
            </w:r>
            <w:r w:rsidR="00764B57">
              <w:rPr>
                <w:rFonts w:asciiTheme="minorHAnsi" w:hAnsiTheme="minorHAnsi"/>
              </w:rPr>
              <w:t xml:space="preserve">to </w:t>
            </w:r>
            <w:r>
              <w:rPr>
                <w:rFonts w:asciiTheme="minorHAnsi" w:hAnsiTheme="minorHAnsi"/>
              </w:rPr>
              <w:t xml:space="preserve">ongoing treatment </w:t>
            </w:r>
            <w:r w:rsidR="00764B57">
              <w:rPr>
                <w:rFonts w:asciiTheme="minorHAnsi" w:hAnsiTheme="minorHAnsi"/>
              </w:rPr>
              <w:t xml:space="preserve">will be available </w:t>
            </w:r>
            <w:r>
              <w:rPr>
                <w:rFonts w:asciiTheme="minorHAnsi" w:hAnsiTheme="minorHAnsi"/>
              </w:rPr>
              <w:t xml:space="preserve">for these patients.  </w:t>
            </w:r>
          </w:p>
        </w:tc>
      </w:tr>
      <w:tr w:rsidR="004A10A2" w:rsidRPr="00021243" w14:paraId="499EB64A" w14:textId="77777777" w:rsidTr="008612AB">
        <w:tc>
          <w:tcPr>
            <w:tcW w:w="14601" w:type="dxa"/>
            <w:gridSpan w:val="7"/>
            <w:shd w:val="clear" w:color="auto" w:fill="F79646" w:themeFill="accent6"/>
          </w:tcPr>
          <w:p w14:paraId="59DE8B9C" w14:textId="77777777"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14:paraId="445CBA71" w14:textId="77777777" w:rsidTr="00832D0D">
        <w:tc>
          <w:tcPr>
            <w:tcW w:w="3545" w:type="dxa"/>
            <w:gridSpan w:val="2"/>
            <w:shd w:val="clear" w:color="auto" w:fill="auto"/>
          </w:tcPr>
          <w:p w14:paraId="68C40DD2" w14:textId="77777777"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14:paraId="4453226E" w14:textId="5F1A983C" w:rsidR="00832D0D" w:rsidRPr="00832D0D" w:rsidRDefault="00DD67FD" w:rsidP="00DD67FD">
            <w:pPr>
              <w:spacing w:before="120" w:after="120"/>
              <w:rPr>
                <w:rFonts w:asciiTheme="minorHAnsi" w:hAnsiTheme="minorHAnsi"/>
              </w:rPr>
            </w:pPr>
            <w:r>
              <w:rPr>
                <w:rFonts w:asciiTheme="minorHAnsi" w:hAnsiTheme="minorHAnsi"/>
              </w:rPr>
              <w:t>The further changes that have been made to the previously revised criteria define circumstances in which access to ongoing Ig treatment can be requested for patients undergoing solid organ transplantation.  The circumstances are aligned with current clinical practice to improve the likelihood for highly sensitised patients to be able to receive an organ.  In order to confirm that Ig therapy is achieving the expected clinical benefit, a formal review of the patient’s clinical response will be made after two months of treatment and if a response is demonstrated, treatment for a further four months can be authorised. When a response has not been achieved after two months, Ig therapy will cease and patients will require an alternative treatment approach.  A maximum treatment period of six months will be provided for patients as this has been determined as sufficient Ig treatment time for a sustained change to be achieved. After this time, alternative treatment approaches should be used, if required.</w:t>
            </w:r>
          </w:p>
        </w:tc>
      </w:tr>
      <w:tr w:rsidR="00D2350C" w:rsidRPr="00021243" w14:paraId="5D9B3423" w14:textId="77777777" w:rsidTr="00860052">
        <w:tc>
          <w:tcPr>
            <w:tcW w:w="3545" w:type="dxa"/>
            <w:gridSpan w:val="2"/>
            <w:shd w:val="clear" w:color="auto" w:fill="auto"/>
          </w:tcPr>
          <w:p w14:paraId="7FC87206" w14:textId="77777777" w:rsidR="00D2350C" w:rsidRDefault="00D2350C" w:rsidP="00860052">
            <w:pPr>
              <w:spacing w:before="120" w:after="120"/>
              <w:rPr>
                <w:rFonts w:asciiTheme="minorHAnsi" w:hAnsiTheme="minorHAnsi"/>
                <w:b/>
              </w:rPr>
            </w:pPr>
            <w:r>
              <w:rPr>
                <w:rFonts w:asciiTheme="minorHAnsi" w:hAnsiTheme="minorHAnsi"/>
                <w:b/>
              </w:rPr>
              <w:t>Impact on demand:</w:t>
            </w:r>
          </w:p>
        </w:tc>
        <w:tc>
          <w:tcPr>
            <w:tcW w:w="11056" w:type="dxa"/>
            <w:gridSpan w:val="5"/>
            <w:shd w:val="clear" w:color="auto" w:fill="auto"/>
          </w:tcPr>
          <w:p w14:paraId="47CB4ECF" w14:textId="149D7846" w:rsidR="00D2350C" w:rsidDel="006344E8" w:rsidRDefault="00D2350C" w:rsidP="00F6725D">
            <w:pPr>
              <w:spacing w:before="120" w:after="120"/>
              <w:rPr>
                <w:rFonts w:asciiTheme="minorHAnsi" w:hAnsiTheme="minorHAnsi"/>
              </w:rPr>
            </w:pPr>
            <w:r>
              <w:rPr>
                <w:rFonts w:asciiTheme="minorHAnsi" w:hAnsiTheme="minorHAnsi"/>
              </w:rPr>
              <w:t xml:space="preserve">It is acknowledged that due to governments’ investment in organ transplantation over the last few years, the trend of increasing use for this condition </w:t>
            </w:r>
            <w:r w:rsidR="00F6725D">
              <w:rPr>
                <w:rFonts w:asciiTheme="minorHAnsi" w:hAnsiTheme="minorHAnsi"/>
              </w:rPr>
              <w:t>is</w:t>
            </w:r>
            <w:r>
              <w:rPr>
                <w:rFonts w:asciiTheme="minorHAnsi" w:hAnsiTheme="minorHAnsi"/>
              </w:rPr>
              <w:t xml:space="preserve"> likely to continue. There is not expected to be any impact </w:t>
            </w:r>
            <w:r w:rsidR="00F6725D">
              <w:rPr>
                <w:rFonts w:asciiTheme="minorHAnsi" w:hAnsiTheme="minorHAnsi"/>
              </w:rPr>
              <w:t>on Ig use as a result of</w:t>
            </w:r>
            <w:r>
              <w:rPr>
                <w:rFonts w:asciiTheme="minorHAnsi" w:hAnsiTheme="minorHAnsi"/>
              </w:rPr>
              <w:t xml:space="preserve"> the proposed changes.  </w:t>
            </w:r>
          </w:p>
        </w:tc>
      </w:tr>
      <w:tr w:rsidR="008F1747" w:rsidRPr="00853117" w14:paraId="230FCA15" w14:textId="77777777" w:rsidTr="008F1747">
        <w:tc>
          <w:tcPr>
            <w:tcW w:w="2161" w:type="dxa"/>
            <w:shd w:val="clear" w:color="auto" w:fill="auto"/>
          </w:tcPr>
          <w:p w14:paraId="34694AC8" w14:textId="77777777" w:rsidR="008F1747" w:rsidRPr="00C92149" w:rsidRDefault="008F1747" w:rsidP="004A10A2">
            <w:pPr>
              <w:spacing w:before="120" w:after="120"/>
              <w:rPr>
                <w:rFonts w:asciiTheme="minorHAnsi" w:hAnsiTheme="minorHAnsi"/>
                <w:b/>
                <w:sz w:val="18"/>
                <w:szCs w:val="18"/>
              </w:rPr>
            </w:pPr>
          </w:p>
        </w:tc>
        <w:tc>
          <w:tcPr>
            <w:tcW w:w="1384" w:type="dxa"/>
            <w:shd w:val="clear" w:color="auto" w:fill="auto"/>
          </w:tcPr>
          <w:p w14:paraId="4666AA4E" w14:textId="77777777" w:rsidR="008F1747" w:rsidRPr="00C92149" w:rsidRDefault="008F1747" w:rsidP="00D920EE">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14:paraId="6BA04F65" w14:textId="77777777" w:rsidR="008F1747" w:rsidRPr="00C92149" w:rsidRDefault="008F1747" w:rsidP="00D920EE">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14:paraId="0012C676" w14:textId="77777777" w:rsidR="008F1747" w:rsidRPr="00C92149" w:rsidRDefault="008F1747" w:rsidP="00D920EE">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14:paraId="6B545E94" w14:textId="77777777" w:rsidR="008F1747" w:rsidRPr="00C92149" w:rsidRDefault="008F1747" w:rsidP="00D920EE">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559" w:type="dxa"/>
            <w:shd w:val="clear" w:color="auto" w:fill="auto"/>
          </w:tcPr>
          <w:p w14:paraId="5C433EFB" w14:textId="5A6894D4" w:rsidR="008F1747" w:rsidRPr="00F71D6B" w:rsidRDefault="00D567E6" w:rsidP="00F71D6B">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536" w:type="dxa"/>
            <w:vMerge w:val="restart"/>
            <w:shd w:val="clear" w:color="auto" w:fill="auto"/>
          </w:tcPr>
          <w:p w14:paraId="1AD3FC0D" w14:textId="77777777" w:rsidR="008F1747" w:rsidRDefault="008F1747" w:rsidP="008F1747">
            <w:pPr>
              <w:rPr>
                <w:rFonts w:ascii="Gill Sans MT" w:hAnsi="Gill Sans MT"/>
                <w:sz w:val="18"/>
                <w:szCs w:val="18"/>
              </w:rPr>
            </w:pPr>
          </w:p>
          <w:p w14:paraId="5D46E27D" w14:textId="77777777" w:rsidR="00764B57" w:rsidRDefault="00764B57" w:rsidP="008F1747">
            <w:pPr>
              <w:rPr>
                <w:rFonts w:asciiTheme="minorHAnsi" w:hAnsiTheme="minorHAnsi"/>
                <w:sz w:val="18"/>
                <w:szCs w:val="18"/>
              </w:rPr>
            </w:pPr>
          </w:p>
          <w:p w14:paraId="036BC5A8" w14:textId="77777777" w:rsidR="00764B57" w:rsidRDefault="00764B57" w:rsidP="008F1747">
            <w:pPr>
              <w:rPr>
                <w:rFonts w:asciiTheme="minorHAnsi" w:hAnsiTheme="minorHAnsi"/>
                <w:sz w:val="18"/>
                <w:szCs w:val="18"/>
              </w:rPr>
            </w:pPr>
          </w:p>
          <w:p w14:paraId="51794288" w14:textId="1046C81C" w:rsidR="008F1747" w:rsidRPr="00F91CA7" w:rsidRDefault="008F1747" w:rsidP="008F1747">
            <w:pPr>
              <w:rPr>
                <w:rFonts w:asciiTheme="minorHAnsi" w:hAnsiTheme="minorHAnsi"/>
                <w:sz w:val="18"/>
                <w:szCs w:val="18"/>
              </w:rPr>
            </w:pPr>
            <w:r w:rsidRPr="00F91CA7">
              <w:rPr>
                <w:rFonts w:asciiTheme="minorHAnsi" w:hAnsiTheme="minorHAnsi"/>
                <w:sz w:val="18"/>
                <w:szCs w:val="18"/>
              </w:rPr>
              <w:t xml:space="preserve">The </w:t>
            </w:r>
            <w:r w:rsidR="008709E1">
              <w:rPr>
                <w:rFonts w:asciiTheme="minorHAnsi" w:hAnsiTheme="minorHAnsi"/>
                <w:sz w:val="18"/>
                <w:szCs w:val="18"/>
              </w:rPr>
              <w:t xml:space="preserve">Specialist Working Group </w:t>
            </w:r>
            <w:r w:rsidRPr="00F91CA7">
              <w:rPr>
                <w:rFonts w:asciiTheme="minorHAnsi" w:hAnsiTheme="minorHAnsi"/>
                <w:sz w:val="18"/>
                <w:szCs w:val="18"/>
              </w:rPr>
              <w:t>estimated magnitude of effect:</w:t>
            </w:r>
          </w:p>
          <w:p w14:paraId="0F963971" w14:textId="77777777" w:rsidR="008F1747" w:rsidRDefault="008F1747" w:rsidP="003F60D2">
            <w:pPr>
              <w:rPr>
                <w:rFonts w:asciiTheme="minorHAnsi" w:hAnsiTheme="minorHAnsi"/>
                <w:b/>
                <w:sz w:val="18"/>
                <w:szCs w:val="18"/>
              </w:rPr>
            </w:pPr>
          </w:p>
          <w:p w14:paraId="3EBB8331" w14:textId="348F4098" w:rsidR="00764B57" w:rsidRPr="00C92149" w:rsidRDefault="00764B57" w:rsidP="00764B57">
            <w:pPr>
              <w:ind w:left="720"/>
              <w:rPr>
                <w:rFonts w:ascii="Gill Sans MT" w:hAnsi="Gill Sans MT"/>
                <w:sz w:val="18"/>
                <w:szCs w:val="18"/>
              </w:rPr>
            </w:pPr>
            <w:r>
              <w:rPr>
                <w:rFonts w:ascii="Gill Sans MT" w:hAnsi="Gill Sans MT"/>
                <w:sz w:val="18"/>
                <w:szCs w:val="18"/>
              </w:rPr>
              <w:t>No impact</w:t>
            </w:r>
            <w:r w:rsidRPr="00C92149">
              <w:rPr>
                <w:rFonts w:ascii="Gill Sans MT" w:hAnsi="Gill Sans MT"/>
                <w:sz w:val="18"/>
                <w:szCs w:val="18"/>
              </w:rPr>
              <w:t xml:space="preserve"> </w:t>
            </w:r>
            <w:r w:rsidR="00856255">
              <w:rPr>
                <w:rFonts w:asciiTheme="minorHAnsi" w:hAnsiTheme="minorHAnsi"/>
                <w:sz w:val="18"/>
                <w:szCs w:val="18"/>
              </w:rPr>
              <w:t>against projected demand</w:t>
            </w:r>
          </w:p>
          <w:p w14:paraId="33FA4402" w14:textId="77777777" w:rsidR="00764B57" w:rsidRPr="00C92149" w:rsidRDefault="00764B57" w:rsidP="003F60D2">
            <w:pPr>
              <w:rPr>
                <w:rFonts w:asciiTheme="minorHAnsi" w:hAnsiTheme="minorHAnsi"/>
                <w:b/>
                <w:sz w:val="18"/>
                <w:szCs w:val="18"/>
              </w:rPr>
            </w:pPr>
          </w:p>
        </w:tc>
      </w:tr>
      <w:tr w:rsidR="008F1747" w:rsidRPr="00853117" w14:paraId="77011617" w14:textId="77777777" w:rsidTr="008F1747">
        <w:tc>
          <w:tcPr>
            <w:tcW w:w="2161" w:type="dxa"/>
            <w:shd w:val="clear" w:color="auto" w:fill="auto"/>
          </w:tcPr>
          <w:p w14:paraId="2FC85ACD" w14:textId="77777777" w:rsidR="008F1747" w:rsidRPr="00C92149" w:rsidRDefault="008F1747"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shd w:val="clear" w:color="auto" w:fill="auto"/>
          </w:tcPr>
          <w:p w14:paraId="345035C7" w14:textId="4C01A68B"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99</w:t>
            </w:r>
          </w:p>
        </w:tc>
        <w:tc>
          <w:tcPr>
            <w:tcW w:w="1593" w:type="dxa"/>
            <w:shd w:val="clear" w:color="auto" w:fill="auto"/>
          </w:tcPr>
          <w:p w14:paraId="042BDBD4" w14:textId="765F0E04"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107</w:t>
            </w:r>
          </w:p>
        </w:tc>
        <w:tc>
          <w:tcPr>
            <w:tcW w:w="1667" w:type="dxa"/>
            <w:shd w:val="clear" w:color="auto" w:fill="auto"/>
          </w:tcPr>
          <w:p w14:paraId="219D00E6" w14:textId="37A9A265"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104</w:t>
            </w:r>
          </w:p>
        </w:tc>
        <w:tc>
          <w:tcPr>
            <w:tcW w:w="1701" w:type="dxa"/>
            <w:shd w:val="clear" w:color="auto" w:fill="auto"/>
          </w:tcPr>
          <w:p w14:paraId="1F3849D4" w14:textId="01C7C8BF"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130</w:t>
            </w:r>
          </w:p>
        </w:tc>
        <w:tc>
          <w:tcPr>
            <w:tcW w:w="1559" w:type="dxa"/>
            <w:shd w:val="clear" w:color="auto" w:fill="auto"/>
          </w:tcPr>
          <w:p w14:paraId="4D750E6D" w14:textId="686D08DF"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144</w:t>
            </w:r>
          </w:p>
        </w:tc>
        <w:tc>
          <w:tcPr>
            <w:tcW w:w="4536" w:type="dxa"/>
            <w:vMerge/>
            <w:shd w:val="clear" w:color="auto" w:fill="auto"/>
          </w:tcPr>
          <w:p w14:paraId="1EB73F38" w14:textId="77777777" w:rsidR="008F1747" w:rsidRPr="00C92149" w:rsidRDefault="008F1747" w:rsidP="004A10A2">
            <w:pPr>
              <w:spacing w:before="120" w:after="120"/>
              <w:rPr>
                <w:rFonts w:asciiTheme="minorHAnsi" w:hAnsiTheme="minorHAnsi"/>
                <w:b/>
                <w:sz w:val="18"/>
                <w:szCs w:val="18"/>
              </w:rPr>
            </w:pPr>
          </w:p>
        </w:tc>
      </w:tr>
      <w:tr w:rsidR="008F1747" w:rsidRPr="00853117" w14:paraId="1CF2341F" w14:textId="77777777" w:rsidTr="008F1747">
        <w:trPr>
          <w:trHeight w:val="535"/>
        </w:trPr>
        <w:tc>
          <w:tcPr>
            <w:tcW w:w="2161" w:type="dxa"/>
            <w:shd w:val="clear" w:color="auto" w:fill="auto"/>
          </w:tcPr>
          <w:p w14:paraId="7FB96CE2" w14:textId="77777777" w:rsidR="008F1747" w:rsidRPr="00C92149" w:rsidRDefault="008F1747"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14:paraId="0793161D" w14:textId="39FA49C7"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12591</w:t>
            </w:r>
          </w:p>
        </w:tc>
        <w:tc>
          <w:tcPr>
            <w:tcW w:w="1593" w:type="dxa"/>
            <w:shd w:val="clear" w:color="auto" w:fill="auto"/>
          </w:tcPr>
          <w:p w14:paraId="30C3FB54" w14:textId="51ED1DF3"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17427</w:t>
            </w:r>
          </w:p>
        </w:tc>
        <w:tc>
          <w:tcPr>
            <w:tcW w:w="1667" w:type="dxa"/>
            <w:shd w:val="clear" w:color="auto" w:fill="auto"/>
          </w:tcPr>
          <w:p w14:paraId="698D801B" w14:textId="10A2D822"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14946</w:t>
            </w:r>
          </w:p>
        </w:tc>
        <w:tc>
          <w:tcPr>
            <w:tcW w:w="1701" w:type="dxa"/>
            <w:shd w:val="clear" w:color="auto" w:fill="auto"/>
          </w:tcPr>
          <w:p w14:paraId="74788DA8" w14:textId="524A568F"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22036</w:t>
            </w:r>
          </w:p>
        </w:tc>
        <w:tc>
          <w:tcPr>
            <w:tcW w:w="1559" w:type="dxa"/>
            <w:shd w:val="clear" w:color="auto" w:fill="auto"/>
          </w:tcPr>
          <w:p w14:paraId="4FDF5DEA" w14:textId="08E78D5C" w:rsidR="008F1747" w:rsidRPr="00C92149" w:rsidRDefault="00036F38" w:rsidP="004C23A5">
            <w:pPr>
              <w:spacing w:before="120" w:after="120"/>
              <w:jc w:val="right"/>
              <w:rPr>
                <w:rFonts w:asciiTheme="minorHAnsi" w:hAnsiTheme="minorHAnsi"/>
                <w:b/>
                <w:sz w:val="18"/>
                <w:szCs w:val="18"/>
              </w:rPr>
            </w:pPr>
            <w:r>
              <w:rPr>
                <w:rFonts w:asciiTheme="minorHAnsi" w:hAnsiTheme="minorHAnsi"/>
                <w:b/>
                <w:sz w:val="18"/>
                <w:szCs w:val="18"/>
              </w:rPr>
              <w:t>24267</w:t>
            </w:r>
          </w:p>
        </w:tc>
        <w:tc>
          <w:tcPr>
            <w:tcW w:w="4536" w:type="dxa"/>
            <w:vMerge/>
            <w:shd w:val="clear" w:color="auto" w:fill="auto"/>
          </w:tcPr>
          <w:p w14:paraId="4722CBD3" w14:textId="77777777" w:rsidR="008F1747" w:rsidRPr="00C92149" w:rsidRDefault="008F1747" w:rsidP="004A10A2">
            <w:pPr>
              <w:spacing w:before="120" w:after="120"/>
              <w:rPr>
                <w:rFonts w:asciiTheme="minorHAnsi" w:hAnsiTheme="minorHAnsi"/>
                <w:b/>
                <w:sz w:val="18"/>
                <w:szCs w:val="18"/>
              </w:rPr>
            </w:pPr>
          </w:p>
        </w:tc>
      </w:tr>
      <w:tr w:rsidR="00DD7BB6" w:rsidRPr="00853117" w14:paraId="45AB95C4" w14:textId="77777777" w:rsidTr="00DD7BB6">
        <w:tc>
          <w:tcPr>
            <w:tcW w:w="2161" w:type="dxa"/>
            <w:shd w:val="clear" w:color="auto" w:fill="auto"/>
          </w:tcPr>
          <w:p w14:paraId="12C65445" w14:textId="77777777" w:rsidR="00DD7BB6" w:rsidRPr="00C92149" w:rsidRDefault="00DD7BB6"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14:paraId="5D9B87B9" w14:textId="36BB4881" w:rsidR="00DD7BB6" w:rsidRPr="00C92149" w:rsidRDefault="00DD7BB6" w:rsidP="004C23A5">
            <w:pPr>
              <w:spacing w:before="120" w:after="120"/>
              <w:jc w:val="right"/>
              <w:rPr>
                <w:rFonts w:asciiTheme="minorHAnsi" w:hAnsiTheme="minorHAnsi"/>
                <w:b/>
                <w:sz w:val="18"/>
                <w:szCs w:val="18"/>
              </w:rPr>
            </w:pPr>
            <w:r w:rsidRPr="00DD7BB6">
              <w:rPr>
                <w:rFonts w:asciiTheme="minorHAnsi" w:hAnsiTheme="minorHAnsi"/>
                <w:b/>
                <w:sz w:val="18"/>
                <w:szCs w:val="18"/>
              </w:rPr>
              <w:t>0.38%</w:t>
            </w:r>
          </w:p>
        </w:tc>
        <w:tc>
          <w:tcPr>
            <w:tcW w:w="1593" w:type="dxa"/>
            <w:shd w:val="clear" w:color="auto" w:fill="auto"/>
          </w:tcPr>
          <w:p w14:paraId="32B2A7F0" w14:textId="2FC9611E" w:rsidR="00DD7BB6" w:rsidRPr="00C92149" w:rsidRDefault="00DD7BB6" w:rsidP="004C23A5">
            <w:pPr>
              <w:spacing w:before="120" w:after="120"/>
              <w:jc w:val="right"/>
              <w:rPr>
                <w:rFonts w:asciiTheme="minorHAnsi" w:hAnsiTheme="minorHAnsi"/>
                <w:b/>
                <w:sz w:val="18"/>
                <w:szCs w:val="18"/>
              </w:rPr>
            </w:pPr>
            <w:r w:rsidRPr="00DD7BB6">
              <w:rPr>
                <w:rFonts w:asciiTheme="minorHAnsi" w:hAnsiTheme="minorHAnsi"/>
                <w:b/>
                <w:sz w:val="18"/>
                <w:szCs w:val="18"/>
              </w:rPr>
              <w:t>0.48%</w:t>
            </w:r>
          </w:p>
        </w:tc>
        <w:tc>
          <w:tcPr>
            <w:tcW w:w="1667" w:type="dxa"/>
            <w:shd w:val="clear" w:color="auto" w:fill="auto"/>
          </w:tcPr>
          <w:p w14:paraId="0AE172F7" w14:textId="14124767" w:rsidR="00DD7BB6" w:rsidRPr="00C92149" w:rsidRDefault="00DD7BB6" w:rsidP="004C23A5">
            <w:pPr>
              <w:spacing w:before="120" w:after="120"/>
              <w:jc w:val="right"/>
              <w:rPr>
                <w:rFonts w:asciiTheme="minorHAnsi" w:hAnsiTheme="minorHAnsi"/>
                <w:b/>
                <w:sz w:val="18"/>
                <w:szCs w:val="18"/>
              </w:rPr>
            </w:pPr>
            <w:r w:rsidRPr="00DD7BB6">
              <w:rPr>
                <w:rFonts w:asciiTheme="minorHAnsi" w:hAnsiTheme="minorHAnsi"/>
                <w:b/>
                <w:sz w:val="18"/>
                <w:szCs w:val="18"/>
              </w:rPr>
              <w:t>0.37%</w:t>
            </w:r>
          </w:p>
        </w:tc>
        <w:tc>
          <w:tcPr>
            <w:tcW w:w="1701" w:type="dxa"/>
            <w:shd w:val="clear" w:color="auto" w:fill="auto"/>
          </w:tcPr>
          <w:p w14:paraId="060419DE" w14:textId="5F48CD0C" w:rsidR="00DD7BB6" w:rsidRPr="00C92149" w:rsidRDefault="00DD7BB6" w:rsidP="004C23A5">
            <w:pPr>
              <w:spacing w:before="120" w:after="120"/>
              <w:jc w:val="right"/>
              <w:rPr>
                <w:rFonts w:asciiTheme="minorHAnsi" w:hAnsiTheme="minorHAnsi"/>
                <w:b/>
                <w:sz w:val="18"/>
                <w:szCs w:val="18"/>
              </w:rPr>
            </w:pPr>
            <w:r w:rsidRPr="00DD7BB6">
              <w:rPr>
                <w:rFonts w:asciiTheme="minorHAnsi" w:hAnsiTheme="minorHAnsi"/>
                <w:b/>
                <w:sz w:val="18"/>
                <w:szCs w:val="18"/>
              </w:rPr>
              <w:t>0.49%</w:t>
            </w:r>
          </w:p>
        </w:tc>
        <w:tc>
          <w:tcPr>
            <w:tcW w:w="1559" w:type="dxa"/>
            <w:shd w:val="clear" w:color="auto" w:fill="auto"/>
          </w:tcPr>
          <w:p w14:paraId="66610C99" w14:textId="1F22327A" w:rsidR="00DD7BB6" w:rsidRPr="00C92149" w:rsidRDefault="00DD7BB6" w:rsidP="004C23A5">
            <w:pPr>
              <w:spacing w:before="120" w:after="120"/>
              <w:jc w:val="right"/>
              <w:rPr>
                <w:rFonts w:asciiTheme="minorHAnsi" w:hAnsiTheme="minorHAnsi"/>
                <w:b/>
                <w:sz w:val="18"/>
                <w:szCs w:val="18"/>
              </w:rPr>
            </w:pPr>
            <w:r w:rsidRPr="00DD7BB6">
              <w:rPr>
                <w:rFonts w:asciiTheme="minorHAnsi" w:hAnsiTheme="minorHAnsi"/>
                <w:b/>
                <w:sz w:val="18"/>
                <w:szCs w:val="18"/>
              </w:rPr>
              <w:t>0.49%</w:t>
            </w:r>
          </w:p>
        </w:tc>
        <w:tc>
          <w:tcPr>
            <w:tcW w:w="4536" w:type="dxa"/>
            <w:vMerge/>
            <w:shd w:val="clear" w:color="auto" w:fill="auto"/>
          </w:tcPr>
          <w:p w14:paraId="342D3734" w14:textId="77777777" w:rsidR="00DD7BB6" w:rsidRPr="00C92149" w:rsidRDefault="00DD7BB6" w:rsidP="004A10A2">
            <w:pPr>
              <w:spacing w:before="120" w:after="120"/>
              <w:rPr>
                <w:rFonts w:asciiTheme="minorHAnsi" w:hAnsiTheme="minorHAnsi"/>
                <w:b/>
                <w:sz w:val="18"/>
                <w:szCs w:val="18"/>
              </w:rPr>
            </w:pPr>
          </w:p>
        </w:tc>
      </w:tr>
      <w:tr w:rsidR="001C45B4" w:rsidRPr="00021243" w14:paraId="4772023D" w14:textId="77777777" w:rsidTr="00860052">
        <w:tc>
          <w:tcPr>
            <w:tcW w:w="14601" w:type="dxa"/>
            <w:gridSpan w:val="7"/>
            <w:shd w:val="clear" w:color="auto" w:fill="F79646" w:themeFill="accent6"/>
          </w:tcPr>
          <w:p w14:paraId="629D4BCE" w14:textId="33DB06F8" w:rsidR="001C45B4" w:rsidRDefault="00720190" w:rsidP="00860052">
            <w:pPr>
              <w:spacing w:before="120" w:after="120"/>
              <w:rPr>
                <w:rFonts w:asciiTheme="minorHAnsi" w:hAnsiTheme="minorHAnsi"/>
                <w:b/>
              </w:rPr>
            </w:pPr>
            <w:r>
              <w:rPr>
                <w:rFonts w:asciiTheme="minorHAnsi" w:hAnsiTheme="minorHAnsi"/>
                <w:b/>
              </w:rPr>
              <w:t xml:space="preserve">Specialist Working Group  </w:t>
            </w:r>
            <w:r w:rsidR="00AA19C1">
              <w:rPr>
                <w:rFonts w:asciiTheme="minorHAnsi" w:hAnsiTheme="minorHAnsi"/>
                <w:b/>
              </w:rPr>
              <w:t xml:space="preserve">knowledge </w:t>
            </w:r>
            <w:r w:rsidR="001C45B4">
              <w:rPr>
                <w:rFonts w:asciiTheme="minorHAnsi" w:hAnsiTheme="minorHAnsi"/>
                <w:b/>
              </w:rPr>
              <w:t>development opportunities and recommendations</w:t>
            </w:r>
          </w:p>
        </w:tc>
      </w:tr>
      <w:tr w:rsidR="001C45B4" w:rsidRPr="00021243" w14:paraId="7A060F49" w14:textId="77777777" w:rsidTr="00860052">
        <w:tc>
          <w:tcPr>
            <w:tcW w:w="14601" w:type="dxa"/>
            <w:gridSpan w:val="7"/>
            <w:shd w:val="clear" w:color="auto" w:fill="auto"/>
          </w:tcPr>
          <w:p w14:paraId="7BCCC748" w14:textId="619635E1" w:rsidR="001C45B4" w:rsidRPr="002506FF" w:rsidRDefault="00E422A7" w:rsidP="00ED5D61">
            <w:pPr>
              <w:spacing w:before="120" w:after="120"/>
              <w:rPr>
                <w:rFonts w:asciiTheme="minorHAnsi" w:hAnsiTheme="minorHAnsi"/>
              </w:rPr>
            </w:pPr>
            <w:r>
              <w:rPr>
                <w:rFonts w:asciiTheme="minorHAnsi" w:hAnsiTheme="minorHAnsi"/>
              </w:rPr>
              <w:t>None identified at this stage.</w:t>
            </w:r>
            <w:r w:rsidR="00BA7EA2" w:rsidRPr="009930B9">
              <w:rPr>
                <w:rFonts w:asciiTheme="minorHAnsi" w:hAnsiTheme="minorHAnsi"/>
              </w:rPr>
              <w:t xml:space="preserve"> </w:t>
            </w:r>
          </w:p>
        </w:tc>
      </w:tr>
    </w:tbl>
    <w:p w14:paraId="7FC3AE6B" w14:textId="77777777"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14:paraId="531E2140" w14:textId="77777777" w:rsidTr="00860052">
        <w:tc>
          <w:tcPr>
            <w:tcW w:w="14601" w:type="dxa"/>
          </w:tcPr>
          <w:p w14:paraId="11073722" w14:textId="42FE7812" w:rsidR="002506FF" w:rsidRDefault="002506FF" w:rsidP="002506FF">
            <w:pPr>
              <w:spacing w:before="120" w:after="120"/>
              <w:jc w:val="center"/>
              <w:rPr>
                <w:rFonts w:asciiTheme="minorHAnsi" w:hAnsiTheme="minorHAnsi"/>
                <w:b/>
              </w:rPr>
            </w:pPr>
            <w:r w:rsidRPr="00021243">
              <w:rPr>
                <w:rFonts w:asciiTheme="minorHAnsi" w:hAnsiTheme="minorHAnsi"/>
                <w:b/>
              </w:rPr>
              <w:lastRenderedPageBreak/>
              <w:t xml:space="preserve">END OF </w:t>
            </w:r>
            <w:r w:rsidR="00F157C8">
              <w:rPr>
                <w:rFonts w:asciiTheme="minorHAnsi" w:hAnsiTheme="minorHAnsi"/>
                <w:b/>
              </w:rPr>
              <w:t>PUBLIC CONSULTATION</w:t>
            </w:r>
            <w:r>
              <w:rPr>
                <w:rFonts w:asciiTheme="minorHAnsi" w:hAnsiTheme="minorHAnsi"/>
                <w:b/>
              </w:rPr>
              <w:t xml:space="preserve"> DOCUMENT</w:t>
            </w:r>
          </w:p>
          <w:p w14:paraId="5CDADB5B" w14:textId="74A724D1" w:rsidR="000E09C4" w:rsidRPr="00021243" w:rsidRDefault="00436909" w:rsidP="002506FF">
            <w:pPr>
              <w:spacing w:before="120" w:after="120"/>
              <w:jc w:val="center"/>
              <w:rPr>
                <w:rFonts w:asciiTheme="minorHAnsi" w:hAnsiTheme="minorHAnsi"/>
                <w:b/>
              </w:rPr>
            </w:pPr>
            <w:r>
              <w:rPr>
                <w:rFonts w:asciiTheme="minorHAnsi" w:hAnsiTheme="minorHAnsi"/>
                <w:b/>
              </w:rPr>
              <w:t>Next review</w:t>
            </w:r>
            <w:r w:rsidR="00764B57">
              <w:rPr>
                <w:rFonts w:asciiTheme="minorHAnsi" w:hAnsiTheme="minorHAnsi"/>
                <w:b/>
              </w:rPr>
              <w:t>:</w:t>
            </w:r>
            <w:r w:rsidR="000E09C4">
              <w:rPr>
                <w:rFonts w:asciiTheme="minorHAnsi" w:hAnsiTheme="minorHAnsi"/>
                <w:b/>
              </w:rPr>
              <w:t xml:space="preserve"> </w:t>
            </w:r>
            <w:r w:rsidR="00764B57">
              <w:rPr>
                <w:b/>
              </w:rPr>
              <w:t xml:space="preserve">Twelve to eighteen months from </w:t>
            </w:r>
            <w:proofErr w:type="spellStart"/>
            <w:r w:rsidR="00764B57">
              <w:rPr>
                <w:b/>
              </w:rPr>
              <w:t>BloodSTAR</w:t>
            </w:r>
            <w:proofErr w:type="spellEnd"/>
            <w:r w:rsidR="00764B57">
              <w:rPr>
                <w:b/>
              </w:rPr>
              <w:t xml:space="preserve"> </w:t>
            </w:r>
            <w:r w:rsidR="00720190">
              <w:rPr>
                <w:b/>
              </w:rPr>
              <w:t>v</w:t>
            </w:r>
            <w:r w:rsidR="00764B57">
              <w:rPr>
                <w:b/>
              </w:rPr>
              <w:t>3</w:t>
            </w:r>
            <w:r w:rsidR="00ED794F">
              <w:rPr>
                <w:b/>
              </w:rPr>
              <w:t>.0</w:t>
            </w:r>
            <w:r w:rsidR="00764B57">
              <w:rPr>
                <w:b/>
              </w:rPr>
              <w:t xml:space="preserve"> implementation</w:t>
            </w:r>
          </w:p>
        </w:tc>
      </w:tr>
    </w:tbl>
    <w:p w14:paraId="45EE835E" w14:textId="77777777" w:rsidR="009C1E09" w:rsidRDefault="009C1E09" w:rsidP="002506FF">
      <w:pPr>
        <w:jc w:val="center"/>
      </w:pPr>
    </w:p>
    <w:p w14:paraId="6A32954C" w14:textId="77777777" w:rsidR="006627B5" w:rsidRPr="00FD2CCD" w:rsidRDefault="006627B5">
      <w:pPr>
        <w:spacing w:line="276" w:lineRule="auto"/>
      </w:pPr>
    </w:p>
    <w:sectPr w:rsidR="006627B5" w:rsidRPr="00FD2CCD" w:rsidSect="000E09C4">
      <w:headerReference w:type="first" r:id="rId16"/>
      <w:pgSz w:w="16839" w:h="11907" w:orient="landscape" w:code="9"/>
      <w:pgMar w:top="1440" w:right="1440" w:bottom="1133"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57FF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CD5C5" w14:textId="77777777" w:rsidR="00BE670B" w:rsidRDefault="00BE670B" w:rsidP="00856708">
      <w:pPr>
        <w:spacing w:after="0"/>
      </w:pPr>
      <w:r>
        <w:separator/>
      </w:r>
    </w:p>
  </w:endnote>
  <w:endnote w:type="continuationSeparator" w:id="0">
    <w:p w14:paraId="69972994" w14:textId="77777777" w:rsidR="00BE670B" w:rsidRDefault="00BE670B"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733289"/>
      <w:docPartObj>
        <w:docPartGallery w:val="Page Numbers (Bottom of Page)"/>
        <w:docPartUnique/>
      </w:docPartObj>
    </w:sdtPr>
    <w:sdtEndPr>
      <w:rPr>
        <w:noProof/>
      </w:rPr>
    </w:sdtEndPr>
    <w:sdtContent>
      <w:p w14:paraId="3F2514FC" w14:textId="61C9CC52" w:rsidR="00313496" w:rsidRDefault="00313496">
        <w:pPr>
          <w:pStyle w:val="Footer"/>
          <w:jc w:val="right"/>
        </w:pPr>
        <w:r>
          <w:fldChar w:fldCharType="begin"/>
        </w:r>
        <w:r>
          <w:instrText xml:space="preserve"> PAGE   \* MERGEFORMAT </w:instrText>
        </w:r>
        <w:r>
          <w:fldChar w:fldCharType="separate"/>
        </w:r>
        <w:r w:rsidR="009049B6">
          <w:rPr>
            <w:noProof/>
          </w:rPr>
          <w:t>2</w:t>
        </w:r>
        <w:r>
          <w:rPr>
            <w:noProof/>
          </w:rPr>
          <w:fldChar w:fldCharType="end"/>
        </w:r>
      </w:p>
    </w:sdtContent>
  </w:sdt>
  <w:p w14:paraId="5D57155B" w14:textId="77777777" w:rsidR="00313496" w:rsidRDefault="00313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73617"/>
      <w:docPartObj>
        <w:docPartGallery w:val="Page Numbers (Bottom of Page)"/>
        <w:docPartUnique/>
      </w:docPartObj>
    </w:sdtPr>
    <w:sdtEndPr>
      <w:rPr>
        <w:noProof/>
      </w:rPr>
    </w:sdtEndPr>
    <w:sdtContent>
      <w:p w14:paraId="04E7E1B1" w14:textId="34AE263C" w:rsidR="00313496" w:rsidRDefault="00313496">
        <w:pPr>
          <w:pStyle w:val="Footer"/>
          <w:jc w:val="right"/>
        </w:pPr>
        <w:r>
          <w:fldChar w:fldCharType="begin"/>
        </w:r>
        <w:r>
          <w:instrText xml:space="preserve"> PAGE   \* MERGEFORMAT </w:instrText>
        </w:r>
        <w:r>
          <w:fldChar w:fldCharType="separate"/>
        </w:r>
        <w:r w:rsidR="009049B6">
          <w:rPr>
            <w:noProof/>
          </w:rPr>
          <w:t>1</w:t>
        </w:r>
        <w:r>
          <w:rPr>
            <w:noProof/>
          </w:rPr>
          <w:fldChar w:fldCharType="end"/>
        </w:r>
      </w:p>
    </w:sdtContent>
  </w:sdt>
  <w:p w14:paraId="2563C0B2" w14:textId="77777777" w:rsidR="00313496" w:rsidRDefault="0031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FCA4" w14:textId="77777777" w:rsidR="00BE670B" w:rsidRDefault="00BE670B" w:rsidP="00856708">
      <w:pPr>
        <w:spacing w:after="0"/>
      </w:pPr>
      <w:r>
        <w:separator/>
      </w:r>
    </w:p>
  </w:footnote>
  <w:footnote w:type="continuationSeparator" w:id="0">
    <w:p w14:paraId="79E6FAA5" w14:textId="77777777" w:rsidR="00BE670B" w:rsidRDefault="00BE670B"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FB6E" w14:textId="1A4F16E8" w:rsidR="00FB7185" w:rsidRPr="00FB7185" w:rsidRDefault="00856255" w:rsidP="00FB7185">
    <w:pPr>
      <w:pStyle w:val="Footer"/>
      <w:rPr>
        <w:sz w:val="20"/>
        <w:szCs w:val="20"/>
      </w:rPr>
    </w:pPr>
    <w:r>
      <w:rPr>
        <w:sz w:val="20"/>
        <w:szCs w:val="20"/>
      </w:rPr>
      <w:t xml:space="preserve">PUBLIC CONSULTATION 2017 - </w:t>
    </w:r>
    <w:r w:rsidR="00FB7185" w:rsidRPr="003212FF">
      <w:rPr>
        <w:sz w:val="20"/>
        <w:szCs w:val="20"/>
      </w:rPr>
      <w:t>Solid organ transplantation – other than kidney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CFE5" w14:textId="52EFCF90" w:rsidR="00FB7185" w:rsidRPr="003212FF" w:rsidRDefault="00856255" w:rsidP="00FB7185">
    <w:pPr>
      <w:pStyle w:val="Footer"/>
      <w:rPr>
        <w:sz w:val="20"/>
        <w:szCs w:val="20"/>
      </w:rPr>
    </w:pPr>
    <w:r>
      <w:rPr>
        <w:sz w:val="20"/>
        <w:szCs w:val="20"/>
      </w:rPr>
      <w:t xml:space="preserve">PUBLIC CONSULTATION 2017 - </w:t>
    </w:r>
    <w:r w:rsidR="00FB7185" w:rsidRPr="003212FF">
      <w:rPr>
        <w:sz w:val="20"/>
        <w:szCs w:val="20"/>
      </w:rPr>
      <w:t>Solid organ transplantation – other than kidney</w:t>
    </w:r>
  </w:p>
  <w:p w14:paraId="258A11C2" w14:textId="77777777" w:rsidR="00FB7185" w:rsidRDefault="00FB7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5D42" w14:textId="6EF0E16F" w:rsidR="00860052" w:rsidRDefault="00290E39" w:rsidP="005F79EE">
    <w:pPr>
      <w:pStyle w:val="Header"/>
      <w:tabs>
        <w:tab w:val="clear" w:pos="4513"/>
        <w:tab w:val="clear" w:pos="9026"/>
        <w:tab w:val="left" w:pos="2430"/>
        <w:tab w:val="left" w:pos="5475"/>
      </w:tabs>
    </w:pPr>
    <w:r>
      <w:rPr>
        <w:sz w:val="20"/>
        <w:szCs w:val="20"/>
      </w:rPr>
      <w:t xml:space="preserve">PUBLIC CONSULTATION 2017 - </w:t>
    </w:r>
    <w:r w:rsidRPr="003212FF">
      <w:rPr>
        <w:sz w:val="20"/>
        <w:szCs w:val="20"/>
      </w:rPr>
      <w:t>Solid organ transplantation – other than kidney</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62738A"/>
    <w:multiLevelType w:val="hybridMultilevel"/>
    <w:tmpl w:val="23980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E3A09A6"/>
    <w:multiLevelType w:val="hybridMultilevel"/>
    <w:tmpl w:val="BF049C72"/>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4">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D74D8E"/>
    <w:multiLevelType w:val="hybridMultilevel"/>
    <w:tmpl w:val="0C069F7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1917B25"/>
    <w:multiLevelType w:val="hybridMultilevel"/>
    <w:tmpl w:val="6570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83D64D5"/>
    <w:multiLevelType w:val="hybridMultilevel"/>
    <w:tmpl w:val="6D665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B0181"/>
    <w:multiLevelType w:val="hybridMultilevel"/>
    <w:tmpl w:val="C6B80E8C"/>
    <w:lvl w:ilvl="0" w:tplc="0409001B">
      <w:start w:val="1"/>
      <w:numFmt w:val="lowerRoman"/>
      <w:lvlText w:val="%1."/>
      <w:lvlJc w:val="right"/>
      <w:pPr>
        <w:ind w:left="720" w:hanging="360"/>
      </w:pPr>
      <w:rPr>
        <w:b w:val="0"/>
        <w:color w:val="auto"/>
      </w:rPr>
    </w:lvl>
    <w:lvl w:ilvl="1" w:tplc="F66652E2">
      <w:start w:val="1"/>
      <w:numFmt w:val="bullet"/>
      <w:lvlText w:val=""/>
      <w:lvlJc w:val="left"/>
      <w:pPr>
        <w:ind w:left="2880" w:hanging="360"/>
      </w:pPr>
      <w:rPr>
        <w:rFonts w:ascii="Symbol" w:hAnsi="Symbol" w:hint="default"/>
        <w:color w:val="auto"/>
      </w:rPr>
    </w:lvl>
    <w:lvl w:ilvl="2" w:tplc="692058FE">
      <w:start w:val="4"/>
      <w:numFmt w:val="bullet"/>
      <w:lvlText w:val="-"/>
      <w:lvlJc w:val="left"/>
      <w:pPr>
        <w:ind w:left="3780" w:hanging="360"/>
      </w:pPr>
      <w:rPr>
        <w:rFonts w:ascii="Calibri" w:eastAsia="Dotum" w:hAnsi="Calibri" w:cs="Calibri"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927314"/>
    <w:multiLevelType w:val="hybridMultilevel"/>
    <w:tmpl w:val="02F8640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3">
    <w:nsid w:val="70B063B0"/>
    <w:multiLevelType w:val="hybridMultilevel"/>
    <w:tmpl w:val="3E3E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2"/>
  </w:num>
  <w:num w:numId="4">
    <w:abstractNumId w:val="41"/>
  </w:num>
  <w:num w:numId="5">
    <w:abstractNumId w:val="16"/>
  </w:num>
  <w:num w:numId="6">
    <w:abstractNumId w:val="2"/>
  </w:num>
  <w:num w:numId="7">
    <w:abstractNumId w:val="1"/>
  </w:num>
  <w:num w:numId="8">
    <w:abstractNumId w:val="4"/>
  </w:num>
  <w:num w:numId="9">
    <w:abstractNumId w:val="0"/>
  </w:num>
  <w:num w:numId="10">
    <w:abstractNumId w:val="47"/>
  </w:num>
  <w:num w:numId="11">
    <w:abstractNumId w:val="29"/>
  </w:num>
  <w:num w:numId="12">
    <w:abstractNumId w:val="37"/>
  </w:num>
  <w:num w:numId="13">
    <w:abstractNumId w:val="13"/>
  </w:num>
  <w:num w:numId="14">
    <w:abstractNumId w:val="21"/>
  </w:num>
  <w:num w:numId="15">
    <w:abstractNumId w:val="12"/>
  </w:num>
  <w:num w:numId="16">
    <w:abstractNumId w:val="40"/>
  </w:num>
  <w:num w:numId="17">
    <w:abstractNumId w:val="6"/>
  </w:num>
  <w:num w:numId="18">
    <w:abstractNumId w:val="17"/>
  </w:num>
  <w:num w:numId="19">
    <w:abstractNumId w:val="35"/>
  </w:num>
  <w:num w:numId="20">
    <w:abstractNumId w:val="49"/>
  </w:num>
  <w:num w:numId="21">
    <w:abstractNumId w:val="14"/>
  </w:num>
  <w:num w:numId="22">
    <w:abstractNumId w:val="36"/>
  </w:num>
  <w:num w:numId="23">
    <w:abstractNumId w:val="11"/>
  </w:num>
  <w:num w:numId="24">
    <w:abstractNumId w:val="3"/>
  </w:num>
  <w:num w:numId="25">
    <w:abstractNumId w:val="39"/>
  </w:num>
  <w:num w:numId="26">
    <w:abstractNumId w:val="24"/>
  </w:num>
  <w:num w:numId="27">
    <w:abstractNumId w:val="45"/>
  </w:num>
  <w:num w:numId="28">
    <w:abstractNumId w:val="31"/>
  </w:num>
  <w:num w:numId="29">
    <w:abstractNumId w:val="33"/>
  </w:num>
  <w:num w:numId="30">
    <w:abstractNumId w:val="9"/>
  </w:num>
  <w:num w:numId="31">
    <w:abstractNumId w:val="10"/>
  </w:num>
  <w:num w:numId="32">
    <w:abstractNumId w:val="28"/>
  </w:num>
  <w:num w:numId="33">
    <w:abstractNumId w:val="48"/>
  </w:num>
  <w:num w:numId="34">
    <w:abstractNumId w:val="20"/>
  </w:num>
  <w:num w:numId="35">
    <w:abstractNumId w:val="34"/>
  </w:num>
  <w:num w:numId="36">
    <w:abstractNumId w:val="19"/>
  </w:num>
  <w:num w:numId="37">
    <w:abstractNumId w:val="15"/>
  </w:num>
  <w:num w:numId="38">
    <w:abstractNumId w:val="23"/>
  </w:num>
  <w:num w:numId="39">
    <w:abstractNumId w:val="26"/>
  </w:num>
  <w:num w:numId="40">
    <w:abstractNumId w:val="8"/>
  </w:num>
  <w:num w:numId="41">
    <w:abstractNumId w:val="44"/>
  </w:num>
  <w:num w:numId="42">
    <w:abstractNumId w:val="46"/>
  </w:num>
  <w:num w:numId="43">
    <w:abstractNumId w:val="25"/>
  </w:num>
  <w:num w:numId="44">
    <w:abstractNumId w:val="7"/>
  </w:num>
  <w:num w:numId="45">
    <w:abstractNumId w:val="50"/>
  </w:num>
  <w:num w:numId="46">
    <w:abstractNumId w:val="38"/>
  </w:num>
  <w:num w:numId="47">
    <w:abstractNumId w:val="32"/>
  </w:num>
  <w:num w:numId="48">
    <w:abstractNumId w:val="27"/>
  </w:num>
  <w:num w:numId="49">
    <w:abstractNumId w:val="5"/>
  </w:num>
  <w:num w:numId="50">
    <w:abstractNumId w:val="30"/>
  </w:num>
  <w:num w:numId="51">
    <w:abstractNumId w:val="42"/>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06009"/>
    <w:rsid w:val="00006718"/>
    <w:rsid w:val="00013C2F"/>
    <w:rsid w:val="00021243"/>
    <w:rsid w:val="00022A4A"/>
    <w:rsid w:val="00036EDC"/>
    <w:rsid w:val="00036F38"/>
    <w:rsid w:val="000639A1"/>
    <w:rsid w:val="0007639A"/>
    <w:rsid w:val="000A04DE"/>
    <w:rsid w:val="000A3A69"/>
    <w:rsid w:val="000A65C9"/>
    <w:rsid w:val="000B27A7"/>
    <w:rsid w:val="000E09C4"/>
    <w:rsid w:val="000E4D1E"/>
    <w:rsid w:val="00153753"/>
    <w:rsid w:val="00165F48"/>
    <w:rsid w:val="001671A7"/>
    <w:rsid w:val="0017270F"/>
    <w:rsid w:val="001849B2"/>
    <w:rsid w:val="00184E12"/>
    <w:rsid w:val="001855B3"/>
    <w:rsid w:val="00186CF7"/>
    <w:rsid w:val="001A0725"/>
    <w:rsid w:val="001A2460"/>
    <w:rsid w:val="001C45B4"/>
    <w:rsid w:val="001E102B"/>
    <w:rsid w:val="001F1385"/>
    <w:rsid w:val="001F4A9C"/>
    <w:rsid w:val="0021213D"/>
    <w:rsid w:val="00216823"/>
    <w:rsid w:val="002306B2"/>
    <w:rsid w:val="0023200B"/>
    <w:rsid w:val="00236B19"/>
    <w:rsid w:val="00240825"/>
    <w:rsid w:val="002506FF"/>
    <w:rsid w:val="002533A5"/>
    <w:rsid w:val="002537F2"/>
    <w:rsid w:val="0025493C"/>
    <w:rsid w:val="00255740"/>
    <w:rsid w:val="00262716"/>
    <w:rsid w:val="00275679"/>
    <w:rsid w:val="002759EA"/>
    <w:rsid w:val="00282F66"/>
    <w:rsid w:val="002870BF"/>
    <w:rsid w:val="0029006B"/>
    <w:rsid w:val="00290E39"/>
    <w:rsid w:val="002936DD"/>
    <w:rsid w:val="00295CD3"/>
    <w:rsid w:val="002D2007"/>
    <w:rsid w:val="002E21C4"/>
    <w:rsid w:val="002F3325"/>
    <w:rsid w:val="002F5509"/>
    <w:rsid w:val="00313496"/>
    <w:rsid w:val="00320BEB"/>
    <w:rsid w:val="003212FF"/>
    <w:rsid w:val="00327526"/>
    <w:rsid w:val="0033060E"/>
    <w:rsid w:val="00373E2B"/>
    <w:rsid w:val="003818FC"/>
    <w:rsid w:val="00395032"/>
    <w:rsid w:val="003976A8"/>
    <w:rsid w:val="003A1F9D"/>
    <w:rsid w:val="003A7E5D"/>
    <w:rsid w:val="003B361E"/>
    <w:rsid w:val="003C62C6"/>
    <w:rsid w:val="003D1795"/>
    <w:rsid w:val="003D27F1"/>
    <w:rsid w:val="003E3235"/>
    <w:rsid w:val="003F11F8"/>
    <w:rsid w:val="003F60D2"/>
    <w:rsid w:val="00403201"/>
    <w:rsid w:val="00404AD1"/>
    <w:rsid w:val="00424304"/>
    <w:rsid w:val="00433C78"/>
    <w:rsid w:val="00436909"/>
    <w:rsid w:val="00445EDE"/>
    <w:rsid w:val="00447869"/>
    <w:rsid w:val="00454FA8"/>
    <w:rsid w:val="00456E66"/>
    <w:rsid w:val="00460325"/>
    <w:rsid w:val="00463B0C"/>
    <w:rsid w:val="00470187"/>
    <w:rsid w:val="0047615E"/>
    <w:rsid w:val="004856E4"/>
    <w:rsid w:val="0049192E"/>
    <w:rsid w:val="00491CF5"/>
    <w:rsid w:val="004A10A2"/>
    <w:rsid w:val="004B14F4"/>
    <w:rsid w:val="004B6B5E"/>
    <w:rsid w:val="004B731C"/>
    <w:rsid w:val="004C23A5"/>
    <w:rsid w:val="004D26BE"/>
    <w:rsid w:val="004D4636"/>
    <w:rsid w:val="004E4A52"/>
    <w:rsid w:val="005023CE"/>
    <w:rsid w:val="005036F4"/>
    <w:rsid w:val="00525C51"/>
    <w:rsid w:val="00531E6D"/>
    <w:rsid w:val="00535609"/>
    <w:rsid w:val="00540020"/>
    <w:rsid w:val="00540B2D"/>
    <w:rsid w:val="00543C69"/>
    <w:rsid w:val="005546AE"/>
    <w:rsid w:val="00560140"/>
    <w:rsid w:val="005629EE"/>
    <w:rsid w:val="00584BEC"/>
    <w:rsid w:val="005851ED"/>
    <w:rsid w:val="005960E7"/>
    <w:rsid w:val="005C09F3"/>
    <w:rsid w:val="005D2C3D"/>
    <w:rsid w:val="005E04F6"/>
    <w:rsid w:val="005E33CF"/>
    <w:rsid w:val="005F79EE"/>
    <w:rsid w:val="006027AB"/>
    <w:rsid w:val="00602D7D"/>
    <w:rsid w:val="006159EE"/>
    <w:rsid w:val="006201B1"/>
    <w:rsid w:val="00624E82"/>
    <w:rsid w:val="00631EAB"/>
    <w:rsid w:val="006427C2"/>
    <w:rsid w:val="00642A5C"/>
    <w:rsid w:val="00644285"/>
    <w:rsid w:val="00654525"/>
    <w:rsid w:val="00657F36"/>
    <w:rsid w:val="006627B5"/>
    <w:rsid w:val="006631E9"/>
    <w:rsid w:val="00666AA5"/>
    <w:rsid w:val="00670D34"/>
    <w:rsid w:val="006855AF"/>
    <w:rsid w:val="00695219"/>
    <w:rsid w:val="006A3A86"/>
    <w:rsid w:val="006A5213"/>
    <w:rsid w:val="006B0323"/>
    <w:rsid w:val="006B3E35"/>
    <w:rsid w:val="006B4C33"/>
    <w:rsid w:val="006B5BC6"/>
    <w:rsid w:val="006D2521"/>
    <w:rsid w:val="006D27A8"/>
    <w:rsid w:val="006D2FA8"/>
    <w:rsid w:val="006D36A9"/>
    <w:rsid w:val="006F1FA7"/>
    <w:rsid w:val="006F485E"/>
    <w:rsid w:val="00702EB0"/>
    <w:rsid w:val="00720190"/>
    <w:rsid w:val="0075469F"/>
    <w:rsid w:val="00764B57"/>
    <w:rsid w:val="00787242"/>
    <w:rsid w:val="007A263F"/>
    <w:rsid w:val="007B0C7B"/>
    <w:rsid w:val="007B2100"/>
    <w:rsid w:val="007C1335"/>
    <w:rsid w:val="007C7B0F"/>
    <w:rsid w:val="007D1DC3"/>
    <w:rsid w:val="007D604C"/>
    <w:rsid w:val="007E6A1D"/>
    <w:rsid w:val="007F3022"/>
    <w:rsid w:val="008041F6"/>
    <w:rsid w:val="00830C7C"/>
    <w:rsid w:val="00831509"/>
    <w:rsid w:val="00832D0D"/>
    <w:rsid w:val="00847EC8"/>
    <w:rsid w:val="008515FF"/>
    <w:rsid w:val="00853117"/>
    <w:rsid w:val="00856255"/>
    <w:rsid w:val="00856708"/>
    <w:rsid w:val="00860052"/>
    <w:rsid w:val="008612AB"/>
    <w:rsid w:val="008709E1"/>
    <w:rsid w:val="00880ECB"/>
    <w:rsid w:val="00884868"/>
    <w:rsid w:val="00893E0A"/>
    <w:rsid w:val="00896241"/>
    <w:rsid w:val="008B1889"/>
    <w:rsid w:val="008F1747"/>
    <w:rsid w:val="00901446"/>
    <w:rsid w:val="00901F76"/>
    <w:rsid w:val="009025B7"/>
    <w:rsid w:val="009049B6"/>
    <w:rsid w:val="009208EC"/>
    <w:rsid w:val="00927196"/>
    <w:rsid w:val="00933536"/>
    <w:rsid w:val="009347BC"/>
    <w:rsid w:val="0093594E"/>
    <w:rsid w:val="00940B4D"/>
    <w:rsid w:val="00951B85"/>
    <w:rsid w:val="009569A0"/>
    <w:rsid w:val="009572E8"/>
    <w:rsid w:val="00972551"/>
    <w:rsid w:val="00977992"/>
    <w:rsid w:val="00982D63"/>
    <w:rsid w:val="00982E92"/>
    <w:rsid w:val="009B04BD"/>
    <w:rsid w:val="009C1E09"/>
    <w:rsid w:val="009D0B54"/>
    <w:rsid w:val="009E38CC"/>
    <w:rsid w:val="009F4509"/>
    <w:rsid w:val="00A0276B"/>
    <w:rsid w:val="00A0352E"/>
    <w:rsid w:val="00A05745"/>
    <w:rsid w:val="00A148BE"/>
    <w:rsid w:val="00A23D1D"/>
    <w:rsid w:val="00A25C53"/>
    <w:rsid w:val="00A31C82"/>
    <w:rsid w:val="00A357C4"/>
    <w:rsid w:val="00A57D60"/>
    <w:rsid w:val="00A63E25"/>
    <w:rsid w:val="00A7510F"/>
    <w:rsid w:val="00A80A19"/>
    <w:rsid w:val="00A81C38"/>
    <w:rsid w:val="00A85A56"/>
    <w:rsid w:val="00A90ACF"/>
    <w:rsid w:val="00A95E5F"/>
    <w:rsid w:val="00AA19C1"/>
    <w:rsid w:val="00AA3094"/>
    <w:rsid w:val="00AA48C6"/>
    <w:rsid w:val="00AB120F"/>
    <w:rsid w:val="00AC0D0A"/>
    <w:rsid w:val="00AD086B"/>
    <w:rsid w:val="00AD4362"/>
    <w:rsid w:val="00AE5015"/>
    <w:rsid w:val="00AE63FA"/>
    <w:rsid w:val="00AF147B"/>
    <w:rsid w:val="00B27930"/>
    <w:rsid w:val="00B35BD7"/>
    <w:rsid w:val="00B3726E"/>
    <w:rsid w:val="00B43C8A"/>
    <w:rsid w:val="00B71AD7"/>
    <w:rsid w:val="00B94829"/>
    <w:rsid w:val="00BA15D6"/>
    <w:rsid w:val="00BA2708"/>
    <w:rsid w:val="00BA76E3"/>
    <w:rsid w:val="00BA7EA2"/>
    <w:rsid w:val="00BB38AD"/>
    <w:rsid w:val="00BC3961"/>
    <w:rsid w:val="00BC59A4"/>
    <w:rsid w:val="00BD593E"/>
    <w:rsid w:val="00BD6C2D"/>
    <w:rsid w:val="00BD7111"/>
    <w:rsid w:val="00BD735D"/>
    <w:rsid w:val="00BE670B"/>
    <w:rsid w:val="00BE7F4F"/>
    <w:rsid w:val="00C077BF"/>
    <w:rsid w:val="00C16E62"/>
    <w:rsid w:val="00C21002"/>
    <w:rsid w:val="00C24E0B"/>
    <w:rsid w:val="00C30FD5"/>
    <w:rsid w:val="00C34D27"/>
    <w:rsid w:val="00C364CA"/>
    <w:rsid w:val="00C415E4"/>
    <w:rsid w:val="00C51E04"/>
    <w:rsid w:val="00C74242"/>
    <w:rsid w:val="00C92149"/>
    <w:rsid w:val="00CA4321"/>
    <w:rsid w:val="00CB47C1"/>
    <w:rsid w:val="00CB50C5"/>
    <w:rsid w:val="00CB6462"/>
    <w:rsid w:val="00CC12B9"/>
    <w:rsid w:val="00CD5856"/>
    <w:rsid w:val="00CD6B1D"/>
    <w:rsid w:val="00CD7B8A"/>
    <w:rsid w:val="00D16B82"/>
    <w:rsid w:val="00D17E7A"/>
    <w:rsid w:val="00D17FEC"/>
    <w:rsid w:val="00D2350C"/>
    <w:rsid w:val="00D24193"/>
    <w:rsid w:val="00D567E6"/>
    <w:rsid w:val="00D67CFD"/>
    <w:rsid w:val="00D740C7"/>
    <w:rsid w:val="00D874FD"/>
    <w:rsid w:val="00D920EE"/>
    <w:rsid w:val="00D95517"/>
    <w:rsid w:val="00D96987"/>
    <w:rsid w:val="00DB17C2"/>
    <w:rsid w:val="00DB1925"/>
    <w:rsid w:val="00DC147D"/>
    <w:rsid w:val="00DD166F"/>
    <w:rsid w:val="00DD67FD"/>
    <w:rsid w:val="00DD7BB6"/>
    <w:rsid w:val="00DE4C7A"/>
    <w:rsid w:val="00DF6F50"/>
    <w:rsid w:val="00E240E1"/>
    <w:rsid w:val="00E337E6"/>
    <w:rsid w:val="00E422A7"/>
    <w:rsid w:val="00E47E4E"/>
    <w:rsid w:val="00E62E16"/>
    <w:rsid w:val="00E672AA"/>
    <w:rsid w:val="00E712B5"/>
    <w:rsid w:val="00EA2E82"/>
    <w:rsid w:val="00EB55CD"/>
    <w:rsid w:val="00EB63D4"/>
    <w:rsid w:val="00EB78FB"/>
    <w:rsid w:val="00EC0889"/>
    <w:rsid w:val="00ED5D61"/>
    <w:rsid w:val="00ED604E"/>
    <w:rsid w:val="00ED794F"/>
    <w:rsid w:val="00EF2239"/>
    <w:rsid w:val="00F0497E"/>
    <w:rsid w:val="00F157C8"/>
    <w:rsid w:val="00F35FC3"/>
    <w:rsid w:val="00F379F7"/>
    <w:rsid w:val="00F42816"/>
    <w:rsid w:val="00F66136"/>
    <w:rsid w:val="00F6725D"/>
    <w:rsid w:val="00F70578"/>
    <w:rsid w:val="00F71D6B"/>
    <w:rsid w:val="00F91CA7"/>
    <w:rsid w:val="00FB7185"/>
    <w:rsid w:val="00FC0E9B"/>
    <w:rsid w:val="00FC4FAC"/>
    <w:rsid w:val="00FC5CB0"/>
    <w:rsid w:val="00FD1B8A"/>
    <w:rsid w:val="00FD2CCD"/>
    <w:rsid w:val="00FD3845"/>
    <w:rsid w:val="00FD55EB"/>
    <w:rsid w:val="00FE1B13"/>
    <w:rsid w:val="00FE1EE0"/>
    <w:rsid w:val="00FE4CD1"/>
    <w:rsid w:val="00FE5B66"/>
    <w:rsid w:val="00FF0363"/>
    <w:rsid w:val="00FF394A"/>
    <w:rsid w:val="00FF3BB6"/>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5AFA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95517"/>
    <w:rPr>
      <w:color w:val="00335E"/>
      <w:u w:val="single"/>
    </w:rPr>
  </w:style>
  <w:style w:type="character" w:styleId="FollowedHyperlink">
    <w:name w:val="FollowedHyperlink"/>
    <w:basedOn w:val="DefaultParagraphFont"/>
    <w:uiPriority w:val="99"/>
    <w:semiHidden/>
    <w:unhideWhenUsed/>
    <w:rsid w:val="005E3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95517"/>
    <w:rPr>
      <w:color w:val="00335E"/>
      <w:u w:val="single"/>
    </w:rPr>
  </w:style>
  <w:style w:type="character" w:styleId="FollowedHyperlink">
    <w:name w:val="FollowedHyperlink"/>
    <w:basedOn w:val="DefaultParagraphFont"/>
    <w:uiPriority w:val="99"/>
    <w:semiHidden/>
    <w:unhideWhenUsed/>
    <w:rsid w:val="005E3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tonline.org/article/S1053-2498(11)00796-0/abstr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1297310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25838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DCED-D950-4DBA-A7FA-11EBCF6B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3561</Words>
  <Characters>20303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2017-04-10T01:47:00Z</cp:lastPrinted>
  <dcterms:created xsi:type="dcterms:W3CDTF">2017-09-07T03:43:00Z</dcterms:created>
  <dcterms:modified xsi:type="dcterms:W3CDTF">2017-09-07T03:43:00Z</dcterms:modified>
</cp:coreProperties>
</file>