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2C7E91" w:rsidRDefault="00752C33" w:rsidP="00CD5DC5">
      <w:pPr>
        <w:pStyle w:val="Heading3"/>
        <w:ind w:left="-284"/>
        <w:rPr>
          <w:color w:val="auto"/>
        </w:rPr>
      </w:pPr>
      <w:bookmarkStart w:id="0" w:name="_GoBack"/>
      <w:bookmarkEnd w:id="0"/>
      <w:r w:rsidRPr="002C7E91">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821"/>
        <w:gridCol w:w="9780"/>
      </w:tblGrid>
      <w:tr w:rsidR="008612AB" w:rsidRPr="00447869" w:rsidTr="00832D0D">
        <w:trPr>
          <w:tblHeader/>
        </w:trPr>
        <w:tc>
          <w:tcPr>
            <w:tcW w:w="14601" w:type="dxa"/>
            <w:gridSpan w:val="2"/>
            <w:shd w:val="clear" w:color="auto" w:fill="DBE5F1" w:themeFill="accent1" w:themeFillTint="33"/>
          </w:tcPr>
          <w:p w:rsidR="008612AB" w:rsidRPr="00447869" w:rsidRDefault="001F01BD" w:rsidP="00752C33">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C22FF4">
              <w:rPr>
                <w:rFonts w:asciiTheme="minorHAnsi" w:eastAsia="Times New Roman" w:hAnsiTheme="minorHAnsi" w:cs="Times New Roman"/>
                <w:b/>
                <w:bCs/>
                <w:lang w:eastAsia="en-AU"/>
              </w:rPr>
              <w:t xml:space="preserve"> </w:t>
            </w:r>
            <w:r w:rsidR="00021440" w:rsidRPr="00021440">
              <w:rPr>
                <w:rFonts w:asciiTheme="minorHAnsi" w:eastAsia="Times New Roman" w:hAnsiTheme="minorHAnsi" w:cs="Times New Roman"/>
                <w:b/>
                <w:bCs/>
                <w:lang w:eastAsia="en-AU"/>
              </w:rPr>
              <w:t>Susac syndrome</w:t>
            </w:r>
          </w:p>
        </w:tc>
      </w:tr>
      <w:tr w:rsidR="00642A5C" w:rsidRPr="00447869" w:rsidTr="008B2ABB">
        <w:trPr>
          <w:tblHeader/>
        </w:trPr>
        <w:tc>
          <w:tcPr>
            <w:tcW w:w="4821" w:type="dxa"/>
            <w:shd w:val="clear" w:color="auto" w:fill="auto"/>
          </w:tcPr>
          <w:p w:rsidR="001F01BD" w:rsidRDefault="001F01BD" w:rsidP="00C40DDF">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rsidR="001F01BD" w:rsidRDefault="008E2C19" w:rsidP="00C40DDF">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To </w:t>
            </w:r>
            <w:r w:rsidR="00290BBD">
              <w:rPr>
                <w:rFonts w:asciiTheme="minorHAnsi" w:eastAsia="Times New Roman" w:hAnsiTheme="minorHAnsi" w:cs="Times New Roman"/>
                <w:b/>
                <w:bCs/>
                <w:lang w:eastAsia="en-AU"/>
              </w:rPr>
              <w:t>r</w:t>
            </w:r>
            <w:r w:rsidR="001F01BD">
              <w:rPr>
                <w:rFonts w:asciiTheme="minorHAnsi" w:eastAsia="Times New Roman" w:hAnsiTheme="minorHAnsi" w:cs="Times New Roman"/>
                <w:b/>
                <w:bCs/>
                <w:lang w:eastAsia="en-AU"/>
              </w:rPr>
              <w:t>etain</w:t>
            </w:r>
            <w:r>
              <w:rPr>
                <w:rFonts w:asciiTheme="minorHAnsi" w:eastAsia="Times New Roman" w:hAnsiTheme="minorHAnsi" w:cs="Times New Roman"/>
                <w:b/>
                <w:bCs/>
                <w:lang w:eastAsia="en-AU"/>
              </w:rPr>
              <w:t xml:space="preserve"> Susac syndrome</w:t>
            </w:r>
            <w:r w:rsidR="001F01BD">
              <w:rPr>
                <w:rFonts w:asciiTheme="minorHAnsi" w:eastAsia="Times New Roman" w:hAnsiTheme="minorHAnsi" w:cs="Times New Roman"/>
                <w:b/>
                <w:bCs/>
                <w:lang w:eastAsia="en-AU"/>
              </w:rPr>
              <w:t xml:space="preserve"> in </w:t>
            </w:r>
            <w:r w:rsidR="000C66F8">
              <w:rPr>
                <w:rFonts w:asciiTheme="minorHAnsi" w:eastAsia="Times New Roman" w:hAnsiTheme="minorHAnsi" w:cs="Times New Roman"/>
                <w:b/>
                <w:bCs/>
                <w:i/>
                <w:lang w:eastAsia="en-AU"/>
              </w:rPr>
              <w:t xml:space="preserve">Exceptional circumstances only </w:t>
            </w:r>
            <w:r w:rsidR="001F01BD">
              <w:rPr>
                <w:rFonts w:asciiTheme="minorHAnsi" w:eastAsia="Times New Roman" w:hAnsiTheme="minorHAnsi" w:cs="Times New Roman"/>
                <w:b/>
                <w:bCs/>
                <w:lang w:eastAsia="en-AU"/>
              </w:rPr>
              <w:t xml:space="preserve">with the changes </w:t>
            </w:r>
            <w:r>
              <w:rPr>
                <w:rFonts w:asciiTheme="minorHAnsi" w:eastAsia="Times New Roman" w:hAnsiTheme="minorHAnsi" w:cs="Times New Roman"/>
                <w:b/>
                <w:bCs/>
                <w:lang w:eastAsia="en-AU"/>
              </w:rPr>
              <w:t xml:space="preserve">as </w:t>
            </w:r>
            <w:r w:rsidR="001F01BD">
              <w:rPr>
                <w:rFonts w:asciiTheme="minorHAnsi" w:eastAsia="Times New Roman" w:hAnsiTheme="minorHAnsi" w:cs="Times New Roman"/>
                <w:b/>
                <w:bCs/>
                <w:lang w:eastAsia="en-AU"/>
              </w:rPr>
              <w:t>outlined.</w:t>
            </w:r>
          </w:p>
          <w:p w:rsidR="003E3235" w:rsidRPr="00C92149" w:rsidRDefault="003E3235">
            <w:pPr>
              <w:spacing w:before="120" w:after="120"/>
              <w:rPr>
                <w:rFonts w:asciiTheme="minorHAnsi" w:eastAsia="Times New Roman" w:hAnsiTheme="minorHAnsi" w:cs="Times New Roman"/>
                <w:bCs/>
                <w:lang w:eastAsia="en-AU"/>
              </w:rPr>
            </w:pPr>
          </w:p>
        </w:tc>
        <w:tc>
          <w:tcPr>
            <w:tcW w:w="9780"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4878CD" w:rsidRPr="004813E2" w:rsidRDefault="004878CD" w:rsidP="004878CD">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recommended changes are supported by factors including that: </w:t>
            </w:r>
          </w:p>
          <w:p w:rsidR="004878CD" w:rsidRPr="006325D3" w:rsidRDefault="004878CD" w:rsidP="004878CD">
            <w:pPr>
              <w:pStyle w:val="ListParagraph"/>
              <w:numPr>
                <w:ilvl w:val="0"/>
                <w:numId w:val="44"/>
              </w:numPr>
            </w:pPr>
            <w:r>
              <w:t xml:space="preserve">This is a rare autoimmune endotheliopathy where </w:t>
            </w:r>
            <w:r w:rsidR="00B83FB7">
              <w:t>IVIg</w:t>
            </w:r>
            <w:r>
              <w:t xml:space="preserve"> should always be given concurrently with steroids (unless the patient is actively </w:t>
            </w:r>
            <w:r w:rsidRPr="006325D3">
              <w:t>septic</w:t>
            </w:r>
            <w:r>
              <w:t xml:space="preserve"> or where steroids are contraindicated</w:t>
            </w:r>
            <w:r w:rsidRPr="006325D3">
              <w:t xml:space="preserve">). </w:t>
            </w:r>
          </w:p>
          <w:p w:rsidR="004878CD" w:rsidRPr="006325D3" w:rsidRDefault="004878CD" w:rsidP="004878CD">
            <w:pPr>
              <w:pStyle w:val="ListParagraph"/>
              <w:numPr>
                <w:ilvl w:val="0"/>
                <w:numId w:val="44"/>
              </w:numPr>
              <w:spacing w:before="120" w:after="120"/>
              <w:rPr>
                <w:rFonts w:asciiTheme="minorHAnsi" w:hAnsiTheme="minorHAnsi"/>
              </w:rPr>
            </w:pPr>
            <w:r w:rsidRPr="006325D3">
              <w:rPr>
                <w:rFonts w:asciiTheme="minorHAnsi" w:hAnsiTheme="minorHAnsi"/>
              </w:rPr>
              <w:t xml:space="preserve">While there are no RCTs or prospective studies, </w:t>
            </w:r>
            <w:r>
              <w:rPr>
                <w:rFonts w:asciiTheme="minorHAnsi" w:hAnsiTheme="minorHAnsi"/>
              </w:rPr>
              <w:t>this</w:t>
            </w:r>
            <w:r w:rsidRPr="006325D3">
              <w:rPr>
                <w:rFonts w:asciiTheme="minorHAnsi" w:hAnsiTheme="minorHAnsi"/>
              </w:rPr>
              <w:t xml:space="preserve"> condition </w:t>
            </w:r>
            <w:r>
              <w:rPr>
                <w:rFonts w:asciiTheme="minorHAnsi" w:hAnsiTheme="minorHAnsi"/>
              </w:rPr>
              <w:t xml:space="preserve">has a </w:t>
            </w:r>
            <w:r w:rsidRPr="006325D3">
              <w:rPr>
                <w:rFonts w:asciiTheme="minorHAnsi" w:hAnsiTheme="minorHAnsi"/>
              </w:rPr>
              <w:t xml:space="preserve">natural history </w:t>
            </w:r>
            <w:r>
              <w:rPr>
                <w:rFonts w:asciiTheme="minorHAnsi" w:hAnsiTheme="minorHAnsi"/>
              </w:rPr>
              <w:t xml:space="preserve">of poor clinical outcome </w:t>
            </w:r>
            <w:r w:rsidRPr="006325D3">
              <w:rPr>
                <w:rFonts w:asciiTheme="minorHAnsi" w:hAnsiTheme="minorHAnsi"/>
              </w:rPr>
              <w:t>and a clear response to immunosuppressive therapy</w:t>
            </w:r>
            <w:r>
              <w:rPr>
                <w:rFonts w:asciiTheme="minorHAnsi" w:hAnsiTheme="minorHAnsi"/>
              </w:rPr>
              <w:t>,</w:t>
            </w:r>
            <w:r w:rsidRPr="006325D3">
              <w:rPr>
                <w:rFonts w:asciiTheme="minorHAnsi" w:hAnsiTheme="minorHAnsi"/>
              </w:rPr>
              <w:t xml:space="preserve"> including </w:t>
            </w:r>
            <w:r w:rsidR="00B83FB7">
              <w:rPr>
                <w:rFonts w:asciiTheme="minorHAnsi" w:hAnsiTheme="minorHAnsi"/>
              </w:rPr>
              <w:t>IVIg</w:t>
            </w:r>
            <w:r w:rsidRPr="006325D3">
              <w:rPr>
                <w:rFonts w:asciiTheme="minorHAnsi" w:hAnsiTheme="minorHAnsi"/>
              </w:rPr>
              <w:t xml:space="preserve"> (as first line therapy with steroids) has been demonstrated in case series</w:t>
            </w:r>
            <w:r>
              <w:rPr>
                <w:rFonts w:asciiTheme="minorHAnsi" w:hAnsiTheme="minorHAnsi"/>
              </w:rPr>
              <w:t xml:space="preserve"> Fox (2006), Mateen (2012) and Vodopivec (2016)</w:t>
            </w:r>
            <w:r w:rsidRPr="006325D3">
              <w:rPr>
                <w:rFonts w:asciiTheme="minorHAnsi" w:hAnsiTheme="minorHAnsi"/>
              </w:rPr>
              <w:t xml:space="preserve">.  </w:t>
            </w:r>
          </w:p>
          <w:p w:rsidR="004878CD" w:rsidRPr="006325D3" w:rsidRDefault="004878CD" w:rsidP="004878CD">
            <w:pPr>
              <w:pStyle w:val="ListParagraph"/>
              <w:numPr>
                <w:ilvl w:val="0"/>
                <w:numId w:val="44"/>
              </w:numPr>
              <w:spacing w:before="120" w:after="120"/>
              <w:rPr>
                <w:rFonts w:asciiTheme="minorHAnsi" w:hAnsiTheme="minorHAnsi"/>
              </w:rPr>
            </w:pPr>
            <w:r w:rsidRPr="006325D3">
              <w:rPr>
                <w:rFonts w:asciiTheme="minorHAnsi" w:hAnsiTheme="minorHAnsi"/>
              </w:rPr>
              <w:t>Nationa</w:t>
            </w:r>
            <w:r>
              <w:rPr>
                <w:rFonts w:asciiTheme="minorHAnsi" w:hAnsiTheme="minorHAnsi"/>
              </w:rPr>
              <w:t xml:space="preserve">l Ig usage is stable and low - </w:t>
            </w:r>
            <w:r w:rsidRPr="006325D3">
              <w:rPr>
                <w:rFonts w:asciiTheme="minorHAnsi" w:hAnsiTheme="minorHAnsi"/>
              </w:rPr>
              <w:t>in line with the expected prevalence of the condition</w:t>
            </w:r>
            <w:r>
              <w:rPr>
                <w:rFonts w:asciiTheme="minorHAnsi" w:hAnsiTheme="minorHAnsi"/>
              </w:rPr>
              <w:t>.</w:t>
            </w:r>
          </w:p>
          <w:p w:rsidR="004878CD" w:rsidRDefault="004878CD" w:rsidP="004878CD">
            <w:pPr>
              <w:pStyle w:val="ListParagraph"/>
              <w:numPr>
                <w:ilvl w:val="0"/>
                <w:numId w:val="44"/>
              </w:numPr>
              <w:spacing w:before="120" w:after="120"/>
              <w:rPr>
                <w:rFonts w:asciiTheme="minorHAnsi" w:hAnsiTheme="minorHAnsi"/>
              </w:rPr>
            </w:pPr>
            <w:r w:rsidRPr="00190326">
              <w:rPr>
                <w:rFonts w:asciiTheme="minorHAnsi" w:hAnsiTheme="minorHAnsi"/>
              </w:rPr>
              <w:t xml:space="preserve">Improved cost effectiveness will be attained by the revised criteria which include compliance with formal diagnostic criteria, </w:t>
            </w:r>
            <w:r w:rsidRPr="003D36F0">
              <w:rPr>
                <w:rFonts w:asciiTheme="minorHAnsi" w:hAnsiTheme="minorHAnsi"/>
              </w:rPr>
              <w:t xml:space="preserve">ongoing </w:t>
            </w:r>
            <w:r w:rsidRPr="00190326">
              <w:rPr>
                <w:rFonts w:asciiTheme="minorHAnsi" w:hAnsiTheme="minorHAnsi"/>
              </w:rPr>
              <w:t>assessment of disability, demonstration of a clinical response after four months and consideration of a trial of weaning after twelve months’ treatment.</w:t>
            </w:r>
            <w:r>
              <w:rPr>
                <w:rFonts w:asciiTheme="minorHAnsi" w:hAnsiTheme="minorHAnsi"/>
              </w:rPr>
              <w:t xml:space="preserve"> </w:t>
            </w:r>
          </w:p>
          <w:p w:rsidR="004878CD" w:rsidRPr="00190326" w:rsidRDefault="004878CD" w:rsidP="004878CD">
            <w:pPr>
              <w:pStyle w:val="ListParagraph"/>
              <w:numPr>
                <w:ilvl w:val="0"/>
                <w:numId w:val="44"/>
              </w:numPr>
              <w:spacing w:before="120" w:after="120"/>
              <w:rPr>
                <w:rFonts w:asciiTheme="minorHAnsi" w:hAnsiTheme="minorHAnsi"/>
              </w:rPr>
            </w:pPr>
            <w:r w:rsidRPr="00190326">
              <w:rPr>
                <w:rFonts w:asciiTheme="minorHAnsi" w:hAnsiTheme="minorHAnsi"/>
              </w:rPr>
              <w:t xml:space="preserve">The criteria have been reviewed and endorsed by an external expert. </w:t>
            </w:r>
          </w:p>
          <w:p w:rsidR="00FF4718" w:rsidRPr="004878CD" w:rsidRDefault="004878CD" w:rsidP="00304DC3">
            <w:pPr>
              <w:pStyle w:val="ListParagraph"/>
              <w:numPr>
                <w:ilvl w:val="0"/>
                <w:numId w:val="47"/>
              </w:numPr>
              <w:spacing w:before="120" w:after="120"/>
              <w:ind w:left="731"/>
              <w:rPr>
                <w:rFonts w:asciiTheme="minorHAnsi" w:hAnsiTheme="minorHAnsi"/>
              </w:rPr>
            </w:pPr>
            <w:r>
              <w:rPr>
                <w:rFonts w:asciiTheme="minorHAnsi" w:hAnsiTheme="minorHAnsi"/>
              </w:rPr>
              <w:t>While this condition is not listed in either the UK (UK Department of Health, 2011) or Canadian (</w:t>
            </w:r>
            <w:r w:rsidRPr="002A1261">
              <w:rPr>
                <w:rFonts w:asciiTheme="minorHAnsi" w:hAnsiTheme="minorHAnsi"/>
              </w:rPr>
              <w:t>Ontario Regi</w:t>
            </w:r>
            <w:r>
              <w:rPr>
                <w:rFonts w:asciiTheme="minorHAnsi" w:hAnsiTheme="minorHAnsi"/>
              </w:rPr>
              <w:t>onal Blood Coordinating Network, 2016) guidelines, it is noted that very rare immune-mediated disorders with evidence of immunoglobulin efficacy are not necessarily listed in guidelines but may still be approved for funded use in those countries.</w:t>
            </w:r>
            <w:r>
              <w:rPr>
                <w:rFonts w:asciiTheme="minorHAnsi" w:hAnsiTheme="minorHAnsi"/>
                <w:i/>
              </w:rPr>
              <w:t xml:space="preserve">   </w:t>
            </w:r>
          </w:p>
        </w:tc>
      </w:tr>
      <w:tr w:rsidR="00631EAB" w:rsidRPr="00447869" w:rsidTr="008612AB">
        <w:trPr>
          <w:tblHeader/>
        </w:trPr>
        <w:tc>
          <w:tcPr>
            <w:tcW w:w="14601" w:type="dxa"/>
            <w:gridSpan w:val="2"/>
            <w:shd w:val="clear" w:color="auto" w:fill="auto"/>
          </w:tcPr>
          <w:p w:rsidR="00631EAB" w:rsidRDefault="001F01BD" w:rsidP="00752C33">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B83FB7">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sidR="00832D0D">
              <w:rPr>
                <w:rFonts w:asciiTheme="minorHAnsi" w:eastAsia="Times New Roman" w:hAnsiTheme="minorHAnsi" w:cs="Times New Roman"/>
                <w:bCs/>
                <w:lang w:eastAsia="en-AU"/>
              </w:rPr>
              <w:t xml:space="preserve"> </w:t>
            </w:r>
            <w:r w:rsidR="008E2C19">
              <w:rPr>
                <w:rFonts w:asciiTheme="minorHAnsi" w:eastAsia="Times New Roman" w:hAnsiTheme="minorHAnsi" w:cs="Times New Roman"/>
                <w:bCs/>
                <w:lang w:eastAsia="en-AU"/>
              </w:rPr>
              <w:t xml:space="preserve">Condition for which Ig uses is in </w:t>
            </w:r>
            <w:r w:rsidR="00832D0D">
              <w:rPr>
                <w:rFonts w:asciiTheme="minorHAnsi" w:eastAsia="Times New Roman" w:hAnsiTheme="minorHAnsi" w:cs="Times New Roman"/>
                <w:bCs/>
                <w:lang w:eastAsia="en-AU"/>
              </w:rPr>
              <w:t xml:space="preserve">Exceptional </w:t>
            </w:r>
            <w:r>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rsidR="008E3FCA" w:rsidRDefault="008E3FCA" w:rsidP="00752C33">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v3.0 CONDITION CATEGORY: </w:t>
            </w:r>
            <w:r>
              <w:rPr>
                <w:rFonts w:asciiTheme="minorHAnsi" w:eastAsia="Times New Roman" w:hAnsiTheme="minorHAnsi" w:cs="Times New Roman"/>
                <w:bCs/>
                <w:lang w:eastAsia="en-AU"/>
              </w:rPr>
              <w:t xml:space="preserve"> Condition for which Ig uses is in Exceptional circumstances only (Chapter 7)</w:t>
            </w:r>
          </w:p>
        </w:tc>
      </w:tr>
      <w:tr w:rsidR="008612AB" w:rsidRPr="00447869" w:rsidTr="008612AB">
        <w:trPr>
          <w:tblHeader/>
        </w:trPr>
        <w:tc>
          <w:tcPr>
            <w:tcW w:w="14601" w:type="dxa"/>
            <w:gridSpan w:val="2"/>
            <w:shd w:val="clear" w:color="auto" w:fill="auto"/>
          </w:tcPr>
          <w:p w:rsidR="008612AB" w:rsidRPr="00447869" w:rsidRDefault="008612AB"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Role of Ig therapy:</w:t>
            </w:r>
            <w:r w:rsidR="00C40DDF">
              <w:rPr>
                <w:rFonts w:asciiTheme="minorHAnsi" w:eastAsia="Times New Roman" w:hAnsiTheme="minorHAnsi" w:cs="Times New Roman"/>
                <w:b/>
                <w:bCs/>
                <w:lang w:eastAsia="en-AU"/>
              </w:rPr>
              <w:t xml:space="preserve"> </w:t>
            </w:r>
            <w:r w:rsidR="004878CD">
              <w:rPr>
                <w:rFonts w:asciiTheme="minorHAnsi" w:hAnsiTheme="minorHAnsi"/>
              </w:rPr>
              <w:t xml:space="preserve">This condition is extremely rare but being increasingly recognised worldwide, so the incidence may be more common than originally thought. Given that the condition may be unrecognised or misdiagnosed, determination of the prevalence has been difficult. The condition can be self-limited but early, aggressive and sustained treatment is needed while the disease is active to avoid or minimise potential irreversible neurological damage or hearing or vision loss. Two mainstays of treatment have been intravenous corticosteroids and </w:t>
            </w:r>
            <w:r w:rsidR="00B83FB7">
              <w:rPr>
                <w:rFonts w:asciiTheme="minorHAnsi" w:hAnsiTheme="minorHAnsi"/>
              </w:rPr>
              <w:t>IVIg</w:t>
            </w:r>
            <w:r w:rsidR="004878CD">
              <w:rPr>
                <w:rFonts w:asciiTheme="minorHAnsi" w:hAnsiTheme="minorHAnsi"/>
              </w:rPr>
              <w:t xml:space="preserve">, however, a recent case series has suggested equal or possibly greater efficacy from plasma exchange compared to </w:t>
            </w:r>
            <w:r w:rsidR="00B83FB7">
              <w:rPr>
                <w:rFonts w:asciiTheme="minorHAnsi" w:hAnsiTheme="minorHAnsi"/>
              </w:rPr>
              <w:t>IVIg</w:t>
            </w:r>
            <w:r w:rsidR="004878CD">
              <w:rPr>
                <w:rFonts w:asciiTheme="minorHAnsi" w:hAnsiTheme="minorHAnsi"/>
              </w:rPr>
              <w:t>. Plasmapheresis should be considered where available. Most patients in Australia would also be treated with Rituximab but other immunosuppressant therapy including mycophenolate, azathioprine, cyclophosphamide and anti-TNF therapies have been proven to be effective (Mateen, 2012 and Vodopivec, 2016).</w:t>
            </w:r>
          </w:p>
        </w:tc>
      </w:tr>
    </w:tbl>
    <w:p w:rsidR="005851ED" w:rsidRDefault="005851ED"/>
    <w:tbl>
      <w:tblPr>
        <w:tblStyle w:val="TableGrid"/>
        <w:tblW w:w="14601" w:type="dxa"/>
        <w:tblInd w:w="-318" w:type="dxa"/>
        <w:tblLook w:val="0680" w:firstRow="0" w:lastRow="0" w:firstColumn="1" w:lastColumn="0" w:noHBand="1" w:noVBand="1"/>
      </w:tblPr>
      <w:tblGrid>
        <w:gridCol w:w="1550"/>
        <w:gridCol w:w="2258"/>
        <w:gridCol w:w="2511"/>
        <w:gridCol w:w="2511"/>
        <w:gridCol w:w="2511"/>
        <w:gridCol w:w="3260"/>
      </w:tblGrid>
      <w:tr w:rsidR="00447869" w:rsidRPr="00853117" w:rsidTr="004168FE">
        <w:trPr>
          <w:trHeight w:val="406"/>
          <w:tblHeader/>
        </w:trPr>
        <w:tc>
          <w:tcPr>
            <w:tcW w:w="1550"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258" w:type="dxa"/>
            <w:shd w:val="clear" w:color="auto" w:fill="DBE5F1" w:themeFill="accent1" w:themeFillTint="33"/>
          </w:tcPr>
          <w:p w:rsidR="004A10A2" w:rsidRPr="00C92149" w:rsidRDefault="0003589D" w:rsidP="00631EAB">
            <w:pPr>
              <w:spacing w:before="120" w:after="120"/>
              <w:jc w:val="center"/>
              <w:rPr>
                <w:rFonts w:asciiTheme="minorHAnsi" w:hAnsiTheme="minorHAnsi"/>
                <w:b/>
                <w:sz w:val="20"/>
                <w:szCs w:val="18"/>
              </w:rPr>
            </w:pPr>
            <w:r>
              <w:rPr>
                <w:rFonts w:asciiTheme="minorHAnsi" w:hAnsiTheme="minorHAnsi"/>
                <w:b/>
                <w:sz w:val="20"/>
                <w:szCs w:val="18"/>
              </w:rPr>
              <w:t xml:space="preserve">CRITERIA </w:t>
            </w:r>
            <w:r w:rsidR="00752C33">
              <w:rPr>
                <w:rFonts w:asciiTheme="minorHAnsi" w:hAnsiTheme="minorHAnsi"/>
                <w:b/>
                <w:sz w:val="20"/>
                <w:szCs w:val="18"/>
              </w:rPr>
              <w:t xml:space="preserve"> </w:t>
            </w:r>
            <w:r w:rsidR="001E102B">
              <w:rPr>
                <w:rFonts w:asciiTheme="minorHAnsi" w:hAnsiTheme="minorHAnsi"/>
                <w:b/>
                <w:sz w:val="20"/>
                <w:szCs w:val="18"/>
              </w:rPr>
              <w:t xml:space="preserve">v2.1 </w:t>
            </w:r>
          </w:p>
        </w:tc>
        <w:tc>
          <w:tcPr>
            <w:tcW w:w="7533" w:type="dxa"/>
            <w:gridSpan w:val="3"/>
            <w:shd w:val="clear" w:color="auto" w:fill="DBE5F1" w:themeFill="accent1" w:themeFillTint="33"/>
          </w:tcPr>
          <w:p w:rsidR="00BD5F7E" w:rsidRPr="00C92149" w:rsidRDefault="00447869" w:rsidP="00D1613A">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3260" w:type="dxa"/>
            <w:shd w:val="clear" w:color="auto" w:fill="DBE5F1" w:themeFill="accent1" w:themeFillTint="33"/>
          </w:tcPr>
          <w:p w:rsidR="00447869" w:rsidRPr="00C92149" w:rsidRDefault="00752C33">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 xml:space="preserve">SPECIALIST WORKING GROUP </w:t>
            </w:r>
            <w:r w:rsidR="00D10627" w:rsidRPr="00D10627">
              <w:rPr>
                <w:rFonts w:asciiTheme="minorHAnsi" w:eastAsia="Times New Roman" w:hAnsiTheme="minorHAnsi" w:cs="Times New Roman"/>
                <w:b/>
                <w:bCs/>
                <w:sz w:val="20"/>
                <w:szCs w:val="20"/>
                <w:lang w:eastAsia="en-AU"/>
              </w:rPr>
              <w:t>RATIONALE FOR ADDITIONS/CLARIFICATIONS</w:t>
            </w:r>
          </w:p>
        </w:tc>
      </w:tr>
      <w:tr w:rsidR="00021243" w:rsidRPr="00447869" w:rsidTr="004168FE">
        <w:tc>
          <w:tcPr>
            <w:tcW w:w="155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258" w:type="dxa"/>
          </w:tcPr>
          <w:p w:rsidR="003A1F9D" w:rsidRPr="00E75ACE" w:rsidRDefault="00021440" w:rsidP="003A1F9D">
            <w:pPr>
              <w:pStyle w:val="heading"/>
              <w:spacing w:before="0" w:beforeAutospacing="0" w:after="225" w:afterAutospacing="0" w:line="293" w:lineRule="atLeast"/>
              <w:rPr>
                <w:rFonts w:asciiTheme="minorHAnsi" w:eastAsia="Times New Roman" w:hAnsiTheme="minorHAnsi" w:cs="Times New Roman"/>
                <w:bCs/>
                <w:sz w:val="22"/>
                <w:szCs w:val="22"/>
                <w:lang w:eastAsia="en-AU"/>
              </w:rPr>
            </w:pPr>
            <w:r w:rsidRPr="00E75ACE">
              <w:rPr>
                <w:rFonts w:asciiTheme="minorHAnsi" w:eastAsia="Times New Roman" w:hAnsiTheme="minorHAnsi" w:cs="Times New Roman"/>
                <w:bCs/>
                <w:sz w:val="22"/>
                <w:szCs w:val="22"/>
                <w:lang w:eastAsia="en-AU"/>
              </w:rPr>
              <w:t>Susac Syndrome</w:t>
            </w:r>
          </w:p>
          <w:p w:rsidR="00021243" w:rsidRPr="00896241" w:rsidRDefault="00021243" w:rsidP="00021243">
            <w:pPr>
              <w:spacing w:before="120" w:after="120"/>
              <w:rPr>
                <w:rFonts w:asciiTheme="minorHAnsi" w:hAnsiTheme="minorHAnsi"/>
                <w:b/>
              </w:rPr>
            </w:pPr>
          </w:p>
        </w:tc>
        <w:tc>
          <w:tcPr>
            <w:tcW w:w="7533" w:type="dxa"/>
            <w:gridSpan w:val="3"/>
          </w:tcPr>
          <w:p w:rsidR="00BD5F7E" w:rsidRPr="00E75ACE" w:rsidRDefault="00BD5F7E" w:rsidP="00BD5F7E">
            <w:pPr>
              <w:pStyle w:val="heading"/>
              <w:spacing w:before="0" w:beforeAutospacing="0" w:after="225" w:afterAutospacing="0" w:line="293" w:lineRule="atLeast"/>
              <w:rPr>
                <w:rFonts w:asciiTheme="minorHAnsi" w:eastAsia="Times New Roman" w:hAnsiTheme="minorHAnsi" w:cs="Times New Roman"/>
                <w:bCs/>
                <w:sz w:val="22"/>
                <w:szCs w:val="22"/>
                <w:lang w:eastAsia="en-AU"/>
              </w:rPr>
            </w:pPr>
            <w:r w:rsidRPr="00E75ACE">
              <w:rPr>
                <w:rFonts w:asciiTheme="minorHAnsi" w:eastAsia="Times New Roman" w:hAnsiTheme="minorHAnsi" w:cs="Times New Roman"/>
                <w:bCs/>
                <w:sz w:val="22"/>
                <w:szCs w:val="22"/>
                <w:lang w:eastAsia="en-AU"/>
              </w:rPr>
              <w:t>Susac Syndrome</w:t>
            </w:r>
          </w:p>
          <w:p w:rsidR="00021243" w:rsidRPr="00282F66" w:rsidRDefault="00021243" w:rsidP="00021243">
            <w:pPr>
              <w:spacing w:before="120" w:after="120"/>
              <w:rPr>
                <w:rFonts w:asciiTheme="minorHAnsi" w:hAnsiTheme="minorHAnsi"/>
                <w:b/>
              </w:rPr>
            </w:pPr>
          </w:p>
        </w:tc>
        <w:tc>
          <w:tcPr>
            <w:tcW w:w="3260" w:type="dxa"/>
          </w:tcPr>
          <w:p w:rsidR="005960E7" w:rsidRPr="00C92149" w:rsidRDefault="00190326"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No change</w:t>
            </w:r>
          </w:p>
        </w:tc>
      </w:tr>
      <w:tr w:rsidR="00447869" w:rsidRPr="00447869" w:rsidTr="004168FE">
        <w:tc>
          <w:tcPr>
            <w:tcW w:w="1550"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2258" w:type="dxa"/>
          </w:tcPr>
          <w:p w:rsidR="00447869" w:rsidRPr="00447869" w:rsidRDefault="00021440" w:rsidP="00021243">
            <w:pPr>
              <w:spacing w:before="120" w:after="120"/>
              <w:rPr>
                <w:rFonts w:asciiTheme="minorHAnsi" w:hAnsiTheme="minorHAnsi"/>
              </w:rPr>
            </w:pPr>
            <w:r>
              <w:rPr>
                <w:rFonts w:asciiTheme="minorHAnsi" w:eastAsia="Times New Roman" w:hAnsiTheme="minorHAnsi" w:cs="Times New Roman"/>
                <w:bCs/>
                <w:lang w:eastAsia="en-AU"/>
              </w:rPr>
              <w:t>Neurology</w:t>
            </w:r>
          </w:p>
        </w:tc>
        <w:tc>
          <w:tcPr>
            <w:tcW w:w="7533" w:type="dxa"/>
            <w:gridSpan w:val="3"/>
          </w:tcPr>
          <w:p w:rsidR="00447869" w:rsidRPr="00447869" w:rsidRDefault="00BD5F7E" w:rsidP="00021243">
            <w:pPr>
              <w:spacing w:before="120" w:after="120"/>
              <w:rPr>
                <w:rFonts w:asciiTheme="minorHAnsi" w:hAnsiTheme="minorHAnsi"/>
              </w:rPr>
            </w:pPr>
            <w:r>
              <w:rPr>
                <w:rFonts w:asciiTheme="minorHAnsi" w:hAnsiTheme="minorHAnsi"/>
              </w:rPr>
              <w:t xml:space="preserve">Neurology </w:t>
            </w:r>
          </w:p>
        </w:tc>
        <w:tc>
          <w:tcPr>
            <w:tcW w:w="3260" w:type="dxa"/>
          </w:tcPr>
          <w:p w:rsidR="00447869" w:rsidRPr="009208EC" w:rsidRDefault="00190326" w:rsidP="00021243">
            <w:pPr>
              <w:spacing w:before="120" w:after="120"/>
              <w:rPr>
                <w:rFonts w:asciiTheme="minorHAnsi" w:hAnsiTheme="minorHAnsi"/>
                <w:szCs w:val="20"/>
              </w:rPr>
            </w:pPr>
            <w:r>
              <w:rPr>
                <w:rFonts w:asciiTheme="minorHAnsi" w:hAnsiTheme="minorHAnsi"/>
                <w:szCs w:val="20"/>
              </w:rPr>
              <w:t>No change</w:t>
            </w:r>
          </w:p>
        </w:tc>
      </w:tr>
      <w:tr w:rsidR="00021243" w:rsidRPr="00447869" w:rsidTr="004168FE">
        <w:tc>
          <w:tcPr>
            <w:tcW w:w="1550" w:type="dxa"/>
            <w:shd w:val="clear" w:color="auto" w:fill="D9D9D9" w:themeFill="background1" w:themeFillShade="D9"/>
          </w:tcPr>
          <w:p w:rsidR="00021243" w:rsidRPr="00447869" w:rsidRDefault="001F01BD" w:rsidP="00021243">
            <w:pPr>
              <w:spacing w:before="120" w:after="120"/>
              <w:rPr>
                <w:rFonts w:asciiTheme="minorHAnsi" w:hAnsiTheme="minorHAnsi"/>
              </w:rPr>
            </w:pPr>
            <w:r>
              <w:rPr>
                <w:rFonts w:asciiTheme="minorHAnsi" w:hAnsiTheme="minorHAnsi"/>
                <w:b/>
              </w:rPr>
              <w:t>Category</w:t>
            </w:r>
          </w:p>
        </w:tc>
        <w:tc>
          <w:tcPr>
            <w:tcW w:w="2258" w:type="dxa"/>
          </w:tcPr>
          <w:p w:rsidR="00021243" w:rsidRPr="00752C33" w:rsidRDefault="001F01BD" w:rsidP="000C66F8">
            <w:pPr>
              <w:spacing w:before="120" w:after="120"/>
              <w:rPr>
                <w:rFonts w:asciiTheme="minorHAnsi" w:hAnsiTheme="minorHAnsi"/>
                <w:i/>
              </w:rPr>
            </w:pPr>
            <w:r w:rsidRPr="002C7E91">
              <w:rPr>
                <w:rFonts w:asciiTheme="minorHAnsi" w:hAnsiTheme="minorHAnsi"/>
                <w:i/>
              </w:rPr>
              <w:t xml:space="preserve">Exceptional circumstances only </w:t>
            </w:r>
          </w:p>
        </w:tc>
        <w:tc>
          <w:tcPr>
            <w:tcW w:w="7533" w:type="dxa"/>
            <w:gridSpan w:val="3"/>
          </w:tcPr>
          <w:p w:rsidR="00021243" w:rsidRPr="00752C33" w:rsidRDefault="000C66F8" w:rsidP="000C66F8">
            <w:pPr>
              <w:spacing w:before="120" w:after="120"/>
              <w:rPr>
                <w:rFonts w:asciiTheme="minorHAnsi" w:hAnsiTheme="minorHAnsi"/>
                <w:i/>
              </w:rPr>
            </w:pPr>
            <w:r w:rsidRPr="00752C33">
              <w:rPr>
                <w:rFonts w:asciiTheme="minorHAnsi" w:hAnsiTheme="minorHAnsi"/>
                <w:i/>
              </w:rPr>
              <w:t xml:space="preserve">Exceptional circumstances only </w:t>
            </w:r>
          </w:p>
        </w:tc>
        <w:tc>
          <w:tcPr>
            <w:tcW w:w="3260" w:type="dxa"/>
          </w:tcPr>
          <w:p w:rsidR="00021243" w:rsidRPr="009208EC" w:rsidRDefault="00190326" w:rsidP="00631EAB">
            <w:pPr>
              <w:spacing w:before="120" w:after="120"/>
              <w:rPr>
                <w:rFonts w:asciiTheme="minorHAnsi" w:hAnsiTheme="minorHAnsi"/>
                <w:szCs w:val="20"/>
              </w:rPr>
            </w:pPr>
            <w:r>
              <w:rPr>
                <w:rFonts w:asciiTheme="minorHAnsi" w:hAnsiTheme="minorHAnsi"/>
                <w:szCs w:val="20"/>
              </w:rPr>
              <w:t>No change</w:t>
            </w:r>
          </w:p>
        </w:tc>
      </w:tr>
      <w:tr w:rsidR="00447869" w:rsidRPr="00447869" w:rsidTr="004168FE">
        <w:tc>
          <w:tcPr>
            <w:tcW w:w="1550"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258" w:type="dxa"/>
          </w:tcPr>
          <w:p w:rsidR="004A10A2" w:rsidRPr="00447869" w:rsidRDefault="004A10A2" w:rsidP="008515FF">
            <w:pPr>
              <w:spacing w:before="120" w:after="120"/>
              <w:rPr>
                <w:rFonts w:asciiTheme="minorHAnsi" w:hAnsiTheme="minorHAnsi"/>
              </w:rPr>
            </w:pPr>
          </w:p>
        </w:tc>
        <w:tc>
          <w:tcPr>
            <w:tcW w:w="7533" w:type="dxa"/>
            <w:gridSpan w:val="3"/>
          </w:tcPr>
          <w:p w:rsidR="00447869" w:rsidRPr="00447869" w:rsidRDefault="00447869" w:rsidP="008515FF">
            <w:pPr>
              <w:rPr>
                <w:rFonts w:asciiTheme="minorHAnsi" w:hAnsiTheme="minorHAnsi"/>
              </w:rPr>
            </w:pPr>
          </w:p>
        </w:tc>
        <w:tc>
          <w:tcPr>
            <w:tcW w:w="3260" w:type="dxa"/>
          </w:tcPr>
          <w:p w:rsidR="00447869" w:rsidRPr="00C92149" w:rsidRDefault="00190326" w:rsidP="00021243">
            <w:pPr>
              <w:spacing w:before="120" w:after="120"/>
              <w:rPr>
                <w:rFonts w:asciiTheme="minorHAnsi" w:hAnsiTheme="minorHAnsi"/>
                <w:szCs w:val="20"/>
              </w:rPr>
            </w:pPr>
            <w:r>
              <w:rPr>
                <w:rFonts w:asciiTheme="minorHAnsi" w:hAnsiTheme="minorHAnsi"/>
                <w:szCs w:val="20"/>
              </w:rPr>
              <w:t>No change</w:t>
            </w:r>
          </w:p>
        </w:tc>
      </w:tr>
      <w:tr w:rsidR="00021243" w:rsidRPr="00447869" w:rsidTr="004168FE">
        <w:tc>
          <w:tcPr>
            <w:tcW w:w="155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rsidR="00021243" w:rsidRPr="00447869" w:rsidRDefault="00021243" w:rsidP="00021243">
            <w:pPr>
              <w:spacing w:before="120" w:after="120"/>
              <w:rPr>
                <w:rFonts w:asciiTheme="minorHAnsi" w:hAnsiTheme="minorHAnsi"/>
              </w:rPr>
            </w:pPr>
          </w:p>
        </w:tc>
        <w:tc>
          <w:tcPr>
            <w:tcW w:w="2258" w:type="dxa"/>
          </w:tcPr>
          <w:p w:rsidR="00021243" w:rsidRPr="00447869" w:rsidRDefault="00021440" w:rsidP="00021243">
            <w:pPr>
              <w:spacing w:before="120" w:after="120"/>
              <w:rPr>
                <w:rFonts w:asciiTheme="minorHAnsi" w:hAnsiTheme="minorHAnsi"/>
              </w:rPr>
            </w:pPr>
            <w:r w:rsidRPr="006A0BAD">
              <w:rPr>
                <w:rFonts w:asciiTheme="minorHAnsi" w:eastAsia="Times New Roman" w:hAnsiTheme="minorHAnsi" w:cs="Times New Roman"/>
                <w:color w:val="000000"/>
                <w:lang w:eastAsia="en-AU"/>
              </w:rPr>
              <w:t>Insufficient data (Category 4a)</w:t>
            </w:r>
          </w:p>
        </w:tc>
        <w:tc>
          <w:tcPr>
            <w:tcW w:w="7533" w:type="dxa"/>
            <w:gridSpan w:val="3"/>
          </w:tcPr>
          <w:p w:rsidR="00021243" w:rsidRPr="00447869" w:rsidRDefault="00282F66" w:rsidP="008515FF">
            <w:pPr>
              <w:spacing w:before="120" w:after="120"/>
              <w:rPr>
                <w:rFonts w:asciiTheme="minorHAnsi" w:hAnsiTheme="minorHAnsi"/>
              </w:rPr>
            </w:pPr>
            <w:r>
              <w:t xml:space="preserve"> </w:t>
            </w:r>
            <w:r w:rsidR="00222572">
              <w:t xml:space="preserve">Insufficient data (Category </w:t>
            </w:r>
            <w:r w:rsidR="00BD5F7E">
              <w:t>4a</w:t>
            </w:r>
            <w:r w:rsidR="00222572">
              <w:t>)</w:t>
            </w:r>
          </w:p>
        </w:tc>
        <w:tc>
          <w:tcPr>
            <w:tcW w:w="3260" w:type="dxa"/>
          </w:tcPr>
          <w:p w:rsidR="00021243" w:rsidRPr="009208EC" w:rsidRDefault="00190326" w:rsidP="00021243">
            <w:pPr>
              <w:spacing w:before="120" w:after="120"/>
              <w:rPr>
                <w:rFonts w:asciiTheme="minorHAnsi" w:hAnsiTheme="minorHAnsi"/>
                <w:szCs w:val="20"/>
              </w:rPr>
            </w:pPr>
            <w:r>
              <w:rPr>
                <w:rFonts w:asciiTheme="minorHAnsi" w:hAnsiTheme="minorHAnsi"/>
                <w:szCs w:val="20"/>
              </w:rPr>
              <w:t>No change</w:t>
            </w:r>
          </w:p>
        </w:tc>
      </w:tr>
      <w:tr w:rsidR="00AB120F" w:rsidRPr="00447869" w:rsidTr="004168FE">
        <w:tc>
          <w:tcPr>
            <w:tcW w:w="1550"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CE69D0">
            <w:pPr>
              <w:spacing w:before="120" w:after="120"/>
              <w:rPr>
                <w:rFonts w:asciiTheme="minorHAnsi" w:hAnsiTheme="minorHAnsi"/>
              </w:rPr>
            </w:pPr>
          </w:p>
        </w:tc>
        <w:tc>
          <w:tcPr>
            <w:tcW w:w="2258" w:type="dxa"/>
          </w:tcPr>
          <w:p w:rsidR="00AB120F" w:rsidRPr="00447869" w:rsidRDefault="00AB120F" w:rsidP="00CE69D0">
            <w:pPr>
              <w:spacing w:before="120" w:after="120"/>
              <w:rPr>
                <w:rFonts w:asciiTheme="minorHAnsi" w:hAnsiTheme="minorHAnsi"/>
              </w:rPr>
            </w:pPr>
            <w:r>
              <w:rPr>
                <w:rFonts w:asciiTheme="minorHAnsi" w:hAnsiTheme="minorHAnsi"/>
              </w:rPr>
              <w:t xml:space="preserve"> </w:t>
            </w:r>
          </w:p>
        </w:tc>
        <w:tc>
          <w:tcPr>
            <w:tcW w:w="7533" w:type="dxa"/>
            <w:gridSpan w:val="3"/>
          </w:tcPr>
          <w:p w:rsidR="00AB120F" w:rsidRPr="00447869" w:rsidRDefault="004878CD" w:rsidP="00CE69D0">
            <w:pPr>
              <w:spacing w:before="120" w:after="120"/>
              <w:rPr>
                <w:rFonts w:asciiTheme="minorHAnsi" w:hAnsiTheme="minorHAnsi"/>
              </w:rPr>
            </w:pPr>
            <w:r w:rsidRPr="00BD5F7E">
              <w:rPr>
                <w:rFonts w:asciiTheme="minorHAnsi" w:hAnsiTheme="minorHAnsi"/>
              </w:rPr>
              <w:t>There are no RCTs nor prospective series in Susac Syndrome. However, there is a very poor natural history and a clear response to multi</w:t>
            </w:r>
            <w:r>
              <w:rPr>
                <w:rFonts w:asciiTheme="minorHAnsi" w:hAnsiTheme="minorHAnsi"/>
              </w:rPr>
              <w:t>-</w:t>
            </w:r>
            <w:r w:rsidRPr="00BD5F7E">
              <w:rPr>
                <w:rFonts w:asciiTheme="minorHAnsi" w:hAnsiTheme="minorHAnsi"/>
              </w:rPr>
              <w:t xml:space="preserve">agent immunosuppressive therapy including </w:t>
            </w:r>
            <w:r w:rsidR="00B83FB7">
              <w:rPr>
                <w:rFonts w:asciiTheme="minorHAnsi" w:hAnsiTheme="minorHAnsi"/>
              </w:rPr>
              <w:t>IVIg</w:t>
            </w:r>
            <w:r w:rsidRPr="00BD5F7E">
              <w:rPr>
                <w:rFonts w:asciiTheme="minorHAnsi" w:hAnsiTheme="minorHAnsi"/>
              </w:rPr>
              <w:t xml:space="preserve"> in case series </w:t>
            </w:r>
            <w:r>
              <w:rPr>
                <w:rFonts w:asciiTheme="minorHAnsi" w:hAnsiTheme="minorHAnsi"/>
              </w:rPr>
              <w:t xml:space="preserve">(Mateen, 2012). </w:t>
            </w:r>
            <w:r w:rsidRPr="00BD5F7E">
              <w:rPr>
                <w:rFonts w:asciiTheme="minorHAnsi" w:hAnsiTheme="minorHAnsi"/>
              </w:rPr>
              <w:t xml:space="preserve">A recent series has suggested equal or possibly greater efficacy from plasma exchange over </w:t>
            </w:r>
            <w:r w:rsidR="00B83FB7">
              <w:rPr>
                <w:rFonts w:asciiTheme="minorHAnsi" w:hAnsiTheme="minorHAnsi"/>
              </w:rPr>
              <w:t>IVIg</w:t>
            </w:r>
            <w:r w:rsidRPr="00BD5F7E">
              <w:rPr>
                <w:rFonts w:asciiTheme="minorHAnsi" w:hAnsiTheme="minorHAnsi"/>
              </w:rPr>
              <w:t>, and plasma exchange shoul</w:t>
            </w:r>
            <w:r>
              <w:rPr>
                <w:rFonts w:asciiTheme="minorHAnsi" w:hAnsiTheme="minorHAnsi"/>
              </w:rPr>
              <w:t>d be considered where available (Vodopivec, 2016).</w:t>
            </w:r>
          </w:p>
        </w:tc>
        <w:tc>
          <w:tcPr>
            <w:tcW w:w="3260" w:type="dxa"/>
          </w:tcPr>
          <w:p w:rsidR="00AB120F" w:rsidRPr="00C92149" w:rsidRDefault="00E760C3" w:rsidP="00763521">
            <w:pPr>
              <w:spacing w:before="120" w:after="120"/>
              <w:rPr>
                <w:rFonts w:asciiTheme="minorHAnsi" w:hAnsiTheme="minorHAnsi"/>
                <w:szCs w:val="20"/>
              </w:rPr>
            </w:pPr>
            <w:r>
              <w:rPr>
                <w:rFonts w:asciiTheme="minorHAnsi" w:hAnsiTheme="minorHAnsi"/>
                <w:szCs w:val="20"/>
              </w:rPr>
              <w:t xml:space="preserve">A summary of the findings </w:t>
            </w:r>
            <w:r w:rsidR="00763521">
              <w:rPr>
                <w:rFonts w:asciiTheme="minorHAnsi" w:hAnsiTheme="minorHAnsi"/>
                <w:szCs w:val="20"/>
              </w:rPr>
              <w:t>has been added after consultation of the</w:t>
            </w:r>
            <w:r>
              <w:rPr>
                <w:rFonts w:asciiTheme="minorHAnsi" w:hAnsiTheme="minorHAnsi"/>
                <w:szCs w:val="20"/>
              </w:rPr>
              <w:t xml:space="preserve"> literature. </w:t>
            </w:r>
          </w:p>
        </w:tc>
      </w:tr>
      <w:tr w:rsidR="00AB120F" w:rsidRPr="00447869" w:rsidTr="004168FE">
        <w:tc>
          <w:tcPr>
            <w:tcW w:w="1550" w:type="dxa"/>
            <w:shd w:val="clear" w:color="auto" w:fill="D9D9D9" w:themeFill="background1" w:themeFillShade="D9"/>
          </w:tcPr>
          <w:p w:rsidR="00AB120F" w:rsidRPr="00447869" w:rsidRDefault="00AB120F" w:rsidP="004878CD">
            <w:pPr>
              <w:spacing w:before="120" w:after="120"/>
              <w:rPr>
                <w:rFonts w:asciiTheme="minorHAnsi" w:hAnsiTheme="minorHAnsi"/>
              </w:rPr>
            </w:pPr>
            <w:r w:rsidRPr="00447869">
              <w:rPr>
                <w:rFonts w:asciiTheme="minorHAnsi" w:hAnsiTheme="minorHAnsi"/>
                <w:b/>
              </w:rPr>
              <w:t>Indications</w:t>
            </w:r>
          </w:p>
        </w:tc>
        <w:tc>
          <w:tcPr>
            <w:tcW w:w="2258" w:type="dxa"/>
          </w:tcPr>
          <w:p w:rsidR="00AB120F" w:rsidRPr="00447869" w:rsidRDefault="00AB120F" w:rsidP="00CE69D0">
            <w:pPr>
              <w:spacing w:before="120" w:after="120"/>
              <w:rPr>
                <w:rFonts w:asciiTheme="minorHAnsi" w:hAnsiTheme="minorHAnsi"/>
              </w:rPr>
            </w:pPr>
            <w:r>
              <w:t xml:space="preserve"> </w:t>
            </w:r>
          </w:p>
        </w:tc>
        <w:tc>
          <w:tcPr>
            <w:tcW w:w="7533" w:type="dxa"/>
            <w:gridSpan w:val="3"/>
          </w:tcPr>
          <w:p w:rsidR="00AB120F" w:rsidRPr="002C7E91" w:rsidRDefault="00BD5F7E" w:rsidP="00CE69D0">
            <w:pPr>
              <w:spacing w:before="120" w:after="120"/>
              <w:rPr>
                <w:rFonts w:asciiTheme="minorHAnsi" w:hAnsiTheme="minorHAnsi"/>
                <w:b/>
              </w:rPr>
            </w:pPr>
            <w:r w:rsidRPr="002C7E91">
              <w:rPr>
                <w:rFonts w:asciiTheme="minorHAnsi" w:hAnsiTheme="minorHAnsi"/>
                <w:b/>
              </w:rPr>
              <w:t>Probable or definite Susac syndrome in concurrence with high dose corticosteroids</w:t>
            </w:r>
          </w:p>
        </w:tc>
        <w:tc>
          <w:tcPr>
            <w:tcW w:w="3260" w:type="dxa"/>
          </w:tcPr>
          <w:p w:rsidR="00AB120F" w:rsidRPr="00E760C3" w:rsidRDefault="00E760C3" w:rsidP="00CE69D0">
            <w:pPr>
              <w:spacing w:before="120" w:after="120"/>
              <w:rPr>
                <w:szCs w:val="20"/>
              </w:rPr>
            </w:pPr>
            <w:r w:rsidRPr="00E760C3">
              <w:rPr>
                <w:szCs w:val="20"/>
              </w:rPr>
              <w:t xml:space="preserve">The indication is based on </w:t>
            </w:r>
            <w:r w:rsidR="00AF4D6E">
              <w:rPr>
                <w:szCs w:val="20"/>
              </w:rPr>
              <w:t>S</w:t>
            </w:r>
            <w:r w:rsidR="000C66F8">
              <w:rPr>
                <w:szCs w:val="20"/>
              </w:rPr>
              <w:t>pecialist Working Group</w:t>
            </w:r>
            <w:r w:rsidR="00AF4D6E" w:rsidRPr="00E760C3">
              <w:rPr>
                <w:szCs w:val="20"/>
              </w:rPr>
              <w:t xml:space="preserve"> </w:t>
            </w:r>
            <w:r w:rsidRPr="00E760C3">
              <w:rPr>
                <w:szCs w:val="20"/>
              </w:rPr>
              <w:t>consensus</w:t>
            </w:r>
            <w:r w:rsidR="00763521">
              <w:rPr>
                <w:szCs w:val="20"/>
              </w:rPr>
              <w:t xml:space="preserve"> and consultation of the literature</w:t>
            </w:r>
            <w:r w:rsidRPr="00E760C3">
              <w:rPr>
                <w:szCs w:val="20"/>
              </w:rPr>
              <w:t>.</w:t>
            </w:r>
          </w:p>
          <w:p w:rsidR="00AB120F" w:rsidRPr="00C92149" w:rsidRDefault="00AB120F" w:rsidP="00CE69D0">
            <w:pPr>
              <w:spacing w:before="120" w:after="120"/>
              <w:rPr>
                <w:rFonts w:asciiTheme="minorHAnsi" w:hAnsiTheme="minorHAnsi"/>
                <w:sz w:val="20"/>
                <w:szCs w:val="20"/>
              </w:rPr>
            </w:pPr>
          </w:p>
        </w:tc>
      </w:tr>
      <w:tr w:rsidR="00BA76E3" w:rsidRPr="00447869" w:rsidTr="004168FE">
        <w:trPr>
          <w:trHeight w:val="4765"/>
        </w:trPr>
        <w:tc>
          <w:tcPr>
            <w:tcW w:w="1550"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lastRenderedPageBreak/>
              <w:t>Description and Diagnostic Criteria</w:t>
            </w:r>
          </w:p>
          <w:p w:rsidR="00BA76E3" w:rsidRPr="00447869" w:rsidRDefault="00BA76E3" w:rsidP="00282F66">
            <w:pPr>
              <w:spacing w:before="120" w:after="120"/>
              <w:rPr>
                <w:rFonts w:asciiTheme="minorHAnsi" w:hAnsiTheme="minorHAnsi"/>
              </w:rPr>
            </w:pPr>
          </w:p>
        </w:tc>
        <w:tc>
          <w:tcPr>
            <w:tcW w:w="2258" w:type="dxa"/>
          </w:tcPr>
          <w:p w:rsidR="00BA76E3" w:rsidRPr="00AF4D6E" w:rsidRDefault="00021440" w:rsidP="00AF4D6E">
            <w:pPr>
              <w:spacing w:after="225" w:line="293" w:lineRule="atLeast"/>
              <w:rPr>
                <w:rFonts w:asciiTheme="minorHAnsi" w:eastAsiaTheme="minorHAnsi" w:hAnsiTheme="minorHAnsi" w:cs="Times New Roman"/>
                <w:color w:val="000000"/>
              </w:rPr>
            </w:pPr>
            <w:r w:rsidRPr="00021440">
              <w:rPr>
                <w:rFonts w:asciiTheme="minorHAnsi" w:eastAsiaTheme="minorHAnsi" w:hAnsiTheme="minorHAnsi" w:cs="Times New Roman"/>
                <w:color w:val="000000"/>
              </w:rPr>
              <w:t>Susac syndrome is a rare, microangiopathic disorder characterised by encephalopathy, hearing loss and retinal artery branch occlusions. Case reports show benefit of intravenous immunoglobulin (</w:t>
            </w:r>
            <w:r w:rsidR="00B83FB7">
              <w:rPr>
                <w:rFonts w:asciiTheme="minorHAnsi" w:eastAsiaTheme="minorHAnsi" w:hAnsiTheme="minorHAnsi" w:cs="Times New Roman"/>
                <w:color w:val="000000"/>
              </w:rPr>
              <w:t>IVIg</w:t>
            </w:r>
            <w:r w:rsidRPr="00021440">
              <w:rPr>
                <w:rFonts w:asciiTheme="minorHAnsi" w:eastAsiaTheme="minorHAnsi" w:hAnsiTheme="minorHAnsi" w:cs="Times New Roman"/>
                <w:color w:val="000000"/>
              </w:rPr>
              <w:t>) therapy in combination with corticosteroids, with or without</w:t>
            </w:r>
            <w:r w:rsidR="00AF4D6E">
              <w:rPr>
                <w:rFonts w:asciiTheme="minorHAnsi" w:eastAsiaTheme="minorHAnsi" w:hAnsiTheme="minorHAnsi" w:cs="Times New Roman"/>
                <w:color w:val="000000"/>
              </w:rPr>
              <w:t xml:space="preserve"> other immunosuppressive agents</w:t>
            </w:r>
          </w:p>
        </w:tc>
        <w:tc>
          <w:tcPr>
            <w:tcW w:w="7533" w:type="dxa"/>
            <w:gridSpan w:val="3"/>
          </w:tcPr>
          <w:p w:rsidR="00BA76E3" w:rsidRPr="00BD5F7E" w:rsidRDefault="00282F66" w:rsidP="00D15A96">
            <w:pPr>
              <w:rPr>
                <w:rFonts w:asciiTheme="minorHAnsi" w:hAnsiTheme="minorHAnsi" w:cs="Lucida Grande"/>
                <w:color w:val="000000"/>
              </w:rPr>
            </w:pPr>
            <w:r w:rsidRPr="00282F66">
              <w:rPr>
                <w:rFonts w:asciiTheme="minorHAnsi" w:eastAsia="Times New Roman" w:hAnsiTheme="minorHAnsi" w:cs="Times New Roman"/>
                <w:color w:val="000000"/>
                <w:lang w:eastAsia="en-AU"/>
              </w:rPr>
              <w:t xml:space="preserve"> </w:t>
            </w:r>
            <w:r w:rsidR="00BD5F7E" w:rsidRPr="00BD5F7E">
              <w:rPr>
                <w:rFonts w:asciiTheme="minorHAnsi" w:hAnsiTheme="minorHAnsi"/>
              </w:rPr>
              <w:t xml:space="preserve">Susac syndrome is a rare, microangiopathic disorder characterised by encephalopathy, hearing loss and retinal artery branch occlusions. Case reports show benefit of </w:t>
            </w:r>
            <w:r w:rsidR="00B83FB7">
              <w:rPr>
                <w:rFonts w:asciiTheme="minorHAnsi" w:hAnsiTheme="minorHAnsi"/>
              </w:rPr>
              <w:t>IVIg</w:t>
            </w:r>
            <w:r w:rsidR="00BD5F7E" w:rsidRPr="00BD5F7E">
              <w:rPr>
                <w:rFonts w:asciiTheme="minorHAnsi" w:hAnsiTheme="minorHAnsi"/>
              </w:rPr>
              <w:t xml:space="preserve"> or plasma exchange in combination with corticosteroids, generally with</w:t>
            </w:r>
            <w:r w:rsidR="00D15A96">
              <w:rPr>
                <w:rFonts w:asciiTheme="minorHAnsi" w:hAnsiTheme="minorHAnsi"/>
              </w:rPr>
              <w:t>,</w:t>
            </w:r>
            <w:r w:rsidR="00BD5F7E" w:rsidRPr="00BD5F7E">
              <w:rPr>
                <w:rFonts w:asciiTheme="minorHAnsi" w:hAnsiTheme="minorHAnsi"/>
              </w:rPr>
              <w:t xml:space="preserve"> or in mild cases without</w:t>
            </w:r>
            <w:r w:rsidR="00D15A96">
              <w:rPr>
                <w:rFonts w:asciiTheme="minorHAnsi" w:hAnsiTheme="minorHAnsi"/>
              </w:rPr>
              <w:t>,</w:t>
            </w:r>
            <w:r w:rsidR="00BD5F7E" w:rsidRPr="00BD5F7E">
              <w:rPr>
                <w:rFonts w:asciiTheme="minorHAnsi" w:hAnsiTheme="minorHAnsi"/>
              </w:rPr>
              <w:t xml:space="preserve"> other immunosuppressive agents.</w:t>
            </w:r>
          </w:p>
        </w:tc>
        <w:tc>
          <w:tcPr>
            <w:tcW w:w="3260" w:type="dxa"/>
          </w:tcPr>
          <w:p w:rsidR="00BA76E3" w:rsidRPr="00C92149" w:rsidRDefault="004878CD" w:rsidP="00282F66">
            <w:pPr>
              <w:spacing w:before="120" w:after="120"/>
              <w:rPr>
                <w:rFonts w:asciiTheme="minorHAnsi" w:hAnsiTheme="minorHAnsi"/>
                <w:sz w:val="20"/>
                <w:szCs w:val="20"/>
              </w:rPr>
            </w:pPr>
            <w:r>
              <w:rPr>
                <w:rFonts w:asciiTheme="minorHAnsi" w:hAnsiTheme="minorHAnsi"/>
                <w:szCs w:val="20"/>
              </w:rPr>
              <w:t>A reference to the</w:t>
            </w:r>
            <w:r w:rsidRPr="00E760C3">
              <w:rPr>
                <w:rFonts w:asciiTheme="minorHAnsi" w:hAnsiTheme="minorHAnsi"/>
                <w:szCs w:val="20"/>
              </w:rPr>
              <w:t xml:space="preserve"> effectiveness of plasma exchange has been included.</w:t>
            </w:r>
          </w:p>
        </w:tc>
      </w:tr>
      <w:tr w:rsidR="00447869" w:rsidRPr="00853117" w:rsidTr="004168FE">
        <w:tc>
          <w:tcPr>
            <w:tcW w:w="155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is required</w:t>
            </w:r>
          </w:p>
        </w:tc>
        <w:tc>
          <w:tcPr>
            <w:tcW w:w="2258" w:type="dxa"/>
            <w:vMerge w:val="restart"/>
          </w:tcPr>
          <w:p w:rsidR="00447869" w:rsidRPr="00447869" w:rsidRDefault="00282F66" w:rsidP="00021243">
            <w:pPr>
              <w:spacing w:before="120" w:after="120"/>
              <w:rPr>
                <w:rFonts w:asciiTheme="minorHAnsi" w:hAnsiTheme="minorHAnsi"/>
                <w:b/>
              </w:rPr>
            </w:pPr>
            <w:r>
              <w:t xml:space="preserve"> </w:t>
            </w:r>
          </w:p>
        </w:tc>
        <w:tc>
          <w:tcPr>
            <w:tcW w:w="2511" w:type="dxa"/>
          </w:tcPr>
          <w:p w:rsidR="00447869" w:rsidRPr="00447869" w:rsidRDefault="00BD5F7E" w:rsidP="00021243">
            <w:pPr>
              <w:spacing w:before="120" w:after="120"/>
              <w:rPr>
                <w:rFonts w:asciiTheme="minorHAnsi" w:hAnsiTheme="minorHAnsi"/>
              </w:rPr>
            </w:pPr>
            <w:r>
              <w:rPr>
                <w:rFonts w:asciiTheme="minorHAnsi" w:hAnsiTheme="minorHAnsi"/>
              </w:rPr>
              <w:t>Yes</w:t>
            </w:r>
          </w:p>
        </w:tc>
        <w:tc>
          <w:tcPr>
            <w:tcW w:w="2511"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511" w:type="dxa"/>
          </w:tcPr>
          <w:p w:rsidR="004878CD" w:rsidRDefault="004878CD" w:rsidP="00021243">
            <w:pPr>
              <w:spacing w:before="120" w:after="120"/>
              <w:rPr>
                <w:rFonts w:asciiTheme="minorHAnsi" w:hAnsiTheme="minorHAnsi"/>
              </w:rPr>
            </w:pPr>
            <w:r>
              <w:rPr>
                <w:rFonts w:asciiTheme="minorHAnsi" w:hAnsiTheme="minorHAnsi"/>
              </w:rPr>
              <w:t xml:space="preserve">Neurologist </w:t>
            </w:r>
          </w:p>
          <w:p w:rsidR="004878CD" w:rsidRDefault="004878CD" w:rsidP="00021243">
            <w:pPr>
              <w:spacing w:before="120" w:after="120"/>
              <w:rPr>
                <w:rFonts w:asciiTheme="minorHAnsi" w:hAnsiTheme="minorHAnsi"/>
              </w:rPr>
            </w:pPr>
            <w:r>
              <w:rPr>
                <w:rFonts w:asciiTheme="minorHAnsi" w:hAnsiTheme="minorHAnsi"/>
              </w:rPr>
              <w:t xml:space="preserve">Immunologist </w:t>
            </w:r>
          </w:p>
          <w:p w:rsidR="004878CD" w:rsidRDefault="004878CD" w:rsidP="004878CD">
            <w:pPr>
              <w:spacing w:before="120" w:after="120"/>
              <w:rPr>
                <w:rFonts w:asciiTheme="minorHAnsi" w:hAnsiTheme="minorHAnsi"/>
              </w:rPr>
            </w:pPr>
            <w:r>
              <w:rPr>
                <w:rFonts w:asciiTheme="minorHAnsi" w:hAnsiTheme="minorHAnsi"/>
              </w:rPr>
              <w:t>Rheumatologist</w:t>
            </w:r>
            <w:r w:rsidR="00BD5F7E" w:rsidRPr="00BD5F7E">
              <w:rPr>
                <w:rFonts w:asciiTheme="minorHAnsi" w:hAnsiTheme="minorHAnsi"/>
              </w:rPr>
              <w:t xml:space="preserve"> </w:t>
            </w:r>
          </w:p>
          <w:p w:rsidR="00447869" w:rsidRPr="00447869" w:rsidRDefault="004878CD" w:rsidP="004878CD">
            <w:pPr>
              <w:spacing w:before="120" w:after="120"/>
              <w:rPr>
                <w:rFonts w:asciiTheme="minorHAnsi" w:hAnsiTheme="minorHAnsi"/>
              </w:rPr>
            </w:pPr>
            <w:r>
              <w:rPr>
                <w:rFonts w:asciiTheme="minorHAnsi" w:hAnsiTheme="minorHAnsi"/>
              </w:rPr>
              <w:t>Ophthalmologist</w:t>
            </w:r>
          </w:p>
        </w:tc>
        <w:tc>
          <w:tcPr>
            <w:tcW w:w="3260" w:type="dxa"/>
            <w:vMerge w:val="restart"/>
          </w:tcPr>
          <w:p w:rsidR="00447869" w:rsidRPr="00C92149" w:rsidRDefault="00E760C3" w:rsidP="00E06014">
            <w:pPr>
              <w:spacing w:before="120" w:after="120"/>
              <w:ind w:right="90"/>
              <w:rPr>
                <w:rFonts w:asciiTheme="minorHAnsi" w:hAnsiTheme="minorHAnsi"/>
                <w:szCs w:val="20"/>
              </w:rPr>
            </w:pPr>
            <w:r>
              <w:rPr>
                <w:rFonts w:asciiTheme="minorHAnsi" w:hAnsiTheme="minorHAnsi"/>
                <w:szCs w:val="20"/>
              </w:rPr>
              <w:t>This condition must now be diagnosed by a specialist in neurology, immunology, rheumatology or ophthalmology</w:t>
            </w:r>
            <w:r w:rsidR="00B41084">
              <w:rPr>
                <w:rFonts w:asciiTheme="minorHAnsi" w:hAnsiTheme="minorHAnsi"/>
                <w:szCs w:val="20"/>
              </w:rPr>
              <w:t xml:space="preserve"> as this condition is </w:t>
            </w:r>
            <w:r w:rsidR="00E06014">
              <w:rPr>
                <w:rFonts w:asciiTheme="minorHAnsi" w:hAnsiTheme="minorHAnsi"/>
                <w:szCs w:val="20"/>
              </w:rPr>
              <w:t>rare and usually</w:t>
            </w:r>
            <w:r w:rsidR="00B41084">
              <w:rPr>
                <w:rFonts w:asciiTheme="minorHAnsi" w:hAnsiTheme="minorHAnsi"/>
                <w:szCs w:val="20"/>
              </w:rPr>
              <w:t xml:space="preserve"> managed by these specialists</w:t>
            </w:r>
            <w:r>
              <w:rPr>
                <w:rFonts w:asciiTheme="minorHAnsi" w:hAnsiTheme="minorHAnsi"/>
                <w:szCs w:val="20"/>
              </w:rPr>
              <w:t xml:space="preserve">. </w:t>
            </w:r>
          </w:p>
        </w:tc>
      </w:tr>
      <w:tr w:rsidR="00447869" w:rsidRPr="00853117" w:rsidTr="004168FE">
        <w:tc>
          <w:tcPr>
            <w:tcW w:w="155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258" w:type="dxa"/>
            <w:vMerge/>
          </w:tcPr>
          <w:p w:rsidR="00447869" w:rsidRPr="00447869" w:rsidRDefault="00447869" w:rsidP="00021243">
            <w:pPr>
              <w:spacing w:before="120" w:after="120"/>
              <w:rPr>
                <w:rFonts w:asciiTheme="minorHAnsi" w:hAnsiTheme="minorHAnsi"/>
              </w:rPr>
            </w:pPr>
          </w:p>
        </w:tc>
        <w:tc>
          <w:tcPr>
            <w:tcW w:w="2511" w:type="dxa"/>
          </w:tcPr>
          <w:p w:rsidR="00447869" w:rsidRPr="00447869" w:rsidRDefault="00BD5F7E" w:rsidP="00021243">
            <w:pPr>
              <w:spacing w:before="120" w:after="120"/>
              <w:rPr>
                <w:rFonts w:asciiTheme="minorHAnsi" w:hAnsiTheme="minorHAnsi"/>
              </w:rPr>
            </w:pPr>
            <w:r>
              <w:rPr>
                <w:rFonts w:asciiTheme="minorHAnsi" w:hAnsiTheme="minorHAnsi"/>
              </w:rPr>
              <w:t>No</w:t>
            </w:r>
          </w:p>
        </w:tc>
        <w:tc>
          <w:tcPr>
            <w:tcW w:w="2511"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511" w:type="dxa"/>
          </w:tcPr>
          <w:p w:rsidR="00447869" w:rsidRPr="00447869" w:rsidRDefault="00447869" w:rsidP="00021243">
            <w:pPr>
              <w:spacing w:before="120" w:after="120"/>
              <w:rPr>
                <w:rFonts w:asciiTheme="minorHAnsi" w:hAnsiTheme="minorHAnsi"/>
              </w:rPr>
            </w:pPr>
          </w:p>
        </w:tc>
        <w:tc>
          <w:tcPr>
            <w:tcW w:w="3260" w:type="dxa"/>
            <w:vMerge/>
          </w:tcPr>
          <w:p w:rsidR="00447869" w:rsidRPr="00C92149" w:rsidRDefault="00447869" w:rsidP="00021243">
            <w:pPr>
              <w:spacing w:before="120" w:after="120"/>
              <w:rPr>
                <w:rFonts w:asciiTheme="minorHAnsi" w:hAnsiTheme="minorHAnsi"/>
                <w:szCs w:val="20"/>
              </w:rPr>
            </w:pPr>
          </w:p>
        </w:tc>
      </w:tr>
      <w:tr w:rsidR="00447869" w:rsidRPr="00853117" w:rsidTr="004168FE">
        <w:tc>
          <w:tcPr>
            <w:tcW w:w="1550" w:type="dxa"/>
            <w:shd w:val="clear" w:color="auto" w:fill="D9D9D9" w:themeFill="background1" w:themeFillShade="D9"/>
          </w:tcPr>
          <w:p w:rsidR="00447869" w:rsidRPr="004878CD" w:rsidRDefault="00447869" w:rsidP="00021243">
            <w:pPr>
              <w:spacing w:before="120" w:after="120"/>
              <w:rPr>
                <w:rFonts w:asciiTheme="minorHAnsi" w:hAnsiTheme="minorHAnsi"/>
                <w:b/>
              </w:rPr>
            </w:pPr>
            <w:r w:rsidRPr="00447869">
              <w:rPr>
                <w:rFonts w:asciiTheme="minorHAnsi" w:hAnsiTheme="minorHAnsi"/>
                <w:b/>
              </w:rPr>
              <w:t xml:space="preserve">Exclusion </w:t>
            </w:r>
            <w:r w:rsidRPr="00447869">
              <w:rPr>
                <w:rFonts w:asciiTheme="minorHAnsi" w:hAnsiTheme="minorHAnsi"/>
                <w:b/>
              </w:rPr>
              <w:lastRenderedPageBreak/>
              <w:t>Criteria</w:t>
            </w:r>
          </w:p>
        </w:tc>
        <w:tc>
          <w:tcPr>
            <w:tcW w:w="2258" w:type="dxa"/>
          </w:tcPr>
          <w:p w:rsidR="00447869" w:rsidRPr="00447869" w:rsidRDefault="00282F66" w:rsidP="00021243">
            <w:pPr>
              <w:spacing w:before="120" w:after="120"/>
              <w:rPr>
                <w:rFonts w:asciiTheme="minorHAnsi" w:hAnsiTheme="minorHAnsi"/>
              </w:rPr>
            </w:pPr>
            <w:r>
              <w:rPr>
                <w:rFonts w:asciiTheme="minorHAnsi" w:hAnsiTheme="minorHAnsi"/>
              </w:rPr>
              <w:lastRenderedPageBreak/>
              <w:t xml:space="preserve"> </w:t>
            </w:r>
          </w:p>
        </w:tc>
        <w:tc>
          <w:tcPr>
            <w:tcW w:w="7533" w:type="dxa"/>
            <w:gridSpan w:val="3"/>
          </w:tcPr>
          <w:p w:rsidR="00447869" w:rsidRPr="00447869" w:rsidRDefault="00447869" w:rsidP="00021243">
            <w:pPr>
              <w:spacing w:before="120" w:after="120"/>
              <w:rPr>
                <w:rFonts w:asciiTheme="minorHAnsi" w:hAnsiTheme="minorHAnsi"/>
                <w:strike/>
              </w:rPr>
            </w:pPr>
          </w:p>
        </w:tc>
        <w:tc>
          <w:tcPr>
            <w:tcW w:w="3260" w:type="dxa"/>
          </w:tcPr>
          <w:p w:rsidR="00447869" w:rsidRPr="00C92149" w:rsidRDefault="00AF4D6E" w:rsidP="003A1F9D">
            <w:pPr>
              <w:spacing w:before="120" w:after="120"/>
              <w:rPr>
                <w:rFonts w:asciiTheme="minorHAnsi" w:hAnsiTheme="minorHAnsi"/>
                <w:szCs w:val="20"/>
              </w:rPr>
            </w:pPr>
            <w:r>
              <w:rPr>
                <w:rFonts w:asciiTheme="minorHAnsi" w:hAnsiTheme="minorHAnsi"/>
                <w:szCs w:val="20"/>
              </w:rPr>
              <w:t>No change</w:t>
            </w:r>
          </w:p>
        </w:tc>
      </w:tr>
      <w:tr w:rsidR="00021243" w:rsidRPr="00853117" w:rsidTr="004168FE">
        <w:tc>
          <w:tcPr>
            <w:tcW w:w="1550" w:type="dxa"/>
            <w:shd w:val="clear" w:color="auto" w:fill="D9D9D9" w:themeFill="background1" w:themeFillShade="D9"/>
          </w:tcPr>
          <w:p w:rsidR="00021243" w:rsidRPr="00447869" w:rsidRDefault="00021243" w:rsidP="004878CD">
            <w:pPr>
              <w:spacing w:before="120" w:after="120"/>
              <w:rPr>
                <w:rFonts w:asciiTheme="minorHAnsi" w:hAnsiTheme="minorHAnsi"/>
              </w:rPr>
            </w:pPr>
            <w:r w:rsidRPr="00447869">
              <w:rPr>
                <w:rFonts w:asciiTheme="minorHAnsi" w:hAnsiTheme="minorHAnsi"/>
                <w:b/>
              </w:rPr>
              <w:lastRenderedPageBreak/>
              <w:t>Qualifying Criteria</w:t>
            </w:r>
          </w:p>
        </w:tc>
        <w:tc>
          <w:tcPr>
            <w:tcW w:w="2258" w:type="dxa"/>
          </w:tcPr>
          <w:p w:rsidR="00021243" w:rsidRPr="00EB78FB" w:rsidRDefault="00021243" w:rsidP="00021243">
            <w:pPr>
              <w:pStyle w:val="Default"/>
              <w:spacing w:before="120" w:after="120"/>
              <w:rPr>
                <w:rFonts w:ascii="Calibri" w:hAnsi="Calibri"/>
                <w:b/>
                <w:sz w:val="22"/>
                <w:szCs w:val="22"/>
              </w:rPr>
            </w:pPr>
          </w:p>
          <w:p w:rsidR="00021243" w:rsidRPr="00447869" w:rsidRDefault="00021243" w:rsidP="00021243">
            <w:pPr>
              <w:spacing w:before="120" w:after="120"/>
              <w:rPr>
                <w:rFonts w:asciiTheme="minorHAnsi" w:hAnsiTheme="minorHAnsi"/>
              </w:rPr>
            </w:pPr>
          </w:p>
        </w:tc>
        <w:tc>
          <w:tcPr>
            <w:tcW w:w="7533" w:type="dxa"/>
            <w:gridSpan w:val="3"/>
          </w:tcPr>
          <w:p w:rsidR="00BD5F7E" w:rsidRDefault="00BD5F7E" w:rsidP="00F34862">
            <w:pPr>
              <w:pStyle w:val="ListParagraph"/>
              <w:numPr>
                <w:ilvl w:val="0"/>
                <w:numId w:val="46"/>
              </w:numPr>
              <w:spacing w:before="100" w:beforeAutospacing="1"/>
              <w:rPr>
                <w:rFonts w:asciiTheme="minorHAnsi" w:hAnsiTheme="minorHAnsi"/>
              </w:rPr>
            </w:pPr>
            <w:r w:rsidRPr="00BD5F7E">
              <w:rPr>
                <w:rFonts w:asciiTheme="minorHAnsi" w:hAnsiTheme="minorHAnsi"/>
              </w:rPr>
              <w:t xml:space="preserve">Probable or definite diagnosis of Susac </w:t>
            </w:r>
            <w:r w:rsidR="001F01BD">
              <w:rPr>
                <w:rFonts w:asciiTheme="minorHAnsi" w:hAnsiTheme="minorHAnsi"/>
              </w:rPr>
              <w:t>s</w:t>
            </w:r>
            <w:r w:rsidRPr="00BD5F7E">
              <w:rPr>
                <w:rFonts w:asciiTheme="minorHAnsi" w:hAnsiTheme="minorHAnsi"/>
              </w:rPr>
              <w:t xml:space="preserve">yndrome has been made by the presence of at least two of the following </w:t>
            </w:r>
          </w:p>
          <w:p w:rsidR="00F7201E" w:rsidRPr="00BD5F7E" w:rsidRDefault="00F7201E" w:rsidP="00F7201E">
            <w:pPr>
              <w:pStyle w:val="ListParagraph"/>
              <w:spacing w:before="100" w:beforeAutospacing="1"/>
              <w:ind w:left="49"/>
              <w:rPr>
                <w:rFonts w:asciiTheme="minorHAnsi" w:hAnsiTheme="minorHAnsi"/>
              </w:rPr>
            </w:pPr>
          </w:p>
          <w:p w:rsidR="00BD5F7E" w:rsidRPr="00BD5F7E" w:rsidRDefault="00BD5F7E" w:rsidP="00F34862">
            <w:pPr>
              <w:pStyle w:val="ListParagraph"/>
              <w:spacing w:before="100" w:beforeAutospacing="1"/>
              <w:ind w:left="1467" w:hanging="709"/>
              <w:rPr>
                <w:rFonts w:asciiTheme="minorHAnsi" w:hAnsiTheme="minorHAnsi"/>
              </w:rPr>
            </w:pPr>
            <w:r w:rsidRPr="00BD5F7E">
              <w:rPr>
                <w:rFonts w:asciiTheme="minorHAnsi" w:hAnsiTheme="minorHAnsi"/>
              </w:rPr>
              <w:t>-</w:t>
            </w:r>
            <w:r w:rsidRPr="00BD5F7E">
              <w:rPr>
                <w:rFonts w:asciiTheme="minorHAnsi" w:hAnsiTheme="minorHAnsi"/>
              </w:rPr>
              <w:tab/>
              <w:t xml:space="preserve">Encephalopathy with typical MRI brain changes including corpus callosum lesions or characteristic </w:t>
            </w:r>
            <w:r w:rsidR="00D15A96">
              <w:rPr>
                <w:rFonts w:asciiTheme="minorHAnsi" w:hAnsiTheme="minorHAnsi"/>
              </w:rPr>
              <w:t>diffusion</w:t>
            </w:r>
            <w:r w:rsidR="000B3BCF">
              <w:rPr>
                <w:rFonts w:asciiTheme="minorHAnsi" w:hAnsiTheme="minorHAnsi"/>
              </w:rPr>
              <w:t xml:space="preserve"> weighted imaging (</w:t>
            </w:r>
            <w:r w:rsidRPr="00BD5F7E">
              <w:rPr>
                <w:rFonts w:asciiTheme="minorHAnsi" w:hAnsiTheme="minorHAnsi"/>
              </w:rPr>
              <w:t>DWI</w:t>
            </w:r>
            <w:r w:rsidR="000B3BCF">
              <w:rPr>
                <w:rFonts w:asciiTheme="minorHAnsi" w:hAnsiTheme="minorHAnsi"/>
              </w:rPr>
              <w:t>)</w:t>
            </w:r>
            <w:r w:rsidRPr="00BD5F7E">
              <w:rPr>
                <w:rFonts w:asciiTheme="minorHAnsi" w:hAnsiTheme="minorHAnsi"/>
              </w:rPr>
              <w:t xml:space="preserve"> hyperintense lesions </w:t>
            </w:r>
          </w:p>
          <w:p w:rsidR="00BD5F7E" w:rsidRPr="00BD5F7E" w:rsidRDefault="00BD5F7E" w:rsidP="00F34862">
            <w:pPr>
              <w:pStyle w:val="ListParagraph"/>
              <w:spacing w:before="100" w:beforeAutospacing="1"/>
              <w:ind w:left="49" w:firstLine="710"/>
              <w:rPr>
                <w:rFonts w:asciiTheme="minorHAnsi" w:hAnsiTheme="minorHAnsi"/>
              </w:rPr>
            </w:pPr>
            <w:r w:rsidRPr="00BD5F7E">
              <w:rPr>
                <w:rFonts w:asciiTheme="minorHAnsi" w:hAnsiTheme="minorHAnsi"/>
              </w:rPr>
              <w:t>-</w:t>
            </w:r>
            <w:r w:rsidRPr="00BD5F7E">
              <w:rPr>
                <w:rFonts w:asciiTheme="minorHAnsi" w:hAnsiTheme="minorHAnsi"/>
              </w:rPr>
              <w:tab/>
              <w:t>New sensori-neural hearing loss or tinnitus</w:t>
            </w:r>
          </w:p>
          <w:p w:rsidR="00BD5F7E" w:rsidRPr="00BD5F7E" w:rsidRDefault="00BD5F7E" w:rsidP="004878CD">
            <w:pPr>
              <w:pStyle w:val="ListParagraph"/>
              <w:spacing w:before="100" w:beforeAutospacing="1"/>
              <w:ind w:left="1468" w:hanging="709"/>
              <w:rPr>
                <w:rFonts w:asciiTheme="minorHAnsi" w:hAnsiTheme="minorHAnsi"/>
              </w:rPr>
            </w:pPr>
            <w:r w:rsidRPr="00BD5F7E">
              <w:rPr>
                <w:rFonts w:asciiTheme="minorHAnsi" w:hAnsiTheme="minorHAnsi"/>
              </w:rPr>
              <w:t>-</w:t>
            </w:r>
            <w:r w:rsidRPr="00BD5F7E">
              <w:rPr>
                <w:rFonts w:asciiTheme="minorHAnsi" w:hAnsiTheme="minorHAnsi"/>
              </w:rPr>
              <w:tab/>
              <w:t>Branch retinal artery occlusions (BRAOs) or ischaemia or arterial wall hyperfluorescence (AWH) on fluorescein angiography</w:t>
            </w:r>
            <w:r w:rsidRPr="00BD5F7E">
              <w:rPr>
                <w:rFonts w:asciiTheme="minorHAnsi" w:hAnsiTheme="minorHAnsi"/>
              </w:rPr>
              <w:tab/>
              <w:t xml:space="preserve"> </w:t>
            </w:r>
          </w:p>
          <w:p w:rsidR="00F7201E" w:rsidRPr="00BD5F7E" w:rsidRDefault="00BD5F7E" w:rsidP="00F7201E">
            <w:pPr>
              <w:pStyle w:val="ListParagraph"/>
              <w:spacing w:before="100" w:beforeAutospacing="1"/>
              <w:ind w:left="49"/>
              <w:rPr>
                <w:rFonts w:asciiTheme="minorHAnsi" w:hAnsiTheme="minorHAnsi"/>
              </w:rPr>
            </w:pPr>
            <w:r w:rsidRPr="00BD5F7E">
              <w:rPr>
                <w:rFonts w:asciiTheme="minorHAnsi" w:hAnsiTheme="minorHAnsi"/>
              </w:rPr>
              <w:t>AND</w:t>
            </w:r>
          </w:p>
          <w:p w:rsidR="00BD5F7E" w:rsidRPr="004878CD" w:rsidRDefault="00BD5F7E" w:rsidP="004878CD">
            <w:pPr>
              <w:pStyle w:val="ListParagraph"/>
              <w:numPr>
                <w:ilvl w:val="0"/>
                <w:numId w:val="46"/>
              </w:numPr>
              <w:spacing w:before="100" w:beforeAutospacing="1"/>
              <w:rPr>
                <w:rFonts w:asciiTheme="minorHAnsi" w:hAnsiTheme="minorHAnsi"/>
              </w:rPr>
            </w:pPr>
            <w:r w:rsidRPr="00BD5F7E">
              <w:rPr>
                <w:rFonts w:asciiTheme="minorHAnsi" w:hAnsiTheme="minorHAnsi"/>
              </w:rPr>
              <w:t xml:space="preserve">Steroid therapy is being given concurrently </w:t>
            </w:r>
          </w:p>
          <w:p w:rsidR="00F7201E" w:rsidRPr="00BD5F7E" w:rsidRDefault="00BD5F7E" w:rsidP="004878CD">
            <w:pPr>
              <w:pStyle w:val="ListParagraph"/>
              <w:spacing w:before="100" w:beforeAutospacing="1"/>
              <w:ind w:left="49"/>
              <w:jc w:val="center"/>
              <w:rPr>
                <w:rFonts w:asciiTheme="minorHAnsi" w:hAnsiTheme="minorHAnsi"/>
              </w:rPr>
            </w:pPr>
            <w:r w:rsidRPr="00BD5F7E">
              <w:rPr>
                <w:rFonts w:asciiTheme="minorHAnsi" w:hAnsiTheme="minorHAnsi"/>
              </w:rPr>
              <w:t>OR</w:t>
            </w:r>
          </w:p>
          <w:p w:rsidR="00BD5F7E" w:rsidRPr="004878CD" w:rsidRDefault="00BD5F7E" w:rsidP="004878CD">
            <w:pPr>
              <w:pStyle w:val="ListParagraph"/>
              <w:numPr>
                <w:ilvl w:val="0"/>
                <w:numId w:val="46"/>
              </w:numPr>
              <w:spacing w:before="100" w:beforeAutospacing="1"/>
              <w:rPr>
                <w:rFonts w:asciiTheme="minorHAnsi" w:hAnsiTheme="minorHAnsi"/>
              </w:rPr>
            </w:pPr>
            <w:r w:rsidRPr="00BD5F7E">
              <w:rPr>
                <w:rFonts w:asciiTheme="minorHAnsi" w:hAnsiTheme="minorHAnsi"/>
              </w:rPr>
              <w:t>Steroid therapy is absolutely contraindicated</w:t>
            </w:r>
          </w:p>
          <w:p w:rsidR="00F7201E" w:rsidRPr="00BD5F7E" w:rsidRDefault="00BD5F7E" w:rsidP="00F7201E">
            <w:pPr>
              <w:pStyle w:val="ListParagraph"/>
              <w:spacing w:before="100" w:beforeAutospacing="1"/>
              <w:ind w:left="49"/>
              <w:rPr>
                <w:rFonts w:asciiTheme="minorHAnsi" w:hAnsiTheme="minorHAnsi"/>
              </w:rPr>
            </w:pPr>
            <w:r w:rsidRPr="00BD5F7E">
              <w:rPr>
                <w:rFonts w:asciiTheme="minorHAnsi" w:hAnsiTheme="minorHAnsi"/>
              </w:rPr>
              <w:t>AND</w:t>
            </w:r>
          </w:p>
          <w:p w:rsidR="00880ECB" w:rsidRPr="00880ECB" w:rsidRDefault="00BD5F7E" w:rsidP="00F34862">
            <w:pPr>
              <w:pStyle w:val="ListParagraph"/>
              <w:numPr>
                <w:ilvl w:val="0"/>
                <w:numId w:val="46"/>
              </w:numPr>
              <w:spacing w:before="100" w:beforeAutospacing="1"/>
              <w:rPr>
                <w:rFonts w:asciiTheme="minorHAnsi" w:hAnsiTheme="minorHAnsi"/>
              </w:rPr>
            </w:pPr>
            <w:r w:rsidRPr="00BD5F7E">
              <w:rPr>
                <w:rFonts w:asciiTheme="minorHAnsi" w:hAnsiTheme="minorHAnsi"/>
              </w:rPr>
              <w:t>A baseline assessment of disability is conducted as measured by the Modified Rankin Score</w:t>
            </w:r>
          </w:p>
        </w:tc>
        <w:tc>
          <w:tcPr>
            <w:tcW w:w="3260" w:type="dxa"/>
          </w:tcPr>
          <w:p w:rsidR="008515FF" w:rsidRDefault="00AF4D6E" w:rsidP="008515FF">
            <w:pPr>
              <w:spacing w:before="120" w:after="120"/>
              <w:rPr>
                <w:szCs w:val="20"/>
              </w:rPr>
            </w:pPr>
            <w:r>
              <w:rPr>
                <w:szCs w:val="20"/>
              </w:rPr>
              <w:t xml:space="preserve">The </w:t>
            </w:r>
            <w:r w:rsidR="001F01BD">
              <w:rPr>
                <w:szCs w:val="20"/>
              </w:rPr>
              <w:t xml:space="preserve">Specialist Working Group </w:t>
            </w:r>
            <w:r>
              <w:rPr>
                <w:szCs w:val="20"/>
              </w:rPr>
              <w:t xml:space="preserve">recognised that most patients are treated with rituximab. </w:t>
            </w:r>
            <w:r w:rsidR="003D36F0">
              <w:rPr>
                <w:szCs w:val="20"/>
              </w:rPr>
              <w:t xml:space="preserve">  The qualifying criteria have been reviewed by an external expert and agreed by </w:t>
            </w:r>
            <w:r w:rsidR="00752C33">
              <w:rPr>
                <w:szCs w:val="20"/>
              </w:rPr>
              <w:t xml:space="preserve">Specialist Working Group </w:t>
            </w:r>
            <w:r w:rsidR="003D36F0">
              <w:rPr>
                <w:szCs w:val="20"/>
              </w:rPr>
              <w:t xml:space="preserve">consensus. </w:t>
            </w:r>
          </w:p>
          <w:p w:rsidR="004878CD" w:rsidRDefault="004878CD" w:rsidP="008515FF">
            <w:pPr>
              <w:spacing w:before="120" w:after="120"/>
              <w:rPr>
                <w:szCs w:val="20"/>
              </w:rPr>
            </w:pPr>
          </w:p>
          <w:p w:rsidR="004878CD" w:rsidRDefault="004878CD" w:rsidP="008515FF">
            <w:pPr>
              <w:spacing w:before="120" w:after="120"/>
              <w:rPr>
                <w:szCs w:val="20"/>
              </w:rPr>
            </w:pPr>
          </w:p>
          <w:p w:rsidR="004878CD" w:rsidRDefault="004878CD" w:rsidP="004878CD">
            <w:pPr>
              <w:spacing w:before="120" w:after="120"/>
              <w:rPr>
                <w:rFonts w:asciiTheme="minorHAnsi" w:hAnsiTheme="minorHAnsi"/>
                <w:szCs w:val="20"/>
              </w:rPr>
            </w:pPr>
            <w:r>
              <w:rPr>
                <w:rFonts w:asciiTheme="minorHAnsi" w:hAnsiTheme="minorHAnsi"/>
                <w:szCs w:val="20"/>
              </w:rPr>
              <w:t>The</w:t>
            </w:r>
            <w:r w:rsidR="001F01BD">
              <w:rPr>
                <w:szCs w:val="20"/>
              </w:rPr>
              <w:t xml:space="preserve"> Specialist Working Group </w:t>
            </w:r>
            <w:r w:rsidR="00752C33">
              <w:rPr>
                <w:rFonts w:asciiTheme="minorHAnsi" w:hAnsiTheme="minorHAnsi"/>
                <w:szCs w:val="20"/>
              </w:rPr>
              <w:t>has</w:t>
            </w:r>
            <w:r>
              <w:rPr>
                <w:rFonts w:asciiTheme="minorHAnsi" w:hAnsiTheme="minorHAnsi"/>
                <w:szCs w:val="20"/>
              </w:rPr>
              <w:t xml:space="preserve"> noted that the main reason not to give steroids would be if the patient is actively septic. </w:t>
            </w:r>
          </w:p>
          <w:p w:rsidR="004878CD" w:rsidRDefault="004878CD" w:rsidP="004878CD">
            <w:pPr>
              <w:spacing w:before="120" w:after="120"/>
              <w:rPr>
                <w:rFonts w:asciiTheme="minorHAnsi" w:hAnsiTheme="minorHAnsi"/>
                <w:szCs w:val="20"/>
              </w:rPr>
            </w:pPr>
          </w:p>
          <w:p w:rsidR="004878CD" w:rsidRDefault="004878CD" w:rsidP="004878CD">
            <w:pPr>
              <w:spacing w:before="120" w:after="120"/>
              <w:rPr>
                <w:rFonts w:asciiTheme="minorHAnsi" w:hAnsiTheme="minorHAnsi"/>
                <w:szCs w:val="20"/>
              </w:rPr>
            </w:pPr>
          </w:p>
          <w:p w:rsidR="00880ECB" w:rsidRPr="00C92149" w:rsidRDefault="004878CD" w:rsidP="003A1F9D">
            <w:pPr>
              <w:spacing w:before="120" w:after="120"/>
              <w:rPr>
                <w:rFonts w:asciiTheme="minorHAnsi" w:hAnsiTheme="minorHAnsi"/>
                <w:szCs w:val="20"/>
              </w:rPr>
            </w:pPr>
            <w:r>
              <w:rPr>
                <w:rFonts w:asciiTheme="minorHAnsi" w:hAnsiTheme="minorHAnsi"/>
                <w:szCs w:val="20"/>
              </w:rPr>
              <w:t>An assessment of the level of disability is made for comparison to assess the response following Ig treatment at initial review.</w:t>
            </w:r>
          </w:p>
        </w:tc>
      </w:tr>
      <w:tr w:rsidR="00021243" w:rsidRPr="00853117" w:rsidTr="004168FE">
        <w:tc>
          <w:tcPr>
            <w:tcW w:w="1550" w:type="dxa"/>
            <w:shd w:val="clear" w:color="auto" w:fill="D9D9D9" w:themeFill="background1" w:themeFillShade="D9"/>
          </w:tcPr>
          <w:p w:rsidR="00021243" w:rsidRPr="00447869" w:rsidRDefault="00021243" w:rsidP="004878CD">
            <w:pPr>
              <w:spacing w:before="120" w:after="120"/>
              <w:rPr>
                <w:rFonts w:asciiTheme="minorHAnsi" w:hAnsiTheme="minorHAnsi"/>
              </w:rPr>
            </w:pPr>
            <w:r w:rsidRPr="00447869">
              <w:rPr>
                <w:rFonts w:asciiTheme="minorHAnsi" w:hAnsiTheme="minorHAnsi"/>
                <w:b/>
              </w:rPr>
              <w:t>Review Criteria</w:t>
            </w:r>
          </w:p>
        </w:tc>
        <w:tc>
          <w:tcPr>
            <w:tcW w:w="2258" w:type="dxa"/>
          </w:tcPr>
          <w:p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021243" w:rsidRPr="00447869" w:rsidRDefault="00021243" w:rsidP="00021243">
            <w:pPr>
              <w:spacing w:before="120" w:after="120"/>
              <w:rPr>
                <w:rFonts w:asciiTheme="minorHAnsi" w:hAnsiTheme="minorHAnsi"/>
              </w:rPr>
            </w:pPr>
          </w:p>
        </w:tc>
        <w:tc>
          <w:tcPr>
            <w:tcW w:w="7533" w:type="dxa"/>
            <w:gridSpan w:val="3"/>
          </w:tcPr>
          <w:p w:rsidR="00BD5F7E" w:rsidRPr="00F7201E" w:rsidRDefault="00B83FB7" w:rsidP="00BD5F7E">
            <w:pPr>
              <w:spacing w:before="120" w:after="120"/>
            </w:pPr>
            <w:r>
              <w:t>IVIg</w:t>
            </w:r>
            <w:r w:rsidR="00BD5F7E" w:rsidRPr="00F7201E">
              <w:t xml:space="preserve"> should be used for four months (induction plus three maintenance cycles) before determining whether the patient has responded. If there is no benefit after this treatment, </w:t>
            </w:r>
            <w:r>
              <w:t>IVIg</w:t>
            </w:r>
            <w:r w:rsidR="00BD5F7E" w:rsidRPr="00F7201E">
              <w:t xml:space="preserve"> therapy should be abandoned. </w:t>
            </w:r>
          </w:p>
          <w:p w:rsidR="00BD5F7E" w:rsidRPr="00F7201E" w:rsidRDefault="00BD5F7E" w:rsidP="00BD5F7E">
            <w:pPr>
              <w:spacing w:before="120" w:after="120"/>
            </w:pPr>
            <w:r w:rsidRPr="00F7201E">
              <w:t xml:space="preserve">Review by a Neurologist, Clinical Immunologist Rheumatologist or Ophthalmologist is required within 4 months of treatment to determine whether </w:t>
            </w:r>
            <w:r w:rsidRPr="00F7201E">
              <w:lastRenderedPageBreak/>
              <w:t xml:space="preserve">the patient has responded, and annually thereafter. </w:t>
            </w:r>
          </w:p>
          <w:p w:rsidR="002F5B8F" w:rsidRDefault="002F5B8F" w:rsidP="00BD5F7E">
            <w:pPr>
              <w:spacing w:before="120" w:after="120"/>
            </w:pPr>
            <w:r>
              <w:t>For stable patients on maintenance treatment, review by a Neurologist, Clinical Immunologist, Ophthalmologist or Rheumatologist is required at least annually.</w:t>
            </w:r>
          </w:p>
          <w:p w:rsidR="00F7201E" w:rsidRDefault="00BD5F7E" w:rsidP="00BD5F7E">
            <w:pPr>
              <w:spacing w:before="120" w:after="120"/>
            </w:pPr>
            <w:r w:rsidRPr="00F7201E">
              <w:t xml:space="preserve">Documentation of clinical effectiveness is necessary for continuation of </w:t>
            </w:r>
            <w:r w:rsidR="00B83FB7">
              <w:t>IVIg</w:t>
            </w:r>
            <w:r w:rsidRPr="00F7201E">
              <w:t xml:space="preserve"> therapy.  </w:t>
            </w:r>
          </w:p>
          <w:p w:rsidR="00BD5F7E" w:rsidRDefault="00BD5F7E" w:rsidP="001C5B96">
            <w:pPr>
              <w:rPr>
                <w:b/>
              </w:rPr>
            </w:pPr>
            <w:r w:rsidRPr="004878CD">
              <w:rPr>
                <w:b/>
              </w:rPr>
              <w:t>On review of the initial authorisation period</w:t>
            </w:r>
          </w:p>
          <w:p w:rsidR="004878CD" w:rsidRPr="004878CD" w:rsidRDefault="004878CD" w:rsidP="001C5B96">
            <w:pPr>
              <w:rPr>
                <w:b/>
              </w:rPr>
            </w:pPr>
          </w:p>
          <w:p w:rsidR="00BD5F7E" w:rsidRPr="00F7201E" w:rsidRDefault="00BD5F7E" w:rsidP="001C5B96">
            <w:r w:rsidRPr="00F7201E">
              <w:t xml:space="preserve">Clinical effectiveness of Ig therapy can be demonstrated by: </w:t>
            </w:r>
          </w:p>
          <w:p w:rsidR="00BD5F7E" w:rsidRPr="00F7201E" w:rsidRDefault="00BD5F7E" w:rsidP="001C5B96"/>
          <w:p w:rsidR="00BD5F7E" w:rsidRPr="00F7201E" w:rsidRDefault="00BD5F7E" w:rsidP="001C5B96">
            <w:pPr>
              <w:pStyle w:val="ListParagraph"/>
              <w:numPr>
                <w:ilvl w:val="0"/>
                <w:numId w:val="46"/>
              </w:numPr>
            </w:pPr>
            <w:r w:rsidRPr="00F7201E">
              <w:t xml:space="preserve">Improvement in or stabilisation of the severity of symptoms </w:t>
            </w:r>
          </w:p>
          <w:p w:rsidR="00BD5F7E" w:rsidRPr="00F7201E" w:rsidRDefault="00BD5F7E" w:rsidP="001C5B96">
            <w:r w:rsidRPr="00F7201E">
              <w:t>AND</w:t>
            </w:r>
          </w:p>
          <w:p w:rsidR="00BD5F7E" w:rsidRPr="00F7201E" w:rsidRDefault="00BD5F7E" w:rsidP="001C5B96">
            <w:pPr>
              <w:pStyle w:val="ListParagraph"/>
              <w:numPr>
                <w:ilvl w:val="0"/>
                <w:numId w:val="46"/>
              </w:numPr>
            </w:pPr>
            <w:r w:rsidRPr="00F7201E">
              <w:t xml:space="preserve">Improvement in or stabilisation of disability as measured by the Modified Rankin Score compared to the qualifying assessment </w:t>
            </w:r>
          </w:p>
          <w:p w:rsidR="00BD5F7E" w:rsidRPr="00F7201E" w:rsidRDefault="00BD5F7E" w:rsidP="001C5B96"/>
          <w:p w:rsidR="00BD5F7E" w:rsidRPr="004878CD" w:rsidRDefault="00BD5F7E" w:rsidP="001C5B96">
            <w:pPr>
              <w:rPr>
                <w:b/>
              </w:rPr>
            </w:pPr>
            <w:r w:rsidRPr="004878CD">
              <w:rPr>
                <w:b/>
              </w:rPr>
              <w:t xml:space="preserve">On review of a </w:t>
            </w:r>
            <w:r w:rsidR="004878CD">
              <w:rPr>
                <w:b/>
              </w:rPr>
              <w:t>continuing authorisation period</w:t>
            </w:r>
          </w:p>
          <w:p w:rsidR="001C5B96" w:rsidRPr="00F7201E" w:rsidRDefault="001C5B96" w:rsidP="001C5B96"/>
          <w:p w:rsidR="00BD5F7E" w:rsidRPr="00F7201E" w:rsidRDefault="00F7201E" w:rsidP="001C5B96">
            <w:r w:rsidRPr="00F7201E">
              <w:t>Clinical</w:t>
            </w:r>
            <w:r w:rsidR="00BD5F7E" w:rsidRPr="00F7201E">
              <w:t xml:space="preserve"> effectiveness of Ig therapy can be demonstrated by: </w:t>
            </w:r>
          </w:p>
          <w:p w:rsidR="00F7201E" w:rsidRPr="00F7201E" w:rsidRDefault="00BD5F7E" w:rsidP="001C5B96">
            <w:pPr>
              <w:pStyle w:val="ListParagraph"/>
              <w:numPr>
                <w:ilvl w:val="0"/>
                <w:numId w:val="46"/>
              </w:numPr>
            </w:pPr>
            <w:r w:rsidRPr="00F7201E">
              <w:t xml:space="preserve">Improvement in or stabilisation of symptoms compared to </w:t>
            </w:r>
            <w:r w:rsidR="00F7201E">
              <w:t xml:space="preserve">the previous review assessment </w:t>
            </w:r>
          </w:p>
          <w:p w:rsidR="00BD5F7E" w:rsidRPr="00F7201E" w:rsidRDefault="00BD5F7E" w:rsidP="001C5B96">
            <w:r w:rsidRPr="00F7201E">
              <w:t xml:space="preserve">AND </w:t>
            </w:r>
          </w:p>
          <w:p w:rsidR="00F7201E" w:rsidRDefault="00BD5F7E" w:rsidP="001C5B96">
            <w:pPr>
              <w:pStyle w:val="ListParagraph"/>
              <w:numPr>
                <w:ilvl w:val="0"/>
                <w:numId w:val="46"/>
              </w:numPr>
            </w:pPr>
            <w:r w:rsidRPr="00F7201E">
              <w:t xml:space="preserve">Stabilisation or improvement in disability as measured by the Modified Rankin Score compared to the previous </w:t>
            </w:r>
            <w:r w:rsidR="00F7201E">
              <w:t xml:space="preserve">review assessment </w:t>
            </w:r>
          </w:p>
          <w:p w:rsidR="00BD5F7E" w:rsidRPr="00F7201E" w:rsidRDefault="00BD5F7E" w:rsidP="001C5B96">
            <w:r w:rsidRPr="00F7201E">
              <w:t>AND</w:t>
            </w:r>
          </w:p>
          <w:p w:rsidR="00021243" w:rsidRDefault="00BD5F7E" w:rsidP="001C5B96">
            <w:pPr>
              <w:pStyle w:val="ListParagraph"/>
              <w:numPr>
                <w:ilvl w:val="0"/>
                <w:numId w:val="46"/>
              </w:numPr>
            </w:pPr>
            <w:r w:rsidRPr="00F7201E">
              <w:t>A trial off Ig therapy is planned once the patient is stable, unless a valid reason is provided as to why a trial is not planned or is</w:t>
            </w:r>
            <w:r w:rsidR="00F7201E">
              <w:t xml:space="preserve"> contraindicated at this time. </w:t>
            </w:r>
          </w:p>
          <w:p w:rsidR="00E91CD6" w:rsidRDefault="00E91CD6" w:rsidP="008B2ABB">
            <w:pPr>
              <w:ind w:left="769"/>
            </w:pPr>
          </w:p>
          <w:p w:rsidR="00E91CD6" w:rsidRDefault="00E91CD6" w:rsidP="008B2ABB">
            <w:pPr>
              <w:ind w:left="409"/>
            </w:pPr>
            <w:r>
              <w:rPr>
                <w:szCs w:val="20"/>
              </w:rPr>
              <w:t xml:space="preserve">A trial off IVIg should be attempted after a year of therapy, unless there is a contraindication to doing so, or the patient has previously relapsed after an </w:t>
            </w:r>
            <w:r>
              <w:rPr>
                <w:szCs w:val="20"/>
              </w:rPr>
              <w:lastRenderedPageBreak/>
              <w:t xml:space="preserve">earlier trial of withdrawal of IVIg.   </w:t>
            </w:r>
          </w:p>
          <w:p w:rsidR="00E91CD6" w:rsidRDefault="00E91CD6" w:rsidP="008B2ABB">
            <w:pPr>
              <w:ind w:left="409"/>
            </w:pPr>
          </w:p>
          <w:p w:rsidR="00E91CD6" w:rsidRPr="00F7201E" w:rsidRDefault="00E91CD6" w:rsidP="008B2ABB"/>
        </w:tc>
        <w:tc>
          <w:tcPr>
            <w:tcW w:w="3260" w:type="dxa"/>
          </w:tcPr>
          <w:p w:rsidR="004878CD" w:rsidRDefault="004878CD" w:rsidP="004878CD">
            <w:pPr>
              <w:spacing w:before="120" w:after="120"/>
              <w:rPr>
                <w:szCs w:val="20"/>
              </w:rPr>
            </w:pPr>
            <w:r>
              <w:rPr>
                <w:szCs w:val="20"/>
              </w:rPr>
              <w:lastRenderedPageBreak/>
              <w:t xml:space="preserve">Review criteria and review periods have been defined with an initial measurable clinical response being required after four months’ treatment for Ig </w:t>
            </w:r>
            <w:r>
              <w:rPr>
                <w:szCs w:val="20"/>
              </w:rPr>
              <w:lastRenderedPageBreak/>
              <w:t xml:space="preserve">therapy to continue. </w:t>
            </w:r>
          </w:p>
          <w:p w:rsidR="004878CD" w:rsidRDefault="004878CD" w:rsidP="004878CD">
            <w:pPr>
              <w:spacing w:before="120" w:after="120"/>
              <w:rPr>
                <w:szCs w:val="20"/>
              </w:rPr>
            </w:pPr>
          </w:p>
          <w:p w:rsidR="004878CD" w:rsidRDefault="004878CD" w:rsidP="004878CD">
            <w:pPr>
              <w:spacing w:before="120" w:after="120"/>
              <w:rPr>
                <w:szCs w:val="20"/>
              </w:rPr>
            </w:pPr>
          </w:p>
          <w:p w:rsidR="004878CD" w:rsidRDefault="004878CD" w:rsidP="004878CD">
            <w:pPr>
              <w:spacing w:before="120" w:after="120"/>
              <w:rPr>
                <w:szCs w:val="20"/>
              </w:rPr>
            </w:pPr>
          </w:p>
          <w:p w:rsidR="004878CD" w:rsidRDefault="004878CD" w:rsidP="004878CD">
            <w:pPr>
              <w:rPr>
                <w:szCs w:val="20"/>
              </w:rPr>
            </w:pPr>
            <w:r>
              <w:rPr>
                <w:szCs w:val="20"/>
              </w:rPr>
              <w:t xml:space="preserve">The types of responses qualifying for re-authorisation of Ig therapy will include </w:t>
            </w:r>
            <w:r w:rsidRPr="00570E34">
              <w:t>resolution of BRAOs, stable or improved hearing or tinnitus, stable or improved cognition or conscious state and/or improved psychosis) compared to the severity of symptoms at qualifying.</w:t>
            </w:r>
          </w:p>
          <w:p w:rsidR="004878CD" w:rsidRDefault="004878CD" w:rsidP="004878CD">
            <w:pPr>
              <w:spacing w:before="120" w:after="120"/>
              <w:rPr>
                <w:szCs w:val="20"/>
              </w:rPr>
            </w:pPr>
          </w:p>
          <w:p w:rsidR="004878CD" w:rsidRDefault="004878CD" w:rsidP="004878CD">
            <w:pPr>
              <w:spacing w:before="120" w:after="120"/>
              <w:rPr>
                <w:szCs w:val="20"/>
              </w:rPr>
            </w:pPr>
          </w:p>
          <w:p w:rsidR="004878CD" w:rsidRDefault="004878CD" w:rsidP="004878CD">
            <w:pPr>
              <w:spacing w:before="120" w:after="120"/>
              <w:rPr>
                <w:szCs w:val="20"/>
              </w:rPr>
            </w:pPr>
          </w:p>
          <w:p w:rsidR="004878CD" w:rsidRDefault="004878CD" w:rsidP="004878CD">
            <w:pPr>
              <w:spacing w:before="120" w:after="120"/>
              <w:rPr>
                <w:szCs w:val="20"/>
              </w:rPr>
            </w:pPr>
          </w:p>
          <w:p w:rsidR="004878CD" w:rsidRDefault="001F01BD" w:rsidP="004878CD">
            <w:pPr>
              <w:spacing w:before="120" w:after="120"/>
              <w:rPr>
                <w:szCs w:val="20"/>
              </w:rPr>
            </w:pPr>
            <w:r>
              <w:rPr>
                <w:szCs w:val="20"/>
              </w:rPr>
              <w:t>The Specialist Working Group</w:t>
            </w:r>
            <w:r w:rsidR="004878CD">
              <w:rPr>
                <w:szCs w:val="20"/>
              </w:rPr>
              <w:t xml:space="preserve"> agreed by consensus that a trial off </w:t>
            </w:r>
            <w:r w:rsidR="00B83FB7">
              <w:rPr>
                <w:szCs w:val="20"/>
              </w:rPr>
              <w:t>IVIg</w:t>
            </w:r>
            <w:r w:rsidR="004878CD">
              <w:rPr>
                <w:szCs w:val="20"/>
              </w:rPr>
              <w:t xml:space="preserve"> should be attempted after a year of therapy, unless there is a contraindication to doing so, or the patient has previously relapsed after an earlier trial of withdrawal of </w:t>
            </w:r>
            <w:r w:rsidR="00B83FB7">
              <w:rPr>
                <w:szCs w:val="20"/>
              </w:rPr>
              <w:t>IVIg</w:t>
            </w:r>
            <w:r w:rsidR="004878CD">
              <w:rPr>
                <w:szCs w:val="20"/>
              </w:rPr>
              <w:t xml:space="preserve">.   </w:t>
            </w:r>
          </w:p>
          <w:p w:rsidR="00BD6C2D" w:rsidRPr="00C92149" w:rsidRDefault="00BD6C2D" w:rsidP="00021243">
            <w:pPr>
              <w:spacing w:before="120" w:after="120"/>
              <w:rPr>
                <w:rFonts w:asciiTheme="minorHAnsi" w:hAnsiTheme="minorHAnsi"/>
                <w:szCs w:val="20"/>
              </w:rPr>
            </w:pPr>
          </w:p>
        </w:tc>
      </w:tr>
      <w:tr w:rsidR="00021243" w:rsidRPr="00853117" w:rsidTr="004168FE">
        <w:tc>
          <w:tcPr>
            <w:tcW w:w="1550" w:type="dxa"/>
            <w:shd w:val="clear" w:color="auto" w:fill="D9D9D9" w:themeFill="background1" w:themeFillShade="D9"/>
          </w:tcPr>
          <w:p w:rsidR="00021243" w:rsidRPr="00447869" w:rsidRDefault="00021243" w:rsidP="004878CD">
            <w:pPr>
              <w:spacing w:before="120" w:after="120"/>
              <w:rPr>
                <w:rFonts w:asciiTheme="minorHAnsi" w:hAnsiTheme="minorHAnsi"/>
              </w:rPr>
            </w:pPr>
            <w:r w:rsidRPr="00447869">
              <w:rPr>
                <w:rFonts w:asciiTheme="minorHAnsi" w:hAnsiTheme="minorHAnsi"/>
                <w:b/>
              </w:rPr>
              <w:lastRenderedPageBreak/>
              <w:t>Dose</w:t>
            </w:r>
          </w:p>
        </w:tc>
        <w:tc>
          <w:tcPr>
            <w:tcW w:w="2258" w:type="dxa"/>
          </w:tcPr>
          <w:p w:rsidR="00021440" w:rsidRPr="00E75ACE" w:rsidRDefault="00021440" w:rsidP="00021440">
            <w:pPr>
              <w:spacing w:before="120" w:after="120"/>
              <w:rPr>
                <w:rFonts w:asciiTheme="minorHAnsi" w:eastAsiaTheme="minorHAnsi" w:hAnsiTheme="minorHAnsi" w:cs="Times New Roman"/>
                <w:color w:val="000000"/>
              </w:rPr>
            </w:pPr>
            <w:r w:rsidRPr="00E75ACE">
              <w:rPr>
                <w:rFonts w:asciiTheme="minorHAnsi" w:eastAsiaTheme="minorHAnsi" w:hAnsiTheme="minorHAnsi" w:cs="Times New Roman"/>
                <w:color w:val="000000"/>
              </w:rPr>
              <w:t>Dose: 1–2 g/kg/month for one year, providing documented clinical improvement.</w:t>
            </w:r>
          </w:p>
          <w:p w:rsidR="00021440" w:rsidRPr="00E75ACE" w:rsidRDefault="00021440" w:rsidP="00021440">
            <w:pPr>
              <w:spacing w:before="120" w:after="120"/>
              <w:rPr>
                <w:rFonts w:asciiTheme="minorHAnsi" w:eastAsiaTheme="minorHAnsi" w:hAnsiTheme="minorHAnsi" w:cs="Times New Roman"/>
                <w:color w:val="000000"/>
              </w:rPr>
            </w:pPr>
            <w:r w:rsidRPr="00E75ACE">
              <w:rPr>
                <w:rFonts w:asciiTheme="minorHAnsi" w:eastAsiaTheme="minorHAnsi" w:hAnsiTheme="minorHAnsi" w:cs="Times New Roman"/>
                <w:color w:val="000000"/>
              </w:rPr>
              <w:t xml:space="preserve">Dosing above 1 g/kg per day is contraindicated for some </w:t>
            </w:r>
            <w:r w:rsidR="00B83FB7">
              <w:rPr>
                <w:rFonts w:asciiTheme="minorHAnsi" w:eastAsiaTheme="minorHAnsi" w:hAnsiTheme="minorHAnsi" w:cs="Times New Roman"/>
                <w:color w:val="000000"/>
              </w:rPr>
              <w:t>IVIg</w:t>
            </w:r>
            <w:r w:rsidRPr="00E75ACE">
              <w:rPr>
                <w:rFonts w:asciiTheme="minorHAnsi" w:eastAsiaTheme="minorHAnsi" w:hAnsiTheme="minorHAnsi" w:cs="Times New Roman"/>
                <w:color w:val="000000"/>
              </w:rPr>
              <w:t xml:space="preserve"> products.</w:t>
            </w:r>
          </w:p>
          <w:p w:rsidR="00021440" w:rsidRPr="00E75ACE" w:rsidRDefault="00021440" w:rsidP="00021440">
            <w:pPr>
              <w:spacing w:before="120" w:after="120"/>
              <w:rPr>
                <w:rFonts w:asciiTheme="minorHAnsi" w:eastAsiaTheme="minorHAnsi" w:hAnsiTheme="minorHAnsi" w:cs="Times New Roman"/>
                <w:color w:val="000000"/>
              </w:rPr>
            </w:pPr>
            <w:r w:rsidRPr="00E75ACE">
              <w:rPr>
                <w:rFonts w:asciiTheme="minorHAnsi" w:eastAsiaTheme="minorHAnsi" w:hAnsiTheme="minorHAnsi" w:cs="Times New Roman"/>
                <w:color w:val="000000"/>
              </w:rPr>
              <w:t xml:space="preserve">Note: Effectiveness of </w:t>
            </w:r>
            <w:r w:rsidR="00B83FB7">
              <w:rPr>
                <w:rFonts w:asciiTheme="minorHAnsi" w:eastAsiaTheme="minorHAnsi" w:hAnsiTheme="minorHAnsi" w:cs="Times New Roman"/>
                <w:color w:val="000000"/>
              </w:rPr>
              <w:t>IVIg</w:t>
            </w:r>
            <w:r w:rsidRPr="00E75ACE">
              <w:rPr>
                <w:rFonts w:asciiTheme="minorHAnsi" w:eastAsiaTheme="minorHAnsi" w:hAnsiTheme="minorHAnsi" w:cs="Times New Roman"/>
                <w:color w:val="000000"/>
              </w:rPr>
              <w:t xml:space="preserve"> therapy may be difficult to determine due to the fluctuating course of disease.</w:t>
            </w:r>
          </w:p>
          <w:p w:rsidR="00021440" w:rsidRPr="00E75ACE" w:rsidRDefault="00021440" w:rsidP="00021440">
            <w:pPr>
              <w:spacing w:before="120" w:after="120"/>
              <w:rPr>
                <w:rFonts w:asciiTheme="minorHAnsi" w:eastAsiaTheme="minorHAnsi" w:hAnsiTheme="minorHAnsi" w:cs="Times New Roman"/>
                <w:color w:val="000000"/>
              </w:rPr>
            </w:pPr>
            <w:r w:rsidRPr="00E75ACE">
              <w:rPr>
                <w:rFonts w:asciiTheme="minorHAnsi" w:eastAsiaTheme="minorHAnsi" w:hAnsiTheme="minorHAnsi" w:cs="Times New Roman"/>
                <w:color w:val="000000"/>
              </w:rPr>
              <w:t>Refer to the current product information sheet for further information.</w:t>
            </w:r>
          </w:p>
          <w:p w:rsidR="00021243" w:rsidRDefault="00021440" w:rsidP="00021440">
            <w:pPr>
              <w:spacing w:before="120" w:after="120"/>
              <w:rPr>
                <w:rFonts w:asciiTheme="minorHAnsi" w:eastAsiaTheme="minorHAnsi" w:hAnsiTheme="minorHAnsi" w:cs="Times New Roman"/>
                <w:color w:val="000000"/>
              </w:rPr>
            </w:pPr>
            <w:r w:rsidRPr="00E75ACE">
              <w:rPr>
                <w:rFonts w:asciiTheme="minorHAnsi" w:eastAsiaTheme="minorHAnsi" w:hAnsiTheme="minorHAnsi" w:cs="Times New Roman"/>
                <w:color w:val="000000"/>
              </w:rPr>
              <w:t>The aim should be to use the lowest dose possible that achieves the appropriate clinical outcome for each patient.</w:t>
            </w:r>
          </w:p>
          <w:p w:rsidR="0032635E" w:rsidRPr="00447869" w:rsidRDefault="0032635E" w:rsidP="00021440">
            <w:pPr>
              <w:spacing w:before="120" w:after="120"/>
              <w:rPr>
                <w:rFonts w:asciiTheme="minorHAnsi" w:hAnsiTheme="minorHAnsi"/>
                <w:b/>
              </w:rPr>
            </w:pPr>
          </w:p>
        </w:tc>
        <w:tc>
          <w:tcPr>
            <w:tcW w:w="7533" w:type="dxa"/>
            <w:gridSpan w:val="3"/>
          </w:tcPr>
          <w:p w:rsidR="00BD5F7E" w:rsidRPr="001F01BD" w:rsidRDefault="00BD5F7E" w:rsidP="001C5B96">
            <w:pPr>
              <w:tabs>
                <w:tab w:val="left" w:pos="4670"/>
              </w:tabs>
              <w:rPr>
                <w:rFonts w:asciiTheme="minorHAnsi" w:hAnsiTheme="minorHAnsi"/>
              </w:rPr>
            </w:pPr>
            <w:r w:rsidRPr="004878CD">
              <w:rPr>
                <w:rFonts w:asciiTheme="minorHAnsi" w:hAnsiTheme="minorHAnsi"/>
                <w:b/>
              </w:rPr>
              <w:t>Induction</w:t>
            </w:r>
            <w:r w:rsidR="004878CD" w:rsidRPr="004878CD">
              <w:rPr>
                <w:rFonts w:asciiTheme="minorHAnsi" w:hAnsiTheme="minorHAnsi"/>
                <w:b/>
              </w:rPr>
              <w:t xml:space="preserve"> Dose</w:t>
            </w:r>
            <w:r w:rsidRPr="004878CD">
              <w:rPr>
                <w:rFonts w:asciiTheme="minorHAnsi" w:hAnsiTheme="minorHAnsi"/>
                <w:b/>
              </w:rPr>
              <w:t xml:space="preserve"> – </w:t>
            </w:r>
            <w:r w:rsidR="008D1BBB">
              <w:rPr>
                <w:rFonts w:asciiTheme="minorHAnsi" w:hAnsiTheme="minorHAnsi"/>
              </w:rPr>
              <w:t>Up</w:t>
            </w:r>
            <w:r w:rsidRPr="001F01BD">
              <w:rPr>
                <w:rFonts w:asciiTheme="minorHAnsi" w:hAnsiTheme="minorHAnsi"/>
              </w:rPr>
              <w:t xml:space="preserve"> to 2 g/kg over 2 to 5 days</w:t>
            </w:r>
          </w:p>
          <w:p w:rsidR="004878CD" w:rsidRDefault="004878CD" w:rsidP="001C5B96">
            <w:pPr>
              <w:tabs>
                <w:tab w:val="left" w:pos="4670"/>
              </w:tabs>
              <w:rPr>
                <w:rFonts w:asciiTheme="minorHAnsi" w:hAnsiTheme="minorHAnsi"/>
              </w:rPr>
            </w:pPr>
          </w:p>
          <w:p w:rsidR="00BD5F7E" w:rsidRPr="004878CD" w:rsidRDefault="00BD5F7E" w:rsidP="004878CD">
            <w:pPr>
              <w:tabs>
                <w:tab w:val="left" w:pos="4670"/>
              </w:tabs>
              <w:rPr>
                <w:rFonts w:asciiTheme="minorHAnsi" w:hAnsiTheme="minorHAnsi"/>
                <w:b/>
              </w:rPr>
            </w:pPr>
            <w:r w:rsidRPr="004878CD">
              <w:rPr>
                <w:rFonts w:asciiTheme="minorHAnsi" w:hAnsiTheme="minorHAnsi"/>
                <w:b/>
              </w:rPr>
              <w:t xml:space="preserve">Maintenance </w:t>
            </w:r>
            <w:r w:rsidR="004878CD" w:rsidRPr="004878CD">
              <w:rPr>
                <w:rFonts w:asciiTheme="minorHAnsi" w:hAnsiTheme="minorHAnsi"/>
                <w:b/>
              </w:rPr>
              <w:t xml:space="preserve"> Dose</w:t>
            </w:r>
            <w:r w:rsidRPr="004878CD">
              <w:rPr>
                <w:rFonts w:asciiTheme="minorHAnsi" w:hAnsiTheme="minorHAnsi"/>
                <w:b/>
              </w:rPr>
              <w:t xml:space="preserve">– </w:t>
            </w:r>
            <w:r w:rsidRPr="001F01BD">
              <w:rPr>
                <w:rFonts w:asciiTheme="minorHAnsi" w:hAnsiTheme="minorHAnsi"/>
              </w:rPr>
              <w:t xml:space="preserve">0.5 -1 g/kg  </w:t>
            </w:r>
            <w:r w:rsidR="00E05ACC" w:rsidRPr="001F01BD">
              <w:rPr>
                <w:rFonts w:asciiTheme="minorHAnsi" w:hAnsiTheme="minorHAnsi"/>
              </w:rPr>
              <w:t>every 2 to 6 weeks</w:t>
            </w:r>
          </w:p>
          <w:p w:rsidR="00BD5F7E" w:rsidRPr="00BD5F7E" w:rsidRDefault="00BD5F7E" w:rsidP="00BD5F7E">
            <w:pPr>
              <w:spacing w:before="120" w:after="120"/>
              <w:rPr>
                <w:rFonts w:asciiTheme="minorHAnsi" w:hAnsiTheme="minorHAnsi"/>
              </w:rPr>
            </w:pPr>
            <w:r w:rsidRPr="00BD5F7E">
              <w:rPr>
                <w:rFonts w:asciiTheme="minorHAnsi" w:hAnsiTheme="minorHAnsi"/>
              </w:rPr>
              <w:t>The aim should be to use the lowest dose possible that achieves the appropriate clinical outcome for each patient.</w:t>
            </w:r>
          </w:p>
          <w:p w:rsidR="00BD5F7E" w:rsidRPr="00BD5F7E" w:rsidRDefault="00BD5F7E" w:rsidP="00BD5F7E">
            <w:pPr>
              <w:spacing w:before="120" w:after="120"/>
              <w:rPr>
                <w:rFonts w:asciiTheme="minorHAnsi" w:hAnsiTheme="minorHAnsi"/>
              </w:rPr>
            </w:pPr>
          </w:p>
          <w:p w:rsidR="00021243" w:rsidRPr="004878CD" w:rsidRDefault="00BD5F7E" w:rsidP="00BD5F7E">
            <w:pPr>
              <w:spacing w:before="120" w:after="120"/>
              <w:rPr>
                <w:rFonts w:asciiTheme="minorHAnsi" w:hAnsiTheme="minorHAnsi"/>
                <w:b/>
              </w:rPr>
            </w:pPr>
            <w:r w:rsidRPr="004878CD">
              <w:rPr>
                <w:rFonts w:asciiTheme="minorHAnsi" w:hAnsiTheme="minorHAnsi"/>
                <w:b/>
              </w:rPr>
              <w:t>Refer to the current product information sheet for further information</w:t>
            </w:r>
            <w:r w:rsidR="004878CD">
              <w:rPr>
                <w:rFonts w:asciiTheme="minorHAnsi" w:hAnsiTheme="minorHAnsi"/>
                <w:b/>
              </w:rPr>
              <w:t xml:space="preserve"> on dose, administration and </w:t>
            </w:r>
            <w:r w:rsidR="00222572">
              <w:rPr>
                <w:rFonts w:asciiTheme="minorHAnsi" w:hAnsiTheme="minorHAnsi"/>
                <w:b/>
              </w:rPr>
              <w:t>contraindications</w:t>
            </w:r>
            <w:r w:rsidRPr="004878CD">
              <w:rPr>
                <w:rFonts w:asciiTheme="minorHAnsi" w:hAnsiTheme="minorHAnsi"/>
                <w:b/>
              </w:rPr>
              <w:t>.</w:t>
            </w:r>
          </w:p>
        </w:tc>
        <w:tc>
          <w:tcPr>
            <w:tcW w:w="3260" w:type="dxa"/>
          </w:tcPr>
          <w:p w:rsidR="00021243" w:rsidRPr="00C92149" w:rsidRDefault="004878CD" w:rsidP="00D15A96">
            <w:pPr>
              <w:spacing w:before="120" w:after="120"/>
              <w:rPr>
                <w:rFonts w:asciiTheme="minorHAnsi" w:hAnsiTheme="minorHAnsi"/>
                <w:szCs w:val="20"/>
              </w:rPr>
            </w:pPr>
            <w:r>
              <w:rPr>
                <w:rFonts w:asciiTheme="minorHAnsi" w:hAnsiTheme="minorHAnsi"/>
                <w:szCs w:val="20"/>
              </w:rPr>
              <w:t xml:space="preserve">Dosing was determined by </w:t>
            </w:r>
            <w:r w:rsidR="001F01BD">
              <w:rPr>
                <w:szCs w:val="20"/>
              </w:rPr>
              <w:t>Specialist Working Group</w:t>
            </w:r>
            <w:r>
              <w:rPr>
                <w:rFonts w:asciiTheme="minorHAnsi" w:hAnsiTheme="minorHAnsi"/>
                <w:szCs w:val="20"/>
              </w:rPr>
              <w:t xml:space="preserve"> consensus and supports a range in dose and frequency as required for weaning </w:t>
            </w:r>
            <w:r w:rsidR="00D15A96">
              <w:rPr>
                <w:rFonts w:asciiTheme="minorHAnsi" w:hAnsiTheme="minorHAnsi"/>
                <w:szCs w:val="20"/>
              </w:rPr>
              <w:t>of</w:t>
            </w:r>
            <w:r w:rsidR="00CC0C42">
              <w:rPr>
                <w:rFonts w:asciiTheme="minorHAnsi" w:hAnsiTheme="minorHAnsi"/>
                <w:szCs w:val="20"/>
              </w:rPr>
              <w:t xml:space="preserve"> </w:t>
            </w:r>
            <w:r>
              <w:rPr>
                <w:rFonts w:asciiTheme="minorHAnsi" w:hAnsiTheme="minorHAnsi"/>
                <w:szCs w:val="20"/>
              </w:rPr>
              <w:t>Ig therapy.</w:t>
            </w:r>
          </w:p>
        </w:tc>
      </w:tr>
    </w:tbl>
    <w:p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5735" w:type="dxa"/>
        <w:tblInd w:w="-318" w:type="dxa"/>
        <w:tblLook w:val="04A0" w:firstRow="1" w:lastRow="0" w:firstColumn="1" w:lastColumn="0" w:noHBand="0" w:noVBand="1"/>
      </w:tblPr>
      <w:tblGrid>
        <w:gridCol w:w="15735"/>
      </w:tblGrid>
      <w:tr w:rsidR="008612AB" w:rsidRPr="00021243" w:rsidTr="008B2ABB">
        <w:tc>
          <w:tcPr>
            <w:tcW w:w="15735"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BE305F">
            <w:pPr>
              <w:spacing w:before="120" w:after="120"/>
              <w:jc w:val="center"/>
              <w:rPr>
                <w:rFonts w:asciiTheme="minorHAnsi" w:hAnsiTheme="minorHAnsi"/>
                <w:b/>
              </w:rPr>
            </w:pPr>
            <w:r>
              <w:rPr>
                <w:rFonts w:asciiTheme="minorHAnsi" w:hAnsiTheme="minorHAnsi"/>
                <w:b/>
              </w:rPr>
              <w:t>(</w:t>
            </w:r>
            <w:r w:rsidR="001E4ADF">
              <w:rPr>
                <w:rFonts w:asciiTheme="minorHAnsi" w:hAnsiTheme="minorHAnsi"/>
                <w:b/>
              </w:rPr>
              <w:t xml:space="preserve">most </w:t>
            </w:r>
            <w:r>
              <w:rPr>
                <w:rFonts w:asciiTheme="minorHAnsi" w:hAnsiTheme="minorHAnsi"/>
                <w:b/>
              </w:rPr>
              <w:t>recent update</w:t>
            </w:r>
            <w:r w:rsidR="001E4ADF">
              <w:rPr>
                <w:rFonts w:asciiTheme="minorHAnsi" w:hAnsiTheme="minorHAnsi"/>
                <w:b/>
              </w:rPr>
              <w:t>:</w:t>
            </w:r>
            <w:r>
              <w:rPr>
                <w:rFonts w:asciiTheme="minorHAnsi" w:hAnsiTheme="minorHAnsi"/>
                <w:b/>
              </w:rPr>
              <w:t xml:space="preserve"> </w:t>
            </w:r>
            <w:r w:rsidR="00BE305F">
              <w:rPr>
                <w:rFonts w:asciiTheme="minorHAnsi" w:hAnsiTheme="minorHAnsi"/>
                <w:b/>
              </w:rPr>
              <w:t>Jan</w:t>
            </w:r>
            <w:r w:rsidR="001E4ADF">
              <w:rPr>
                <w:rFonts w:asciiTheme="minorHAnsi" w:hAnsiTheme="minorHAnsi"/>
                <w:b/>
              </w:rPr>
              <w:t>uary</w:t>
            </w:r>
            <w:r w:rsidR="00BE305F">
              <w:rPr>
                <w:rFonts w:asciiTheme="minorHAnsi" w:hAnsiTheme="minorHAnsi"/>
                <w:b/>
              </w:rPr>
              <w:t xml:space="preserve"> 2016</w:t>
            </w:r>
            <w:r>
              <w:rPr>
                <w:rFonts w:asciiTheme="minorHAnsi" w:hAnsiTheme="minorHAnsi"/>
                <w:b/>
              </w:rPr>
              <w:t>)</w:t>
            </w:r>
          </w:p>
        </w:tc>
      </w:tr>
      <w:tr w:rsidR="008612AB" w:rsidRPr="00255740" w:rsidTr="008B2ABB">
        <w:tc>
          <w:tcPr>
            <w:tcW w:w="15735" w:type="dxa"/>
          </w:tcPr>
          <w:p w:rsidR="00021440" w:rsidRDefault="00E05ACC" w:rsidP="00021440">
            <w:pPr>
              <w:spacing w:before="120" w:after="120"/>
              <w:rPr>
                <w:rFonts w:asciiTheme="minorHAnsi" w:hAnsiTheme="minorHAnsi"/>
              </w:rPr>
            </w:pPr>
            <w:r>
              <w:rPr>
                <w:rFonts w:asciiTheme="minorHAnsi" w:hAnsiTheme="minorHAnsi"/>
              </w:rPr>
              <w:t>Aubart-Cohen F, Klein I, Alexandra</w:t>
            </w:r>
            <w:r w:rsidR="00021440" w:rsidRPr="00021440">
              <w:rPr>
                <w:rFonts w:asciiTheme="minorHAnsi" w:hAnsiTheme="minorHAnsi"/>
              </w:rPr>
              <w:t xml:space="preserve"> J, et al </w:t>
            </w:r>
            <w:r>
              <w:rPr>
                <w:rFonts w:asciiTheme="minorHAnsi" w:hAnsiTheme="minorHAnsi"/>
              </w:rPr>
              <w:t>(</w:t>
            </w:r>
            <w:r w:rsidR="00021440" w:rsidRPr="00021440">
              <w:rPr>
                <w:rFonts w:asciiTheme="minorHAnsi" w:hAnsiTheme="minorHAnsi"/>
              </w:rPr>
              <w:t>2007</w:t>
            </w:r>
            <w:r>
              <w:rPr>
                <w:rFonts w:asciiTheme="minorHAnsi" w:hAnsiTheme="minorHAnsi"/>
              </w:rPr>
              <w:t xml:space="preserve">) </w:t>
            </w:r>
            <w:r w:rsidR="00021440" w:rsidRPr="00021440">
              <w:rPr>
                <w:rFonts w:asciiTheme="minorHAnsi" w:hAnsiTheme="minorHAnsi"/>
              </w:rPr>
              <w:t xml:space="preserve">Long-term outcome in </w:t>
            </w:r>
            <w:r>
              <w:rPr>
                <w:rFonts w:asciiTheme="minorHAnsi" w:hAnsiTheme="minorHAnsi"/>
              </w:rPr>
              <w:t xml:space="preserve">Susac syndrome. </w:t>
            </w:r>
            <w:r w:rsidR="00021440" w:rsidRPr="00E05ACC">
              <w:rPr>
                <w:rFonts w:asciiTheme="minorHAnsi" w:hAnsiTheme="minorHAnsi"/>
                <w:i/>
              </w:rPr>
              <w:t>Medicine (Baltimore</w:t>
            </w:r>
            <w:r>
              <w:rPr>
                <w:rFonts w:asciiTheme="minorHAnsi" w:hAnsiTheme="minorHAnsi"/>
              </w:rPr>
              <w:t>), 86(</w:t>
            </w:r>
            <w:r w:rsidR="00021440" w:rsidRPr="00021440">
              <w:rPr>
                <w:rFonts w:asciiTheme="minorHAnsi" w:hAnsiTheme="minorHAnsi"/>
              </w:rPr>
              <w:t>2</w:t>
            </w:r>
            <w:r>
              <w:rPr>
                <w:rFonts w:asciiTheme="minorHAnsi" w:hAnsiTheme="minorHAnsi"/>
              </w:rPr>
              <w:t>):</w:t>
            </w:r>
            <w:r w:rsidR="00021440" w:rsidRPr="00021440">
              <w:rPr>
                <w:rFonts w:asciiTheme="minorHAnsi" w:hAnsiTheme="minorHAnsi"/>
              </w:rPr>
              <w:t>93–102.</w:t>
            </w:r>
          </w:p>
          <w:p w:rsidR="00E05ACC" w:rsidRPr="00E05ACC" w:rsidRDefault="00472722" w:rsidP="00021440">
            <w:pPr>
              <w:spacing w:before="120" w:after="120"/>
              <w:rPr>
                <w:rFonts w:asciiTheme="minorHAnsi" w:hAnsiTheme="minorHAnsi"/>
                <w:color w:val="808080" w:themeColor="background1" w:themeShade="80"/>
              </w:rPr>
            </w:pPr>
            <w:hyperlink r:id="rId13" w:history="1">
              <w:r w:rsidR="00E05ACC" w:rsidRPr="00E05ACC">
                <w:rPr>
                  <w:rStyle w:val="Hyperlink"/>
                  <w:rFonts w:asciiTheme="minorHAnsi" w:hAnsiTheme="minorHAnsi"/>
                  <w:color w:val="808080" w:themeColor="background1" w:themeShade="80"/>
                </w:rPr>
                <w:t>https://www.ncbi.nlm.nih.gov/labs/articles/17435589/</w:t>
              </w:r>
            </w:hyperlink>
          </w:p>
          <w:p w:rsidR="00901F76" w:rsidRDefault="00E05ACC" w:rsidP="00021440">
            <w:pPr>
              <w:spacing w:before="120" w:after="120"/>
              <w:rPr>
                <w:rFonts w:asciiTheme="minorHAnsi" w:hAnsiTheme="minorHAnsi"/>
              </w:rPr>
            </w:pPr>
            <w:r>
              <w:rPr>
                <w:rFonts w:asciiTheme="minorHAnsi" w:hAnsiTheme="minorHAnsi"/>
              </w:rPr>
              <w:t>Fox R, Costello F, Judkin</w:t>
            </w:r>
            <w:r w:rsidR="00021440" w:rsidRPr="00021440">
              <w:rPr>
                <w:rFonts w:asciiTheme="minorHAnsi" w:hAnsiTheme="minorHAnsi"/>
              </w:rPr>
              <w:t xml:space="preserve">, A, et al </w:t>
            </w:r>
            <w:r>
              <w:rPr>
                <w:rFonts w:asciiTheme="minorHAnsi" w:hAnsiTheme="minorHAnsi"/>
              </w:rPr>
              <w:t>(</w:t>
            </w:r>
            <w:r w:rsidR="00021440" w:rsidRPr="00021440">
              <w:rPr>
                <w:rFonts w:asciiTheme="minorHAnsi" w:hAnsiTheme="minorHAnsi"/>
              </w:rPr>
              <w:t>2006</w:t>
            </w:r>
            <w:r>
              <w:rPr>
                <w:rFonts w:asciiTheme="minorHAnsi" w:hAnsiTheme="minorHAnsi"/>
              </w:rPr>
              <w:t xml:space="preserve">) </w:t>
            </w:r>
            <w:r w:rsidR="00021440" w:rsidRPr="00021440">
              <w:rPr>
                <w:rFonts w:asciiTheme="minorHAnsi" w:hAnsiTheme="minorHAnsi"/>
              </w:rPr>
              <w:t>Treatment of Susac syndrome with gamma</w:t>
            </w:r>
            <w:r>
              <w:rPr>
                <w:rFonts w:asciiTheme="minorHAnsi" w:hAnsiTheme="minorHAnsi"/>
              </w:rPr>
              <w:t xml:space="preserve"> globulin and corticosteroids. </w:t>
            </w:r>
            <w:r w:rsidR="00021440" w:rsidRPr="00E05ACC">
              <w:rPr>
                <w:rFonts w:asciiTheme="minorHAnsi" w:hAnsiTheme="minorHAnsi"/>
                <w:i/>
              </w:rPr>
              <w:t>Journal of the Neurological Sciences</w:t>
            </w:r>
            <w:r>
              <w:rPr>
                <w:rFonts w:asciiTheme="minorHAnsi" w:hAnsiTheme="minorHAnsi"/>
              </w:rPr>
              <w:t>, 25(</w:t>
            </w:r>
            <w:r w:rsidR="00021440" w:rsidRPr="00021440">
              <w:rPr>
                <w:rFonts w:asciiTheme="minorHAnsi" w:hAnsiTheme="minorHAnsi"/>
              </w:rPr>
              <w:t>1–2</w:t>
            </w:r>
            <w:r>
              <w:rPr>
                <w:rFonts w:asciiTheme="minorHAnsi" w:hAnsiTheme="minorHAnsi"/>
              </w:rPr>
              <w:t>):</w:t>
            </w:r>
            <w:r w:rsidR="00021440" w:rsidRPr="00021440">
              <w:rPr>
                <w:rFonts w:asciiTheme="minorHAnsi" w:hAnsiTheme="minorHAnsi"/>
              </w:rPr>
              <w:t>17–22.</w:t>
            </w:r>
          </w:p>
          <w:p w:rsidR="00E05ACC" w:rsidRPr="00E05ACC" w:rsidRDefault="00472722" w:rsidP="00021440">
            <w:pPr>
              <w:spacing w:before="120" w:after="120"/>
              <w:rPr>
                <w:rFonts w:asciiTheme="minorHAnsi" w:hAnsiTheme="minorHAnsi"/>
                <w:color w:val="808080" w:themeColor="background1" w:themeShade="80"/>
              </w:rPr>
            </w:pPr>
            <w:hyperlink r:id="rId14" w:history="1">
              <w:r w:rsidR="00E05ACC" w:rsidRPr="00E05ACC">
                <w:rPr>
                  <w:rStyle w:val="Hyperlink"/>
                  <w:rFonts w:asciiTheme="minorHAnsi" w:hAnsiTheme="minorHAnsi"/>
                  <w:color w:val="808080" w:themeColor="background1" w:themeShade="80"/>
                </w:rPr>
                <w:t>https://www.ncbi.nlm.nih.gov/pubmed/17052732</w:t>
              </w:r>
            </w:hyperlink>
          </w:p>
          <w:p w:rsidR="00BD5F7E" w:rsidRPr="00B83FB7" w:rsidRDefault="00BD5F7E" w:rsidP="00BD5F7E">
            <w:pPr>
              <w:spacing w:before="120" w:after="120"/>
              <w:rPr>
                <w:rFonts w:asciiTheme="minorHAnsi" w:hAnsiTheme="minorHAnsi"/>
                <w:lang w:val="fr-FR"/>
              </w:rPr>
            </w:pPr>
            <w:r w:rsidRPr="00BD5F7E">
              <w:rPr>
                <w:rFonts w:asciiTheme="minorHAnsi" w:hAnsiTheme="minorHAnsi"/>
              </w:rPr>
              <w:t>Mateen FJ1, Zubkov AY, Muralidharan R, Fugate JE, Rod</w:t>
            </w:r>
            <w:r w:rsidR="006521FA">
              <w:rPr>
                <w:rFonts w:asciiTheme="minorHAnsi" w:hAnsiTheme="minorHAnsi"/>
              </w:rPr>
              <w:t>riguez FJ, Winters JL, Petty GW (2012)</w:t>
            </w:r>
            <w:r w:rsidRPr="00BD5F7E">
              <w:rPr>
                <w:rFonts w:asciiTheme="minorHAnsi" w:hAnsiTheme="minorHAnsi"/>
              </w:rPr>
              <w:t xml:space="preserve"> Susac syndrome: clinical characteristics and treatment in 29 new </w:t>
            </w:r>
            <w:r w:rsidR="006521FA">
              <w:rPr>
                <w:rFonts w:asciiTheme="minorHAnsi" w:hAnsiTheme="minorHAnsi"/>
              </w:rPr>
              <w:t xml:space="preserve">cases. </w:t>
            </w:r>
            <w:r w:rsidR="006521FA" w:rsidRPr="00B83FB7">
              <w:rPr>
                <w:rFonts w:asciiTheme="minorHAnsi" w:hAnsiTheme="minorHAnsi"/>
                <w:i/>
                <w:lang w:val="fr-FR"/>
              </w:rPr>
              <w:t>Eur J Neurol</w:t>
            </w:r>
            <w:r w:rsidR="006521FA" w:rsidRPr="00B83FB7">
              <w:rPr>
                <w:rFonts w:asciiTheme="minorHAnsi" w:hAnsiTheme="minorHAnsi"/>
                <w:lang w:val="fr-FR"/>
              </w:rPr>
              <w:t xml:space="preserve">, </w:t>
            </w:r>
            <w:r w:rsidRPr="00B83FB7">
              <w:rPr>
                <w:rFonts w:asciiTheme="minorHAnsi" w:hAnsiTheme="minorHAnsi"/>
                <w:lang w:val="fr-FR"/>
              </w:rPr>
              <w:t>19(6):800-11</w:t>
            </w:r>
            <w:r w:rsidR="006521FA" w:rsidRPr="00B83FB7">
              <w:rPr>
                <w:rFonts w:asciiTheme="minorHAnsi" w:hAnsiTheme="minorHAnsi"/>
                <w:lang w:val="fr-FR"/>
              </w:rPr>
              <w:t>.</w:t>
            </w:r>
          </w:p>
          <w:p w:rsidR="006521FA" w:rsidRPr="00B83FB7" w:rsidRDefault="00472722" w:rsidP="00BD5F7E">
            <w:pPr>
              <w:spacing w:before="120" w:after="120"/>
              <w:rPr>
                <w:rFonts w:asciiTheme="minorHAnsi" w:hAnsiTheme="minorHAnsi"/>
                <w:color w:val="808080" w:themeColor="background1" w:themeShade="80"/>
                <w:lang w:val="fr-FR"/>
              </w:rPr>
            </w:pPr>
            <w:hyperlink r:id="rId15" w:history="1">
              <w:r w:rsidR="006521FA" w:rsidRPr="00B83FB7">
                <w:rPr>
                  <w:rStyle w:val="Hyperlink"/>
                  <w:rFonts w:asciiTheme="minorHAnsi" w:hAnsiTheme="minorHAnsi"/>
                  <w:color w:val="808080" w:themeColor="background1" w:themeShade="80"/>
                  <w:lang w:val="fr-FR"/>
                </w:rPr>
                <w:t>https://www.ncbi.nlm.nih.gov/pubmed/22221557</w:t>
              </w:r>
            </w:hyperlink>
          </w:p>
          <w:p w:rsidR="00BD5F7E" w:rsidRDefault="006521FA" w:rsidP="006521FA">
            <w:pPr>
              <w:spacing w:before="120" w:after="120"/>
              <w:rPr>
                <w:rFonts w:asciiTheme="minorHAnsi" w:hAnsiTheme="minorHAnsi"/>
              </w:rPr>
            </w:pPr>
            <w:r>
              <w:rPr>
                <w:rFonts w:asciiTheme="minorHAnsi" w:hAnsiTheme="minorHAnsi"/>
              </w:rPr>
              <w:t>Vodopivec I and Prasad S (2016)</w:t>
            </w:r>
            <w:r w:rsidR="00BD5F7E" w:rsidRPr="00BD5F7E">
              <w:rPr>
                <w:rFonts w:asciiTheme="minorHAnsi" w:hAnsiTheme="minorHAnsi"/>
              </w:rPr>
              <w:t xml:space="preserve"> Treatment of Susac Syndrome. </w:t>
            </w:r>
            <w:r w:rsidR="00BD5F7E" w:rsidRPr="006521FA">
              <w:rPr>
                <w:rFonts w:asciiTheme="minorHAnsi" w:hAnsiTheme="minorHAnsi"/>
                <w:i/>
              </w:rPr>
              <w:t>Curr Treat Opti</w:t>
            </w:r>
            <w:r w:rsidRPr="006521FA">
              <w:rPr>
                <w:rFonts w:asciiTheme="minorHAnsi" w:hAnsiTheme="minorHAnsi"/>
                <w:i/>
              </w:rPr>
              <w:t>ons Neurol</w:t>
            </w:r>
            <w:r>
              <w:rPr>
                <w:rFonts w:asciiTheme="minorHAnsi" w:hAnsiTheme="minorHAnsi"/>
              </w:rPr>
              <w:t xml:space="preserve">, </w:t>
            </w:r>
            <w:r w:rsidR="00BD5F7E" w:rsidRPr="00BD5F7E">
              <w:rPr>
                <w:rFonts w:asciiTheme="minorHAnsi" w:hAnsiTheme="minorHAnsi"/>
              </w:rPr>
              <w:t>18(1):3.</w:t>
            </w:r>
          </w:p>
          <w:p w:rsidR="006521FA" w:rsidRPr="006521FA" w:rsidRDefault="00472722" w:rsidP="006521FA">
            <w:pPr>
              <w:spacing w:before="120" w:after="120"/>
              <w:rPr>
                <w:rFonts w:asciiTheme="minorHAnsi" w:hAnsiTheme="minorHAnsi"/>
                <w:color w:val="808080" w:themeColor="background1" w:themeShade="80"/>
              </w:rPr>
            </w:pPr>
            <w:hyperlink r:id="rId16" w:history="1">
              <w:r w:rsidR="006521FA" w:rsidRPr="006521FA">
                <w:rPr>
                  <w:rStyle w:val="Hyperlink"/>
                  <w:rFonts w:asciiTheme="minorHAnsi" w:hAnsiTheme="minorHAnsi"/>
                  <w:color w:val="808080" w:themeColor="background1" w:themeShade="80"/>
                </w:rPr>
                <w:t>https://www.ncbi.nlm.nih.gov/pubmed/26715396</w:t>
              </w:r>
            </w:hyperlink>
          </w:p>
          <w:p w:rsidR="006521FA" w:rsidRPr="00A80A19" w:rsidRDefault="006521FA" w:rsidP="006521FA">
            <w:pPr>
              <w:spacing w:before="120" w:after="120"/>
              <w:rPr>
                <w:rFonts w:asciiTheme="minorHAnsi" w:hAnsiTheme="minorHAnsi"/>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pPr w:leftFromText="180" w:rightFromText="180" w:horzAnchor="margin" w:tblpXSpec="right" w:tblpY="-465"/>
        <w:tblW w:w="14601" w:type="dxa"/>
        <w:tblLook w:val="0680" w:firstRow="0" w:lastRow="0" w:firstColumn="1" w:lastColumn="0" w:noHBand="1" w:noVBand="1"/>
      </w:tblPr>
      <w:tblGrid>
        <w:gridCol w:w="2161"/>
        <w:gridCol w:w="1384"/>
        <w:gridCol w:w="1593"/>
        <w:gridCol w:w="1667"/>
        <w:gridCol w:w="1701"/>
        <w:gridCol w:w="1701"/>
        <w:gridCol w:w="4394"/>
      </w:tblGrid>
      <w:tr w:rsidR="004A10A2" w:rsidRPr="00021243" w:rsidTr="00C22FF4">
        <w:tc>
          <w:tcPr>
            <w:tcW w:w="14601" w:type="dxa"/>
            <w:gridSpan w:val="7"/>
            <w:shd w:val="clear" w:color="auto" w:fill="F79646" w:themeFill="accent6"/>
          </w:tcPr>
          <w:p w:rsidR="004A10A2" w:rsidRDefault="004A10A2" w:rsidP="00C22FF4">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C22FF4">
        <w:tc>
          <w:tcPr>
            <w:tcW w:w="14601" w:type="dxa"/>
            <w:gridSpan w:val="7"/>
            <w:shd w:val="clear" w:color="auto" w:fill="auto"/>
          </w:tcPr>
          <w:p w:rsidR="00EA2E82" w:rsidRPr="00EA2E82" w:rsidRDefault="00C40DDF" w:rsidP="001A526B">
            <w:pPr>
              <w:spacing w:before="120" w:after="120"/>
              <w:rPr>
                <w:rFonts w:asciiTheme="minorHAnsi" w:hAnsiTheme="minorHAnsi"/>
              </w:rPr>
            </w:pPr>
            <w:r>
              <w:rPr>
                <w:rFonts w:asciiTheme="minorHAnsi" w:hAnsiTheme="minorHAnsi"/>
              </w:rPr>
              <w:t>There is expected to be minimal operational impact</w:t>
            </w:r>
            <w:r w:rsidR="002C1C45">
              <w:rPr>
                <w:rFonts w:asciiTheme="minorHAnsi" w:hAnsiTheme="minorHAnsi"/>
              </w:rPr>
              <w:t xml:space="preserve"> as a result of these changes as they are anticipated to align with current clinical practice</w:t>
            </w:r>
            <w:r>
              <w:rPr>
                <w:rFonts w:asciiTheme="minorHAnsi" w:hAnsiTheme="minorHAnsi"/>
              </w:rPr>
              <w:t xml:space="preserve">. </w:t>
            </w:r>
            <w:r w:rsidR="001A526B">
              <w:rPr>
                <w:rFonts w:asciiTheme="minorHAnsi" w:hAnsiTheme="minorHAnsi"/>
              </w:rPr>
              <w:t xml:space="preserve"> A neurologist, immunologist, rheumatologist or ophthalmologist will be required to make the diagnosis and management treatment. </w:t>
            </w:r>
            <w:r>
              <w:rPr>
                <w:rFonts w:asciiTheme="minorHAnsi" w:hAnsiTheme="minorHAnsi"/>
              </w:rPr>
              <w:t xml:space="preserve">There will be slightly increased data entry required (e.g. compliance with diagnostic and other criteria) compared to the previous Ig request and review processes. Review frequency is expected to align with the usual follow-up for patients. Patients will be required to be assessed at qualifying and review using a Modified Rankin Scale, however, the scale will be presented as ‘drop-down’ menu options within BloodSTAR </w:t>
            </w:r>
            <w:r w:rsidR="001F01BD">
              <w:rPr>
                <w:rFonts w:asciiTheme="minorHAnsi" w:hAnsiTheme="minorHAnsi"/>
              </w:rPr>
              <w:t>v</w:t>
            </w:r>
            <w:r>
              <w:rPr>
                <w:rFonts w:asciiTheme="minorHAnsi" w:hAnsiTheme="minorHAnsi"/>
              </w:rPr>
              <w:t>3</w:t>
            </w:r>
            <w:r w:rsidR="00921F0C">
              <w:rPr>
                <w:rFonts w:asciiTheme="minorHAnsi" w:hAnsiTheme="minorHAnsi"/>
              </w:rPr>
              <w:t>.0</w:t>
            </w:r>
            <w:r>
              <w:rPr>
                <w:rFonts w:asciiTheme="minorHAnsi" w:hAnsiTheme="minorHAnsi"/>
              </w:rPr>
              <w:t xml:space="preserve"> and will be simple to apply. A trial of weaning should be considered after twelve months and once the patient’s symptoms are stabilised</w:t>
            </w:r>
            <w:r w:rsidR="002C1C45">
              <w:rPr>
                <w:rFonts w:asciiTheme="minorHAnsi" w:hAnsiTheme="minorHAnsi"/>
              </w:rPr>
              <w:t>, and further a request can be made if responding patients relapse after Ig therapy has ceased</w:t>
            </w:r>
            <w:r>
              <w:rPr>
                <w:rFonts w:asciiTheme="minorHAnsi" w:hAnsiTheme="minorHAnsi"/>
              </w:rPr>
              <w:t>.</w:t>
            </w:r>
          </w:p>
        </w:tc>
      </w:tr>
      <w:tr w:rsidR="004A10A2" w:rsidRPr="00021243" w:rsidTr="00C22FF4">
        <w:tc>
          <w:tcPr>
            <w:tcW w:w="14601" w:type="dxa"/>
            <w:gridSpan w:val="7"/>
            <w:shd w:val="clear" w:color="auto" w:fill="F79646" w:themeFill="accent6"/>
          </w:tcPr>
          <w:p w:rsidR="004A10A2" w:rsidRDefault="004A10A2" w:rsidP="00C22FF4">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C22FF4">
        <w:tc>
          <w:tcPr>
            <w:tcW w:w="3545" w:type="dxa"/>
            <w:gridSpan w:val="2"/>
            <w:shd w:val="clear" w:color="auto" w:fill="auto"/>
          </w:tcPr>
          <w:p w:rsidR="00832D0D" w:rsidRDefault="00832D0D" w:rsidP="00C22FF4">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5B26A7" w:rsidRDefault="005B26A7" w:rsidP="005B26A7">
            <w:pPr>
              <w:spacing w:before="120" w:after="120"/>
              <w:rPr>
                <w:rFonts w:asciiTheme="minorHAnsi" w:hAnsiTheme="minorHAnsi"/>
              </w:rPr>
            </w:pPr>
            <w:r w:rsidRPr="006D67CF">
              <w:rPr>
                <w:rFonts w:asciiTheme="minorHAnsi" w:hAnsiTheme="minorHAnsi"/>
              </w:rPr>
              <w:t>There is not anticipated to be any</w:t>
            </w:r>
            <w:r>
              <w:rPr>
                <w:rFonts w:asciiTheme="minorHAnsi" w:hAnsiTheme="minorHAnsi"/>
              </w:rPr>
              <w:t xml:space="preserve"> significant</w:t>
            </w:r>
            <w:r w:rsidRPr="006D67CF">
              <w:rPr>
                <w:rFonts w:asciiTheme="minorHAnsi" w:hAnsiTheme="minorHAnsi"/>
              </w:rPr>
              <w:t xml:space="preserve"> impact on patients</w:t>
            </w:r>
            <w:r>
              <w:rPr>
                <w:rFonts w:asciiTheme="minorHAnsi" w:hAnsiTheme="minorHAnsi"/>
              </w:rPr>
              <w:t xml:space="preserve"> as a result of these criteria given that the proposed changes are based on how specialists already diagnose and manage patients with Susac syndrome.  </w:t>
            </w:r>
            <w:r w:rsidR="002A7B14">
              <w:rPr>
                <w:rFonts w:asciiTheme="minorHAnsi" w:hAnsiTheme="minorHAnsi"/>
              </w:rPr>
              <w:t>The formal access criteria proposed for this condition require that a neurologist</w:t>
            </w:r>
            <w:r>
              <w:rPr>
                <w:rFonts w:asciiTheme="minorHAnsi" w:hAnsiTheme="minorHAnsi"/>
              </w:rPr>
              <w:t>, immunologist, rheumatologist or ophthalmologist</w:t>
            </w:r>
            <w:r w:rsidR="002A7B14">
              <w:rPr>
                <w:rFonts w:asciiTheme="minorHAnsi" w:hAnsiTheme="minorHAnsi"/>
              </w:rPr>
              <w:t xml:space="preserve"> makes the diagnosis and manages the patient treatment. This is because it is very rare and it is </w:t>
            </w:r>
            <w:r>
              <w:rPr>
                <w:rFonts w:asciiTheme="minorHAnsi" w:hAnsiTheme="minorHAnsi"/>
                <w:szCs w:val="20"/>
              </w:rPr>
              <w:t xml:space="preserve">usually managed by these specialists. </w:t>
            </w:r>
            <w:r w:rsidR="002A7B14">
              <w:rPr>
                <w:rFonts w:asciiTheme="minorHAnsi" w:hAnsiTheme="minorHAnsi"/>
              </w:rPr>
              <w:t xml:space="preserve"> Ig therapy is one of a number of treatments that may be used, and when prescribed, is given with other treatment at the same time. </w:t>
            </w:r>
          </w:p>
          <w:p w:rsidR="002C1C45" w:rsidRDefault="002C1C45" w:rsidP="002C1C45">
            <w:pPr>
              <w:spacing w:before="120" w:after="120"/>
              <w:rPr>
                <w:rFonts w:asciiTheme="minorHAnsi" w:hAnsiTheme="minorHAnsi"/>
              </w:rPr>
            </w:pPr>
            <w:r>
              <w:rPr>
                <w:rFonts w:asciiTheme="minorHAnsi" w:hAnsiTheme="minorHAnsi"/>
              </w:rPr>
              <w:t>For existing patients on Ig maintenance therapy, annual reviews are required to assess the effectiveness of the treatment to improve or stabilise the severity of symptoms and degree of disability. Given that patients will already require regular review by their specialist, this requirement will not place an added burden on patients. A trial of reducing dose and then stopping Ig therapy will be considered by doctors after at least twelve months treatment and when patients are well and stable to test whether the disease is in remission. If, patients relapse after Ig treatment has been stopped, a further request to restart ongoing Ig therapy can be made.</w:t>
            </w:r>
          </w:p>
          <w:p w:rsidR="00832D0D" w:rsidRPr="00832D0D" w:rsidRDefault="002C1C45" w:rsidP="002C1C45">
            <w:pPr>
              <w:spacing w:before="120" w:after="120"/>
              <w:rPr>
                <w:rFonts w:asciiTheme="minorHAnsi" w:hAnsiTheme="minorHAnsi"/>
              </w:rPr>
            </w:pPr>
            <w:r>
              <w:rPr>
                <w:rFonts w:asciiTheme="minorHAnsi" w:hAnsiTheme="minorHAnsi"/>
              </w:rPr>
              <w:t>New patients authorised to receive ongoing Ig therapy will require an initial check after the first four months of Ig treatment to confirm that Ig therapy is improving or stabilising the severity of symptoms and degree of disability. If improvement has been demonstrated after four months ongoing treatment, Ig therapy will be continued; otherwise a different treatment would be required. The ongoing arrangements for maintenance therapy are as outlined above for existing patients.</w:t>
            </w:r>
          </w:p>
        </w:tc>
      </w:tr>
      <w:tr w:rsidR="00C40DDF" w:rsidRPr="00021243" w:rsidTr="00C22FF4">
        <w:tc>
          <w:tcPr>
            <w:tcW w:w="3545" w:type="dxa"/>
            <w:gridSpan w:val="2"/>
            <w:shd w:val="clear" w:color="auto" w:fill="auto"/>
          </w:tcPr>
          <w:p w:rsidR="00C40DDF" w:rsidRDefault="00C40DDF" w:rsidP="00C22FF4">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rsidR="00C40DDF" w:rsidRDefault="00E05ACC" w:rsidP="00C22FF4">
            <w:pPr>
              <w:spacing w:before="120" w:after="120"/>
              <w:rPr>
                <w:rFonts w:asciiTheme="minorHAnsi" w:hAnsiTheme="minorHAnsi"/>
              </w:rPr>
            </w:pPr>
            <w:r>
              <w:rPr>
                <w:rFonts w:asciiTheme="minorHAnsi" w:hAnsiTheme="minorHAnsi"/>
              </w:rPr>
              <w:t xml:space="preserve">The </w:t>
            </w:r>
            <w:r w:rsidR="001F01BD">
              <w:rPr>
                <w:szCs w:val="20"/>
              </w:rPr>
              <w:t>Specialist Working Group</w:t>
            </w:r>
            <w:r>
              <w:rPr>
                <w:rFonts w:asciiTheme="minorHAnsi" w:hAnsiTheme="minorHAnsi"/>
              </w:rPr>
              <w:t xml:space="preserve"> notes that while between seven and fifteen patients have required treatment annually over the last five years, some of these patients would have been treated for over twelve months. The use is reasonably stable and appropriate for the expected prevalence of the condition. The revised criteria will ensure that use is controlled and appropriate with evidence of a clinical response requiring to be demonstrated after four months Ig </w:t>
            </w:r>
            <w:r>
              <w:rPr>
                <w:rFonts w:asciiTheme="minorHAnsi" w:hAnsiTheme="minorHAnsi"/>
              </w:rPr>
              <w:lastRenderedPageBreak/>
              <w:t>therapy, and that symptoms continue to improve or stabilise to remain on treatment. There is not expected to be any material impact on overall demand as a result of these changes.</w:t>
            </w:r>
          </w:p>
        </w:tc>
      </w:tr>
      <w:tr w:rsidR="00CB0A5F" w:rsidRPr="00853117" w:rsidTr="00C22FF4">
        <w:tc>
          <w:tcPr>
            <w:tcW w:w="2161" w:type="dxa"/>
            <w:shd w:val="clear" w:color="auto" w:fill="auto"/>
          </w:tcPr>
          <w:p w:rsidR="00CB0A5F" w:rsidRPr="00C92149" w:rsidRDefault="00CB0A5F" w:rsidP="00C22FF4">
            <w:pPr>
              <w:spacing w:before="120" w:after="120"/>
              <w:rPr>
                <w:rFonts w:asciiTheme="minorHAnsi" w:hAnsiTheme="minorHAnsi"/>
                <w:b/>
                <w:sz w:val="18"/>
                <w:szCs w:val="18"/>
              </w:rPr>
            </w:pPr>
          </w:p>
        </w:tc>
        <w:tc>
          <w:tcPr>
            <w:tcW w:w="1384" w:type="dxa"/>
            <w:shd w:val="clear" w:color="auto" w:fill="auto"/>
          </w:tcPr>
          <w:p w:rsidR="00CB0A5F" w:rsidRPr="00C92149" w:rsidRDefault="00CB0A5F" w:rsidP="00C22FF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CB0A5F" w:rsidRPr="00C92149" w:rsidRDefault="00CB0A5F" w:rsidP="00C22FF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CB0A5F" w:rsidRPr="00C92149" w:rsidRDefault="00CB0A5F" w:rsidP="00C22FF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CB0A5F" w:rsidRPr="00C92149" w:rsidRDefault="00CB0A5F" w:rsidP="00C22FF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701" w:type="dxa"/>
            <w:shd w:val="clear" w:color="auto" w:fill="auto"/>
          </w:tcPr>
          <w:p w:rsidR="00CB0A5F" w:rsidRPr="00CB0A5F" w:rsidRDefault="00CB0A5F" w:rsidP="00C22FF4">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394" w:type="dxa"/>
            <w:vMerge w:val="restart"/>
            <w:shd w:val="clear" w:color="auto" w:fill="auto"/>
          </w:tcPr>
          <w:p w:rsidR="00C40DDF" w:rsidRPr="004878CD" w:rsidRDefault="00C40DDF" w:rsidP="00C22FF4">
            <w:pPr>
              <w:rPr>
                <w:rFonts w:asciiTheme="minorHAnsi" w:hAnsiTheme="minorHAnsi"/>
                <w:sz w:val="18"/>
                <w:szCs w:val="18"/>
              </w:rPr>
            </w:pPr>
          </w:p>
          <w:p w:rsidR="00C40DDF" w:rsidRPr="004878CD" w:rsidRDefault="00C40DDF" w:rsidP="00C22FF4">
            <w:pPr>
              <w:rPr>
                <w:rFonts w:asciiTheme="minorHAnsi" w:hAnsiTheme="minorHAnsi"/>
                <w:sz w:val="18"/>
                <w:szCs w:val="18"/>
              </w:rPr>
            </w:pPr>
            <w:r w:rsidRPr="004878CD">
              <w:rPr>
                <w:rFonts w:asciiTheme="minorHAnsi" w:hAnsiTheme="minorHAnsi"/>
                <w:sz w:val="18"/>
                <w:szCs w:val="18"/>
              </w:rPr>
              <w:t>The</w:t>
            </w:r>
            <w:r w:rsidR="001F01BD">
              <w:t xml:space="preserve"> </w:t>
            </w:r>
            <w:r w:rsidR="001F01BD" w:rsidRPr="001F01BD">
              <w:rPr>
                <w:rFonts w:asciiTheme="minorHAnsi" w:hAnsiTheme="minorHAnsi"/>
                <w:sz w:val="18"/>
                <w:szCs w:val="18"/>
              </w:rPr>
              <w:t xml:space="preserve">Specialist Working Group </w:t>
            </w:r>
            <w:r w:rsidRPr="004878CD">
              <w:rPr>
                <w:rFonts w:asciiTheme="minorHAnsi" w:hAnsiTheme="minorHAnsi"/>
                <w:sz w:val="18"/>
                <w:szCs w:val="18"/>
              </w:rPr>
              <w:t>estimated magnitude of effect:</w:t>
            </w:r>
          </w:p>
          <w:p w:rsidR="00C40DDF" w:rsidRPr="004878CD" w:rsidRDefault="00C40DDF" w:rsidP="00C22FF4">
            <w:pPr>
              <w:rPr>
                <w:rFonts w:asciiTheme="minorHAnsi" w:hAnsiTheme="minorHAnsi"/>
                <w:sz w:val="18"/>
                <w:szCs w:val="18"/>
              </w:rPr>
            </w:pPr>
          </w:p>
          <w:p w:rsidR="00C40DDF" w:rsidRPr="004878CD" w:rsidRDefault="00C40DDF" w:rsidP="00EF4B22">
            <w:pPr>
              <w:pStyle w:val="ListParagraph"/>
              <w:rPr>
                <w:rFonts w:asciiTheme="minorHAnsi" w:hAnsiTheme="minorHAnsi"/>
                <w:sz w:val="18"/>
                <w:szCs w:val="18"/>
              </w:rPr>
            </w:pPr>
            <w:r w:rsidRPr="004878CD">
              <w:rPr>
                <w:rFonts w:asciiTheme="minorHAnsi" w:hAnsiTheme="minorHAnsi"/>
                <w:sz w:val="18"/>
                <w:szCs w:val="18"/>
              </w:rPr>
              <w:t>No impact</w:t>
            </w:r>
            <w:r w:rsidR="00EF4B22">
              <w:rPr>
                <w:rFonts w:asciiTheme="minorHAnsi" w:hAnsiTheme="minorHAnsi"/>
                <w:sz w:val="18"/>
                <w:szCs w:val="18"/>
              </w:rPr>
              <w:t xml:space="preserve">  against projected demand</w:t>
            </w:r>
          </w:p>
          <w:p w:rsidR="00CB0A5F" w:rsidRPr="00C92149" w:rsidRDefault="00CB0A5F" w:rsidP="00C22FF4">
            <w:pPr>
              <w:rPr>
                <w:rFonts w:ascii="Gill Sans MT" w:hAnsi="Gill Sans MT"/>
                <w:sz w:val="18"/>
                <w:szCs w:val="18"/>
              </w:rPr>
            </w:pPr>
          </w:p>
          <w:p w:rsidR="00CB0A5F" w:rsidRPr="00C92149" w:rsidRDefault="00CB0A5F" w:rsidP="00C22FF4">
            <w:pPr>
              <w:spacing w:before="120" w:after="120"/>
              <w:rPr>
                <w:rFonts w:asciiTheme="minorHAnsi" w:hAnsiTheme="minorHAnsi"/>
                <w:b/>
                <w:sz w:val="18"/>
                <w:szCs w:val="18"/>
              </w:rPr>
            </w:pPr>
          </w:p>
        </w:tc>
      </w:tr>
      <w:tr w:rsidR="00CB0A5F" w:rsidRPr="00853117" w:rsidTr="008D2850">
        <w:tc>
          <w:tcPr>
            <w:tcW w:w="2161" w:type="dxa"/>
            <w:shd w:val="clear" w:color="auto" w:fill="auto"/>
          </w:tcPr>
          <w:p w:rsidR="00CB0A5F" w:rsidRPr="00C92149" w:rsidRDefault="00CB0A5F" w:rsidP="00C22FF4">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center"/>
          </w:tcPr>
          <w:p w:rsidR="00CB0A5F" w:rsidRPr="00890790" w:rsidRDefault="00CB0A5F" w:rsidP="008D2850">
            <w:pPr>
              <w:spacing w:before="120" w:after="120"/>
              <w:jc w:val="right"/>
              <w:rPr>
                <w:rFonts w:asciiTheme="minorHAnsi" w:hAnsiTheme="minorHAnsi" w:cs="Helvetica"/>
                <w:b/>
                <w:color w:val="333333"/>
                <w:sz w:val="18"/>
                <w:szCs w:val="18"/>
              </w:rPr>
            </w:pPr>
            <w:r w:rsidRPr="00890790">
              <w:rPr>
                <w:rFonts w:asciiTheme="minorHAnsi" w:hAnsiTheme="minorHAnsi" w:cs="Helvetica"/>
                <w:b/>
                <w:color w:val="333333"/>
                <w:sz w:val="18"/>
                <w:szCs w:val="18"/>
              </w:rPr>
              <w:t>7</w:t>
            </w:r>
          </w:p>
        </w:tc>
        <w:tc>
          <w:tcPr>
            <w:tcW w:w="1593" w:type="dxa"/>
            <w:shd w:val="clear" w:color="auto" w:fill="auto"/>
            <w:vAlign w:val="center"/>
          </w:tcPr>
          <w:p w:rsidR="00CB0A5F" w:rsidRPr="00890790" w:rsidRDefault="00CB0A5F" w:rsidP="008D2850">
            <w:pPr>
              <w:spacing w:before="120" w:after="120"/>
              <w:jc w:val="right"/>
              <w:rPr>
                <w:rFonts w:asciiTheme="minorHAnsi" w:hAnsiTheme="minorHAnsi" w:cs="Helvetica"/>
                <w:b/>
                <w:color w:val="333333"/>
                <w:sz w:val="18"/>
                <w:szCs w:val="18"/>
              </w:rPr>
            </w:pPr>
            <w:r w:rsidRPr="00890790">
              <w:rPr>
                <w:rFonts w:asciiTheme="minorHAnsi" w:hAnsiTheme="minorHAnsi" w:cs="Helvetica"/>
                <w:b/>
                <w:color w:val="333333"/>
                <w:sz w:val="18"/>
                <w:szCs w:val="18"/>
              </w:rPr>
              <w:t>8</w:t>
            </w:r>
          </w:p>
        </w:tc>
        <w:tc>
          <w:tcPr>
            <w:tcW w:w="1667" w:type="dxa"/>
            <w:shd w:val="clear" w:color="auto" w:fill="auto"/>
            <w:vAlign w:val="center"/>
          </w:tcPr>
          <w:p w:rsidR="00CB0A5F" w:rsidRPr="00890790" w:rsidRDefault="00CB0A5F" w:rsidP="008D2850">
            <w:pPr>
              <w:spacing w:before="120" w:after="120"/>
              <w:jc w:val="right"/>
              <w:rPr>
                <w:rFonts w:asciiTheme="minorHAnsi" w:hAnsiTheme="minorHAnsi" w:cs="Helvetica"/>
                <w:b/>
                <w:color w:val="333333"/>
                <w:sz w:val="18"/>
                <w:szCs w:val="18"/>
              </w:rPr>
            </w:pPr>
            <w:r w:rsidRPr="00890790">
              <w:rPr>
                <w:rFonts w:asciiTheme="minorHAnsi" w:hAnsiTheme="minorHAnsi" w:cs="Helvetica"/>
                <w:b/>
                <w:color w:val="333333"/>
                <w:sz w:val="18"/>
                <w:szCs w:val="18"/>
              </w:rPr>
              <w:t>11</w:t>
            </w:r>
          </w:p>
        </w:tc>
        <w:tc>
          <w:tcPr>
            <w:tcW w:w="1701" w:type="dxa"/>
            <w:shd w:val="clear" w:color="auto" w:fill="auto"/>
            <w:vAlign w:val="center"/>
          </w:tcPr>
          <w:p w:rsidR="00CB0A5F" w:rsidRPr="00890790" w:rsidRDefault="00CB0A5F" w:rsidP="008D2850">
            <w:pPr>
              <w:spacing w:before="120" w:after="120"/>
              <w:jc w:val="right"/>
              <w:rPr>
                <w:rFonts w:asciiTheme="minorHAnsi" w:hAnsiTheme="minorHAnsi" w:cs="Helvetica"/>
                <w:b/>
                <w:color w:val="333333"/>
                <w:sz w:val="18"/>
                <w:szCs w:val="18"/>
              </w:rPr>
            </w:pPr>
            <w:r w:rsidRPr="00890790">
              <w:rPr>
                <w:rFonts w:asciiTheme="minorHAnsi" w:hAnsiTheme="minorHAnsi" w:cs="Helvetica"/>
                <w:b/>
                <w:color w:val="333333"/>
                <w:sz w:val="18"/>
                <w:szCs w:val="18"/>
              </w:rPr>
              <w:t>9</w:t>
            </w:r>
          </w:p>
        </w:tc>
        <w:tc>
          <w:tcPr>
            <w:tcW w:w="1701" w:type="dxa"/>
            <w:shd w:val="clear" w:color="auto" w:fill="auto"/>
            <w:vAlign w:val="center"/>
          </w:tcPr>
          <w:p w:rsidR="00CB0A5F" w:rsidRPr="00CB0A5F" w:rsidRDefault="00C0455D" w:rsidP="008D285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15</w:t>
            </w:r>
          </w:p>
        </w:tc>
        <w:tc>
          <w:tcPr>
            <w:tcW w:w="4394" w:type="dxa"/>
            <w:vMerge/>
            <w:shd w:val="clear" w:color="auto" w:fill="auto"/>
          </w:tcPr>
          <w:p w:rsidR="00CB0A5F" w:rsidRPr="00C92149" w:rsidRDefault="00CB0A5F" w:rsidP="00C22FF4">
            <w:pPr>
              <w:spacing w:before="120" w:after="120"/>
              <w:rPr>
                <w:rFonts w:asciiTheme="minorHAnsi" w:hAnsiTheme="minorHAnsi"/>
                <w:b/>
                <w:sz w:val="18"/>
                <w:szCs w:val="18"/>
              </w:rPr>
            </w:pPr>
          </w:p>
        </w:tc>
      </w:tr>
      <w:tr w:rsidR="00CB0A5F" w:rsidRPr="00853117" w:rsidTr="008D2850">
        <w:trPr>
          <w:trHeight w:val="535"/>
        </w:trPr>
        <w:tc>
          <w:tcPr>
            <w:tcW w:w="2161" w:type="dxa"/>
            <w:shd w:val="clear" w:color="auto" w:fill="auto"/>
          </w:tcPr>
          <w:p w:rsidR="00CB0A5F" w:rsidRPr="00C92149" w:rsidRDefault="00CB0A5F" w:rsidP="00C22FF4">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center"/>
          </w:tcPr>
          <w:p w:rsidR="00CB0A5F" w:rsidRPr="00890790" w:rsidRDefault="00CB0A5F" w:rsidP="008D2850">
            <w:pPr>
              <w:spacing w:before="120" w:after="120"/>
              <w:jc w:val="right"/>
              <w:rPr>
                <w:rFonts w:asciiTheme="minorHAnsi" w:hAnsiTheme="minorHAnsi" w:cs="Helvetica"/>
                <w:b/>
                <w:color w:val="333333"/>
                <w:sz w:val="18"/>
                <w:szCs w:val="18"/>
              </w:rPr>
            </w:pPr>
            <w:r w:rsidRPr="00890790">
              <w:rPr>
                <w:rFonts w:asciiTheme="minorHAnsi" w:hAnsiTheme="minorHAnsi" w:cs="Helvetica"/>
                <w:b/>
                <w:color w:val="333333"/>
                <w:sz w:val="18"/>
                <w:szCs w:val="18"/>
              </w:rPr>
              <w:t>3,359</w:t>
            </w:r>
          </w:p>
        </w:tc>
        <w:tc>
          <w:tcPr>
            <w:tcW w:w="1593" w:type="dxa"/>
            <w:shd w:val="clear" w:color="auto" w:fill="auto"/>
            <w:vAlign w:val="center"/>
          </w:tcPr>
          <w:p w:rsidR="00CB0A5F" w:rsidRPr="00890790" w:rsidRDefault="00CB0A5F" w:rsidP="008D2850">
            <w:pPr>
              <w:spacing w:before="120" w:after="120"/>
              <w:jc w:val="right"/>
              <w:rPr>
                <w:rFonts w:asciiTheme="minorHAnsi" w:hAnsiTheme="minorHAnsi" w:cs="Helvetica"/>
                <w:b/>
                <w:color w:val="333333"/>
                <w:sz w:val="18"/>
                <w:szCs w:val="18"/>
              </w:rPr>
            </w:pPr>
            <w:r w:rsidRPr="00890790">
              <w:rPr>
                <w:rFonts w:asciiTheme="minorHAnsi" w:hAnsiTheme="minorHAnsi" w:cs="Helvetica"/>
                <w:b/>
                <w:color w:val="333333"/>
                <w:sz w:val="18"/>
                <w:szCs w:val="18"/>
              </w:rPr>
              <w:t>4,294</w:t>
            </w:r>
          </w:p>
        </w:tc>
        <w:tc>
          <w:tcPr>
            <w:tcW w:w="1667" w:type="dxa"/>
            <w:shd w:val="clear" w:color="auto" w:fill="auto"/>
            <w:vAlign w:val="center"/>
          </w:tcPr>
          <w:p w:rsidR="00CB0A5F" w:rsidRPr="00890790" w:rsidRDefault="00CB0A5F" w:rsidP="008D2850">
            <w:pPr>
              <w:spacing w:before="120" w:after="120"/>
              <w:jc w:val="right"/>
              <w:rPr>
                <w:rFonts w:asciiTheme="minorHAnsi" w:hAnsiTheme="minorHAnsi" w:cs="Helvetica"/>
                <w:b/>
                <w:color w:val="333333"/>
                <w:sz w:val="18"/>
                <w:szCs w:val="18"/>
              </w:rPr>
            </w:pPr>
            <w:r w:rsidRPr="00890790">
              <w:rPr>
                <w:rFonts w:asciiTheme="minorHAnsi" w:hAnsiTheme="minorHAnsi" w:cs="Helvetica"/>
                <w:b/>
                <w:color w:val="333333"/>
                <w:sz w:val="18"/>
                <w:szCs w:val="18"/>
              </w:rPr>
              <w:t>4,973</w:t>
            </w:r>
          </w:p>
        </w:tc>
        <w:tc>
          <w:tcPr>
            <w:tcW w:w="1701" w:type="dxa"/>
            <w:shd w:val="clear" w:color="auto" w:fill="auto"/>
            <w:vAlign w:val="center"/>
          </w:tcPr>
          <w:p w:rsidR="00CB0A5F" w:rsidRPr="00890790" w:rsidRDefault="00CB0A5F" w:rsidP="008D2850">
            <w:pPr>
              <w:spacing w:before="120" w:after="120"/>
              <w:jc w:val="right"/>
              <w:rPr>
                <w:rFonts w:asciiTheme="minorHAnsi" w:hAnsiTheme="minorHAnsi" w:cs="Helvetica"/>
                <w:b/>
                <w:color w:val="333333"/>
                <w:sz w:val="18"/>
                <w:szCs w:val="18"/>
              </w:rPr>
            </w:pPr>
            <w:r w:rsidRPr="00890790">
              <w:rPr>
                <w:rFonts w:asciiTheme="minorHAnsi" w:hAnsiTheme="minorHAnsi" w:cs="Helvetica"/>
                <w:b/>
                <w:color w:val="333333"/>
                <w:sz w:val="18"/>
                <w:szCs w:val="18"/>
              </w:rPr>
              <w:t>4,884</w:t>
            </w:r>
          </w:p>
        </w:tc>
        <w:tc>
          <w:tcPr>
            <w:tcW w:w="1701" w:type="dxa"/>
            <w:shd w:val="clear" w:color="auto" w:fill="auto"/>
            <w:vAlign w:val="center"/>
          </w:tcPr>
          <w:p w:rsidR="00CB0A5F" w:rsidRPr="00CB0A5F" w:rsidRDefault="00C0455D" w:rsidP="008D285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9,294</w:t>
            </w:r>
          </w:p>
        </w:tc>
        <w:tc>
          <w:tcPr>
            <w:tcW w:w="4394" w:type="dxa"/>
            <w:vMerge/>
            <w:shd w:val="clear" w:color="auto" w:fill="auto"/>
          </w:tcPr>
          <w:p w:rsidR="00CB0A5F" w:rsidRPr="00C92149" w:rsidRDefault="00CB0A5F" w:rsidP="00C22FF4">
            <w:pPr>
              <w:spacing w:before="120" w:after="120"/>
              <w:rPr>
                <w:rFonts w:asciiTheme="minorHAnsi" w:hAnsiTheme="minorHAnsi"/>
                <w:b/>
                <w:sz w:val="18"/>
                <w:szCs w:val="18"/>
              </w:rPr>
            </w:pPr>
          </w:p>
        </w:tc>
      </w:tr>
      <w:tr w:rsidR="00CB0A5F" w:rsidRPr="00853117" w:rsidTr="008D2850">
        <w:tc>
          <w:tcPr>
            <w:tcW w:w="2161" w:type="dxa"/>
            <w:shd w:val="clear" w:color="auto" w:fill="auto"/>
          </w:tcPr>
          <w:p w:rsidR="00CB0A5F" w:rsidRPr="00C92149" w:rsidRDefault="00CB0A5F" w:rsidP="00C22FF4">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center"/>
          </w:tcPr>
          <w:p w:rsidR="00CB0A5F" w:rsidRPr="00890790" w:rsidRDefault="003F7D81" w:rsidP="00BC5EE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CB0A5F" w:rsidRPr="00890790">
              <w:rPr>
                <w:rFonts w:asciiTheme="minorHAnsi" w:hAnsiTheme="minorHAnsi" w:cs="Helvetica"/>
                <w:b/>
                <w:color w:val="333333"/>
                <w:sz w:val="18"/>
                <w:szCs w:val="18"/>
              </w:rPr>
              <w:t>%</w:t>
            </w:r>
          </w:p>
        </w:tc>
        <w:tc>
          <w:tcPr>
            <w:tcW w:w="1593" w:type="dxa"/>
            <w:shd w:val="clear" w:color="auto" w:fill="auto"/>
            <w:vAlign w:val="center"/>
          </w:tcPr>
          <w:p w:rsidR="00CB0A5F" w:rsidRPr="00890790" w:rsidRDefault="003F7D81" w:rsidP="008D285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BC5EED">
              <w:rPr>
                <w:rFonts w:asciiTheme="minorHAnsi" w:hAnsiTheme="minorHAnsi" w:cs="Helvetica"/>
                <w:b/>
                <w:color w:val="333333"/>
                <w:sz w:val="18"/>
                <w:szCs w:val="18"/>
              </w:rPr>
              <w:t>2</w:t>
            </w:r>
            <w:r w:rsidR="00CB0A5F" w:rsidRPr="00890790">
              <w:rPr>
                <w:rFonts w:asciiTheme="minorHAnsi" w:hAnsiTheme="minorHAnsi" w:cs="Helvetica"/>
                <w:b/>
                <w:color w:val="333333"/>
                <w:sz w:val="18"/>
                <w:szCs w:val="18"/>
              </w:rPr>
              <w:t>%</w:t>
            </w:r>
          </w:p>
        </w:tc>
        <w:tc>
          <w:tcPr>
            <w:tcW w:w="1667" w:type="dxa"/>
            <w:shd w:val="clear" w:color="auto" w:fill="auto"/>
            <w:vAlign w:val="center"/>
          </w:tcPr>
          <w:p w:rsidR="00CB0A5F" w:rsidRPr="00890790" w:rsidRDefault="003F7D81" w:rsidP="008D285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0.12</w:t>
            </w:r>
            <w:r w:rsidR="00CB0A5F" w:rsidRPr="00890790">
              <w:rPr>
                <w:rFonts w:asciiTheme="minorHAnsi" w:hAnsiTheme="minorHAnsi" w:cs="Helvetica"/>
                <w:b/>
                <w:color w:val="333333"/>
                <w:sz w:val="18"/>
                <w:szCs w:val="18"/>
              </w:rPr>
              <w:t>%</w:t>
            </w:r>
          </w:p>
        </w:tc>
        <w:tc>
          <w:tcPr>
            <w:tcW w:w="1701" w:type="dxa"/>
            <w:shd w:val="clear" w:color="auto" w:fill="auto"/>
            <w:vAlign w:val="center"/>
          </w:tcPr>
          <w:p w:rsidR="00CB0A5F" w:rsidRPr="00890790" w:rsidRDefault="003F7D81" w:rsidP="008D285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BC5EED">
              <w:rPr>
                <w:rFonts w:asciiTheme="minorHAnsi" w:hAnsiTheme="minorHAnsi" w:cs="Helvetica"/>
                <w:b/>
                <w:color w:val="333333"/>
                <w:sz w:val="18"/>
                <w:szCs w:val="18"/>
              </w:rPr>
              <w:t>1</w:t>
            </w:r>
            <w:r w:rsidR="00CB0A5F" w:rsidRPr="00890790">
              <w:rPr>
                <w:rFonts w:asciiTheme="minorHAnsi" w:hAnsiTheme="minorHAnsi" w:cs="Helvetica"/>
                <w:b/>
                <w:color w:val="333333"/>
                <w:sz w:val="18"/>
                <w:szCs w:val="18"/>
              </w:rPr>
              <w:t>%</w:t>
            </w:r>
          </w:p>
        </w:tc>
        <w:tc>
          <w:tcPr>
            <w:tcW w:w="1701" w:type="dxa"/>
            <w:shd w:val="clear" w:color="auto" w:fill="auto"/>
            <w:vAlign w:val="center"/>
          </w:tcPr>
          <w:p w:rsidR="00CB0A5F" w:rsidRPr="00CB0A5F" w:rsidRDefault="00C0455D" w:rsidP="008D285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BC5EED">
              <w:rPr>
                <w:rFonts w:asciiTheme="minorHAnsi" w:hAnsiTheme="minorHAnsi" w:cs="Helvetica"/>
                <w:b/>
                <w:color w:val="333333"/>
                <w:sz w:val="18"/>
                <w:szCs w:val="18"/>
              </w:rPr>
              <w:t>9</w:t>
            </w:r>
            <w:r>
              <w:rPr>
                <w:rFonts w:asciiTheme="minorHAnsi" w:hAnsiTheme="minorHAnsi" w:cs="Helvetica"/>
                <w:b/>
                <w:color w:val="333333"/>
                <w:sz w:val="18"/>
                <w:szCs w:val="18"/>
              </w:rPr>
              <w:t>%</w:t>
            </w:r>
          </w:p>
        </w:tc>
        <w:tc>
          <w:tcPr>
            <w:tcW w:w="4394" w:type="dxa"/>
            <w:vMerge/>
            <w:shd w:val="clear" w:color="auto" w:fill="auto"/>
          </w:tcPr>
          <w:p w:rsidR="00CB0A5F" w:rsidRPr="00C92149" w:rsidRDefault="00CB0A5F" w:rsidP="00C22FF4">
            <w:pPr>
              <w:spacing w:before="120" w:after="120"/>
              <w:rPr>
                <w:rFonts w:asciiTheme="minorHAnsi" w:hAnsiTheme="minorHAnsi"/>
                <w:b/>
                <w:sz w:val="18"/>
                <w:szCs w:val="18"/>
              </w:rPr>
            </w:pPr>
          </w:p>
        </w:tc>
      </w:tr>
      <w:tr w:rsidR="00890790" w:rsidRPr="00021243" w:rsidTr="00C22FF4">
        <w:tc>
          <w:tcPr>
            <w:tcW w:w="14601" w:type="dxa"/>
            <w:gridSpan w:val="7"/>
            <w:shd w:val="clear" w:color="auto" w:fill="F79646" w:themeFill="accent6"/>
          </w:tcPr>
          <w:p w:rsidR="00890790" w:rsidRDefault="001F01BD" w:rsidP="00C22FF4">
            <w:pPr>
              <w:spacing w:before="120" w:after="120"/>
              <w:rPr>
                <w:rFonts w:asciiTheme="minorHAnsi" w:hAnsiTheme="minorHAnsi"/>
                <w:b/>
              </w:rPr>
            </w:pPr>
            <w:r w:rsidRPr="00C22FF4">
              <w:rPr>
                <w:b/>
                <w:szCs w:val="20"/>
              </w:rPr>
              <w:t>Specialist Working Group</w:t>
            </w:r>
            <w:r w:rsidR="00890790">
              <w:rPr>
                <w:rFonts w:asciiTheme="minorHAnsi" w:hAnsiTheme="minorHAnsi"/>
                <w:b/>
              </w:rPr>
              <w:t xml:space="preserve"> knowledge development opportunities and recommendations</w:t>
            </w:r>
            <w:r w:rsidR="00C40DDF">
              <w:rPr>
                <w:rFonts w:asciiTheme="minorHAnsi" w:hAnsiTheme="minorHAnsi"/>
                <w:b/>
              </w:rPr>
              <w:t xml:space="preserve"> relevant to the transition to </w:t>
            </w:r>
            <w:r>
              <w:rPr>
                <w:rFonts w:asciiTheme="minorHAnsi" w:hAnsiTheme="minorHAnsi"/>
                <w:b/>
              </w:rPr>
              <w:t>v</w:t>
            </w:r>
            <w:r w:rsidR="00C40DDF">
              <w:rPr>
                <w:rFonts w:asciiTheme="minorHAnsi" w:hAnsiTheme="minorHAnsi"/>
                <w:b/>
              </w:rPr>
              <w:t>3</w:t>
            </w:r>
            <w:r w:rsidR="00921F0C">
              <w:rPr>
                <w:rFonts w:asciiTheme="minorHAnsi" w:hAnsiTheme="minorHAnsi"/>
                <w:b/>
              </w:rPr>
              <w:t>.0</w:t>
            </w:r>
          </w:p>
        </w:tc>
      </w:tr>
      <w:tr w:rsidR="00890790" w:rsidRPr="00021243" w:rsidTr="00C22FF4">
        <w:tc>
          <w:tcPr>
            <w:tcW w:w="14601" w:type="dxa"/>
            <w:gridSpan w:val="7"/>
            <w:shd w:val="clear" w:color="auto" w:fill="auto"/>
          </w:tcPr>
          <w:p w:rsidR="00890790" w:rsidRPr="002506FF" w:rsidRDefault="00C40DDF" w:rsidP="00C22FF4">
            <w:pPr>
              <w:spacing w:before="120" w:after="120"/>
              <w:rPr>
                <w:rFonts w:asciiTheme="minorHAnsi" w:hAnsiTheme="minorHAnsi"/>
              </w:rPr>
            </w:pPr>
            <w:r>
              <w:rPr>
                <w:rFonts w:asciiTheme="minorHAnsi" w:hAnsiTheme="minorHAnsi"/>
              </w:rPr>
              <w:t>None</w:t>
            </w:r>
            <w:r w:rsidR="008E3FCA">
              <w:rPr>
                <w:rFonts w:asciiTheme="minorHAnsi" w:hAnsiTheme="minorHAnsi"/>
              </w:rPr>
              <w:t xml:space="preserve"> identified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714BCD">
              <w:rPr>
                <w:rFonts w:asciiTheme="minorHAnsi" w:hAnsiTheme="minorHAnsi"/>
                <w:b/>
              </w:rPr>
              <w:t>PUBLIC CONSULTATION</w:t>
            </w:r>
            <w:r>
              <w:rPr>
                <w:rFonts w:asciiTheme="minorHAnsi" w:hAnsiTheme="minorHAnsi"/>
                <w:b/>
              </w:rPr>
              <w:t xml:space="preserve"> DOCUMENT</w:t>
            </w:r>
          </w:p>
          <w:p w:rsidR="000E09C4" w:rsidRPr="00021243" w:rsidRDefault="00714BCD" w:rsidP="002506FF">
            <w:pPr>
              <w:spacing w:before="120" w:after="120"/>
              <w:jc w:val="center"/>
              <w:rPr>
                <w:rFonts w:asciiTheme="minorHAnsi" w:hAnsiTheme="minorHAnsi"/>
                <w:b/>
              </w:rPr>
            </w:pPr>
            <w:r>
              <w:rPr>
                <w:rFonts w:asciiTheme="minorHAnsi" w:hAnsiTheme="minorHAnsi"/>
                <w:b/>
              </w:rPr>
              <w:t>Next review</w:t>
            </w:r>
            <w:r w:rsidR="00C40DDF">
              <w:rPr>
                <w:rFonts w:asciiTheme="minorHAnsi" w:hAnsiTheme="minorHAnsi"/>
                <w:b/>
              </w:rPr>
              <w:t xml:space="preserve">: Twelve to eighteen months from BloodSTAR </w:t>
            </w:r>
            <w:r w:rsidR="000C66F8">
              <w:rPr>
                <w:rFonts w:asciiTheme="minorHAnsi" w:hAnsiTheme="minorHAnsi"/>
                <w:b/>
              </w:rPr>
              <w:t>v</w:t>
            </w:r>
            <w:r w:rsidR="00C40DDF">
              <w:rPr>
                <w:rFonts w:asciiTheme="minorHAnsi" w:hAnsiTheme="minorHAnsi"/>
                <w:b/>
              </w:rPr>
              <w:t>3</w:t>
            </w:r>
            <w:r w:rsidR="00921F0C">
              <w:rPr>
                <w:rFonts w:asciiTheme="minorHAnsi" w:hAnsiTheme="minorHAnsi"/>
                <w:b/>
              </w:rPr>
              <w:t>.0</w:t>
            </w:r>
            <w:r w:rsidR="00C40DDF">
              <w:rPr>
                <w:rFonts w:asciiTheme="minorHAnsi" w:hAnsiTheme="minorHAnsi"/>
                <w:b/>
              </w:rPr>
              <w:t xml:space="preserve"> implementation</w:t>
            </w:r>
          </w:p>
        </w:tc>
      </w:tr>
    </w:tbl>
    <w:p w:rsidR="00F86E0E" w:rsidRPr="00F86E0E" w:rsidRDefault="00F86E0E" w:rsidP="00F86E0E">
      <w:pPr>
        <w:spacing w:after="0" w:line="720" w:lineRule="auto"/>
        <w:rPr>
          <w:sz w:val="2"/>
          <w:szCs w:val="2"/>
        </w:rPr>
      </w:pPr>
    </w:p>
    <w:sectPr w:rsidR="00F86E0E" w:rsidRPr="00F86E0E" w:rsidSect="000E09C4">
      <w:headerReference w:type="first" r:id="rId17"/>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17" w:rsidRPr="00856708" w:rsidRDefault="00853117" w:rsidP="00C92149">
    <w:pPr>
      <w:pStyle w:val="Footer"/>
      <w:tabs>
        <w:tab w:val="clear" w:pos="9026"/>
        <w:tab w:val="right" w:pos="13608"/>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39481"/>
      <w:docPartObj>
        <w:docPartGallery w:val="Page Numbers (Bottom of Page)"/>
        <w:docPartUnique/>
      </w:docPartObj>
    </w:sdtPr>
    <w:sdtEndPr>
      <w:rPr>
        <w:noProof/>
      </w:rPr>
    </w:sdtEndPr>
    <w:sdtContent>
      <w:p w:rsidR="00F86E0E" w:rsidRDefault="00F86E0E">
        <w:pPr>
          <w:pStyle w:val="Footer"/>
          <w:jc w:val="right"/>
        </w:pPr>
        <w:r>
          <w:fldChar w:fldCharType="begin"/>
        </w:r>
        <w:r>
          <w:instrText xml:space="preserve"> PAGE   \* MERGEFORMAT </w:instrText>
        </w:r>
        <w:r>
          <w:fldChar w:fldCharType="separate"/>
        </w:r>
        <w:r w:rsidR="00472722">
          <w:rPr>
            <w:noProof/>
          </w:rPr>
          <w:t>1</w:t>
        </w:r>
        <w:r>
          <w:rPr>
            <w:noProof/>
          </w:rPr>
          <w:fldChar w:fldCharType="end"/>
        </w:r>
      </w:p>
    </w:sdtContent>
  </w:sdt>
  <w:p w:rsidR="005552E6" w:rsidRPr="00F86E0E" w:rsidRDefault="005552E6" w:rsidP="00F86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04" w:rsidRPr="005552E6" w:rsidRDefault="00EF4B22" w:rsidP="00746604">
    <w:pPr>
      <w:pStyle w:val="Footer"/>
      <w:tabs>
        <w:tab w:val="clear" w:pos="9026"/>
        <w:tab w:val="right" w:pos="13608"/>
      </w:tabs>
      <w:rPr>
        <w:sz w:val="20"/>
        <w:szCs w:val="20"/>
      </w:rPr>
    </w:pPr>
    <w:r>
      <w:rPr>
        <w:sz w:val="20"/>
        <w:szCs w:val="20"/>
      </w:rPr>
      <w:t>PUBLIC CONSULTATION 2017</w:t>
    </w:r>
    <w:r w:rsidR="00746604">
      <w:rPr>
        <w:sz w:val="20"/>
        <w:szCs w:val="20"/>
      </w:rPr>
      <w:t xml:space="preserve"> – Susac syndrome </w:t>
    </w:r>
  </w:p>
  <w:p w:rsidR="00F86E0E" w:rsidRPr="005552E6" w:rsidRDefault="00F86E0E" w:rsidP="00F86E0E">
    <w:pPr>
      <w:pStyle w:val="Footer"/>
      <w:tabs>
        <w:tab w:val="clear" w:pos="9026"/>
        <w:tab w:val="right" w:pos="13608"/>
      </w:tabs>
      <w:rPr>
        <w:sz w:val="20"/>
        <w:szCs w:val="20"/>
      </w:rPr>
    </w:pPr>
  </w:p>
  <w:p w:rsidR="00F86E0E" w:rsidRDefault="00F86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0E" w:rsidRPr="005552E6" w:rsidRDefault="00EF4B22" w:rsidP="00F86E0E">
    <w:pPr>
      <w:pStyle w:val="Footer"/>
      <w:tabs>
        <w:tab w:val="clear" w:pos="9026"/>
        <w:tab w:val="right" w:pos="13608"/>
      </w:tabs>
      <w:rPr>
        <w:sz w:val="20"/>
        <w:szCs w:val="20"/>
      </w:rPr>
    </w:pPr>
    <w:r>
      <w:rPr>
        <w:sz w:val="20"/>
        <w:szCs w:val="20"/>
      </w:rPr>
      <w:t>PUBLIC CONSULTATION 2017</w:t>
    </w:r>
    <w:r w:rsidR="00F86E0E">
      <w:rPr>
        <w:sz w:val="20"/>
        <w:szCs w:val="20"/>
      </w:rPr>
      <w:t xml:space="preserve"> – Susac syndrome </w:t>
    </w:r>
  </w:p>
  <w:p w:rsidR="00F86E0E" w:rsidRDefault="00F86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Default="000647DD">
    <w:pPr>
      <w:pStyle w:val="Header"/>
    </w:pPr>
    <w:r>
      <w:rPr>
        <w:sz w:val="20"/>
        <w:szCs w:val="20"/>
      </w:rPr>
      <w:t>PUBLIC CONSULTATION 2017 – Susac syndrome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FD21FD"/>
    <w:multiLevelType w:val="hybridMultilevel"/>
    <w:tmpl w:val="432ECA2C"/>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8">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E5213E0"/>
    <w:multiLevelType w:val="hybridMultilevel"/>
    <w:tmpl w:val="32E85136"/>
    <w:lvl w:ilvl="0" w:tplc="BAA4A700">
      <w:start w:val="6"/>
      <w:numFmt w:val="bullet"/>
      <w:lvlText w:val="-"/>
      <w:lvlJc w:val="left"/>
      <w:pPr>
        <w:ind w:left="1440" w:hanging="360"/>
      </w:pPr>
      <w:rPr>
        <w:rFonts w:ascii="Calibri" w:eastAsia="Dotum"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8"/>
  </w:num>
  <w:num w:numId="5">
    <w:abstractNumId w:val="16"/>
  </w:num>
  <w:num w:numId="6">
    <w:abstractNumId w:val="2"/>
  </w:num>
  <w:num w:numId="7">
    <w:abstractNumId w:val="1"/>
  </w:num>
  <w:num w:numId="8">
    <w:abstractNumId w:val="4"/>
  </w:num>
  <w:num w:numId="9">
    <w:abstractNumId w:val="0"/>
  </w:num>
  <w:num w:numId="10">
    <w:abstractNumId w:val="42"/>
  </w:num>
  <w:num w:numId="11">
    <w:abstractNumId w:val="28"/>
  </w:num>
  <w:num w:numId="12">
    <w:abstractNumId w:val="34"/>
  </w:num>
  <w:num w:numId="13">
    <w:abstractNumId w:val="13"/>
  </w:num>
  <w:num w:numId="14">
    <w:abstractNumId w:val="21"/>
  </w:num>
  <w:num w:numId="15">
    <w:abstractNumId w:val="12"/>
  </w:num>
  <w:num w:numId="16">
    <w:abstractNumId w:val="37"/>
  </w:num>
  <w:num w:numId="17">
    <w:abstractNumId w:val="5"/>
  </w:num>
  <w:num w:numId="18">
    <w:abstractNumId w:val="17"/>
  </w:num>
  <w:num w:numId="19">
    <w:abstractNumId w:val="32"/>
  </w:num>
  <w:num w:numId="20">
    <w:abstractNumId w:val="44"/>
  </w:num>
  <w:num w:numId="21">
    <w:abstractNumId w:val="14"/>
  </w:num>
  <w:num w:numId="22">
    <w:abstractNumId w:val="33"/>
  </w:num>
  <w:num w:numId="23">
    <w:abstractNumId w:val="11"/>
  </w:num>
  <w:num w:numId="24">
    <w:abstractNumId w:val="3"/>
  </w:num>
  <w:num w:numId="25">
    <w:abstractNumId w:val="35"/>
  </w:num>
  <w:num w:numId="26">
    <w:abstractNumId w:val="24"/>
  </w:num>
  <w:num w:numId="27">
    <w:abstractNumId w:val="40"/>
  </w:num>
  <w:num w:numId="28">
    <w:abstractNumId w:val="29"/>
  </w:num>
  <w:num w:numId="29">
    <w:abstractNumId w:val="30"/>
  </w:num>
  <w:num w:numId="30">
    <w:abstractNumId w:val="9"/>
  </w:num>
  <w:num w:numId="31">
    <w:abstractNumId w:val="10"/>
  </w:num>
  <w:num w:numId="32">
    <w:abstractNumId w:val="27"/>
  </w:num>
  <w:num w:numId="33">
    <w:abstractNumId w:val="43"/>
  </w:num>
  <w:num w:numId="34">
    <w:abstractNumId w:val="20"/>
  </w:num>
  <w:num w:numId="35">
    <w:abstractNumId w:val="31"/>
  </w:num>
  <w:num w:numId="36">
    <w:abstractNumId w:val="19"/>
  </w:num>
  <w:num w:numId="37">
    <w:abstractNumId w:val="15"/>
  </w:num>
  <w:num w:numId="38">
    <w:abstractNumId w:val="23"/>
  </w:num>
  <w:num w:numId="39">
    <w:abstractNumId w:val="26"/>
  </w:num>
  <w:num w:numId="40">
    <w:abstractNumId w:val="8"/>
  </w:num>
  <w:num w:numId="41">
    <w:abstractNumId w:val="39"/>
  </w:num>
  <w:num w:numId="42">
    <w:abstractNumId w:val="41"/>
  </w:num>
  <w:num w:numId="43">
    <w:abstractNumId w:val="25"/>
  </w:num>
  <w:num w:numId="44">
    <w:abstractNumId w:val="6"/>
  </w:num>
  <w:num w:numId="45">
    <w:abstractNumId w:val="45"/>
  </w:num>
  <w:num w:numId="46">
    <w:abstractNumId w:val="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1440"/>
    <w:rsid w:val="00022A4A"/>
    <w:rsid w:val="00027EB0"/>
    <w:rsid w:val="0003589D"/>
    <w:rsid w:val="00036EDC"/>
    <w:rsid w:val="000409E9"/>
    <w:rsid w:val="000647DD"/>
    <w:rsid w:val="0007639A"/>
    <w:rsid w:val="000A3A69"/>
    <w:rsid w:val="000A65C9"/>
    <w:rsid w:val="000B27A7"/>
    <w:rsid w:val="000B3BCF"/>
    <w:rsid w:val="000C66F8"/>
    <w:rsid w:val="000E09C4"/>
    <w:rsid w:val="000E4D1E"/>
    <w:rsid w:val="000E6B40"/>
    <w:rsid w:val="00153753"/>
    <w:rsid w:val="00165F48"/>
    <w:rsid w:val="0017270F"/>
    <w:rsid w:val="001849B2"/>
    <w:rsid w:val="00184E12"/>
    <w:rsid w:val="00186CF7"/>
    <w:rsid w:val="00190326"/>
    <w:rsid w:val="001A2460"/>
    <w:rsid w:val="001A526B"/>
    <w:rsid w:val="001C45B4"/>
    <w:rsid w:val="001C5B96"/>
    <w:rsid w:val="001E102B"/>
    <w:rsid w:val="001E4ADF"/>
    <w:rsid w:val="001F01BD"/>
    <w:rsid w:val="0021213D"/>
    <w:rsid w:val="00216823"/>
    <w:rsid w:val="00222572"/>
    <w:rsid w:val="002306B2"/>
    <w:rsid w:val="00236B19"/>
    <w:rsid w:val="00240825"/>
    <w:rsid w:val="002506FF"/>
    <w:rsid w:val="002537F2"/>
    <w:rsid w:val="00255740"/>
    <w:rsid w:val="00275679"/>
    <w:rsid w:val="00282F66"/>
    <w:rsid w:val="00290BBD"/>
    <w:rsid w:val="002936DD"/>
    <w:rsid w:val="00295CD3"/>
    <w:rsid w:val="002A7B14"/>
    <w:rsid w:val="002C1C45"/>
    <w:rsid w:val="002C7E91"/>
    <w:rsid w:val="002D2007"/>
    <w:rsid w:val="002F3325"/>
    <w:rsid w:val="002F5B8F"/>
    <w:rsid w:val="00304DC3"/>
    <w:rsid w:val="00320BEB"/>
    <w:rsid w:val="0032635E"/>
    <w:rsid w:val="00327526"/>
    <w:rsid w:val="0033060E"/>
    <w:rsid w:val="00395032"/>
    <w:rsid w:val="003A1F9D"/>
    <w:rsid w:val="003D1795"/>
    <w:rsid w:val="003D27F1"/>
    <w:rsid w:val="003D36F0"/>
    <w:rsid w:val="003E3235"/>
    <w:rsid w:val="003F11F8"/>
    <w:rsid w:val="003F7D81"/>
    <w:rsid w:val="00400498"/>
    <w:rsid w:val="00403201"/>
    <w:rsid w:val="004168FE"/>
    <w:rsid w:val="00433C78"/>
    <w:rsid w:val="00445EDE"/>
    <w:rsid w:val="00447869"/>
    <w:rsid w:val="00454FA8"/>
    <w:rsid w:val="00460325"/>
    <w:rsid w:val="00463B0C"/>
    <w:rsid w:val="00472722"/>
    <w:rsid w:val="0047615E"/>
    <w:rsid w:val="004856E4"/>
    <w:rsid w:val="004878CD"/>
    <w:rsid w:val="004A10A2"/>
    <w:rsid w:val="004B14F4"/>
    <w:rsid w:val="004B685C"/>
    <w:rsid w:val="004D4636"/>
    <w:rsid w:val="004E4A52"/>
    <w:rsid w:val="005023CE"/>
    <w:rsid w:val="00524721"/>
    <w:rsid w:val="00525C51"/>
    <w:rsid w:val="00531E6D"/>
    <w:rsid w:val="00540020"/>
    <w:rsid w:val="00543C69"/>
    <w:rsid w:val="005546AE"/>
    <w:rsid w:val="005552E6"/>
    <w:rsid w:val="005629EE"/>
    <w:rsid w:val="00584BEC"/>
    <w:rsid w:val="005851ED"/>
    <w:rsid w:val="005960E7"/>
    <w:rsid w:val="005B26A7"/>
    <w:rsid w:val="005D2C3D"/>
    <w:rsid w:val="005E04F6"/>
    <w:rsid w:val="00602D7D"/>
    <w:rsid w:val="006201B1"/>
    <w:rsid w:val="00631EAB"/>
    <w:rsid w:val="006427C2"/>
    <w:rsid w:val="00642A5C"/>
    <w:rsid w:val="00644285"/>
    <w:rsid w:val="006521FA"/>
    <w:rsid w:val="00657F36"/>
    <w:rsid w:val="006627B5"/>
    <w:rsid w:val="006631E9"/>
    <w:rsid w:val="00666AA5"/>
    <w:rsid w:val="00670D34"/>
    <w:rsid w:val="006855AF"/>
    <w:rsid w:val="00695219"/>
    <w:rsid w:val="006B0323"/>
    <w:rsid w:val="006B4C33"/>
    <w:rsid w:val="006D2521"/>
    <w:rsid w:val="006D2FA8"/>
    <w:rsid w:val="006D36A9"/>
    <w:rsid w:val="006F1FA7"/>
    <w:rsid w:val="006F485E"/>
    <w:rsid w:val="00702EB0"/>
    <w:rsid w:val="00714BCD"/>
    <w:rsid w:val="00746604"/>
    <w:rsid w:val="00752C33"/>
    <w:rsid w:val="0075469F"/>
    <w:rsid w:val="00763521"/>
    <w:rsid w:val="00787242"/>
    <w:rsid w:val="007B0C7B"/>
    <w:rsid w:val="007B2100"/>
    <w:rsid w:val="007C7B0F"/>
    <w:rsid w:val="007F3022"/>
    <w:rsid w:val="008041F6"/>
    <w:rsid w:val="0080633B"/>
    <w:rsid w:val="00832D0D"/>
    <w:rsid w:val="00847EC8"/>
    <w:rsid w:val="008515FF"/>
    <w:rsid w:val="00853117"/>
    <w:rsid w:val="00856708"/>
    <w:rsid w:val="008612AB"/>
    <w:rsid w:val="00880ECB"/>
    <w:rsid w:val="00890790"/>
    <w:rsid w:val="00893E0A"/>
    <w:rsid w:val="00896241"/>
    <w:rsid w:val="008B1889"/>
    <w:rsid w:val="008B2ABB"/>
    <w:rsid w:val="008D1BBB"/>
    <w:rsid w:val="008D2850"/>
    <w:rsid w:val="008E2C19"/>
    <w:rsid w:val="008E3FCA"/>
    <w:rsid w:val="008F617A"/>
    <w:rsid w:val="00901446"/>
    <w:rsid w:val="00901F76"/>
    <w:rsid w:val="009025B7"/>
    <w:rsid w:val="009208EC"/>
    <w:rsid w:val="00921F0C"/>
    <w:rsid w:val="00933536"/>
    <w:rsid w:val="009347BC"/>
    <w:rsid w:val="0093594E"/>
    <w:rsid w:val="00951B85"/>
    <w:rsid w:val="00982D63"/>
    <w:rsid w:val="009B04BD"/>
    <w:rsid w:val="009B08A8"/>
    <w:rsid w:val="009C1E09"/>
    <w:rsid w:val="009E38CC"/>
    <w:rsid w:val="009F4509"/>
    <w:rsid w:val="00A0276B"/>
    <w:rsid w:val="00A0352E"/>
    <w:rsid w:val="00A05745"/>
    <w:rsid w:val="00A23D1D"/>
    <w:rsid w:val="00A31C82"/>
    <w:rsid w:val="00A357C4"/>
    <w:rsid w:val="00A57D60"/>
    <w:rsid w:val="00A7510F"/>
    <w:rsid w:val="00A80A19"/>
    <w:rsid w:val="00A81C38"/>
    <w:rsid w:val="00AA19C1"/>
    <w:rsid w:val="00AA48C6"/>
    <w:rsid w:val="00AB120F"/>
    <w:rsid w:val="00AD086B"/>
    <w:rsid w:val="00AD4362"/>
    <w:rsid w:val="00AE5015"/>
    <w:rsid w:val="00AE63FA"/>
    <w:rsid w:val="00AF4D6E"/>
    <w:rsid w:val="00B27930"/>
    <w:rsid w:val="00B35BD7"/>
    <w:rsid w:val="00B3726E"/>
    <w:rsid w:val="00B41084"/>
    <w:rsid w:val="00B83FB7"/>
    <w:rsid w:val="00BA76E3"/>
    <w:rsid w:val="00BC5EED"/>
    <w:rsid w:val="00BD5F7E"/>
    <w:rsid w:val="00BD6C2D"/>
    <w:rsid w:val="00BD7111"/>
    <w:rsid w:val="00BD735D"/>
    <w:rsid w:val="00BE305F"/>
    <w:rsid w:val="00C0455D"/>
    <w:rsid w:val="00C21002"/>
    <w:rsid w:val="00C22FF4"/>
    <w:rsid w:val="00C24E0B"/>
    <w:rsid w:val="00C30FD5"/>
    <w:rsid w:val="00C34D27"/>
    <w:rsid w:val="00C364CA"/>
    <w:rsid w:val="00C40DDF"/>
    <w:rsid w:val="00C51E04"/>
    <w:rsid w:val="00C92149"/>
    <w:rsid w:val="00CA4321"/>
    <w:rsid w:val="00CB0A5F"/>
    <w:rsid w:val="00CB47C1"/>
    <w:rsid w:val="00CB50C5"/>
    <w:rsid w:val="00CC0C42"/>
    <w:rsid w:val="00CC12B9"/>
    <w:rsid w:val="00CD5856"/>
    <w:rsid w:val="00CD5DC5"/>
    <w:rsid w:val="00CD7B8A"/>
    <w:rsid w:val="00D10627"/>
    <w:rsid w:val="00D15A96"/>
    <w:rsid w:val="00D1613A"/>
    <w:rsid w:val="00D16B82"/>
    <w:rsid w:val="00D17E7A"/>
    <w:rsid w:val="00D17FEC"/>
    <w:rsid w:val="00D24193"/>
    <w:rsid w:val="00D67CFD"/>
    <w:rsid w:val="00D874FD"/>
    <w:rsid w:val="00D96987"/>
    <w:rsid w:val="00DB17C2"/>
    <w:rsid w:val="00DB1925"/>
    <w:rsid w:val="00DD166F"/>
    <w:rsid w:val="00E05ACC"/>
    <w:rsid w:val="00E06014"/>
    <w:rsid w:val="00E337E6"/>
    <w:rsid w:val="00E35B57"/>
    <w:rsid w:val="00E62E16"/>
    <w:rsid w:val="00E672AA"/>
    <w:rsid w:val="00E712B5"/>
    <w:rsid w:val="00E75ACE"/>
    <w:rsid w:val="00E760C3"/>
    <w:rsid w:val="00E91CD6"/>
    <w:rsid w:val="00EA2E82"/>
    <w:rsid w:val="00EB0012"/>
    <w:rsid w:val="00EB78FB"/>
    <w:rsid w:val="00EC0889"/>
    <w:rsid w:val="00EF4B22"/>
    <w:rsid w:val="00F34862"/>
    <w:rsid w:val="00F42816"/>
    <w:rsid w:val="00F66136"/>
    <w:rsid w:val="00F70578"/>
    <w:rsid w:val="00F7201E"/>
    <w:rsid w:val="00F86E0E"/>
    <w:rsid w:val="00FC0E9B"/>
    <w:rsid w:val="00FC5CB0"/>
    <w:rsid w:val="00FD2CCD"/>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E05A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E05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 w:id="21221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labs/articles/1743558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cbi.nlm.nih.gov/pubmed/267153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cbi.nlm.nih.gov/pubmed/22221557"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17052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D5D2-BA81-4A54-8862-536C4E04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2170</Words>
  <Characters>12369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2017-04-10T05:51:00Z</cp:lastPrinted>
  <dcterms:created xsi:type="dcterms:W3CDTF">2017-09-08T03:08:00Z</dcterms:created>
  <dcterms:modified xsi:type="dcterms:W3CDTF">2017-09-08T03:08:00Z</dcterms:modified>
</cp:coreProperties>
</file>