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9F679D" w:rsidRDefault="00A42333" w:rsidP="009F679D">
      <w:pPr>
        <w:pStyle w:val="Heading3"/>
        <w:ind w:left="-284"/>
        <w:rPr>
          <w:color w:val="auto"/>
        </w:rPr>
      </w:pPr>
      <w:bookmarkStart w:id="0" w:name="_GoBack"/>
      <w:bookmarkEnd w:id="0"/>
      <w:r w:rsidRPr="009F679D">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679"/>
        <w:gridCol w:w="9922"/>
      </w:tblGrid>
      <w:tr w:rsidR="008612AB" w:rsidRPr="00447869" w:rsidTr="00832D0D">
        <w:trPr>
          <w:tblHeader/>
        </w:trPr>
        <w:tc>
          <w:tcPr>
            <w:tcW w:w="14601" w:type="dxa"/>
            <w:gridSpan w:val="2"/>
            <w:shd w:val="clear" w:color="auto" w:fill="DBE5F1" w:themeFill="accent1" w:themeFillTint="33"/>
          </w:tcPr>
          <w:p w:rsidR="008612AB" w:rsidRPr="00447869" w:rsidRDefault="00A42333" w:rsidP="00A2500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32D0D">
              <w:rPr>
                <w:rFonts w:asciiTheme="minorHAnsi" w:eastAsia="Times New Roman" w:hAnsiTheme="minorHAnsi" w:cs="Times New Roman"/>
                <w:b/>
                <w:bCs/>
                <w:lang w:eastAsia="en-AU"/>
              </w:rPr>
              <w:t xml:space="preserve"> </w:t>
            </w:r>
            <w:r w:rsidR="002C7DBC" w:rsidRPr="002C7DBC">
              <w:rPr>
                <w:rFonts w:asciiTheme="minorHAnsi" w:eastAsia="Times New Roman" w:hAnsiTheme="minorHAnsi" w:cs="Times New Roman"/>
                <w:b/>
                <w:bCs/>
                <w:lang w:eastAsia="en-AU"/>
              </w:rPr>
              <w:t>Systemic capillary leak syndrome</w:t>
            </w:r>
            <w:r w:rsidR="00A2500F">
              <w:rPr>
                <w:rFonts w:asciiTheme="minorHAnsi" w:eastAsia="Times New Roman" w:hAnsiTheme="minorHAnsi" w:cs="Times New Roman"/>
                <w:b/>
                <w:bCs/>
                <w:lang w:eastAsia="en-AU"/>
              </w:rPr>
              <w:t xml:space="preserve"> (SCLS)</w:t>
            </w:r>
          </w:p>
        </w:tc>
      </w:tr>
      <w:tr w:rsidR="00642A5C" w:rsidRPr="00447869" w:rsidTr="006362D3">
        <w:trPr>
          <w:tblHeader/>
        </w:trPr>
        <w:tc>
          <w:tcPr>
            <w:tcW w:w="4679" w:type="dxa"/>
            <w:shd w:val="clear" w:color="auto" w:fill="auto"/>
          </w:tcPr>
          <w:p w:rsidR="003E3235" w:rsidRPr="009F679D" w:rsidRDefault="00A42333" w:rsidP="00A42333">
            <w:pPr>
              <w:spacing w:before="120" w:after="120"/>
              <w:rPr>
                <w:rFonts w:asciiTheme="minorHAnsi" w:eastAsia="Times New Roman" w:hAnsiTheme="minorHAnsi" w:cs="Times New Roman"/>
                <w:b/>
                <w:bCs/>
                <w:lang w:eastAsia="en-AU"/>
              </w:rPr>
            </w:pPr>
            <w:r w:rsidRPr="009F679D">
              <w:rPr>
                <w:rFonts w:asciiTheme="minorHAnsi" w:eastAsia="Times New Roman" w:hAnsiTheme="minorHAnsi" w:cs="Times New Roman"/>
                <w:b/>
                <w:bCs/>
                <w:lang w:eastAsia="en-AU"/>
              </w:rPr>
              <w:t>PROPOSED APPROACH:</w:t>
            </w:r>
          </w:p>
          <w:p w:rsidR="00A42333" w:rsidRPr="00C92149" w:rsidRDefault="00A42333" w:rsidP="00A42333">
            <w:pPr>
              <w:spacing w:before="120" w:after="120"/>
              <w:rPr>
                <w:rFonts w:asciiTheme="minorHAnsi" w:eastAsia="Times New Roman" w:hAnsiTheme="minorHAnsi" w:cs="Times New Roman"/>
                <w:bCs/>
                <w:lang w:eastAsia="en-AU"/>
              </w:rPr>
            </w:pPr>
            <w:r w:rsidRPr="009F679D">
              <w:rPr>
                <w:rFonts w:asciiTheme="minorHAnsi" w:eastAsia="Times New Roman" w:hAnsiTheme="minorHAnsi" w:cs="Times New Roman"/>
                <w:b/>
                <w:bCs/>
                <w:lang w:eastAsia="en-AU"/>
              </w:rPr>
              <w:t xml:space="preserve">To retain </w:t>
            </w:r>
            <w:r w:rsidRPr="00A42333">
              <w:rPr>
                <w:rFonts w:asciiTheme="minorHAnsi" w:eastAsia="Times New Roman" w:hAnsiTheme="minorHAnsi" w:cs="Times New Roman"/>
                <w:b/>
                <w:bCs/>
                <w:lang w:eastAsia="en-AU"/>
              </w:rPr>
              <w:t xml:space="preserve">Systemic capillary leak syndrome in </w:t>
            </w:r>
            <w:r w:rsidRPr="009F679D">
              <w:rPr>
                <w:rFonts w:asciiTheme="minorHAnsi" w:eastAsia="Times New Roman" w:hAnsiTheme="minorHAnsi" w:cs="Times New Roman"/>
                <w:b/>
                <w:bCs/>
                <w:i/>
                <w:lang w:eastAsia="en-AU"/>
              </w:rPr>
              <w:t>Exceptional circumstances only</w:t>
            </w:r>
            <w:r w:rsidRPr="00A42333">
              <w:rPr>
                <w:rFonts w:asciiTheme="minorHAnsi" w:eastAsia="Times New Roman" w:hAnsiTheme="minorHAnsi" w:cs="Times New Roman"/>
                <w:b/>
                <w:bCs/>
                <w:lang w:eastAsia="en-AU"/>
              </w:rPr>
              <w:t xml:space="preserve"> with the </w:t>
            </w:r>
            <w:r w:rsidR="00B052F8" w:rsidRPr="00A42333">
              <w:rPr>
                <w:rFonts w:asciiTheme="minorHAnsi" w:eastAsia="Times New Roman" w:hAnsiTheme="minorHAnsi" w:cs="Times New Roman"/>
                <w:b/>
                <w:bCs/>
                <w:lang w:eastAsia="en-AU"/>
              </w:rPr>
              <w:t xml:space="preserve">changes </w:t>
            </w:r>
            <w:r w:rsidR="00B052F8">
              <w:rPr>
                <w:rFonts w:asciiTheme="minorHAnsi" w:eastAsia="Times New Roman" w:hAnsiTheme="minorHAnsi" w:cs="Times New Roman"/>
                <w:b/>
                <w:bCs/>
                <w:lang w:eastAsia="en-AU"/>
              </w:rPr>
              <w:t>as</w:t>
            </w:r>
            <w:r w:rsidR="00741277">
              <w:rPr>
                <w:rFonts w:asciiTheme="minorHAnsi" w:eastAsia="Times New Roman" w:hAnsiTheme="minorHAnsi" w:cs="Times New Roman"/>
                <w:b/>
                <w:bCs/>
                <w:lang w:eastAsia="en-AU"/>
              </w:rPr>
              <w:t xml:space="preserve"> </w:t>
            </w:r>
            <w:r w:rsidRPr="00A42333">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9922"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D829D7" w:rsidRDefault="00D829D7" w:rsidP="00D829D7">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BB7245" w:rsidRDefault="00BB7245" w:rsidP="00E415BE">
            <w:pPr>
              <w:pStyle w:val="ListParagraph"/>
              <w:numPr>
                <w:ilvl w:val="0"/>
                <w:numId w:val="4"/>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SCLS is an extremely rare and life threatening condition </w:t>
            </w:r>
            <w:r w:rsidR="00FD0309">
              <w:rPr>
                <w:rFonts w:asciiTheme="minorHAnsi" w:eastAsia="Times New Roman" w:hAnsiTheme="minorHAnsi" w:cs="Times New Roman"/>
                <w:bCs/>
                <w:lang w:eastAsia="en-AU"/>
              </w:rPr>
              <w:t>of unknown aetiology</w:t>
            </w:r>
            <w:r w:rsidR="002445E2">
              <w:rPr>
                <w:rFonts w:asciiTheme="minorHAnsi" w:eastAsia="Times New Roman" w:hAnsiTheme="minorHAnsi" w:cs="Times New Roman"/>
                <w:bCs/>
                <w:lang w:eastAsia="en-AU"/>
              </w:rPr>
              <w:t>.</w:t>
            </w:r>
          </w:p>
          <w:p w:rsidR="004D7D22" w:rsidRDefault="004D7D22" w:rsidP="00E415BE">
            <w:pPr>
              <w:pStyle w:val="ListParagraph"/>
              <w:numPr>
                <w:ilvl w:val="0"/>
                <w:numId w:val="4"/>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For prevention of recurrent episodes, Ig therapy is regarded as first line treatment internationall</w:t>
            </w:r>
            <w:r w:rsidR="00431B13">
              <w:rPr>
                <w:rFonts w:asciiTheme="minorHAnsi" w:eastAsia="Times New Roman" w:hAnsiTheme="minorHAnsi" w:cs="Times New Roman"/>
                <w:bCs/>
                <w:lang w:eastAsia="en-AU"/>
              </w:rPr>
              <w:t xml:space="preserve">y (Druey </w:t>
            </w:r>
            <w:r w:rsidR="006362D3">
              <w:rPr>
                <w:rFonts w:asciiTheme="minorHAnsi" w:eastAsia="Times New Roman" w:hAnsiTheme="minorHAnsi" w:cs="Times New Roman"/>
                <w:bCs/>
                <w:lang w:eastAsia="en-AU"/>
              </w:rPr>
              <w:t>et al</w:t>
            </w:r>
            <w:r w:rsidR="00431B13">
              <w:rPr>
                <w:rFonts w:asciiTheme="minorHAnsi" w:eastAsia="Times New Roman" w:hAnsiTheme="minorHAnsi" w:cs="Times New Roman"/>
                <w:bCs/>
                <w:lang w:eastAsia="en-AU"/>
              </w:rPr>
              <w:t>, 2010)</w:t>
            </w:r>
            <w:r>
              <w:rPr>
                <w:rFonts w:asciiTheme="minorHAnsi" w:eastAsia="Times New Roman" w:hAnsiTheme="minorHAnsi" w:cs="Times New Roman"/>
                <w:bCs/>
                <w:lang w:eastAsia="en-AU"/>
              </w:rPr>
              <w:t xml:space="preserve">. </w:t>
            </w:r>
          </w:p>
          <w:p w:rsidR="003457EC" w:rsidRDefault="00BB7245" w:rsidP="00BB7245">
            <w:pPr>
              <w:pStyle w:val="ListParagraph"/>
              <w:numPr>
                <w:ilvl w:val="0"/>
                <w:numId w:val="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Well documented studies have established that prophylactic Ig therapy can effectively reduce the number of acute episodes for extended periods (years)</w:t>
            </w:r>
            <w:r w:rsidR="002445E2">
              <w:rPr>
                <w:rFonts w:asciiTheme="minorHAnsi" w:eastAsia="Times New Roman" w:hAnsiTheme="minorHAnsi" w:cs="Times New Roman"/>
                <w:bCs/>
                <w:lang w:eastAsia="en-AU"/>
              </w:rPr>
              <w:t xml:space="preserve"> and therefore, be life-</w:t>
            </w:r>
            <w:r w:rsidR="00FD0309">
              <w:rPr>
                <w:rFonts w:asciiTheme="minorHAnsi" w:eastAsia="Times New Roman" w:hAnsiTheme="minorHAnsi" w:cs="Times New Roman"/>
                <w:bCs/>
                <w:lang w:eastAsia="en-AU"/>
              </w:rPr>
              <w:t>saving</w:t>
            </w:r>
            <w:r w:rsidR="00DB21FB">
              <w:rPr>
                <w:rFonts w:asciiTheme="minorHAnsi" w:eastAsia="Times New Roman" w:hAnsiTheme="minorHAnsi" w:cs="Times New Roman"/>
                <w:bCs/>
                <w:lang w:eastAsia="en-AU"/>
              </w:rPr>
              <w:t xml:space="preserve"> (Xie et al, 2015; Abueguen et al</w:t>
            </w:r>
            <w:r w:rsidR="00431B13">
              <w:rPr>
                <w:rFonts w:asciiTheme="minorHAnsi" w:eastAsia="Times New Roman" w:hAnsiTheme="minorHAnsi" w:cs="Times New Roman"/>
                <w:bCs/>
                <w:lang w:eastAsia="en-AU"/>
              </w:rPr>
              <w:t xml:space="preserve">, 2010; Druey </w:t>
            </w:r>
            <w:r w:rsidR="006362D3">
              <w:rPr>
                <w:rFonts w:asciiTheme="minorHAnsi" w:eastAsia="Times New Roman" w:hAnsiTheme="minorHAnsi" w:cs="Times New Roman"/>
                <w:bCs/>
                <w:lang w:eastAsia="en-AU"/>
              </w:rPr>
              <w:t>et al</w:t>
            </w:r>
            <w:r w:rsidR="00DB21FB">
              <w:rPr>
                <w:rFonts w:asciiTheme="minorHAnsi" w:eastAsia="Times New Roman" w:hAnsiTheme="minorHAnsi" w:cs="Times New Roman"/>
                <w:bCs/>
                <w:lang w:eastAsia="en-AU"/>
              </w:rPr>
              <w:t>, 2010 and Gousseff et al</w:t>
            </w:r>
            <w:r w:rsidR="00431B13">
              <w:rPr>
                <w:rFonts w:asciiTheme="minorHAnsi" w:eastAsia="Times New Roman" w:hAnsiTheme="minorHAnsi" w:cs="Times New Roman"/>
                <w:bCs/>
                <w:lang w:eastAsia="en-AU"/>
              </w:rPr>
              <w:t>, 2011).</w:t>
            </w:r>
          </w:p>
          <w:p w:rsidR="00FF4718" w:rsidRPr="004B258D" w:rsidRDefault="004B258D" w:rsidP="00087114">
            <w:pPr>
              <w:pStyle w:val="ListParagraph"/>
              <w:numPr>
                <w:ilvl w:val="0"/>
                <w:numId w:val="4"/>
              </w:numPr>
              <w:rPr>
                <w:rFonts w:asciiTheme="minorHAnsi" w:eastAsia="Times New Roman" w:hAnsiTheme="minorHAnsi" w:cs="Times New Roman"/>
                <w:bCs/>
                <w:lang w:eastAsia="en-AU"/>
              </w:rPr>
            </w:pPr>
            <w:r w:rsidRPr="004B258D">
              <w:rPr>
                <w:rFonts w:asciiTheme="minorHAnsi" w:eastAsia="Times New Roman" w:hAnsiTheme="minorHAnsi" w:cs="Times New Roman"/>
                <w:bCs/>
                <w:lang w:eastAsia="en-AU"/>
              </w:rPr>
              <w:t xml:space="preserve">While not formally listed in the UK (UK Department of Health, 2011) or Canadian (Ontario Regional Blood Coordinating Network, 2016) guidelines that recommend access to funded Ig therapy, it is considered appropriate to continue to be available for exceptional use by the small group of patients in Australia affected by this rare and life threatening condition. </w:t>
            </w:r>
          </w:p>
        </w:tc>
      </w:tr>
      <w:tr w:rsidR="00631EAB" w:rsidRPr="00447869" w:rsidTr="008612AB">
        <w:trPr>
          <w:tblHeader/>
        </w:trPr>
        <w:tc>
          <w:tcPr>
            <w:tcW w:w="14601" w:type="dxa"/>
            <w:gridSpan w:val="2"/>
            <w:shd w:val="clear" w:color="auto" w:fill="auto"/>
          </w:tcPr>
          <w:p w:rsidR="00631EAB" w:rsidRDefault="00A42333"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FF03A0">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9F679D" w:rsidRDefault="009F679D"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tc>
      </w:tr>
      <w:tr w:rsidR="008612AB" w:rsidRPr="00447869" w:rsidTr="008612AB">
        <w:trPr>
          <w:tblHeader/>
        </w:trPr>
        <w:tc>
          <w:tcPr>
            <w:tcW w:w="14601" w:type="dxa"/>
            <w:gridSpan w:val="2"/>
            <w:shd w:val="clear" w:color="auto" w:fill="auto"/>
          </w:tcPr>
          <w:p w:rsidR="008612AB" w:rsidRDefault="008612AB" w:rsidP="000A300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Role of Ig therapy:</w:t>
            </w:r>
            <w:r w:rsidR="000A300B">
              <w:rPr>
                <w:rFonts w:asciiTheme="minorHAnsi" w:eastAsia="Times New Roman" w:hAnsiTheme="minorHAnsi" w:cs="Times New Roman"/>
                <w:b/>
                <w:bCs/>
                <w:lang w:eastAsia="en-AU"/>
              </w:rPr>
              <w:t xml:space="preserve"> </w:t>
            </w:r>
            <w:r w:rsidR="000A300B" w:rsidRPr="000A300B">
              <w:rPr>
                <w:rFonts w:asciiTheme="minorHAnsi" w:eastAsia="Times New Roman" w:hAnsiTheme="minorHAnsi" w:cs="Times New Roman"/>
                <w:bCs/>
                <w:lang w:eastAsia="en-AU"/>
              </w:rPr>
              <w:t>T</w:t>
            </w:r>
            <w:r w:rsidR="000A300B" w:rsidRPr="00E415BE">
              <w:rPr>
                <w:rFonts w:asciiTheme="minorHAnsi" w:eastAsia="Times New Roman" w:hAnsiTheme="minorHAnsi" w:cs="Times New Roman"/>
                <w:bCs/>
                <w:lang w:eastAsia="en-AU"/>
              </w:rPr>
              <w:t xml:space="preserve">reatment of the acute phase </w:t>
            </w:r>
            <w:r w:rsidR="009B04CC">
              <w:rPr>
                <w:rFonts w:asciiTheme="minorHAnsi" w:eastAsia="Times New Roman" w:hAnsiTheme="minorHAnsi" w:cs="Times New Roman"/>
                <w:bCs/>
                <w:lang w:eastAsia="en-AU"/>
              </w:rPr>
              <w:t xml:space="preserve">of SCLS </w:t>
            </w:r>
            <w:r w:rsidR="000A300B" w:rsidRPr="00E415BE">
              <w:rPr>
                <w:rFonts w:asciiTheme="minorHAnsi" w:eastAsia="Times New Roman" w:hAnsiTheme="minorHAnsi" w:cs="Times New Roman"/>
                <w:bCs/>
                <w:lang w:eastAsia="en-AU"/>
              </w:rPr>
              <w:t>is supportive,</w:t>
            </w:r>
            <w:r w:rsidR="000A300B">
              <w:rPr>
                <w:rFonts w:asciiTheme="minorHAnsi" w:eastAsia="Times New Roman" w:hAnsiTheme="minorHAnsi" w:cs="Times New Roman"/>
                <w:b/>
                <w:bCs/>
                <w:lang w:eastAsia="en-AU"/>
              </w:rPr>
              <w:t xml:space="preserve"> </w:t>
            </w:r>
            <w:r w:rsidR="000A300B">
              <w:rPr>
                <w:rFonts w:asciiTheme="minorHAnsi" w:eastAsia="Times New Roman" w:hAnsiTheme="minorHAnsi" w:cs="Times New Roman"/>
                <w:bCs/>
                <w:lang w:eastAsia="en-AU"/>
              </w:rPr>
              <w:t xml:space="preserve">focusing on adequate fluid resuscitation. </w:t>
            </w:r>
            <w:r w:rsidR="009B04CC">
              <w:rPr>
                <w:rFonts w:asciiTheme="minorHAnsi" w:eastAsia="Times New Roman" w:hAnsiTheme="minorHAnsi" w:cs="Times New Roman"/>
                <w:bCs/>
                <w:lang w:eastAsia="en-AU"/>
              </w:rPr>
              <w:t>While m</w:t>
            </w:r>
            <w:r w:rsidR="000A300B">
              <w:rPr>
                <w:rFonts w:asciiTheme="minorHAnsi" w:eastAsia="Times New Roman" w:hAnsiTheme="minorHAnsi" w:cs="Times New Roman"/>
                <w:bCs/>
                <w:lang w:eastAsia="en-AU"/>
              </w:rPr>
              <w:t xml:space="preserve">any agents have been used to try to prevent recurrent attacks, </w:t>
            </w:r>
            <w:r w:rsidR="000A300B" w:rsidRPr="000A300B">
              <w:rPr>
                <w:rFonts w:asciiTheme="minorHAnsi" w:eastAsia="Times New Roman" w:hAnsiTheme="minorHAnsi" w:cs="Times New Roman"/>
                <w:bCs/>
                <w:lang w:eastAsia="en-AU"/>
              </w:rPr>
              <w:t>i</w:t>
            </w:r>
            <w:r w:rsidR="001A797D" w:rsidRPr="00E415BE">
              <w:rPr>
                <w:rFonts w:asciiTheme="minorHAnsi" w:eastAsia="Times New Roman" w:hAnsiTheme="minorHAnsi" w:cs="Times New Roman"/>
                <w:bCs/>
                <w:lang w:eastAsia="en-AU"/>
              </w:rPr>
              <w:t xml:space="preserve">mmunoglobulin </w:t>
            </w:r>
            <w:r w:rsidR="009B04CC">
              <w:rPr>
                <w:rFonts w:asciiTheme="minorHAnsi" w:eastAsia="Times New Roman" w:hAnsiTheme="minorHAnsi" w:cs="Times New Roman"/>
                <w:bCs/>
                <w:lang w:eastAsia="en-AU"/>
              </w:rPr>
              <w:t xml:space="preserve">therapy </w:t>
            </w:r>
            <w:r w:rsidR="008D4DD5">
              <w:rPr>
                <w:rFonts w:asciiTheme="minorHAnsi" w:eastAsia="Times New Roman" w:hAnsiTheme="minorHAnsi" w:cs="Times New Roman"/>
                <w:bCs/>
                <w:lang w:eastAsia="en-AU"/>
              </w:rPr>
              <w:t xml:space="preserve">is </w:t>
            </w:r>
            <w:r w:rsidR="000A300B">
              <w:rPr>
                <w:rFonts w:asciiTheme="minorHAnsi" w:eastAsia="Times New Roman" w:hAnsiTheme="minorHAnsi" w:cs="Times New Roman"/>
                <w:bCs/>
                <w:lang w:eastAsia="en-AU"/>
              </w:rPr>
              <w:t xml:space="preserve">now </w:t>
            </w:r>
            <w:r w:rsidR="001A797D">
              <w:rPr>
                <w:rFonts w:asciiTheme="minorHAnsi" w:eastAsia="Times New Roman" w:hAnsiTheme="minorHAnsi" w:cs="Times New Roman"/>
                <w:bCs/>
                <w:lang w:eastAsia="en-AU"/>
              </w:rPr>
              <w:t>regarded as first line</w:t>
            </w:r>
            <w:r w:rsidR="009B04CC">
              <w:rPr>
                <w:rFonts w:asciiTheme="minorHAnsi" w:eastAsia="Times New Roman" w:hAnsiTheme="minorHAnsi" w:cs="Times New Roman"/>
                <w:bCs/>
                <w:lang w:eastAsia="en-AU"/>
              </w:rPr>
              <w:t xml:space="preserve"> in</w:t>
            </w:r>
            <w:r w:rsidR="001A797D">
              <w:rPr>
                <w:rFonts w:asciiTheme="minorHAnsi" w:eastAsia="Times New Roman" w:hAnsiTheme="minorHAnsi" w:cs="Times New Roman"/>
                <w:bCs/>
                <w:lang w:eastAsia="en-AU"/>
              </w:rPr>
              <w:t xml:space="preserve"> </w:t>
            </w:r>
            <w:r w:rsidR="000A300B">
              <w:rPr>
                <w:rFonts w:asciiTheme="minorHAnsi" w:eastAsia="Times New Roman" w:hAnsiTheme="minorHAnsi" w:cs="Times New Roman"/>
                <w:bCs/>
                <w:lang w:eastAsia="en-AU"/>
              </w:rPr>
              <w:t xml:space="preserve">preventative </w:t>
            </w:r>
            <w:r w:rsidR="001A797D" w:rsidRPr="00E415BE">
              <w:rPr>
                <w:rFonts w:asciiTheme="minorHAnsi" w:eastAsia="Times New Roman" w:hAnsiTheme="minorHAnsi" w:cs="Times New Roman"/>
                <w:bCs/>
                <w:lang w:eastAsia="en-AU"/>
              </w:rPr>
              <w:t xml:space="preserve">therapy </w:t>
            </w:r>
            <w:r w:rsidR="000A300B" w:rsidRPr="000A300B">
              <w:rPr>
                <w:rFonts w:asciiTheme="minorHAnsi" w:eastAsia="Times New Roman" w:hAnsiTheme="minorHAnsi" w:cs="Times New Roman"/>
                <w:bCs/>
                <w:lang w:eastAsia="en-AU"/>
              </w:rPr>
              <w:t>for</w:t>
            </w:r>
            <w:r w:rsidR="001A797D" w:rsidRPr="00E415BE">
              <w:rPr>
                <w:rFonts w:asciiTheme="minorHAnsi" w:eastAsia="Times New Roman" w:hAnsiTheme="minorHAnsi" w:cs="Times New Roman"/>
                <w:bCs/>
                <w:lang w:eastAsia="en-AU"/>
              </w:rPr>
              <w:t xml:space="preserve"> this rare and life threatening </w:t>
            </w:r>
            <w:r w:rsidR="000A300B" w:rsidRPr="00E415BE">
              <w:rPr>
                <w:rFonts w:asciiTheme="minorHAnsi" w:eastAsia="Times New Roman" w:hAnsiTheme="minorHAnsi" w:cs="Times New Roman"/>
                <w:bCs/>
                <w:lang w:eastAsia="en-AU"/>
              </w:rPr>
              <w:t>condition.</w:t>
            </w:r>
            <w:r w:rsidR="000A300B">
              <w:rPr>
                <w:rFonts w:asciiTheme="minorHAnsi" w:eastAsia="Times New Roman" w:hAnsiTheme="minorHAnsi" w:cs="Times New Roman"/>
                <w:b/>
                <w:bCs/>
                <w:lang w:eastAsia="en-AU"/>
              </w:rPr>
              <w:t xml:space="preserve"> </w:t>
            </w:r>
          </w:p>
          <w:p w:rsidR="000A300B" w:rsidRPr="00E415BE" w:rsidRDefault="000A300B" w:rsidP="000A300B">
            <w:pPr>
              <w:spacing w:before="120" w:after="120"/>
              <w:rPr>
                <w:rFonts w:asciiTheme="minorHAnsi" w:eastAsia="Times New Roman" w:hAnsiTheme="minorHAnsi" w:cs="Times New Roman"/>
                <w:bCs/>
                <w:lang w:eastAsia="en-AU"/>
              </w:rPr>
            </w:pPr>
            <w:r w:rsidRPr="00E415BE">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aetiology </w:t>
            </w:r>
            <w:r w:rsidR="009B04CC">
              <w:rPr>
                <w:rFonts w:asciiTheme="minorHAnsi" w:eastAsia="Times New Roman" w:hAnsiTheme="minorHAnsi" w:cs="Times New Roman"/>
                <w:bCs/>
                <w:lang w:eastAsia="en-AU"/>
              </w:rPr>
              <w:t xml:space="preserve">of this condition is unknown, however it is associated with a monoclonal gammopathy. The mechanism of action for </w:t>
            </w:r>
            <w:r w:rsidR="006362D3">
              <w:rPr>
                <w:rFonts w:asciiTheme="minorHAnsi" w:eastAsia="Times New Roman" w:hAnsiTheme="minorHAnsi" w:cs="Times New Roman"/>
                <w:bCs/>
                <w:lang w:eastAsia="en-AU"/>
              </w:rPr>
              <w:t>IVIg</w:t>
            </w:r>
            <w:r w:rsidR="009B04CC">
              <w:rPr>
                <w:rFonts w:asciiTheme="minorHAnsi" w:eastAsia="Times New Roman" w:hAnsiTheme="minorHAnsi" w:cs="Times New Roman"/>
                <w:bCs/>
                <w:lang w:eastAsia="en-AU"/>
              </w:rPr>
              <w:t xml:space="preserve"> is also unknown. </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A42333" w:rsidP="00631EAB">
            <w:pPr>
              <w:spacing w:before="120" w:after="120"/>
              <w:jc w:val="center"/>
              <w:rPr>
                <w:rFonts w:asciiTheme="minorHAnsi" w:hAnsiTheme="minorHAnsi"/>
                <w:b/>
                <w:sz w:val="20"/>
                <w:szCs w:val="18"/>
              </w:rPr>
            </w:pPr>
            <w:r>
              <w:rPr>
                <w:rFonts w:asciiTheme="minorHAnsi" w:hAnsiTheme="minorHAnsi"/>
                <w:b/>
                <w:sz w:val="20"/>
                <w:szCs w:val="18"/>
              </w:rPr>
              <w:t>CRITERIA</w:t>
            </w:r>
            <w:r w:rsidR="00B052F8">
              <w:rPr>
                <w:rFonts w:asciiTheme="minorHAnsi" w:hAnsiTheme="minorHAnsi"/>
                <w:b/>
                <w:sz w:val="20"/>
                <w:szCs w:val="18"/>
              </w:rPr>
              <w:t xml:space="preserve"> </w:t>
            </w:r>
            <w:r w:rsidR="001E102B">
              <w:rPr>
                <w:rFonts w:asciiTheme="minorHAnsi" w:hAnsiTheme="minorHAnsi"/>
                <w:b/>
                <w:sz w:val="20"/>
                <w:szCs w:val="18"/>
              </w:rPr>
              <w:t xml:space="preserve">v2.1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A42333">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B8742B">
              <w:rPr>
                <w:rFonts w:asciiTheme="minorHAnsi" w:eastAsia="Times New Roman" w:hAnsiTheme="minorHAnsi" w:cs="Times New Roman"/>
                <w:b/>
                <w:bCs/>
                <w:sz w:val="20"/>
                <w:szCs w:val="20"/>
                <w:lang w:eastAsia="en-AU"/>
              </w:rPr>
              <w:t xml:space="preserve"> </w:t>
            </w:r>
            <w:r w:rsidR="00B8742B" w:rsidRPr="00B8742B">
              <w:rPr>
                <w:rFonts w:asciiTheme="minorHAnsi" w:eastAsia="Times New Roman" w:hAnsiTheme="minorHAnsi" w:cs="Times New Roman"/>
                <w:b/>
                <w:bCs/>
                <w:sz w:val="20"/>
                <w:szCs w:val="20"/>
                <w:lang w:eastAsia="en-AU"/>
              </w:rPr>
              <w:t>RATIONALE FOR ADDITIONS/CLARIFICATIONS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021243" w:rsidRPr="00257053" w:rsidRDefault="002C7DBC" w:rsidP="00257053">
            <w:pPr>
              <w:pStyle w:val="heading"/>
              <w:spacing w:before="0" w:beforeAutospacing="0" w:after="225" w:afterAutospacing="0" w:line="293" w:lineRule="atLeast"/>
              <w:rPr>
                <w:rFonts w:asciiTheme="minorHAnsi" w:eastAsia="Dotum" w:hAnsiTheme="minorHAnsi" w:cs="Calibri"/>
                <w:sz w:val="22"/>
                <w:szCs w:val="22"/>
              </w:rPr>
            </w:pPr>
            <w:r w:rsidRPr="00A2500F">
              <w:rPr>
                <w:rFonts w:asciiTheme="minorHAnsi" w:eastAsia="Dotum" w:hAnsiTheme="minorHAnsi" w:cs="Calibri"/>
                <w:sz w:val="22"/>
                <w:szCs w:val="22"/>
              </w:rPr>
              <w:t>Systemic capillary leak syndrome (SCLS)</w:t>
            </w:r>
          </w:p>
        </w:tc>
        <w:tc>
          <w:tcPr>
            <w:tcW w:w="6379" w:type="dxa"/>
            <w:gridSpan w:val="3"/>
          </w:tcPr>
          <w:p w:rsidR="00021243" w:rsidRPr="00904500" w:rsidRDefault="00904500" w:rsidP="00431B13">
            <w:pPr>
              <w:spacing w:after="120"/>
              <w:rPr>
                <w:rFonts w:asciiTheme="minorHAnsi" w:hAnsiTheme="minorHAnsi"/>
              </w:rPr>
            </w:pPr>
            <w:r w:rsidRPr="00904500">
              <w:rPr>
                <w:rFonts w:asciiTheme="minorHAnsi" w:hAnsiTheme="minorHAnsi"/>
              </w:rPr>
              <w:t>Systemic capillary leak syndrome</w:t>
            </w:r>
          </w:p>
        </w:tc>
        <w:tc>
          <w:tcPr>
            <w:tcW w:w="4394" w:type="dxa"/>
          </w:tcPr>
          <w:p w:rsidR="005960E7" w:rsidRPr="00C92149" w:rsidRDefault="00C42737"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lastRenderedPageBreak/>
              <w:t>Specialty</w:t>
            </w:r>
          </w:p>
        </w:tc>
        <w:tc>
          <w:tcPr>
            <w:tcW w:w="2268" w:type="dxa"/>
          </w:tcPr>
          <w:p w:rsidR="00447869" w:rsidRPr="00447869" w:rsidRDefault="002C7DBC" w:rsidP="00021243">
            <w:pPr>
              <w:spacing w:before="120" w:after="120"/>
              <w:rPr>
                <w:rFonts w:asciiTheme="minorHAnsi" w:hAnsiTheme="minorHAnsi"/>
              </w:rPr>
            </w:pPr>
            <w:r>
              <w:rPr>
                <w:rFonts w:asciiTheme="minorHAnsi" w:hAnsiTheme="minorHAnsi"/>
              </w:rPr>
              <w:t>Immunology</w:t>
            </w:r>
          </w:p>
        </w:tc>
        <w:tc>
          <w:tcPr>
            <w:tcW w:w="6379" w:type="dxa"/>
            <w:gridSpan w:val="3"/>
          </w:tcPr>
          <w:p w:rsidR="00447869" w:rsidRPr="00447869" w:rsidRDefault="00904500" w:rsidP="00021243">
            <w:pPr>
              <w:spacing w:before="120" w:after="120"/>
              <w:rPr>
                <w:rFonts w:asciiTheme="minorHAnsi" w:hAnsiTheme="minorHAnsi"/>
              </w:rPr>
            </w:pPr>
            <w:r>
              <w:rPr>
                <w:rFonts w:asciiTheme="minorHAnsi" w:hAnsiTheme="minorHAnsi"/>
              </w:rPr>
              <w:t>Immunology</w:t>
            </w:r>
          </w:p>
        </w:tc>
        <w:tc>
          <w:tcPr>
            <w:tcW w:w="4394" w:type="dxa"/>
          </w:tcPr>
          <w:p w:rsidR="00447869" w:rsidRPr="009208EC" w:rsidRDefault="00B052F8"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C92149">
        <w:tc>
          <w:tcPr>
            <w:tcW w:w="1560" w:type="dxa"/>
            <w:shd w:val="clear" w:color="auto" w:fill="D9D9D9" w:themeFill="background1" w:themeFillShade="D9"/>
          </w:tcPr>
          <w:p w:rsidR="00021243" w:rsidRPr="00447869" w:rsidRDefault="00A42333" w:rsidP="00021243">
            <w:pPr>
              <w:spacing w:before="120" w:after="120"/>
              <w:rPr>
                <w:rFonts w:asciiTheme="minorHAnsi" w:hAnsiTheme="minorHAnsi"/>
              </w:rPr>
            </w:pPr>
            <w:r>
              <w:rPr>
                <w:rFonts w:asciiTheme="minorHAnsi" w:hAnsiTheme="minorHAnsi"/>
                <w:b/>
              </w:rPr>
              <w:t xml:space="preserve">Category </w:t>
            </w:r>
          </w:p>
        </w:tc>
        <w:tc>
          <w:tcPr>
            <w:tcW w:w="2268" w:type="dxa"/>
          </w:tcPr>
          <w:p w:rsidR="00021243" w:rsidRPr="00B052F8" w:rsidRDefault="00A42333" w:rsidP="008515FF">
            <w:pPr>
              <w:spacing w:before="120" w:after="120"/>
              <w:rPr>
                <w:rFonts w:asciiTheme="minorHAnsi" w:hAnsiTheme="minorHAnsi"/>
                <w:i/>
              </w:rPr>
            </w:pPr>
            <w:r w:rsidRPr="00B052F8">
              <w:rPr>
                <w:rFonts w:asciiTheme="minorHAnsi" w:hAnsiTheme="minorHAnsi"/>
                <w:i/>
              </w:rPr>
              <w:t xml:space="preserve">Exceptional circumstances only </w:t>
            </w:r>
          </w:p>
        </w:tc>
        <w:tc>
          <w:tcPr>
            <w:tcW w:w="6379" w:type="dxa"/>
            <w:gridSpan w:val="3"/>
          </w:tcPr>
          <w:p w:rsidR="00021243" w:rsidRPr="00B052F8" w:rsidRDefault="00A42333" w:rsidP="00021243">
            <w:pPr>
              <w:spacing w:before="120" w:after="120"/>
              <w:rPr>
                <w:rFonts w:asciiTheme="minorHAnsi" w:hAnsiTheme="minorHAnsi"/>
                <w:i/>
              </w:rPr>
            </w:pPr>
            <w:r w:rsidRPr="00B052F8">
              <w:rPr>
                <w:rFonts w:asciiTheme="minorHAnsi" w:hAnsiTheme="minorHAnsi"/>
                <w:i/>
              </w:rPr>
              <w:t>Exceptional circumstances only</w:t>
            </w:r>
          </w:p>
        </w:tc>
        <w:tc>
          <w:tcPr>
            <w:tcW w:w="4394" w:type="dxa"/>
          </w:tcPr>
          <w:p w:rsidR="00021243" w:rsidRPr="009208EC" w:rsidRDefault="00C42737"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2C7DBC" w:rsidP="008515FF">
            <w:pPr>
              <w:spacing w:before="120" w:after="120"/>
              <w:rPr>
                <w:rFonts w:asciiTheme="minorHAnsi" w:hAnsiTheme="minorHAnsi"/>
              </w:rPr>
            </w:pPr>
            <w:r w:rsidRPr="0003079A">
              <w:rPr>
                <w:rFonts w:asciiTheme="minorHAnsi" w:eastAsia="Times New Roman" w:hAnsiTheme="minorHAnsi" w:cs="Times New Roman"/>
                <w:bCs/>
                <w:lang w:eastAsia="en-AU"/>
              </w:rPr>
              <w:t>Systemic capillary leak syndrome</w:t>
            </w:r>
          </w:p>
        </w:tc>
        <w:tc>
          <w:tcPr>
            <w:tcW w:w="6379" w:type="dxa"/>
            <w:gridSpan w:val="3"/>
          </w:tcPr>
          <w:p w:rsidR="00447869" w:rsidRPr="00447869" w:rsidRDefault="00741277" w:rsidP="008515FF">
            <w:pPr>
              <w:rPr>
                <w:rFonts w:asciiTheme="minorHAnsi" w:hAnsiTheme="minorHAnsi"/>
              </w:rPr>
            </w:pPr>
            <w:r w:rsidRPr="0003079A">
              <w:rPr>
                <w:rFonts w:asciiTheme="minorHAnsi" w:eastAsia="Times New Roman" w:hAnsiTheme="minorHAnsi" w:cs="Times New Roman"/>
                <w:bCs/>
                <w:lang w:eastAsia="en-AU"/>
              </w:rPr>
              <w:t>Systemic capillary leak syndrome</w:t>
            </w:r>
          </w:p>
        </w:tc>
        <w:tc>
          <w:tcPr>
            <w:tcW w:w="4394" w:type="dxa"/>
          </w:tcPr>
          <w:p w:rsidR="00447869" w:rsidRPr="00C92149" w:rsidRDefault="00C42737"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2C7DBC" w:rsidP="00021243">
            <w:pPr>
              <w:spacing w:before="120" w:after="120"/>
              <w:rPr>
                <w:rFonts w:asciiTheme="minorHAnsi" w:hAnsiTheme="minorHAnsi"/>
              </w:rPr>
            </w:pPr>
            <w:r w:rsidRPr="0003079A">
              <w:rPr>
                <w:rFonts w:asciiTheme="minorHAnsi" w:hAnsiTheme="minorHAnsi"/>
                <w:color w:val="000000"/>
              </w:rPr>
              <w:t>Insufficient data (Category 4a)</w:t>
            </w:r>
          </w:p>
        </w:tc>
        <w:tc>
          <w:tcPr>
            <w:tcW w:w="6379" w:type="dxa"/>
            <w:gridSpan w:val="3"/>
          </w:tcPr>
          <w:p w:rsidR="00021243" w:rsidRPr="00447869" w:rsidRDefault="00282F66" w:rsidP="008515FF">
            <w:pPr>
              <w:spacing w:before="120" w:after="120"/>
              <w:rPr>
                <w:rFonts w:asciiTheme="minorHAnsi" w:hAnsiTheme="minorHAnsi"/>
              </w:rPr>
            </w:pPr>
            <w:r>
              <w:t xml:space="preserve"> </w:t>
            </w:r>
            <w:r w:rsidR="00431B13">
              <w:t>Insufficient data (Category 4a)</w:t>
            </w:r>
          </w:p>
        </w:tc>
        <w:tc>
          <w:tcPr>
            <w:tcW w:w="4394" w:type="dxa"/>
          </w:tcPr>
          <w:p w:rsidR="00021243" w:rsidRPr="009208EC" w:rsidRDefault="00C42737"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379" w:type="dxa"/>
            <w:gridSpan w:val="3"/>
          </w:tcPr>
          <w:p w:rsidR="00904500" w:rsidRPr="00904500" w:rsidRDefault="00904500" w:rsidP="00904500">
            <w:pPr>
              <w:rPr>
                <w:rFonts w:asciiTheme="minorHAnsi" w:hAnsiTheme="minorHAnsi"/>
              </w:rPr>
            </w:pPr>
            <w:r w:rsidRPr="00904500">
              <w:rPr>
                <w:rFonts w:asciiTheme="minorHAnsi" w:hAnsiTheme="minorHAnsi"/>
              </w:rPr>
              <w:t xml:space="preserve">Based on </w:t>
            </w:r>
            <w:r w:rsidR="00C42737">
              <w:rPr>
                <w:rFonts w:asciiTheme="minorHAnsi" w:hAnsiTheme="minorHAnsi"/>
              </w:rPr>
              <w:t xml:space="preserve">clearly documented studies, </w:t>
            </w:r>
            <w:r w:rsidR="006362D3">
              <w:rPr>
                <w:rFonts w:asciiTheme="minorHAnsi" w:hAnsiTheme="minorHAnsi"/>
              </w:rPr>
              <w:t>IVIg</w:t>
            </w:r>
            <w:r w:rsidR="00BB7245">
              <w:rPr>
                <w:rFonts w:asciiTheme="minorHAnsi" w:hAnsiTheme="minorHAnsi"/>
              </w:rPr>
              <w:t xml:space="preserve"> </w:t>
            </w:r>
            <w:r w:rsidRPr="00904500">
              <w:rPr>
                <w:rFonts w:asciiTheme="minorHAnsi" w:hAnsiTheme="minorHAnsi"/>
              </w:rPr>
              <w:t>prophylaxis was associated with an 89% decrease in the number of SCLS flares (252 pre-treatment to 29 post-treatment) in 27 patients for periods of up to thirteen years (median duration of follow</w:t>
            </w:r>
            <w:r w:rsidR="00C42737">
              <w:rPr>
                <w:rFonts w:asciiTheme="minorHAnsi" w:hAnsiTheme="minorHAnsi"/>
              </w:rPr>
              <w:t xml:space="preserve"> up 32 months). Fifteen</w:t>
            </w:r>
            <w:r w:rsidRPr="00904500">
              <w:rPr>
                <w:rFonts w:asciiTheme="minorHAnsi" w:hAnsiTheme="minorHAnsi"/>
              </w:rPr>
              <w:t xml:space="preserve"> o</w:t>
            </w:r>
            <w:r w:rsidR="00C42737">
              <w:rPr>
                <w:rFonts w:asciiTheme="minorHAnsi" w:hAnsiTheme="minorHAnsi"/>
              </w:rPr>
              <w:t xml:space="preserve">ut of 27 patients receiving </w:t>
            </w:r>
            <w:r w:rsidR="006362D3">
              <w:rPr>
                <w:rFonts w:asciiTheme="minorHAnsi" w:hAnsiTheme="minorHAnsi"/>
              </w:rPr>
              <w:t>IVIg</w:t>
            </w:r>
            <w:r w:rsidRPr="00904500">
              <w:rPr>
                <w:rFonts w:asciiTheme="minorHAnsi" w:hAnsiTheme="minorHAnsi"/>
              </w:rPr>
              <w:t xml:space="preserve"> experienced no SCLS episodes for periods of up to twelve years, and 24 out of 27 subjects had at least a 50% reduction in the number of flares. </w:t>
            </w:r>
          </w:p>
          <w:p w:rsidR="00AB120F" w:rsidRPr="00447869" w:rsidRDefault="00904500" w:rsidP="00904500">
            <w:pPr>
              <w:spacing w:before="120" w:after="120"/>
              <w:rPr>
                <w:rFonts w:asciiTheme="minorHAnsi" w:hAnsiTheme="minorHAnsi"/>
              </w:rPr>
            </w:pPr>
            <w:r w:rsidRPr="00904500">
              <w:rPr>
                <w:rFonts w:asciiTheme="minorHAnsi" w:hAnsiTheme="minorHAnsi"/>
              </w:rPr>
              <w:t xml:space="preserve">The optimal dose, schedule, and duration of </w:t>
            </w:r>
            <w:r w:rsidR="006362D3">
              <w:rPr>
                <w:rFonts w:asciiTheme="minorHAnsi" w:hAnsiTheme="minorHAnsi"/>
              </w:rPr>
              <w:t>IVIg</w:t>
            </w:r>
            <w:r w:rsidRPr="00904500">
              <w:rPr>
                <w:rFonts w:asciiTheme="minorHAnsi" w:hAnsiTheme="minorHAnsi"/>
              </w:rPr>
              <w:t xml:space="preserve"> therapy remain to be determined. While most patients (78%) received 2 g/kg/month, three patients have remained episode-free for greater than two years on 1-1.25 g/kg/month. Only a small number were controlled with 0.4 g/kg/month.</w:t>
            </w:r>
          </w:p>
        </w:tc>
        <w:tc>
          <w:tcPr>
            <w:tcW w:w="4394" w:type="dxa"/>
          </w:tcPr>
          <w:p w:rsidR="00AB120F" w:rsidRPr="00C92149" w:rsidRDefault="00C42737" w:rsidP="009F679D">
            <w:pPr>
              <w:spacing w:after="120"/>
              <w:rPr>
                <w:rFonts w:asciiTheme="minorHAnsi" w:hAnsiTheme="minorHAnsi"/>
                <w:szCs w:val="20"/>
              </w:rPr>
            </w:pPr>
            <w:r>
              <w:rPr>
                <w:rFonts w:asciiTheme="minorHAnsi" w:hAnsiTheme="minorHAnsi"/>
                <w:szCs w:val="20"/>
              </w:rPr>
              <w:t xml:space="preserve">New text based on </w:t>
            </w:r>
            <w:r w:rsidR="009F679D">
              <w:rPr>
                <w:rFonts w:asciiTheme="minorHAnsi" w:hAnsiTheme="minorHAnsi"/>
                <w:szCs w:val="20"/>
              </w:rPr>
              <w:t>assessment of the</w:t>
            </w:r>
            <w:r w:rsidR="00B24562">
              <w:rPr>
                <w:rFonts w:asciiTheme="minorHAnsi" w:hAnsiTheme="minorHAnsi"/>
                <w:szCs w:val="20"/>
              </w:rPr>
              <w:t xml:space="preserve"> literature</w:t>
            </w:r>
            <w:r>
              <w:rPr>
                <w:rFonts w:asciiTheme="minorHAnsi" w:hAnsiTheme="minorHAnsi"/>
                <w:szCs w:val="20"/>
              </w:rPr>
              <w:t xml:space="preserve">. </w:t>
            </w:r>
          </w:p>
        </w:tc>
      </w:tr>
      <w:tr w:rsidR="00AB120F" w:rsidRPr="00447869" w:rsidTr="00C92149">
        <w:tc>
          <w:tcPr>
            <w:tcW w:w="1560" w:type="dxa"/>
            <w:shd w:val="clear" w:color="auto" w:fill="D9D9D9" w:themeFill="background1" w:themeFillShade="D9"/>
          </w:tcPr>
          <w:p w:rsidR="00AB120F" w:rsidRPr="00447869" w:rsidRDefault="00AB120F" w:rsidP="00CE69D0">
            <w:pPr>
              <w:pStyle w:val="Heading1"/>
              <w:spacing w:before="120" w:after="120"/>
              <w:outlineLvl w:val="0"/>
              <w:rPr>
                <w:rFonts w:asciiTheme="minorHAnsi" w:hAnsiTheme="minorHAnsi"/>
                <w:sz w:val="22"/>
                <w:szCs w:val="22"/>
              </w:rPr>
            </w:pPr>
            <w:r w:rsidRPr="00447869">
              <w:rPr>
                <w:rFonts w:asciiTheme="minorHAnsi" w:hAnsiTheme="minorHAnsi"/>
                <w:b/>
                <w:sz w:val="22"/>
                <w:szCs w:val="22"/>
              </w:rPr>
              <w:t>I</w:t>
            </w:r>
            <w:r w:rsidRPr="00431B13">
              <w:rPr>
                <w:rFonts w:asciiTheme="minorHAnsi" w:eastAsia="Dotum" w:hAnsiTheme="minorHAnsi"/>
                <w:b/>
                <w:bCs w:val="0"/>
                <w:color w:val="auto"/>
                <w:spacing w:val="0"/>
                <w:sz w:val="22"/>
                <w:szCs w:val="22"/>
              </w:rPr>
              <w:t>ndications</w:t>
            </w:r>
          </w:p>
        </w:tc>
        <w:tc>
          <w:tcPr>
            <w:tcW w:w="2268" w:type="dxa"/>
          </w:tcPr>
          <w:p w:rsidR="00AB120F" w:rsidRPr="00447869" w:rsidRDefault="00AB120F" w:rsidP="00CE69D0">
            <w:pPr>
              <w:spacing w:before="120" w:after="120"/>
              <w:rPr>
                <w:rFonts w:asciiTheme="minorHAnsi" w:hAnsiTheme="minorHAnsi"/>
              </w:rPr>
            </w:pPr>
          </w:p>
        </w:tc>
        <w:tc>
          <w:tcPr>
            <w:tcW w:w="6379" w:type="dxa"/>
            <w:gridSpan w:val="3"/>
          </w:tcPr>
          <w:p w:rsidR="00AB120F" w:rsidRPr="009F679D" w:rsidRDefault="00904500" w:rsidP="00CE69D0">
            <w:pPr>
              <w:spacing w:before="120" w:after="120"/>
              <w:rPr>
                <w:rFonts w:asciiTheme="minorHAnsi" w:hAnsiTheme="minorHAnsi"/>
                <w:b/>
              </w:rPr>
            </w:pPr>
            <w:r w:rsidRPr="009F679D">
              <w:rPr>
                <w:rFonts w:asciiTheme="minorHAnsi" w:hAnsiTheme="minorHAnsi"/>
                <w:b/>
              </w:rPr>
              <w:t>Prevention of recurrent life-threatening episodes of hypotensive shock with hypoalbuminaemia in diagnosed SCLS</w:t>
            </w:r>
          </w:p>
        </w:tc>
        <w:tc>
          <w:tcPr>
            <w:tcW w:w="4394" w:type="dxa"/>
          </w:tcPr>
          <w:p w:rsidR="00AB120F" w:rsidRPr="00C92149" w:rsidRDefault="00AB120F" w:rsidP="00A42333">
            <w:pPr>
              <w:spacing w:before="120" w:after="120"/>
              <w:rPr>
                <w:rFonts w:asciiTheme="minorHAnsi" w:hAnsiTheme="minorHAnsi"/>
                <w:sz w:val="20"/>
                <w:szCs w:val="20"/>
              </w:rPr>
            </w:pPr>
            <w:r w:rsidRPr="00C92149">
              <w:rPr>
                <w:sz w:val="20"/>
                <w:szCs w:val="20"/>
              </w:rPr>
              <w:t xml:space="preserve"> </w:t>
            </w:r>
            <w:r w:rsidR="00C42737" w:rsidRPr="00C42737">
              <w:rPr>
                <w:rFonts w:asciiTheme="minorHAnsi" w:hAnsiTheme="minorHAnsi"/>
              </w:rPr>
              <w:t xml:space="preserve">The </w:t>
            </w:r>
            <w:r w:rsidR="00A42333">
              <w:rPr>
                <w:rFonts w:asciiTheme="minorHAnsi" w:hAnsiTheme="minorHAnsi"/>
              </w:rPr>
              <w:t>Specialist Working Group</w:t>
            </w:r>
            <w:r w:rsidR="00A42333" w:rsidRPr="00C42737">
              <w:rPr>
                <w:rFonts w:asciiTheme="minorHAnsi" w:hAnsiTheme="minorHAnsi"/>
              </w:rPr>
              <w:t xml:space="preserve"> </w:t>
            </w:r>
            <w:r w:rsidR="00C42737" w:rsidRPr="00C42737">
              <w:rPr>
                <w:rFonts w:asciiTheme="minorHAnsi" w:hAnsiTheme="minorHAnsi"/>
              </w:rPr>
              <w:t xml:space="preserve">indicated that only a single indication </w:t>
            </w:r>
            <w:r w:rsidR="003C6002">
              <w:rPr>
                <w:rFonts w:asciiTheme="minorHAnsi" w:hAnsiTheme="minorHAnsi"/>
              </w:rPr>
              <w:t xml:space="preserve">is required </w:t>
            </w:r>
            <w:r w:rsidR="00C42737" w:rsidRPr="00C42737">
              <w:rPr>
                <w:rFonts w:asciiTheme="minorHAnsi" w:hAnsiTheme="minorHAnsi"/>
              </w:rPr>
              <w:t>for both prevention and treatment.</w:t>
            </w:r>
          </w:p>
        </w:tc>
      </w:tr>
      <w:tr w:rsidR="00BA76E3" w:rsidRPr="00447869" w:rsidTr="00C92149">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 xml:space="preserve">Description and </w:t>
            </w:r>
            <w:r w:rsidRPr="00447869">
              <w:rPr>
                <w:rFonts w:asciiTheme="minorHAnsi" w:hAnsiTheme="minorHAnsi"/>
                <w:b/>
              </w:rPr>
              <w:lastRenderedPageBreak/>
              <w:t>Diagnostic Criteria</w:t>
            </w:r>
          </w:p>
          <w:p w:rsidR="00BA76E3" w:rsidRPr="00447869" w:rsidRDefault="00BA76E3" w:rsidP="00282F66">
            <w:pPr>
              <w:spacing w:before="120" w:after="120"/>
              <w:rPr>
                <w:rFonts w:asciiTheme="minorHAnsi" w:hAnsiTheme="minorHAnsi"/>
              </w:rPr>
            </w:pPr>
          </w:p>
        </w:tc>
        <w:tc>
          <w:tcPr>
            <w:tcW w:w="2268" w:type="dxa"/>
          </w:tcPr>
          <w:p w:rsidR="00BA76E3" w:rsidRPr="002C7DBC" w:rsidRDefault="002C7DBC" w:rsidP="002C7DBC">
            <w:pPr>
              <w:spacing w:after="225" w:line="293" w:lineRule="atLeast"/>
              <w:rPr>
                <w:rFonts w:asciiTheme="minorHAnsi" w:eastAsiaTheme="minorHAnsi" w:hAnsiTheme="minorHAnsi" w:cs="Times New Roman"/>
                <w:color w:val="000000"/>
              </w:rPr>
            </w:pPr>
            <w:r w:rsidRPr="0003079A">
              <w:rPr>
                <w:rFonts w:asciiTheme="minorHAnsi" w:eastAsia="Times New Roman" w:hAnsiTheme="minorHAnsi" w:cs="Times New Roman"/>
                <w:color w:val="000000"/>
                <w:lang w:eastAsia="en-AU"/>
              </w:rPr>
              <w:lastRenderedPageBreak/>
              <w:t xml:space="preserve">SCLS is an extremely rare condition that is </w:t>
            </w:r>
            <w:r w:rsidRPr="0003079A">
              <w:rPr>
                <w:rFonts w:asciiTheme="minorHAnsi" w:eastAsia="Times New Roman" w:hAnsiTheme="minorHAnsi" w:cs="Times New Roman"/>
                <w:color w:val="000000"/>
                <w:lang w:eastAsia="en-AU"/>
              </w:rPr>
              <w:lastRenderedPageBreak/>
              <w:t>characterised by life-threatening attacks of reversible capillary hyperpermeability, accompanied by haemoconcentration and hypoalbuminaemia.</w:t>
            </w:r>
            <w:r w:rsidR="005318C2">
              <w:rPr>
                <w:rFonts w:asciiTheme="minorHAnsi" w:eastAsia="Times New Roman" w:hAnsiTheme="minorHAnsi" w:cs="Times New Roman"/>
                <w:color w:val="000000"/>
                <w:lang w:eastAsia="en-AU"/>
              </w:rPr>
              <w:t xml:space="preserve"> </w:t>
            </w:r>
            <w:r w:rsidR="005318C2" w:rsidRPr="0003079A">
              <w:rPr>
                <w:rFonts w:asciiTheme="minorHAnsi" w:hAnsiTheme="minorHAnsi"/>
              </w:rPr>
              <w:t>Other therapies may be appropriate.</w:t>
            </w:r>
          </w:p>
        </w:tc>
        <w:tc>
          <w:tcPr>
            <w:tcW w:w="6379" w:type="dxa"/>
            <w:gridSpan w:val="3"/>
          </w:tcPr>
          <w:p w:rsidR="00BA76E3" w:rsidRPr="00431B13" w:rsidRDefault="00904500" w:rsidP="005960E7">
            <w:pPr>
              <w:rPr>
                <w:rFonts w:asciiTheme="minorHAnsi" w:hAnsiTheme="minorHAnsi" w:cs="Lucida Grande"/>
                <w:color w:val="000000"/>
              </w:rPr>
            </w:pPr>
            <w:r w:rsidRPr="00904500">
              <w:rPr>
                <w:rFonts w:asciiTheme="minorHAnsi" w:hAnsiTheme="minorHAnsi"/>
              </w:rPr>
              <w:lastRenderedPageBreak/>
              <w:t xml:space="preserve">Systemic capillary leak syndrome (SCLS) is an extremely rare condition that is characterised by </w:t>
            </w:r>
            <w:r w:rsidR="000A14E4">
              <w:rPr>
                <w:rFonts w:asciiTheme="minorHAnsi" w:hAnsiTheme="minorHAnsi"/>
              </w:rPr>
              <w:t xml:space="preserve">recurrent </w:t>
            </w:r>
            <w:r w:rsidRPr="00904500">
              <w:rPr>
                <w:rFonts w:asciiTheme="minorHAnsi" w:hAnsiTheme="minorHAnsi"/>
              </w:rPr>
              <w:t xml:space="preserve">life-threatening attacks </w:t>
            </w:r>
            <w:r w:rsidRPr="00904500">
              <w:rPr>
                <w:rFonts w:asciiTheme="minorHAnsi" w:hAnsiTheme="minorHAnsi"/>
              </w:rPr>
              <w:lastRenderedPageBreak/>
              <w:t>of reversible capillary hyperpermeability accompanied by haemoconcentration and hypoalbuminaemia.</w:t>
            </w:r>
          </w:p>
        </w:tc>
        <w:tc>
          <w:tcPr>
            <w:tcW w:w="4394" w:type="dxa"/>
          </w:tcPr>
          <w:p w:rsidR="00BA76E3" w:rsidRPr="00C92149" w:rsidRDefault="00C42737" w:rsidP="00431B13">
            <w:pPr>
              <w:spacing w:after="120"/>
              <w:rPr>
                <w:rFonts w:asciiTheme="minorHAnsi" w:hAnsiTheme="minorHAnsi"/>
                <w:sz w:val="20"/>
                <w:szCs w:val="20"/>
              </w:rPr>
            </w:pPr>
            <w:r w:rsidRPr="00C42737">
              <w:rPr>
                <w:rFonts w:asciiTheme="minorHAnsi" w:hAnsiTheme="minorHAnsi"/>
              </w:rPr>
              <w:lastRenderedPageBreak/>
              <w:t>No change</w:t>
            </w:r>
          </w:p>
        </w:tc>
      </w:tr>
      <w:tr w:rsidR="00447869" w:rsidRPr="00853117" w:rsidTr="00431B13">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r w:rsidR="002C7DBC" w:rsidRPr="0003079A">
              <w:rPr>
                <w:rFonts w:asciiTheme="minorHAnsi" w:hAnsiTheme="minorHAnsi"/>
              </w:rPr>
              <w:t>A diagnosis by a consultant physician, emergency specialist or intensive care unit specialist is required.</w:t>
            </w:r>
          </w:p>
        </w:tc>
        <w:tc>
          <w:tcPr>
            <w:tcW w:w="2126" w:type="dxa"/>
          </w:tcPr>
          <w:p w:rsidR="00447869" w:rsidRPr="00447869" w:rsidRDefault="00904500" w:rsidP="00021243">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31B13" w:rsidRDefault="00431B13" w:rsidP="00021243">
            <w:pPr>
              <w:spacing w:before="120" w:after="120"/>
              <w:rPr>
                <w:rFonts w:asciiTheme="minorHAnsi" w:hAnsiTheme="minorHAnsi"/>
              </w:rPr>
            </w:pPr>
            <w:r>
              <w:rPr>
                <w:rFonts w:asciiTheme="minorHAnsi" w:hAnsiTheme="minorHAnsi"/>
              </w:rPr>
              <w:t>General Physician</w:t>
            </w:r>
          </w:p>
          <w:p w:rsidR="00431B13" w:rsidRDefault="00904500" w:rsidP="00021243">
            <w:pPr>
              <w:spacing w:before="120" w:after="120"/>
              <w:rPr>
                <w:rFonts w:asciiTheme="minorHAnsi" w:hAnsiTheme="minorHAnsi"/>
              </w:rPr>
            </w:pPr>
            <w:r w:rsidRPr="00904500">
              <w:rPr>
                <w:rFonts w:asciiTheme="minorHAnsi" w:hAnsiTheme="minorHAnsi"/>
              </w:rPr>
              <w:t xml:space="preserve">Emergency Medicine </w:t>
            </w:r>
            <w:r w:rsidR="00431B13">
              <w:rPr>
                <w:rFonts w:asciiTheme="minorHAnsi" w:hAnsiTheme="minorHAnsi"/>
              </w:rPr>
              <w:t>Specialist</w:t>
            </w:r>
          </w:p>
          <w:p w:rsidR="00431B13" w:rsidRDefault="00904500" w:rsidP="00021243">
            <w:pPr>
              <w:spacing w:before="120" w:after="120"/>
              <w:rPr>
                <w:rFonts w:asciiTheme="minorHAnsi" w:hAnsiTheme="minorHAnsi"/>
              </w:rPr>
            </w:pPr>
            <w:r w:rsidRPr="00904500">
              <w:rPr>
                <w:rFonts w:asciiTheme="minorHAnsi" w:hAnsiTheme="minorHAnsi"/>
              </w:rPr>
              <w:t>In</w:t>
            </w:r>
            <w:r w:rsidR="00431B13">
              <w:rPr>
                <w:rFonts w:asciiTheme="minorHAnsi" w:hAnsiTheme="minorHAnsi"/>
              </w:rPr>
              <w:t>tensive Care Specialist</w:t>
            </w:r>
          </w:p>
          <w:p w:rsidR="00447869" w:rsidRPr="00447869" w:rsidRDefault="00904500" w:rsidP="00021243">
            <w:pPr>
              <w:spacing w:before="120" w:after="120"/>
              <w:rPr>
                <w:rFonts w:asciiTheme="minorHAnsi" w:hAnsiTheme="minorHAnsi"/>
              </w:rPr>
            </w:pPr>
            <w:r w:rsidRPr="00904500">
              <w:rPr>
                <w:rFonts w:asciiTheme="minorHAnsi" w:hAnsiTheme="minorHAnsi"/>
              </w:rPr>
              <w:t>Clinical Immunologist</w:t>
            </w:r>
          </w:p>
        </w:tc>
        <w:tc>
          <w:tcPr>
            <w:tcW w:w="4394" w:type="dxa"/>
            <w:vMerge w:val="restart"/>
          </w:tcPr>
          <w:p w:rsidR="00447869" w:rsidRPr="00C92149" w:rsidRDefault="003C6002" w:rsidP="008515FF">
            <w:pPr>
              <w:spacing w:before="120" w:after="120"/>
              <w:ind w:right="90"/>
              <w:rPr>
                <w:rFonts w:asciiTheme="minorHAnsi" w:hAnsiTheme="minorHAnsi"/>
                <w:szCs w:val="20"/>
              </w:rPr>
            </w:pPr>
            <w:r>
              <w:rPr>
                <w:rFonts w:asciiTheme="minorHAnsi" w:hAnsiTheme="minorHAnsi"/>
                <w:szCs w:val="20"/>
              </w:rPr>
              <w:t xml:space="preserve">Clinical </w:t>
            </w:r>
            <w:r w:rsidR="00A42333">
              <w:rPr>
                <w:rFonts w:asciiTheme="minorHAnsi" w:hAnsiTheme="minorHAnsi"/>
                <w:szCs w:val="20"/>
              </w:rPr>
              <w:t>I</w:t>
            </w:r>
            <w:r>
              <w:rPr>
                <w:rFonts w:asciiTheme="minorHAnsi" w:hAnsiTheme="minorHAnsi"/>
                <w:szCs w:val="20"/>
              </w:rPr>
              <w:t>mmunologist added</w:t>
            </w:r>
            <w:r w:rsidR="009F679D">
              <w:rPr>
                <w:rFonts w:asciiTheme="minorHAnsi" w:hAnsiTheme="minorHAnsi"/>
                <w:szCs w:val="20"/>
              </w:rPr>
              <w:t xml:space="preserve"> as patients may present to, or be managed by clinical immunologists in additional to those listed in v2.1</w:t>
            </w:r>
          </w:p>
        </w:tc>
      </w:tr>
      <w:tr w:rsidR="00447869" w:rsidRPr="00853117" w:rsidTr="00431B13">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447869" w:rsidP="00021243">
            <w:pPr>
              <w:spacing w:before="120" w:after="120"/>
              <w:rPr>
                <w:rFonts w:asciiTheme="minorHAnsi" w:hAnsiTheme="minorHAnsi"/>
              </w:rPr>
            </w:pP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431B13">
            <w:pPr>
              <w:spacing w:before="120" w:after="120"/>
            </w:pPr>
            <w:r w:rsidRPr="00431B13">
              <w:rPr>
                <w:rFonts w:asciiTheme="minorHAnsi" w:hAnsiTheme="minorHAnsi"/>
                <w:b/>
              </w:rPr>
              <w:t xml:space="preserve">Qualifying </w:t>
            </w:r>
            <w:r w:rsidRPr="00431B13">
              <w:rPr>
                <w:rFonts w:asciiTheme="minorHAnsi" w:hAnsiTheme="minorHAnsi"/>
                <w:b/>
              </w:rPr>
              <w:lastRenderedPageBreak/>
              <w:t>Criteria</w:t>
            </w:r>
          </w:p>
        </w:tc>
        <w:tc>
          <w:tcPr>
            <w:tcW w:w="2268" w:type="dxa"/>
          </w:tcPr>
          <w:p w:rsidR="00021243" w:rsidRPr="00447869" w:rsidRDefault="002C7DBC" w:rsidP="00021243">
            <w:pPr>
              <w:spacing w:before="120" w:after="120"/>
              <w:rPr>
                <w:rFonts w:asciiTheme="minorHAnsi" w:hAnsiTheme="minorHAnsi"/>
              </w:rPr>
            </w:pPr>
            <w:r w:rsidRPr="0003079A">
              <w:rPr>
                <w:rFonts w:asciiTheme="minorHAnsi" w:hAnsiTheme="minorHAnsi"/>
              </w:rPr>
              <w:lastRenderedPageBreak/>
              <w:t xml:space="preserve">Approval will be </w:t>
            </w:r>
            <w:r w:rsidRPr="0003079A">
              <w:rPr>
                <w:rFonts w:asciiTheme="minorHAnsi" w:hAnsiTheme="minorHAnsi"/>
              </w:rPr>
              <w:lastRenderedPageBreak/>
              <w:t>provided for an initial period of 12 months only.</w:t>
            </w:r>
          </w:p>
        </w:tc>
        <w:tc>
          <w:tcPr>
            <w:tcW w:w="6379" w:type="dxa"/>
            <w:gridSpan w:val="3"/>
          </w:tcPr>
          <w:p w:rsidR="00904500" w:rsidRPr="00B052F8" w:rsidRDefault="00904500" w:rsidP="00431B13">
            <w:pPr>
              <w:pStyle w:val="ListParagraph"/>
              <w:spacing w:before="100" w:beforeAutospacing="1"/>
              <w:ind w:left="34"/>
              <w:rPr>
                <w:rFonts w:asciiTheme="minorHAnsi" w:hAnsiTheme="minorHAnsi"/>
                <w:b/>
              </w:rPr>
            </w:pPr>
            <w:r w:rsidRPr="00B052F8">
              <w:rPr>
                <w:rFonts w:asciiTheme="minorHAnsi" w:hAnsiTheme="minorHAnsi"/>
                <w:b/>
              </w:rPr>
              <w:lastRenderedPageBreak/>
              <w:t>Prevention of recurrent life-threatening episodes of hypotensive shock with hypoalbuminaemia in diagnosed SCLS</w:t>
            </w:r>
          </w:p>
          <w:p w:rsidR="00904500" w:rsidRPr="00904500" w:rsidRDefault="00904500" w:rsidP="00904500">
            <w:pPr>
              <w:pStyle w:val="ListParagraph"/>
              <w:spacing w:before="100" w:beforeAutospacing="1"/>
              <w:rPr>
                <w:rFonts w:asciiTheme="minorHAnsi" w:hAnsiTheme="minorHAnsi"/>
              </w:rPr>
            </w:pPr>
          </w:p>
          <w:p w:rsidR="00904500" w:rsidRPr="00257053" w:rsidRDefault="00904500" w:rsidP="00904500">
            <w:pPr>
              <w:pStyle w:val="ListParagraph"/>
              <w:numPr>
                <w:ilvl w:val="0"/>
                <w:numId w:val="2"/>
              </w:numPr>
              <w:spacing w:before="100" w:beforeAutospacing="1"/>
              <w:rPr>
                <w:rFonts w:asciiTheme="minorHAnsi" w:hAnsiTheme="minorHAnsi"/>
              </w:rPr>
            </w:pPr>
            <w:r w:rsidRPr="00904500">
              <w:rPr>
                <w:rFonts w:asciiTheme="minorHAnsi" w:hAnsiTheme="minorHAnsi"/>
              </w:rPr>
              <w:t>Recurrent episodes of unexplained hypotension and oedema</w:t>
            </w:r>
          </w:p>
          <w:p w:rsidR="00904500" w:rsidRPr="00904500" w:rsidRDefault="00904500" w:rsidP="00904500">
            <w:pPr>
              <w:pStyle w:val="ListParagraph"/>
              <w:spacing w:before="100" w:beforeAutospacing="1"/>
              <w:rPr>
                <w:rFonts w:asciiTheme="minorHAnsi" w:hAnsiTheme="minorHAnsi"/>
              </w:rPr>
            </w:pPr>
            <w:r w:rsidRPr="00904500">
              <w:rPr>
                <w:rFonts w:asciiTheme="minorHAnsi" w:hAnsiTheme="minorHAnsi"/>
              </w:rPr>
              <w:t>AND</w:t>
            </w:r>
          </w:p>
          <w:p w:rsidR="00904500" w:rsidRPr="00257053" w:rsidRDefault="00904500" w:rsidP="00904500">
            <w:pPr>
              <w:pStyle w:val="ListParagraph"/>
              <w:numPr>
                <w:ilvl w:val="0"/>
                <w:numId w:val="2"/>
              </w:numPr>
              <w:spacing w:before="100" w:beforeAutospacing="1"/>
              <w:rPr>
                <w:rFonts w:asciiTheme="minorHAnsi" w:hAnsiTheme="minorHAnsi"/>
              </w:rPr>
            </w:pPr>
            <w:r w:rsidRPr="00904500">
              <w:rPr>
                <w:rFonts w:asciiTheme="minorHAnsi" w:hAnsiTheme="minorHAnsi"/>
              </w:rPr>
              <w:t>Hemoconcentration, shock and hypoproteinaemia as a result of the loss of plasma into the extravascular space</w:t>
            </w:r>
          </w:p>
          <w:p w:rsidR="00904500" w:rsidRPr="00904500" w:rsidRDefault="00904500" w:rsidP="00904500">
            <w:pPr>
              <w:pStyle w:val="ListParagraph"/>
              <w:spacing w:before="100" w:beforeAutospacing="1"/>
              <w:rPr>
                <w:rFonts w:asciiTheme="minorHAnsi" w:hAnsiTheme="minorHAnsi"/>
              </w:rPr>
            </w:pPr>
            <w:r w:rsidRPr="00904500">
              <w:rPr>
                <w:rFonts w:asciiTheme="minorHAnsi" w:hAnsiTheme="minorHAnsi"/>
              </w:rPr>
              <w:t>AND</w:t>
            </w:r>
          </w:p>
          <w:p w:rsidR="00904500" w:rsidRPr="00904500" w:rsidRDefault="00904500" w:rsidP="00E415BE">
            <w:pPr>
              <w:pStyle w:val="ListParagraph"/>
              <w:numPr>
                <w:ilvl w:val="0"/>
                <w:numId w:val="2"/>
              </w:numPr>
              <w:spacing w:before="100" w:beforeAutospacing="1"/>
              <w:rPr>
                <w:rFonts w:asciiTheme="minorHAnsi" w:hAnsiTheme="minorHAnsi"/>
              </w:rPr>
            </w:pPr>
            <w:r w:rsidRPr="00904500">
              <w:rPr>
                <w:rFonts w:asciiTheme="minorHAnsi" w:hAnsiTheme="minorHAnsi"/>
              </w:rPr>
              <w:t xml:space="preserve">Other causes have been excluded </w:t>
            </w:r>
          </w:p>
          <w:p w:rsidR="00880ECB" w:rsidRPr="00880ECB" w:rsidRDefault="00880ECB" w:rsidP="00064A76">
            <w:pPr>
              <w:pStyle w:val="ListParagraph"/>
              <w:spacing w:before="100" w:beforeAutospacing="1"/>
              <w:ind w:left="0"/>
              <w:rPr>
                <w:rFonts w:asciiTheme="minorHAnsi" w:hAnsiTheme="minorHAnsi"/>
              </w:rPr>
            </w:pPr>
          </w:p>
        </w:tc>
        <w:tc>
          <w:tcPr>
            <w:tcW w:w="4394" w:type="dxa"/>
          </w:tcPr>
          <w:p w:rsidR="005517F9" w:rsidRDefault="00B644E6" w:rsidP="005517F9">
            <w:pPr>
              <w:spacing w:before="120" w:after="120"/>
              <w:rPr>
                <w:szCs w:val="20"/>
              </w:rPr>
            </w:pPr>
            <w:r>
              <w:rPr>
                <w:szCs w:val="20"/>
              </w:rPr>
              <w:lastRenderedPageBreak/>
              <w:t xml:space="preserve">Some patients will have one-off attacks </w:t>
            </w:r>
            <w:r>
              <w:rPr>
                <w:szCs w:val="20"/>
              </w:rPr>
              <w:lastRenderedPageBreak/>
              <w:t xml:space="preserve">without further episodes, and therefore </w:t>
            </w:r>
            <w:r w:rsidR="003C6002">
              <w:rPr>
                <w:szCs w:val="20"/>
              </w:rPr>
              <w:t xml:space="preserve">the criteria </w:t>
            </w:r>
            <w:r w:rsidR="007E59C2">
              <w:rPr>
                <w:szCs w:val="20"/>
              </w:rPr>
              <w:t xml:space="preserve">seek </w:t>
            </w:r>
            <w:r w:rsidR="003C6002">
              <w:rPr>
                <w:szCs w:val="20"/>
              </w:rPr>
              <w:t xml:space="preserve">to </w:t>
            </w:r>
            <w:r>
              <w:rPr>
                <w:szCs w:val="20"/>
              </w:rPr>
              <w:t xml:space="preserve">both </w:t>
            </w:r>
            <w:r w:rsidR="003C6002">
              <w:rPr>
                <w:szCs w:val="20"/>
              </w:rPr>
              <w:t xml:space="preserve">confirm the </w:t>
            </w:r>
            <w:r w:rsidR="007E59C2">
              <w:rPr>
                <w:szCs w:val="20"/>
              </w:rPr>
              <w:t xml:space="preserve">clinical </w:t>
            </w:r>
            <w:r w:rsidR="003C6002">
              <w:rPr>
                <w:szCs w:val="20"/>
              </w:rPr>
              <w:t>diagnosis</w:t>
            </w:r>
            <w:r w:rsidR="007E59C2">
              <w:rPr>
                <w:szCs w:val="20"/>
              </w:rPr>
              <w:t xml:space="preserve"> and </w:t>
            </w:r>
            <w:r>
              <w:rPr>
                <w:szCs w:val="20"/>
              </w:rPr>
              <w:t>establish</w:t>
            </w:r>
            <w:r w:rsidR="007E59C2">
              <w:rPr>
                <w:szCs w:val="20"/>
              </w:rPr>
              <w:t xml:space="preserve"> that episodes have been recurrent</w:t>
            </w:r>
            <w:r>
              <w:rPr>
                <w:szCs w:val="20"/>
              </w:rPr>
              <w:t xml:space="preserve">. </w:t>
            </w:r>
            <w:r w:rsidR="007E59C2">
              <w:rPr>
                <w:szCs w:val="20"/>
              </w:rPr>
              <w:t>T</w:t>
            </w:r>
            <w:r w:rsidR="00C27DE0">
              <w:rPr>
                <w:szCs w:val="20"/>
              </w:rPr>
              <w:t xml:space="preserve">he symptoms </w:t>
            </w:r>
            <w:r w:rsidR="007E59C2">
              <w:rPr>
                <w:szCs w:val="20"/>
              </w:rPr>
              <w:t xml:space="preserve">of shock must be described </w:t>
            </w:r>
            <w:r w:rsidR="005517F9">
              <w:rPr>
                <w:szCs w:val="20"/>
              </w:rPr>
              <w:t xml:space="preserve">to establish sufficient severity </w:t>
            </w:r>
            <w:r w:rsidR="001A797D">
              <w:rPr>
                <w:szCs w:val="20"/>
              </w:rPr>
              <w:t xml:space="preserve">of a life threatening nature including </w:t>
            </w:r>
            <w:r w:rsidR="005517F9">
              <w:rPr>
                <w:szCs w:val="20"/>
              </w:rPr>
              <w:t xml:space="preserve">that </w:t>
            </w:r>
            <w:r w:rsidR="007E59C2">
              <w:rPr>
                <w:szCs w:val="20"/>
              </w:rPr>
              <w:t>hospitalisation</w:t>
            </w:r>
            <w:r w:rsidR="005517F9">
              <w:rPr>
                <w:szCs w:val="20"/>
              </w:rPr>
              <w:t xml:space="preserve"> has been required</w:t>
            </w:r>
            <w:r>
              <w:rPr>
                <w:szCs w:val="20"/>
              </w:rPr>
              <w:t xml:space="preserve"> on more than one occasion</w:t>
            </w:r>
            <w:r w:rsidR="007E59C2">
              <w:rPr>
                <w:szCs w:val="20"/>
              </w:rPr>
              <w:t>.  The</w:t>
            </w:r>
            <w:r w:rsidR="00C27DE0">
              <w:rPr>
                <w:szCs w:val="20"/>
              </w:rPr>
              <w:t xml:space="preserve"> </w:t>
            </w:r>
            <w:r w:rsidR="000A14E4">
              <w:rPr>
                <w:szCs w:val="20"/>
              </w:rPr>
              <w:t>presence of a</w:t>
            </w:r>
            <w:r w:rsidR="00C27DE0">
              <w:rPr>
                <w:szCs w:val="20"/>
              </w:rPr>
              <w:t xml:space="preserve"> paraprotein </w:t>
            </w:r>
            <w:r w:rsidR="007E59C2">
              <w:rPr>
                <w:szCs w:val="20"/>
              </w:rPr>
              <w:t xml:space="preserve">will be ascertained as it is a negative finding </w:t>
            </w:r>
            <w:r w:rsidR="00C27DE0">
              <w:rPr>
                <w:szCs w:val="20"/>
              </w:rPr>
              <w:t>indicati</w:t>
            </w:r>
            <w:r w:rsidR="007E59C2">
              <w:rPr>
                <w:szCs w:val="20"/>
              </w:rPr>
              <w:t>ng</w:t>
            </w:r>
            <w:r w:rsidR="00C27DE0">
              <w:rPr>
                <w:szCs w:val="20"/>
              </w:rPr>
              <w:t xml:space="preserve"> </w:t>
            </w:r>
            <w:r w:rsidR="007E59C2">
              <w:rPr>
                <w:szCs w:val="20"/>
              </w:rPr>
              <w:t>a likely</w:t>
            </w:r>
            <w:r w:rsidR="00C27DE0">
              <w:rPr>
                <w:szCs w:val="20"/>
              </w:rPr>
              <w:t xml:space="preserve"> need for longer term therapy. </w:t>
            </w:r>
          </w:p>
          <w:p w:rsidR="00880ECB" w:rsidRPr="00C92149" w:rsidRDefault="00C27DE0" w:rsidP="005517F9">
            <w:pPr>
              <w:spacing w:before="120" w:after="120"/>
              <w:rPr>
                <w:rFonts w:asciiTheme="minorHAnsi" w:hAnsiTheme="minorHAnsi"/>
                <w:szCs w:val="20"/>
              </w:rPr>
            </w:pPr>
            <w:r>
              <w:rPr>
                <w:szCs w:val="20"/>
              </w:rPr>
              <w:t xml:space="preserve">Other causes, such as sepsis must </w:t>
            </w:r>
            <w:r w:rsidR="007E59C2">
              <w:rPr>
                <w:szCs w:val="20"/>
              </w:rPr>
              <w:t xml:space="preserve">have </w:t>
            </w:r>
            <w:r>
              <w:rPr>
                <w:szCs w:val="20"/>
              </w:rPr>
              <w:t>be</w:t>
            </w:r>
            <w:r w:rsidR="007E59C2">
              <w:rPr>
                <w:szCs w:val="20"/>
              </w:rPr>
              <w:t>en</w:t>
            </w:r>
            <w:r>
              <w:rPr>
                <w:szCs w:val="20"/>
              </w:rPr>
              <w:t xml:space="preserve"> excluded. </w:t>
            </w:r>
          </w:p>
        </w:tc>
      </w:tr>
      <w:tr w:rsidR="00021243" w:rsidRPr="00853117" w:rsidTr="00C92149">
        <w:tc>
          <w:tcPr>
            <w:tcW w:w="1560" w:type="dxa"/>
            <w:shd w:val="clear" w:color="auto" w:fill="D9D9D9" w:themeFill="background1" w:themeFillShade="D9"/>
          </w:tcPr>
          <w:p w:rsidR="00021243" w:rsidRPr="00447869" w:rsidRDefault="00021243" w:rsidP="00431B13">
            <w:pPr>
              <w:spacing w:before="120" w:after="120"/>
            </w:pPr>
            <w:r w:rsidRPr="00431B13">
              <w:rPr>
                <w:rFonts w:asciiTheme="minorHAnsi" w:hAnsiTheme="minorHAnsi"/>
                <w:b/>
              </w:rPr>
              <w:lastRenderedPageBreak/>
              <w:t>Review Criteria</w:t>
            </w:r>
          </w:p>
        </w:tc>
        <w:tc>
          <w:tcPr>
            <w:tcW w:w="2268" w:type="dxa"/>
          </w:tcPr>
          <w:p w:rsidR="00021243" w:rsidRPr="00991850" w:rsidRDefault="002C7DBC" w:rsidP="00021243">
            <w:pPr>
              <w:pStyle w:val="Default"/>
              <w:spacing w:before="120" w:after="120"/>
              <w:rPr>
                <w:rFonts w:asciiTheme="minorHAnsi" w:hAnsiTheme="minorHAnsi"/>
                <w:sz w:val="22"/>
                <w:szCs w:val="22"/>
              </w:rPr>
            </w:pPr>
            <w:r w:rsidRPr="0003079A">
              <w:rPr>
                <w:rFonts w:asciiTheme="minorHAnsi" w:eastAsia="Times New Roman" w:hAnsiTheme="minorHAnsi" w:cs="Times New Roman"/>
                <w:lang w:eastAsia="en-AU"/>
              </w:rPr>
              <w:t>Clinicians requesting ongoing intravenous immunoglobulin (</w:t>
            </w:r>
            <w:r w:rsidR="006362D3">
              <w:rPr>
                <w:rFonts w:asciiTheme="minorHAnsi" w:eastAsia="Times New Roman" w:hAnsiTheme="minorHAnsi" w:cs="Times New Roman"/>
                <w:lang w:eastAsia="en-AU"/>
              </w:rPr>
              <w:t>IVIg</w:t>
            </w:r>
            <w:r w:rsidRPr="0003079A">
              <w:rPr>
                <w:rFonts w:asciiTheme="minorHAnsi" w:eastAsia="Times New Roman" w:hAnsiTheme="minorHAnsi" w:cs="Times New Roman"/>
                <w:lang w:eastAsia="en-AU"/>
              </w:rPr>
              <w:t xml:space="preserve">) therapy after the initial 12-month period are required to confirm in writing that the patient experienced a reduced number of severe episodes requiring hospital admission when treated with </w:t>
            </w:r>
            <w:r w:rsidR="006362D3">
              <w:rPr>
                <w:rFonts w:asciiTheme="minorHAnsi" w:eastAsia="Times New Roman" w:hAnsiTheme="minorHAnsi" w:cs="Times New Roman"/>
                <w:lang w:eastAsia="en-AU"/>
              </w:rPr>
              <w:t>IVIg</w:t>
            </w:r>
            <w:r w:rsidRPr="0003079A">
              <w:rPr>
                <w:rFonts w:asciiTheme="minorHAnsi" w:eastAsia="Times New Roman" w:hAnsiTheme="minorHAnsi" w:cs="Times New Roman"/>
                <w:lang w:eastAsia="en-AU"/>
              </w:rPr>
              <w:t>.</w:t>
            </w:r>
          </w:p>
          <w:p w:rsidR="00021243" w:rsidRPr="00447869" w:rsidRDefault="00021243" w:rsidP="00021243">
            <w:pPr>
              <w:spacing w:before="120" w:after="120"/>
              <w:rPr>
                <w:rFonts w:asciiTheme="minorHAnsi" w:hAnsiTheme="minorHAnsi"/>
              </w:rPr>
            </w:pPr>
          </w:p>
        </w:tc>
        <w:tc>
          <w:tcPr>
            <w:tcW w:w="6379" w:type="dxa"/>
            <w:gridSpan w:val="3"/>
          </w:tcPr>
          <w:p w:rsidR="00904500" w:rsidRPr="00257053" w:rsidRDefault="00904500" w:rsidP="00904500">
            <w:pPr>
              <w:spacing w:before="120" w:after="120"/>
              <w:rPr>
                <w:b/>
              </w:rPr>
            </w:pPr>
            <w:r w:rsidRPr="00CF2705">
              <w:rPr>
                <w:b/>
              </w:rPr>
              <w:lastRenderedPageBreak/>
              <w:t>Prevention of recurrent life-threatening episodes of hypotensive shock with hypoalbuminaemia in diagnosed SCLS</w:t>
            </w:r>
            <w:r w:rsidRPr="00904500">
              <w:tab/>
              <w:t xml:space="preserve"> </w:t>
            </w:r>
          </w:p>
          <w:p w:rsidR="00904500" w:rsidRPr="00904500" w:rsidRDefault="00904500" w:rsidP="00904500">
            <w:pPr>
              <w:spacing w:before="120" w:after="120"/>
            </w:pPr>
            <w:r w:rsidRPr="00904500">
              <w:t xml:space="preserve">Review by a General Physician or Clinical Immunologist is required within six months to assess the evidence of clinical benefit, and annually thereafter. </w:t>
            </w:r>
          </w:p>
          <w:p w:rsidR="00904500" w:rsidRPr="00904500" w:rsidRDefault="00904500" w:rsidP="00904500">
            <w:pPr>
              <w:spacing w:before="120" w:after="120"/>
            </w:pPr>
            <w:r w:rsidRPr="00904500">
              <w:t xml:space="preserve">The duration of requirement for ongoing </w:t>
            </w:r>
            <w:r w:rsidR="006362D3">
              <w:t>IVIg</w:t>
            </w:r>
            <w:r w:rsidRPr="00904500">
              <w:t xml:space="preserve"> is unknown. Although most subjects note rapid diminution of SCLS-related symptoms, few patients who have responded favo</w:t>
            </w:r>
            <w:r w:rsidR="00336737">
              <w:t>u</w:t>
            </w:r>
            <w:r w:rsidRPr="00904500">
              <w:t>rably have been reported to have discontinued treatment on long term follow-up.</w:t>
            </w:r>
          </w:p>
          <w:p w:rsidR="00904500" w:rsidRPr="00257053" w:rsidRDefault="00904500" w:rsidP="00904500">
            <w:pPr>
              <w:spacing w:before="120" w:after="120"/>
              <w:rPr>
                <w:b/>
              </w:rPr>
            </w:pPr>
            <w:r w:rsidRPr="00E415BE">
              <w:rPr>
                <w:b/>
              </w:rPr>
              <w:t>On review of the initial authorisation period</w:t>
            </w:r>
          </w:p>
          <w:p w:rsidR="00904500" w:rsidRPr="00904500" w:rsidRDefault="00904500" w:rsidP="00904500">
            <w:pPr>
              <w:spacing w:before="120" w:after="120"/>
            </w:pPr>
            <w:r w:rsidRPr="00904500">
              <w:t xml:space="preserve">Clinical effectiveness of Ig therapy may be demonstrated by: </w:t>
            </w:r>
          </w:p>
          <w:p w:rsidR="00904500" w:rsidRPr="00904500" w:rsidRDefault="00904500" w:rsidP="00E415BE">
            <w:pPr>
              <w:pStyle w:val="ListParagraph"/>
              <w:numPr>
                <w:ilvl w:val="0"/>
                <w:numId w:val="2"/>
              </w:numPr>
              <w:spacing w:before="120" w:after="120"/>
            </w:pPr>
            <w:r w:rsidRPr="00904500">
              <w:t>Reduction in SCLS-related symptoms including oedema and hypotension post Ig treatment compared to the qualifying assessment</w:t>
            </w:r>
          </w:p>
          <w:p w:rsidR="00904500" w:rsidRPr="00904500" w:rsidRDefault="00904500" w:rsidP="00485890">
            <w:pPr>
              <w:spacing w:before="120" w:after="120"/>
            </w:pPr>
            <w:r w:rsidRPr="00904500">
              <w:lastRenderedPageBreak/>
              <w:t>AND</w:t>
            </w:r>
          </w:p>
          <w:p w:rsidR="00904500" w:rsidRPr="00904500" w:rsidRDefault="00904500" w:rsidP="00904500">
            <w:pPr>
              <w:pStyle w:val="ListParagraph"/>
              <w:numPr>
                <w:ilvl w:val="0"/>
                <w:numId w:val="2"/>
              </w:numPr>
              <w:spacing w:before="120" w:after="120"/>
            </w:pPr>
            <w:r w:rsidRPr="00904500">
              <w:t>A reduction in the number of severe episodes requiring hospital admission compared to pre-treatment levels</w:t>
            </w:r>
          </w:p>
          <w:p w:rsidR="00904500" w:rsidRPr="00257053" w:rsidRDefault="00904500" w:rsidP="00904500">
            <w:pPr>
              <w:spacing w:before="120" w:after="120"/>
              <w:rPr>
                <w:b/>
              </w:rPr>
            </w:pPr>
            <w:r w:rsidRPr="00E415BE">
              <w:rPr>
                <w:b/>
              </w:rPr>
              <w:t>On review of a continuing authorisation period</w:t>
            </w:r>
          </w:p>
          <w:p w:rsidR="00904500" w:rsidRPr="00904500" w:rsidRDefault="00904500" w:rsidP="00904500">
            <w:pPr>
              <w:pStyle w:val="ListParagraph"/>
              <w:numPr>
                <w:ilvl w:val="0"/>
                <w:numId w:val="5"/>
              </w:numPr>
              <w:spacing w:before="120" w:after="120"/>
              <w:ind w:left="1442"/>
            </w:pPr>
            <w:r w:rsidRPr="00904500">
              <w:t xml:space="preserve">Further improvement in or stabilisation of the number of episodes requiring hospital admission compared to the previous review period </w:t>
            </w:r>
          </w:p>
          <w:p w:rsidR="00904500" w:rsidRPr="00904500" w:rsidRDefault="00904500" w:rsidP="00485890">
            <w:pPr>
              <w:spacing w:before="120" w:after="120"/>
            </w:pPr>
            <w:r w:rsidRPr="00904500">
              <w:t>AND</w:t>
            </w:r>
          </w:p>
          <w:p w:rsidR="00021243" w:rsidRPr="00CF2705" w:rsidRDefault="00904500" w:rsidP="00E415BE">
            <w:pPr>
              <w:pStyle w:val="ListParagraph"/>
              <w:numPr>
                <w:ilvl w:val="0"/>
                <w:numId w:val="2"/>
              </w:numPr>
              <w:spacing w:before="120" w:after="120"/>
              <w:ind w:left="1442"/>
            </w:pPr>
            <w:r w:rsidRPr="00904500">
              <w:t xml:space="preserve">Once stable in remission, a reduction in dose and or a trial off Ig therapy is planned or if not planned, a reason is provided. </w:t>
            </w:r>
          </w:p>
        </w:tc>
        <w:tc>
          <w:tcPr>
            <w:tcW w:w="4394" w:type="dxa"/>
          </w:tcPr>
          <w:p w:rsidR="00BD6C2D" w:rsidRDefault="00282F66" w:rsidP="00021243">
            <w:pPr>
              <w:spacing w:before="120" w:after="120"/>
              <w:rPr>
                <w:szCs w:val="20"/>
              </w:rPr>
            </w:pPr>
            <w:r w:rsidRPr="009208EC">
              <w:rPr>
                <w:szCs w:val="20"/>
              </w:rPr>
              <w:lastRenderedPageBreak/>
              <w:t xml:space="preserve"> </w:t>
            </w:r>
            <w:r w:rsidR="00336737">
              <w:rPr>
                <w:szCs w:val="20"/>
              </w:rPr>
              <w:t>N</w:t>
            </w:r>
            <w:r w:rsidR="00336737" w:rsidRPr="00336737">
              <w:rPr>
                <w:szCs w:val="20"/>
              </w:rPr>
              <w:t xml:space="preserve">o evidence </w:t>
            </w:r>
            <w:r w:rsidR="005517F9">
              <w:rPr>
                <w:szCs w:val="20"/>
              </w:rPr>
              <w:t>supporting specific</w:t>
            </w:r>
            <w:r w:rsidR="005517F9" w:rsidRPr="00336737">
              <w:rPr>
                <w:szCs w:val="20"/>
              </w:rPr>
              <w:t xml:space="preserve"> </w:t>
            </w:r>
            <w:r w:rsidR="00336737">
              <w:rPr>
                <w:szCs w:val="20"/>
              </w:rPr>
              <w:t>treatment timeframe</w:t>
            </w:r>
            <w:r w:rsidR="005517F9">
              <w:rPr>
                <w:szCs w:val="20"/>
              </w:rPr>
              <w:t>s</w:t>
            </w:r>
            <w:r w:rsidR="00336737">
              <w:rPr>
                <w:szCs w:val="20"/>
              </w:rPr>
              <w:t xml:space="preserve"> and</w:t>
            </w:r>
            <w:r w:rsidR="005517F9">
              <w:rPr>
                <w:szCs w:val="20"/>
              </w:rPr>
              <w:t xml:space="preserve">/or timing of </w:t>
            </w:r>
            <w:r w:rsidR="00336737">
              <w:rPr>
                <w:szCs w:val="20"/>
              </w:rPr>
              <w:t>cessation of therapy w</w:t>
            </w:r>
            <w:r w:rsidR="005517F9">
              <w:rPr>
                <w:szCs w:val="20"/>
              </w:rPr>
              <w:t>ere</w:t>
            </w:r>
            <w:r w:rsidR="00336737">
              <w:rPr>
                <w:szCs w:val="20"/>
              </w:rPr>
              <w:t xml:space="preserve"> </w:t>
            </w:r>
            <w:r w:rsidR="005517F9">
              <w:rPr>
                <w:szCs w:val="20"/>
              </w:rPr>
              <w:t>identified in the literature</w:t>
            </w:r>
            <w:r w:rsidR="00336737">
              <w:rPr>
                <w:szCs w:val="20"/>
              </w:rPr>
              <w:t xml:space="preserve">. </w:t>
            </w:r>
            <w:r w:rsidR="005517F9">
              <w:rPr>
                <w:szCs w:val="20"/>
              </w:rPr>
              <w:t xml:space="preserve">The </w:t>
            </w:r>
            <w:r w:rsidR="00A42333">
              <w:rPr>
                <w:szCs w:val="20"/>
              </w:rPr>
              <w:t xml:space="preserve">Specialist Working Group </w:t>
            </w:r>
            <w:r w:rsidR="00336737">
              <w:rPr>
                <w:szCs w:val="20"/>
              </w:rPr>
              <w:t>recommend</w:t>
            </w:r>
            <w:r w:rsidR="005517F9">
              <w:rPr>
                <w:szCs w:val="20"/>
              </w:rPr>
              <w:t>s</w:t>
            </w:r>
            <w:r w:rsidR="00336737">
              <w:rPr>
                <w:szCs w:val="20"/>
              </w:rPr>
              <w:t xml:space="preserve"> </w:t>
            </w:r>
            <w:r w:rsidR="00E13351">
              <w:rPr>
                <w:szCs w:val="20"/>
              </w:rPr>
              <w:t>an initial review at six months and</w:t>
            </w:r>
            <w:r w:rsidR="00336737">
              <w:rPr>
                <w:szCs w:val="20"/>
              </w:rPr>
              <w:t xml:space="preserve"> annual review period</w:t>
            </w:r>
            <w:r w:rsidR="00E13351">
              <w:rPr>
                <w:szCs w:val="20"/>
              </w:rPr>
              <w:t>s</w:t>
            </w:r>
            <w:r w:rsidR="00676C50">
              <w:rPr>
                <w:szCs w:val="20"/>
              </w:rPr>
              <w:t xml:space="preserve"> </w:t>
            </w:r>
            <w:r w:rsidR="00E13351">
              <w:rPr>
                <w:szCs w:val="20"/>
              </w:rPr>
              <w:t>there</w:t>
            </w:r>
            <w:r w:rsidR="00676C50">
              <w:rPr>
                <w:szCs w:val="20"/>
              </w:rPr>
              <w:t>after</w:t>
            </w:r>
            <w:r w:rsidR="00336737">
              <w:rPr>
                <w:szCs w:val="20"/>
              </w:rPr>
              <w:t xml:space="preserve">. </w:t>
            </w:r>
          </w:p>
          <w:p w:rsidR="000A1269" w:rsidRDefault="000A1269"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DF33D9" w:rsidRPr="00C92149" w:rsidRDefault="000A1269" w:rsidP="00021243">
            <w:pPr>
              <w:spacing w:before="120" w:after="120"/>
              <w:rPr>
                <w:szCs w:val="20"/>
              </w:rPr>
            </w:pPr>
            <w:r>
              <w:rPr>
                <w:szCs w:val="20"/>
              </w:rPr>
              <w:t xml:space="preserve">Where patients have been well controlled for a long period of time, a reduction in dose </w:t>
            </w:r>
            <w:r w:rsidR="00431B13">
              <w:rPr>
                <w:szCs w:val="20"/>
              </w:rPr>
              <w:t>or trial</w:t>
            </w:r>
            <w:r>
              <w:rPr>
                <w:szCs w:val="20"/>
              </w:rPr>
              <w:t xml:space="preserve"> off Ig therapy should be considered. </w:t>
            </w:r>
            <w:r w:rsidR="00DF33D9">
              <w:rPr>
                <w:szCs w:val="20"/>
              </w:rPr>
              <w:t xml:space="preserve"> </w:t>
            </w:r>
            <w:r>
              <w:rPr>
                <w:szCs w:val="20"/>
              </w:rPr>
              <w:t>The</w:t>
            </w:r>
            <w:r w:rsidR="00DF33D9">
              <w:rPr>
                <w:szCs w:val="20"/>
              </w:rPr>
              <w:t xml:space="preserve"> </w:t>
            </w:r>
            <w:r w:rsidR="00A42333">
              <w:rPr>
                <w:szCs w:val="20"/>
              </w:rPr>
              <w:t xml:space="preserve">Specialist Working Group </w:t>
            </w:r>
            <w:r w:rsidR="00431B13">
              <w:rPr>
                <w:szCs w:val="20"/>
              </w:rPr>
              <w:t>acknowledges</w:t>
            </w:r>
            <w:r w:rsidR="00DF33D9">
              <w:rPr>
                <w:szCs w:val="20"/>
              </w:rPr>
              <w:t xml:space="preserve"> that this is a clinical decision. Doctors are required to indicate the reason for not trialling off Ig.  This information </w:t>
            </w:r>
            <w:r>
              <w:rPr>
                <w:szCs w:val="20"/>
              </w:rPr>
              <w:t xml:space="preserve">will help to inform improvements to </w:t>
            </w:r>
            <w:r w:rsidRPr="00E415BE">
              <w:rPr>
                <w:i/>
                <w:szCs w:val="20"/>
              </w:rPr>
              <w:t>the</w:t>
            </w:r>
            <w:r>
              <w:rPr>
                <w:szCs w:val="20"/>
              </w:rPr>
              <w:t xml:space="preserve"> </w:t>
            </w:r>
            <w:r w:rsidR="005517F9" w:rsidRPr="00E415BE">
              <w:rPr>
                <w:i/>
                <w:szCs w:val="20"/>
              </w:rPr>
              <w:t>C</w:t>
            </w:r>
            <w:r w:rsidRPr="00E415BE">
              <w:rPr>
                <w:i/>
                <w:szCs w:val="20"/>
              </w:rPr>
              <w:t>riteria</w:t>
            </w:r>
            <w:r>
              <w:rPr>
                <w:szCs w:val="20"/>
              </w:rPr>
              <w:t xml:space="preserve"> over time. </w:t>
            </w:r>
          </w:p>
          <w:p w:rsidR="00BD6C2D" w:rsidRPr="00C92149" w:rsidRDefault="00BD6C2D" w:rsidP="00021243">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021243">
            <w:pPr>
              <w:pStyle w:val="Heading1"/>
              <w:spacing w:before="120" w:after="120"/>
              <w:outlineLvl w:val="0"/>
              <w:rPr>
                <w:rFonts w:asciiTheme="minorHAnsi" w:hAnsiTheme="minorHAnsi"/>
                <w:sz w:val="22"/>
                <w:szCs w:val="22"/>
              </w:rPr>
            </w:pPr>
            <w:r w:rsidRPr="00431B13">
              <w:rPr>
                <w:rFonts w:asciiTheme="minorHAnsi" w:eastAsia="Dotum" w:hAnsiTheme="minorHAnsi"/>
                <w:b/>
                <w:bCs w:val="0"/>
                <w:color w:val="auto"/>
                <w:spacing w:val="0"/>
                <w:sz w:val="22"/>
                <w:szCs w:val="22"/>
              </w:rPr>
              <w:lastRenderedPageBreak/>
              <w:t>Dose</w:t>
            </w:r>
          </w:p>
        </w:tc>
        <w:tc>
          <w:tcPr>
            <w:tcW w:w="2268" w:type="dxa"/>
          </w:tcPr>
          <w:p w:rsidR="002C7DBC" w:rsidRDefault="002C7DBC" w:rsidP="002C7DBC">
            <w:pPr>
              <w:tabs>
                <w:tab w:val="left" w:pos="991"/>
              </w:tabs>
              <w:spacing w:after="240" w:line="20" w:lineRule="atLeast"/>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Maximum dose of 1–2 g/kg per month.</w:t>
            </w:r>
          </w:p>
          <w:p w:rsidR="002C7DBC" w:rsidRPr="0003079A" w:rsidRDefault="002C7DBC" w:rsidP="002C7DBC">
            <w:pPr>
              <w:tabs>
                <w:tab w:val="left" w:pos="991"/>
              </w:tabs>
              <w:spacing w:after="240" w:line="20" w:lineRule="atLeast"/>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Refer to the current product information sheet for further information.</w:t>
            </w:r>
          </w:p>
          <w:p w:rsidR="00021243" w:rsidRDefault="002C7DBC" w:rsidP="002C7DBC">
            <w:pPr>
              <w:spacing w:before="120" w:after="120"/>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The aim should be to use the lowest dose possible that achieves the appropriate clinical outcome for each patient.</w:t>
            </w:r>
          </w:p>
          <w:p w:rsidR="00257053" w:rsidRPr="00447869" w:rsidRDefault="00257053" w:rsidP="002C7DBC">
            <w:pPr>
              <w:spacing w:before="120" w:after="120"/>
              <w:rPr>
                <w:rFonts w:asciiTheme="minorHAnsi" w:hAnsiTheme="minorHAnsi"/>
                <w:b/>
              </w:rPr>
            </w:pPr>
          </w:p>
        </w:tc>
        <w:tc>
          <w:tcPr>
            <w:tcW w:w="6379" w:type="dxa"/>
            <w:gridSpan w:val="3"/>
          </w:tcPr>
          <w:p w:rsidR="00904500" w:rsidRPr="00257053" w:rsidRDefault="00904500" w:rsidP="00904500">
            <w:pPr>
              <w:spacing w:before="120" w:after="120"/>
              <w:rPr>
                <w:rFonts w:asciiTheme="minorHAnsi" w:hAnsiTheme="minorHAnsi"/>
                <w:b/>
              </w:rPr>
            </w:pPr>
            <w:r w:rsidRPr="00431B13">
              <w:rPr>
                <w:rFonts w:asciiTheme="minorHAnsi" w:hAnsiTheme="minorHAnsi"/>
                <w:b/>
              </w:rPr>
              <w:t>Induction</w:t>
            </w:r>
            <w:r w:rsidR="00431B13" w:rsidRPr="00431B13">
              <w:rPr>
                <w:rFonts w:asciiTheme="minorHAnsi" w:hAnsiTheme="minorHAnsi"/>
                <w:b/>
              </w:rPr>
              <w:t xml:space="preserve"> Dose: </w:t>
            </w:r>
            <w:r w:rsidRPr="00B052F8">
              <w:rPr>
                <w:rFonts w:asciiTheme="minorHAnsi" w:hAnsiTheme="minorHAnsi"/>
              </w:rPr>
              <w:t xml:space="preserve">1 </w:t>
            </w:r>
            <w:r w:rsidR="00B644E6" w:rsidRPr="00B052F8">
              <w:rPr>
                <w:rFonts w:asciiTheme="minorHAnsi" w:hAnsiTheme="minorHAnsi"/>
              </w:rPr>
              <w:t>–</w:t>
            </w:r>
            <w:r w:rsidRPr="00B052F8">
              <w:rPr>
                <w:rFonts w:asciiTheme="minorHAnsi" w:hAnsiTheme="minorHAnsi"/>
              </w:rPr>
              <w:t xml:space="preserve"> 2</w:t>
            </w:r>
            <w:r w:rsidR="00B644E6" w:rsidRPr="00B052F8">
              <w:rPr>
                <w:rFonts w:asciiTheme="minorHAnsi" w:hAnsiTheme="minorHAnsi"/>
              </w:rPr>
              <w:t xml:space="preserve"> </w:t>
            </w:r>
            <w:r w:rsidRPr="00B052F8">
              <w:rPr>
                <w:rFonts w:asciiTheme="minorHAnsi" w:hAnsiTheme="minorHAnsi"/>
              </w:rPr>
              <w:t>g/kg in single or divided doses</w:t>
            </w:r>
          </w:p>
          <w:p w:rsidR="00B644E6" w:rsidRPr="00B052F8" w:rsidRDefault="00904500" w:rsidP="00904500">
            <w:pPr>
              <w:spacing w:before="120" w:after="120"/>
              <w:rPr>
                <w:rFonts w:asciiTheme="minorHAnsi" w:hAnsiTheme="minorHAnsi"/>
              </w:rPr>
            </w:pPr>
            <w:r w:rsidRPr="00431B13">
              <w:rPr>
                <w:rFonts w:asciiTheme="minorHAnsi" w:hAnsiTheme="minorHAnsi"/>
                <w:b/>
              </w:rPr>
              <w:t>Maintenance</w:t>
            </w:r>
            <w:r w:rsidR="00431B13" w:rsidRPr="00431B13">
              <w:rPr>
                <w:rFonts w:asciiTheme="minorHAnsi" w:hAnsiTheme="minorHAnsi"/>
                <w:b/>
              </w:rPr>
              <w:t xml:space="preserve"> Dose</w:t>
            </w:r>
            <w:r w:rsidR="00431B13" w:rsidRPr="00B052F8">
              <w:rPr>
                <w:rFonts w:asciiTheme="minorHAnsi" w:hAnsiTheme="minorHAnsi"/>
              </w:rPr>
              <w:t xml:space="preserve">: </w:t>
            </w:r>
            <w:r w:rsidRPr="00B052F8">
              <w:rPr>
                <w:rFonts w:asciiTheme="minorHAnsi" w:hAnsiTheme="minorHAnsi"/>
              </w:rPr>
              <w:t xml:space="preserve"> 0.4 </w:t>
            </w:r>
            <w:r w:rsidR="00B644E6" w:rsidRPr="00B052F8">
              <w:rPr>
                <w:rFonts w:asciiTheme="minorHAnsi" w:hAnsiTheme="minorHAnsi"/>
              </w:rPr>
              <w:t>–</w:t>
            </w:r>
            <w:r w:rsidRPr="00B052F8">
              <w:rPr>
                <w:rFonts w:asciiTheme="minorHAnsi" w:hAnsiTheme="minorHAnsi"/>
              </w:rPr>
              <w:t xml:space="preserve"> 2</w:t>
            </w:r>
            <w:r w:rsidR="00B644E6" w:rsidRPr="00B052F8">
              <w:rPr>
                <w:rFonts w:asciiTheme="minorHAnsi" w:hAnsiTheme="minorHAnsi"/>
              </w:rPr>
              <w:t xml:space="preserve"> </w:t>
            </w:r>
            <w:r w:rsidRPr="00B052F8">
              <w:rPr>
                <w:rFonts w:asciiTheme="minorHAnsi" w:hAnsiTheme="minorHAnsi"/>
              </w:rPr>
              <w:t>g/kg monthly</w:t>
            </w:r>
          </w:p>
          <w:p w:rsidR="00904500" w:rsidRPr="00904500" w:rsidRDefault="00904500" w:rsidP="00904500">
            <w:pPr>
              <w:spacing w:before="120" w:after="120"/>
              <w:rPr>
                <w:rFonts w:asciiTheme="minorHAnsi" w:hAnsiTheme="minorHAnsi"/>
              </w:rPr>
            </w:pPr>
            <w:r w:rsidRPr="00904500">
              <w:rPr>
                <w:rFonts w:asciiTheme="minorHAnsi" w:hAnsiTheme="minorHAnsi"/>
              </w:rPr>
              <w:t>The aim should be to use the lowest dose possible that achieves the appropriate clinical outcome for each patient.</w:t>
            </w:r>
          </w:p>
          <w:p w:rsidR="00021243" w:rsidRPr="00257053" w:rsidRDefault="00904500" w:rsidP="00904500">
            <w:pPr>
              <w:spacing w:before="120" w:after="120"/>
              <w:rPr>
                <w:rFonts w:asciiTheme="minorHAnsi" w:hAnsiTheme="minorHAnsi"/>
                <w:b/>
              </w:rPr>
            </w:pPr>
            <w:r w:rsidRPr="00257053">
              <w:rPr>
                <w:rFonts w:asciiTheme="minorHAnsi" w:hAnsiTheme="minorHAnsi"/>
                <w:b/>
              </w:rPr>
              <w:t>Refer to the current product information sheet for further information</w:t>
            </w:r>
            <w:r w:rsidR="00431B13" w:rsidRPr="00257053">
              <w:rPr>
                <w:rFonts w:asciiTheme="minorHAnsi" w:hAnsiTheme="minorHAnsi"/>
                <w:b/>
              </w:rPr>
              <w:t xml:space="preserve"> on dose, administration and contraindication</w:t>
            </w:r>
            <w:r w:rsidR="00A42333">
              <w:rPr>
                <w:rFonts w:asciiTheme="minorHAnsi" w:hAnsiTheme="minorHAnsi"/>
                <w:b/>
              </w:rPr>
              <w:t>s</w:t>
            </w:r>
            <w:r w:rsidR="00431B13" w:rsidRPr="00257053">
              <w:rPr>
                <w:rFonts w:asciiTheme="minorHAnsi" w:hAnsiTheme="minorHAnsi"/>
                <w:b/>
              </w:rPr>
              <w:t xml:space="preserve">. </w:t>
            </w:r>
          </w:p>
          <w:p w:rsidR="00336737" w:rsidRPr="00447869" w:rsidRDefault="00336737" w:rsidP="00904500">
            <w:pPr>
              <w:spacing w:before="120" w:after="120"/>
              <w:rPr>
                <w:rFonts w:asciiTheme="minorHAnsi" w:hAnsiTheme="minorHAnsi"/>
              </w:rPr>
            </w:pPr>
          </w:p>
        </w:tc>
        <w:tc>
          <w:tcPr>
            <w:tcW w:w="4394" w:type="dxa"/>
          </w:tcPr>
          <w:p w:rsidR="00021243" w:rsidRPr="00C92149" w:rsidRDefault="000A1269" w:rsidP="00880ECB">
            <w:pPr>
              <w:spacing w:before="120" w:after="120"/>
              <w:rPr>
                <w:rFonts w:asciiTheme="minorHAnsi" w:hAnsiTheme="minorHAnsi"/>
                <w:szCs w:val="20"/>
              </w:rPr>
            </w:pPr>
            <w:r>
              <w:rPr>
                <w:rFonts w:asciiTheme="minorHAnsi" w:hAnsiTheme="minorHAnsi"/>
                <w:szCs w:val="20"/>
              </w:rPr>
              <w:t xml:space="preserve">Where patients have been controlled for a long period of time a reduction in dose </w:t>
            </w:r>
            <w:r w:rsidR="00B644E6">
              <w:rPr>
                <w:rFonts w:asciiTheme="minorHAnsi" w:hAnsiTheme="minorHAnsi"/>
                <w:szCs w:val="20"/>
              </w:rPr>
              <w:t xml:space="preserve">or trial off Ig therapy </w:t>
            </w:r>
            <w:r>
              <w:rPr>
                <w:rFonts w:asciiTheme="minorHAnsi" w:hAnsiTheme="minorHAnsi"/>
                <w:szCs w:val="20"/>
              </w:rPr>
              <w:t xml:space="preserve">should be considered. </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0A1269">
            <w:pPr>
              <w:spacing w:before="120" w:after="120"/>
              <w:jc w:val="center"/>
              <w:rPr>
                <w:rFonts w:asciiTheme="minorHAnsi" w:hAnsiTheme="minorHAnsi"/>
                <w:b/>
              </w:rPr>
            </w:pPr>
            <w:r>
              <w:rPr>
                <w:rFonts w:asciiTheme="minorHAnsi" w:hAnsiTheme="minorHAnsi"/>
                <w:b/>
              </w:rPr>
              <w:t>(</w:t>
            </w:r>
            <w:r w:rsidR="00316124" w:rsidRPr="00E415BE">
              <w:rPr>
                <w:rFonts w:asciiTheme="minorHAnsi" w:hAnsiTheme="minorHAnsi"/>
                <w:b/>
              </w:rPr>
              <w:t xml:space="preserve">most </w:t>
            </w:r>
            <w:r w:rsidRPr="00E415BE">
              <w:rPr>
                <w:rFonts w:asciiTheme="minorHAnsi" w:hAnsiTheme="minorHAnsi"/>
                <w:b/>
              </w:rPr>
              <w:t>recent update</w:t>
            </w:r>
            <w:r w:rsidR="00316124" w:rsidRPr="00E415BE">
              <w:rPr>
                <w:rFonts w:asciiTheme="minorHAnsi" w:hAnsiTheme="minorHAnsi"/>
                <w:b/>
              </w:rPr>
              <w:t>: M</w:t>
            </w:r>
            <w:r w:rsidR="000A1269" w:rsidRPr="00E415BE">
              <w:rPr>
                <w:rFonts w:asciiTheme="minorHAnsi" w:hAnsiTheme="minorHAnsi"/>
                <w:b/>
              </w:rPr>
              <w:t>ay</w:t>
            </w:r>
            <w:r w:rsidR="008515FF" w:rsidRPr="00E415BE">
              <w:rPr>
                <w:rFonts w:asciiTheme="minorHAnsi" w:hAnsiTheme="minorHAnsi"/>
                <w:b/>
              </w:rPr>
              <w:t xml:space="preserve"> </w:t>
            </w:r>
            <w:r w:rsidR="000A1269">
              <w:rPr>
                <w:rFonts w:asciiTheme="minorHAnsi" w:hAnsiTheme="minorHAnsi"/>
                <w:b/>
              </w:rPr>
              <w:t>2016</w:t>
            </w:r>
            <w:r>
              <w:rPr>
                <w:rFonts w:asciiTheme="minorHAnsi" w:hAnsiTheme="minorHAnsi"/>
                <w:b/>
              </w:rPr>
              <w:t>)</w:t>
            </w:r>
          </w:p>
        </w:tc>
      </w:tr>
      <w:tr w:rsidR="008612AB" w:rsidRPr="00255740" w:rsidTr="008612AB">
        <w:tc>
          <w:tcPr>
            <w:tcW w:w="14601" w:type="dxa"/>
          </w:tcPr>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Abueguen</w:t>
            </w:r>
            <w:r w:rsidR="00904500" w:rsidRPr="00431B13">
              <w:rPr>
                <w:rFonts w:asciiTheme="minorHAnsi" w:eastAsia="Times New Roman" w:hAnsiTheme="minorHAnsi" w:cstheme="minorHAnsi"/>
                <w:color w:val="000000"/>
              </w:rPr>
              <w:t xml:space="preserve"> P</w:t>
            </w:r>
            <w:r>
              <w:rPr>
                <w:rFonts w:asciiTheme="minorHAnsi" w:eastAsia="Times New Roman" w:hAnsiTheme="minorHAnsi" w:cstheme="minorHAnsi"/>
                <w:color w:val="000000"/>
              </w:rPr>
              <w:t>, Chennebault</w:t>
            </w:r>
            <w:r w:rsidR="00904500" w:rsidRPr="00431B13">
              <w:rPr>
                <w:rFonts w:asciiTheme="minorHAnsi" w:eastAsia="Times New Roman" w:hAnsiTheme="minorHAnsi" w:cstheme="minorHAnsi"/>
                <w:color w:val="000000"/>
              </w:rPr>
              <w:t xml:space="preserve"> JM</w:t>
            </w:r>
            <w:r w:rsidR="00C83CBD">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Pichard</w:t>
            </w:r>
            <w:r w:rsidR="00904500" w:rsidRPr="00431B13">
              <w:rPr>
                <w:rFonts w:asciiTheme="minorHAnsi" w:eastAsia="Times New Roman" w:hAnsiTheme="minorHAnsi" w:cstheme="minorHAnsi"/>
                <w:color w:val="000000"/>
              </w:rPr>
              <w:t xml:space="preserve"> E </w:t>
            </w:r>
            <w:r>
              <w:rPr>
                <w:rFonts w:asciiTheme="minorHAnsi" w:eastAsia="Times New Roman" w:hAnsiTheme="minorHAnsi" w:cstheme="minorHAnsi"/>
                <w:color w:val="000000"/>
              </w:rPr>
              <w:t>(2010)</w:t>
            </w:r>
            <w:r w:rsidR="00C83CBD">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Immunoglobulins for the treatment of systemic ca</w:t>
            </w:r>
            <w:r w:rsidR="00C83CBD">
              <w:rPr>
                <w:rFonts w:asciiTheme="minorHAnsi" w:eastAsia="Times New Roman" w:hAnsiTheme="minorHAnsi" w:cstheme="minorHAnsi"/>
                <w:color w:val="000000"/>
              </w:rPr>
              <w:t xml:space="preserve">pillary leak syndrome. </w:t>
            </w:r>
            <w:r w:rsidR="000A1269" w:rsidRPr="00C83CBD">
              <w:rPr>
                <w:rFonts w:asciiTheme="minorHAnsi" w:eastAsia="Times New Roman" w:hAnsiTheme="minorHAnsi" w:cstheme="minorHAnsi"/>
                <w:i/>
                <w:color w:val="000000"/>
              </w:rPr>
              <w:t>American</w:t>
            </w:r>
            <w:r w:rsidR="00904500" w:rsidRPr="00C83CBD">
              <w:rPr>
                <w:rFonts w:asciiTheme="minorHAnsi" w:eastAsia="Times New Roman" w:hAnsiTheme="minorHAnsi" w:cstheme="minorHAnsi"/>
                <w:i/>
                <w:color w:val="000000"/>
              </w:rPr>
              <w:t xml:space="preserve"> Journal of Medicine</w:t>
            </w:r>
            <w:r>
              <w:rPr>
                <w:rFonts w:asciiTheme="minorHAnsi" w:eastAsia="Times New Roman" w:hAnsiTheme="minorHAnsi" w:cstheme="minorHAnsi"/>
                <w:color w:val="000000"/>
              </w:rPr>
              <w:t>, 123:</w:t>
            </w:r>
            <w:r w:rsidR="00904500" w:rsidRPr="00431B13">
              <w:rPr>
                <w:rFonts w:asciiTheme="minorHAnsi" w:eastAsia="Times New Roman" w:hAnsiTheme="minorHAnsi" w:cstheme="minorHAnsi"/>
                <w:color w:val="000000"/>
              </w:rPr>
              <w:t>3–4.</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3" w:history="1">
              <w:r w:rsidR="00DB21FB" w:rsidRPr="00DB21FB">
                <w:rPr>
                  <w:rStyle w:val="Hyperlink"/>
                  <w:rFonts w:asciiTheme="minorHAnsi" w:eastAsia="Times New Roman" w:hAnsiTheme="minorHAnsi" w:cstheme="minorHAnsi"/>
                  <w:color w:val="808080" w:themeColor="background1" w:themeShade="80"/>
                </w:rPr>
                <w:t>https://www.ncbi.nlm.nih.gov/pubmed/25193271</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Druey KM</w:t>
            </w:r>
            <w:r w:rsidR="00C83CBD">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Greipp</w:t>
            </w:r>
            <w:r w:rsidR="00904500" w:rsidRPr="00431B13">
              <w:rPr>
                <w:rFonts w:asciiTheme="minorHAnsi" w:eastAsia="Times New Roman" w:hAnsiTheme="minorHAnsi" w:cstheme="minorHAnsi"/>
                <w:color w:val="000000"/>
              </w:rPr>
              <w:t xml:space="preserve"> PR </w:t>
            </w:r>
            <w:r>
              <w:rPr>
                <w:rFonts w:asciiTheme="minorHAnsi" w:eastAsia="Times New Roman" w:hAnsiTheme="minorHAnsi" w:cstheme="minorHAnsi"/>
                <w:color w:val="000000"/>
              </w:rPr>
              <w:t>(2010)</w:t>
            </w:r>
            <w:r w:rsidR="00C83CBD">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Narrative review: the sys</w:t>
            </w:r>
            <w:r w:rsidR="00C83CBD">
              <w:rPr>
                <w:rFonts w:asciiTheme="minorHAnsi" w:eastAsia="Times New Roman" w:hAnsiTheme="minorHAnsi" w:cstheme="minorHAnsi"/>
                <w:color w:val="000000"/>
              </w:rPr>
              <w:t xml:space="preserve">temic capillary leak syndrome. </w:t>
            </w:r>
            <w:r w:rsidR="00904500" w:rsidRPr="00C83CBD">
              <w:rPr>
                <w:rFonts w:asciiTheme="minorHAnsi" w:eastAsia="Times New Roman" w:hAnsiTheme="minorHAnsi" w:cstheme="minorHAnsi"/>
                <w:i/>
                <w:color w:val="000000"/>
              </w:rPr>
              <w:t>Annals of Internal Med</w:t>
            </w:r>
            <w:r w:rsidR="000A1269" w:rsidRPr="00C83CBD">
              <w:rPr>
                <w:rFonts w:asciiTheme="minorHAnsi" w:eastAsia="Times New Roman" w:hAnsiTheme="minorHAnsi" w:cstheme="minorHAnsi"/>
                <w:i/>
                <w:color w:val="000000"/>
              </w:rPr>
              <w:t>i</w:t>
            </w:r>
            <w:r w:rsidR="00904500" w:rsidRPr="00C83CBD">
              <w:rPr>
                <w:rFonts w:asciiTheme="minorHAnsi" w:eastAsia="Times New Roman" w:hAnsiTheme="minorHAnsi" w:cstheme="minorHAnsi"/>
                <w:i/>
                <w:color w:val="000000"/>
              </w:rPr>
              <w:t>cine</w:t>
            </w:r>
            <w:r>
              <w:rPr>
                <w:rFonts w:asciiTheme="minorHAnsi" w:eastAsia="Times New Roman" w:hAnsiTheme="minorHAnsi" w:cstheme="minorHAnsi"/>
                <w:color w:val="000000"/>
              </w:rPr>
              <w:t>, 153:</w:t>
            </w:r>
            <w:r w:rsidR="00904500" w:rsidRPr="00431B13">
              <w:rPr>
                <w:rFonts w:asciiTheme="minorHAnsi" w:eastAsia="Times New Roman" w:hAnsiTheme="minorHAnsi" w:cstheme="minorHAnsi"/>
                <w:color w:val="000000"/>
              </w:rPr>
              <w:t>90–8.</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4" w:history="1">
              <w:r w:rsidR="00DB21FB" w:rsidRPr="00DB21FB">
                <w:rPr>
                  <w:rStyle w:val="Hyperlink"/>
                  <w:rFonts w:asciiTheme="minorHAnsi" w:eastAsia="Times New Roman" w:hAnsiTheme="minorHAnsi" w:cstheme="minorHAnsi"/>
                  <w:color w:val="808080" w:themeColor="background1" w:themeShade="80"/>
                </w:rPr>
                <w:t>https://www.ncbi.nlm.nih.gov/pubmed/20643990</w:t>
              </w:r>
            </w:hyperlink>
          </w:p>
          <w:p w:rsidR="00904500" w:rsidRDefault="00DB21FB" w:rsidP="00431B13">
            <w:pPr>
              <w:spacing w:after="240" w:line="20" w:lineRule="atLeast"/>
              <w:ind w:left="360"/>
              <w:rPr>
                <w:rFonts w:asciiTheme="minorHAnsi" w:eastAsia="Times New Roman" w:hAnsiTheme="minorHAnsi" w:cstheme="minorHAnsi"/>
                <w:color w:val="000000"/>
              </w:rPr>
            </w:pPr>
            <w:r w:rsidRPr="00DB21FB">
              <w:rPr>
                <w:rFonts w:asciiTheme="minorHAnsi" w:eastAsia="Times New Roman" w:hAnsiTheme="minorHAnsi" w:cstheme="minorHAnsi"/>
                <w:color w:val="000000"/>
              </w:rPr>
              <w:t>Gousseff</w:t>
            </w:r>
            <w:r w:rsidR="00904500" w:rsidRPr="00DB21FB">
              <w:rPr>
                <w:rFonts w:asciiTheme="minorHAnsi" w:eastAsia="Times New Roman" w:hAnsiTheme="minorHAnsi" w:cstheme="minorHAnsi"/>
                <w:color w:val="000000"/>
              </w:rPr>
              <w:t xml:space="preserve"> M</w:t>
            </w:r>
            <w:r w:rsidRPr="00DB21FB">
              <w:rPr>
                <w:rFonts w:asciiTheme="minorHAnsi" w:eastAsia="Times New Roman" w:hAnsiTheme="minorHAnsi" w:cstheme="minorHAnsi"/>
                <w:color w:val="000000"/>
              </w:rPr>
              <w:t>, Arnaud</w:t>
            </w:r>
            <w:r w:rsidR="00904500" w:rsidRPr="00DB21FB">
              <w:rPr>
                <w:rFonts w:asciiTheme="minorHAnsi" w:eastAsia="Times New Roman" w:hAnsiTheme="minorHAnsi" w:cstheme="minorHAnsi"/>
                <w:color w:val="000000"/>
              </w:rPr>
              <w:t xml:space="preserve"> L</w:t>
            </w:r>
            <w:r w:rsidRPr="00DB21FB">
              <w:rPr>
                <w:rFonts w:asciiTheme="minorHAnsi" w:eastAsia="Times New Roman" w:hAnsiTheme="minorHAnsi" w:cstheme="minorHAnsi"/>
                <w:color w:val="000000"/>
              </w:rPr>
              <w:t>, Lambert</w:t>
            </w:r>
            <w:r w:rsidR="00904500" w:rsidRPr="00DB21FB">
              <w:rPr>
                <w:rFonts w:asciiTheme="minorHAnsi" w:eastAsia="Times New Roman" w:hAnsiTheme="minorHAnsi" w:cstheme="minorHAnsi"/>
                <w:color w:val="000000"/>
              </w:rPr>
              <w:t xml:space="preserve"> M, </w:t>
            </w:r>
            <w:r w:rsidRPr="00DB21FB">
              <w:rPr>
                <w:rFonts w:asciiTheme="minorHAnsi" w:eastAsia="Times New Roman" w:hAnsiTheme="minorHAnsi" w:cstheme="minorHAnsi"/>
                <w:color w:val="000000"/>
              </w:rPr>
              <w:t>Hot A, Hamidou M, Duhaut P, Pap T</w:t>
            </w:r>
            <w:r w:rsidR="00B14508" w:rsidRPr="00DB21FB">
              <w:rPr>
                <w:rFonts w:asciiTheme="minorHAnsi" w:eastAsia="Times New Roman" w:hAnsiTheme="minorHAnsi" w:cstheme="minorHAnsi"/>
                <w:color w:val="000000"/>
              </w:rPr>
              <w:t xml:space="preserve">, </w:t>
            </w:r>
            <w:r w:rsidRPr="00DB21FB">
              <w:rPr>
                <w:rFonts w:asciiTheme="minorHAnsi" w:eastAsia="Times New Roman" w:hAnsiTheme="minorHAnsi" w:cstheme="minorHAnsi"/>
                <w:color w:val="000000"/>
              </w:rPr>
              <w:t>et al (2011)</w:t>
            </w:r>
            <w:r w:rsidR="00B14508" w:rsidRPr="00DB21FB">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The systemic capillary leak syndrome: a case series of 28 pati</w:t>
            </w:r>
            <w:r w:rsidR="00B14508">
              <w:rPr>
                <w:rFonts w:asciiTheme="minorHAnsi" w:eastAsia="Times New Roman" w:hAnsiTheme="minorHAnsi" w:cstheme="minorHAnsi"/>
                <w:color w:val="000000"/>
              </w:rPr>
              <w:t xml:space="preserve">ents from a European registry. </w:t>
            </w:r>
            <w:r w:rsidR="00904500" w:rsidRPr="00B14508">
              <w:rPr>
                <w:rFonts w:asciiTheme="minorHAnsi" w:eastAsia="Times New Roman" w:hAnsiTheme="minorHAnsi" w:cstheme="minorHAnsi"/>
                <w:i/>
                <w:color w:val="000000"/>
              </w:rPr>
              <w:t>Annals of Internal Medicine</w:t>
            </w:r>
            <w:r w:rsidR="00B14508">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154</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464–71.</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5" w:history="1">
              <w:r w:rsidR="00DB21FB" w:rsidRPr="00DB21FB">
                <w:rPr>
                  <w:rStyle w:val="Hyperlink"/>
                  <w:rFonts w:asciiTheme="minorHAnsi" w:eastAsia="Times New Roman" w:hAnsiTheme="minorHAnsi" w:cstheme="minorHAnsi"/>
                  <w:color w:val="808080" w:themeColor="background1" w:themeShade="80"/>
                </w:rPr>
                <w:t>https://www.ncbi.nlm.nih.gov/pubmed/21464348</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Govig</w:t>
            </w:r>
            <w:r w:rsidR="00904500" w:rsidRPr="00431B13">
              <w:rPr>
                <w:rFonts w:asciiTheme="minorHAnsi" w:eastAsia="Times New Roman" w:hAnsiTheme="minorHAnsi" w:cstheme="minorHAnsi"/>
                <w:color w:val="000000"/>
              </w:rPr>
              <w:t xml:space="preserve"> BA</w:t>
            </w:r>
            <w:r w:rsidR="00B14508">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Javaheri</w:t>
            </w:r>
            <w:r w:rsidR="00904500" w:rsidRPr="00431B13">
              <w:rPr>
                <w:rFonts w:asciiTheme="minorHAnsi" w:eastAsia="Times New Roman" w:hAnsiTheme="minorHAnsi" w:cstheme="minorHAnsi"/>
                <w:color w:val="000000"/>
              </w:rPr>
              <w:t xml:space="preserve"> S </w:t>
            </w:r>
            <w:r>
              <w:rPr>
                <w:rFonts w:asciiTheme="minorHAnsi" w:eastAsia="Times New Roman" w:hAnsiTheme="minorHAnsi" w:cstheme="minorHAnsi"/>
                <w:color w:val="000000"/>
              </w:rPr>
              <w:t>(2010)</w:t>
            </w:r>
            <w:r w:rsidR="00B14508">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The systemic cap</w:t>
            </w:r>
            <w:r w:rsidR="00C75233">
              <w:rPr>
                <w:rFonts w:asciiTheme="minorHAnsi" w:eastAsia="Times New Roman" w:hAnsiTheme="minorHAnsi" w:cstheme="minorHAnsi"/>
                <w:color w:val="000000"/>
              </w:rPr>
              <w:t xml:space="preserve">illary leak syndrome (letter). </w:t>
            </w:r>
            <w:r w:rsidR="00904500" w:rsidRPr="00C75233">
              <w:rPr>
                <w:rFonts w:asciiTheme="minorHAnsi" w:eastAsia="Times New Roman" w:hAnsiTheme="minorHAnsi" w:cstheme="minorHAnsi"/>
                <w:i/>
                <w:color w:val="000000"/>
              </w:rPr>
              <w:t>Annals of Internal Medicine</w:t>
            </w:r>
            <w:r w:rsidR="00C75233">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153</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 xml:space="preserve"> 764.</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6" w:history="1">
              <w:r w:rsidR="00DB21FB" w:rsidRPr="00DB21FB">
                <w:rPr>
                  <w:rStyle w:val="Hyperlink"/>
                  <w:rFonts w:asciiTheme="minorHAnsi" w:eastAsia="Times New Roman" w:hAnsiTheme="minorHAnsi" w:cstheme="minorHAnsi"/>
                  <w:color w:val="808080" w:themeColor="background1" w:themeShade="80"/>
                </w:rPr>
                <w:t>https://www.ncbi.nlm.nih.gov/pubmed/21135305</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Lambert</w:t>
            </w:r>
            <w:r w:rsidR="00904500" w:rsidRPr="00431B13">
              <w:rPr>
                <w:rFonts w:asciiTheme="minorHAnsi" w:eastAsia="Times New Roman" w:hAnsiTheme="minorHAnsi" w:cstheme="minorHAnsi"/>
                <w:color w:val="000000"/>
              </w:rPr>
              <w:t xml:space="preserve"> M</w:t>
            </w:r>
            <w:r>
              <w:rPr>
                <w:rFonts w:asciiTheme="minorHAnsi" w:eastAsia="Times New Roman" w:hAnsiTheme="minorHAnsi" w:cstheme="minorHAnsi"/>
                <w:color w:val="000000"/>
              </w:rPr>
              <w:t>, Launay</w:t>
            </w:r>
            <w:r w:rsidR="00904500" w:rsidRPr="00431B13">
              <w:rPr>
                <w:rFonts w:asciiTheme="minorHAnsi" w:eastAsia="Times New Roman" w:hAnsiTheme="minorHAnsi" w:cstheme="minorHAnsi"/>
                <w:color w:val="000000"/>
              </w:rPr>
              <w:t xml:space="preserve"> D</w:t>
            </w:r>
            <w:r>
              <w:rPr>
                <w:rFonts w:asciiTheme="minorHAnsi" w:eastAsia="Times New Roman" w:hAnsiTheme="minorHAnsi" w:cstheme="minorHAnsi"/>
                <w:color w:val="000000"/>
              </w:rPr>
              <w:t>, Hachulla</w:t>
            </w:r>
            <w:r w:rsidR="00904500" w:rsidRPr="00431B13">
              <w:rPr>
                <w:rFonts w:asciiTheme="minorHAnsi" w:eastAsia="Times New Roman" w:hAnsiTheme="minorHAnsi" w:cstheme="minorHAnsi"/>
                <w:color w:val="000000"/>
              </w:rPr>
              <w:t xml:space="preserve"> E</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Morrell-Dubois S, Soland V, Queyrel V</w:t>
            </w:r>
            <w:r w:rsidR="00C7523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et al (2008)</w:t>
            </w:r>
            <w:r w:rsidR="00C75233">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High-dose intravenous immunoglobulins dramatically reverse sys</w:t>
            </w:r>
            <w:r w:rsidR="00C75233">
              <w:rPr>
                <w:rFonts w:asciiTheme="minorHAnsi" w:eastAsia="Times New Roman" w:hAnsiTheme="minorHAnsi" w:cstheme="minorHAnsi"/>
                <w:color w:val="000000"/>
              </w:rPr>
              <w:t xml:space="preserve">temic capillary leak syndrome. </w:t>
            </w:r>
            <w:r w:rsidR="00904500" w:rsidRPr="00C75233">
              <w:rPr>
                <w:rFonts w:asciiTheme="minorHAnsi" w:eastAsia="Times New Roman" w:hAnsiTheme="minorHAnsi" w:cstheme="minorHAnsi"/>
                <w:i/>
                <w:color w:val="000000"/>
              </w:rPr>
              <w:t>Critical Care Medicine</w:t>
            </w:r>
            <w:r w:rsidR="00C7523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36:</w:t>
            </w:r>
            <w:r w:rsidR="00904500" w:rsidRPr="00431B13">
              <w:rPr>
                <w:rFonts w:asciiTheme="minorHAnsi" w:eastAsia="Times New Roman" w:hAnsiTheme="minorHAnsi" w:cstheme="minorHAnsi"/>
                <w:color w:val="000000"/>
              </w:rPr>
              <w:t>2184–7.</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7" w:history="1">
              <w:r w:rsidR="00DB21FB" w:rsidRPr="00DB21FB">
                <w:rPr>
                  <w:rStyle w:val="Hyperlink"/>
                  <w:rFonts w:asciiTheme="minorHAnsi" w:eastAsia="Times New Roman" w:hAnsiTheme="minorHAnsi" w:cstheme="minorHAnsi"/>
                  <w:color w:val="808080" w:themeColor="background1" w:themeShade="80"/>
                </w:rPr>
                <w:t>https://www.ncbi.nlm.nih.gov/pubmed/18552679</w:t>
              </w:r>
            </w:hyperlink>
          </w:p>
          <w:p w:rsidR="000A300B"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Marra</w:t>
            </w:r>
            <w:r w:rsidR="000A300B" w:rsidRPr="00431B13">
              <w:rPr>
                <w:rFonts w:asciiTheme="minorHAnsi" w:eastAsia="Times New Roman" w:hAnsiTheme="minorHAnsi" w:cstheme="minorHAnsi"/>
                <w:color w:val="000000"/>
              </w:rPr>
              <w:t xml:space="preserve"> AM</w:t>
            </w:r>
            <w:r>
              <w:rPr>
                <w:rFonts w:asciiTheme="minorHAnsi" w:eastAsia="Times New Roman" w:hAnsiTheme="minorHAnsi" w:cstheme="minorHAnsi"/>
                <w:color w:val="000000"/>
              </w:rPr>
              <w:t>, Gigante</w:t>
            </w:r>
            <w:r w:rsidR="000A300B" w:rsidRPr="00431B13">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xml:space="preserve"> and Rosato E (2014)</w:t>
            </w:r>
            <w:r w:rsidR="00C75233">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 xml:space="preserve">Intravenous immunoglobulin in systemic </w:t>
            </w:r>
            <w:r w:rsidR="003461E4" w:rsidRPr="00431B13">
              <w:rPr>
                <w:rFonts w:asciiTheme="minorHAnsi" w:eastAsia="Times New Roman" w:hAnsiTheme="minorHAnsi" w:cstheme="minorHAnsi"/>
                <w:color w:val="000000"/>
              </w:rPr>
              <w:t>capillary</w:t>
            </w:r>
            <w:r w:rsidR="000A300B" w:rsidRPr="00431B13">
              <w:rPr>
                <w:rFonts w:asciiTheme="minorHAnsi" w:eastAsia="Times New Roman" w:hAnsiTheme="minorHAnsi" w:cstheme="minorHAnsi"/>
                <w:color w:val="000000"/>
              </w:rPr>
              <w:t xml:space="preserve"> leak syndrome: a case repor</w:t>
            </w:r>
            <w:r w:rsidR="004D7D22" w:rsidRPr="00431B13">
              <w:rPr>
                <w:rFonts w:asciiTheme="minorHAnsi" w:eastAsia="Times New Roman" w:hAnsiTheme="minorHAnsi" w:cstheme="minorHAnsi"/>
                <w:color w:val="000000"/>
              </w:rPr>
              <w:t xml:space="preserve">t and review of the </w:t>
            </w:r>
            <w:r w:rsidR="00C75233">
              <w:rPr>
                <w:rFonts w:asciiTheme="minorHAnsi" w:eastAsia="Times New Roman" w:hAnsiTheme="minorHAnsi" w:cstheme="minorHAnsi"/>
                <w:color w:val="000000"/>
              </w:rPr>
              <w:t xml:space="preserve">literature. </w:t>
            </w:r>
            <w:r w:rsidR="000A300B" w:rsidRPr="00431B13">
              <w:rPr>
                <w:rFonts w:asciiTheme="minorHAnsi" w:eastAsia="Times New Roman" w:hAnsiTheme="minorHAnsi" w:cstheme="minorHAnsi"/>
                <w:i/>
                <w:color w:val="000000"/>
              </w:rPr>
              <w:t>Expert Rev</w:t>
            </w:r>
            <w:r w:rsidR="00826017">
              <w:rPr>
                <w:rFonts w:asciiTheme="minorHAnsi" w:eastAsia="Times New Roman" w:hAnsiTheme="minorHAnsi" w:cstheme="minorHAnsi"/>
                <w:i/>
                <w:color w:val="000000"/>
              </w:rPr>
              <w:t>iew of</w:t>
            </w:r>
            <w:r w:rsidR="000A300B" w:rsidRPr="00431B13">
              <w:rPr>
                <w:rFonts w:asciiTheme="minorHAnsi" w:eastAsia="Times New Roman" w:hAnsiTheme="minorHAnsi" w:cstheme="minorHAnsi"/>
                <w:i/>
                <w:color w:val="000000"/>
              </w:rPr>
              <w:t xml:space="preserve"> Clin</w:t>
            </w:r>
            <w:r w:rsidR="00826017">
              <w:rPr>
                <w:rFonts w:asciiTheme="minorHAnsi" w:eastAsia="Times New Roman" w:hAnsiTheme="minorHAnsi" w:cstheme="minorHAnsi"/>
                <w:i/>
                <w:color w:val="000000"/>
              </w:rPr>
              <w:t>ical</w:t>
            </w:r>
            <w:r w:rsidR="000A300B" w:rsidRPr="00431B13">
              <w:rPr>
                <w:rFonts w:asciiTheme="minorHAnsi" w:eastAsia="Times New Roman" w:hAnsiTheme="minorHAnsi" w:cstheme="minorHAnsi"/>
                <w:i/>
                <w:color w:val="000000"/>
              </w:rPr>
              <w:t xml:space="preserve"> Immuno</w:t>
            </w:r>
            <w:r w:rsidR="00826017">
              <w:rPr>
                <w:rFonts w:asciiTheme="minorHAnsi" w:eastAsia="Times New Roman" w:hAnsiTheme="minorHAnsi" w:cstheme="minorHAnsi"/>
                <w:i/>
                <w:color w:val="000000"/>
              </w:rPr>
              <w:t>ogy</w:t>
            </w:r>
            <w:r w:rsidR="000A300B" w:rsidRPr="00431B13">
              <w:rPr>
                <w:rFonts w:asciiTheme="minorHAnsi" w:eastAsia="Times New Roman" w:hAnsiTheme="minorHAnsi" w:cstheme="minorHAnsi"/>
                <w:i/>
                <w:color w:val="000000"/>
              </w:rPr>
              <w:t>l,</w:t>
            </w:r>
            <w:r w:rsidR="00826017">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10</w:t>
            </w:r>
            <w:r>
              <w:rPr>
                <w:rFonts w:asciiTheme="minorHAnsi" w:eastAsia="Times New Roman" w:hAnsiTheme="minorHAnsi" w:cstheme="minorHAnsi"/>
                <w:color w:val="000000"/>
              </w:rPr>
              <w:t>:</w:t>
            </w:r>
            <w:r w:rsidR="00826017">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349-52.</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8" w:history="1">
              <w:r w:rsidR="00DB21FB" w:rsidRPr="00DB21FB">
                <w:rPr>
                  <w:rStyle w:val="Hyperlink"/>
                  <w:rFonts w:asciiTheme="minorHAnsi" w:eastAsia="Times New Roman" w:hAnsiTheme="minorHAnsi" w:cstheme="minorHAnsi"/>
                  <w:color w:val="808080" w:themeColor="background1" w:themeShade="80"/>
                </w:rPr>
                <w:t>https://www.ncbi.nlm.nih.gov/pubmed/24490827</w:t>
              </w:r>
            </w:hyperlink>
          </w:p>
          <w:p w:rsidR="00485890" w:rsidRPr="00485890" w:rsidRDefault="00485890" w:rsidP="00485890">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6362D3">
              <w:rPr>
                <w:rFonts w:asciiTheme="minorHAnsi" w:hAnsiTheme="minorHAnsi"/>
              </w:rPr>
              <w:t>IVIG</w:t>
            </w:r>
            <w:r w:rsidRPr="002A1261">
              <w:rPr>
                <w:rFonts w:asciiTheme="minorHAnsi" w:hAnsiTheme="minorHAnsi"/>
              </w:rPr>
              <w:t xml:space="preserve">) Utilization Management Guidelines, Version 3.0. [online]. Available at: </w:t>
            </w:r>
            <w:r w:rsidRPr="00485890">
              <w:rPr>
                <w:rFonts w:asciiTheme="minorHAnsi" w:hAnsiTheme="minorHAnsi"/>
                <w:color w:val="808080" w:themeColor="background1" w:themeShade="80"/>
              </w:rPr>
              <w:t>http://transfusionontario.org/en/download/ontario-intravenous-immune-globulin-</w:t>
            </w:r>
            <w:r w:rsidR="006362D3">
              <w:rPr>
                <w:rFonts w:asciiTheme="minorHAnsi" w:hAnsiTheme="minorHAnsi"/>
                <w:color w:val="808080" w:themeColor="background1" w:themeShade="80"/>
              </w:rPr>
              <w:t>IVIg</w:t>
            </w:r>
            <w:r w:rsidRPr="00485890">
              <w:rPr>
                <w:rFonts w:asciiTheme="minorHAnsi" w:hAnsiTheme="minorHAnsi"/>
                <w:color w:val="808080" w:themeColor="background1" w:themeShade="80"/>
              </w:rPr>
              <w:t>-utilization-management-guidelines-2/.</w:t>
            </w:r>
          </w:p>
          <w:p w:rsidR="00FD6D12" w:rsidRPr="00FD6D12" w:rsidRDefault="00FD6D12" w:rsidP="00FD6D12">
            <w:pPr>
              <w:spacing w:after="240" w:line="20" w:lineRule="atLeast"/>
              <w:ind w:left="360"/>
              <w:rPr>
                <w:rFonts w:asciiTheme="minorHAnsi" w:eastAsia="Times New Roman" w:hAnsiTheme="minorHAnsi" w:cstheme="minorHAnsi"/>
                <w:color w:val="000000"/>
              </w:rPr>
            </w:pPr>
            <w:r w:rsidRPr="00FD6D12">
              <w:rPr>
                <w:rFonts w:asciiTheme="minorHAnsi" w:eastAsia="Times New Roman" w:hAnsiTheme="minorHAnsi" w:cstheme="minorHAnsi"/>
                <w:color w:val="000000"/>
              </w:rPr>
              <w:lastRenderedPageBreak/>
              <w:t xml:space="preserve">UK Department of Health (2011) Clinical Guidelines for Immunoglobulin Use: Second Edition Update. Available at: </w:t>
            </w:r>
            <w:r w:rsidRPr="00FD6D12">
              <w:rPr>
                <w:rFonts w:asciiTheme="minorHAnsi" w:eastAsia="Times New Roman" w:hAnsiTheme="minorHAnsi" w:cstheme="minorHAnsi"/>
                <w:color w:val="808080" w:themeColor="background1" w:themeShade="80"/>
              </w:rPr>
              <w:t>https://www.gov.uk/government/uploads/system/uploads/attachment_data/file/216671/dh_131107.pdf</w:t>
            </w:r>
          </w:p>
          <w:p w:rsidR="00FD6D12" w:rsidRDefault="00FD6D12" w:rsidP="00FD6D12">
            <w:pPr>
              <w:spacing w:after="240" w:line="20" w:lineRule="atLeast"/>
              <w:ind w:left="360"/>
              <w:rPr>
                <w:rFonts w:asciiTheme="minorHAnsi" w:eastAsia="Times New Roman" w:hAnsiTheme="minorHAnsi" w:cstheme="minorHAnsi"/>
                <w:color w:val="000000"/>
              </w:rPr>
            </w:pPr>
            <w:r w:rsidRPr="00FD6D12">
              <w:rPr>
                <w:rFonts w:asciiTheme="minorHAnsi" w:eastAsia="Times New Roman" w:hAnsiTheme="minorHAnsi" w:cstheme="minorHAnsi"/>
                <w:color w:val="000000"/>
              </w:rPr>
              <w:t xml:space="preserve">UK Department of Health (2011) Clinical Guidelines for Immunoglobulin Use: Second Edition Update: Summary Poster. Available at: </w:t>
            </w:r>
            <w:r w:rsidRPr="00FD6D12">
              <w:rPr>
                <w:rFonts w:asciiTheme="minorHAnsi" w:eastAsia="Times New Roman" w:hAnsiTheme="minorHAnsi" w:cstheme="minorHAnsi"/>
                <w:color w:val="808080" w:themeColor="background1" w:themeShade="80"/>
              </w:rPr>
              <w:t>https://www.igd.nhs.uk/wp-content/uploads/2016/04/DemandManagementPoster_v4_February2016.pdf</w:t>
            </w:r>
          </w:p>
          <w:p w:rsidR="002E2392" w:rsidRDefault="002E2392" w:rsidP="00431B13">
            <w:pPr>
              <w:spacing w:after="240" w:line="20" w:lineRule="atLeast"/>
              <w:ind w:left="360"/>
              <w:rPr>
                <w:rFonts w:asciiTheme="minorHAnsi" w:eastAsia="Times New Roman" w:hAnsiTheme="minorHAnsi" w:cstheme="minorHAnsi"/>
                <w:color w:val="000000"/>
              </w:rPr>
            </w:pPr>
            <w:r w:rsidRPr="00431B13">
              <w:rPr>
                <w:rFonts w:asciiTheme="minorHAnsi" w:eastAsia="Times New Roman" w:hAnsiTheme="minorHAnsi" w:cstheme="minorHAnsi"/>
                <w:color w:val="000000"/>
              </w:rPr>
              <w:t xml:space="preserve">Xie Z, Chan E, Long LM, </w:t>
            </w:r>
            <w:r w:rsidR="00DB21FB">
              <w:rPr>
                <w:rFonts w:asciiTheme="minorHAnsi" w:eastAsia="Times New Roman" w:hAnsiTheme="minorHAnsi" w:cstheme="minorHAnsi"/>
                <w:color w:val="000000"/>
              </w:rPr>
              <w:t>Nelson C and Druey KM</w:t>
            </w:r>
            <w:r w:rsidRPr="00431B13">
              <w:rPr>
                <w:rFonts w:asciiTheme="minorHAnsi" w:eastAsia="Times New Roman" w:hAnsiTheme="minorHAnsi" w:cstheme="minorHAnsi"/>
                <w:color w:val="000000"/>
              </w:rPr>
              <w:t xml:space="preserve"> </w:t>
            </w:r>
            <w:r w:rsidR="00DB21FB">
              <w:rPr>
                <w:rFonts w:asciiTheme="minorHAnsi" w:eastAsia="Times New Roman" w:hAnsiTheme="minorHAnsi" w:cstheme="minorHAnsi"/>
                <w:color w:val="000000"/>
              </w:rPr>
              <w:t>(2015)</w:t>
            </w:r>
            <w:r>
              <w:rPr>
                <w:rFonts w:asciiTheme="minorHAnsi" w:eastAsia="Times New Roman" w:hAnsiTheme="minorHAnsi" w:cstheme="minorHAnsi"/>
                <w:color w:val="000000"/>
              </w:rPr>
              <w:t xml:space="preserve"> </w:t>
            </w:r>
            <w:r w:rsidRPr="00431B13">
              <w:rPr>
                <w:rFonts w:asciiTheme="minorHAnsi" w:eastAsia="Times New Roman" w:hAnsiTheme="minorHAnsi" w:cstheme="minorHAnsi"/>
                <w:color w:val="000000"/>
              </w:rPr>
              <w:t>High dose intravenous immunoglobulin therapy of the Systemic Capillary Lea</w:t>
            </w:r>
            <w:r>
              <w:rPr>
                <w:rFonts w:asciiTheme="minorHAnsi" w:eastAsia="Times New Roman" w:hAnsiTheme="minorHAnsi" w:cstheme="minorHAnsi"/>
                <w:color w:val="000000"/>
              </w:rPr>
              <w:t xml:space="preserve">k Syndrome (Clarkson disease). </w:t>
            </w:r>
            <w:r w:rsidRPr="00C83CBD">
              <w:rPr>
                <w:rFonts w:asciiTheme="minorHAnsi" w:eastAsia="Times New Roman" w:hAnsiTheme="minorHAnsi" w:cstheme="minorHAnsi"/>
                <w:i/>
                <w:color w:val="000000"/>
              </w:rPr>
              <w:t>American Journal of Medicine</w:t>
            </w:r>
            <w:r>
              <w:rPr>
                <w:rFonts w:asciiTheme="minorHAnsi" w:eastAsia="Times New Roman" w:hAnsiTheme="minorHAnsi" w:cstheme="minorHAnsi"/>
                <w:color w:val="000000"/>
              </w:rPr>
              <w:t xml:space="preserve">, </w:t>
            </w:r>
            <w:r w:rsidRPr="00431B13">
              <w:rPr>
                <w:rFonts w:asciiTheme="minorHAnsi" w:eastAsia="Times New Roman" w:hAnsiTheme="minorHAnsi" w:cstheme="minorHAnsi"/>
                <w:color w:val="000000"/>
              </w:rPr>
              <w:t>128(1</w:t>
            </w:r>
            <w:r w:rsidR="00DB21FB">
              <w:rPr>
                <w:rFonts w:asciiTheme="minorHAnsi" w:eastAsia="Times New Roman" w:hAnsiTheme="minorHAnsi" w:cstheme="minorHAnsi"/>
                <w:color w:val="000000"/>
              </w:rPr>
              <w:t>):</w:t>
            </w:r>
            <w:r w:rsidRPr="00431B13">
              <w:rPr>
                <w:rFonts w:asciiTheme="minorHAnsi" w:eastAsia="Times New Roman" w:hAnsiTheme="minorHAnsi" w:cstheme="minorHAnsi"/>
                <w:color w:val="000000"/>
              </w:rPr>
              <w:t>91–95</w:t>
            </w:r>
            <w:r>
              <w:rPr>
                <w:rFonts w:asciiTheme="minorHAnsi" w:eastAsia="Times New Roman" w:hAnsiTheme="minorHAnsi" w:cstheme="minorHAnsi"/>
                <w:color w:val="000000"/>
              </w:rPr>
              <w:t>.</w:t>
            </w:r>
            <w:r w:rsidRPr="00431B13">
              <w:rPr>
                <w:rFonts w:asciiTheme="minorHAnsi" w:eastAsia="Times New Roman" w:hAnsiTheme="minorHAnsi" w:cstheme="minorHAnsi"/>
                <w:color w:val="000000"/>
              </w:rPr>
              <w:t xml:space="preserve"> </w:t>
            </w:r>
          </w:p>
          <w:p w:rsidR="00DB21FB" w:rsidRPr="00DB21FB" w:rsidRDefault="00F77AC2" w:rsidP="00431B13">
            <w:pPr>
              <w:spacing w:after="240" w:line="20" w:lineRule="atLeast"/>
              <w:ind w:left="360"/>
              <w:rPr>
                <w:rFonts w:asciiTheme="minorHAnsi" w:eastAsia="Times New Roman" w:hAnsiTheme="minorHAnsi" w:cstheme="minorHAnsi"/>
                <w:color w:val="808080" w:themeColor="background1" w:themeShade="80"/>
              </w:rPr>
            </w:pPr>
            <w:hyperlink r:id="rId19" w:history="1">
              <w:r w:rsidR="00DB21FB" w:rsidRPr="00DB21FB">
                <w:rPr>
                  <w:rStyle w:val="Hyperlink"/>
                  <w:rFonts w:asciiTheme="minorHAnsi" w:eastAsia="Times New Roman" w:hAnsiTheme="minorHAnsi" w:cstheme="minorHAnsi"/>
                  <w:color w:val="808080" w:themeColor="background1" w:themeShade="80"/>
                </w:rPr>
                <w:t>https://www.ncbi.nlm.nih.gov/pubmed/25193271</w:t>
              </w:r>
            </w:hyperlink>
          </w:p>
          <w:p w:rsidR="00901F76" w:rsidRDefault="00DB21FB" w:rsidP="00826017">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Zipponi</w:t>
            </w:r>
            <w:r w:rsidR="00904500" w:rsidRPr="00431B13">
              <w:rPr>
                <w:rFonts w:asciiTheme="minorHAnsi" w:eastAsia="Times New Roman" w:hAnsiTheme="minorHAnsi" w:cstheme="minorHAnsi"/>
                <w:color w:val="000000"/>
              </w:rPr>
              <w:t xml:space="preserve"> M</w:t>
            </w:r>
            <w:r>
              <w:rPr>
                <w:rFonts w:asciiTheme="minorHAnsi" w:eastAsia="Times New Roman" w:hAnsiTheme="minorHAnsi" w:cstheme="minorHAnsi"/>
                <w:color w:val="000000"/>
              </w:rPr>
              <w:t>, Eugster</w:t>
            </w:r>
            <w:r w:rsidR="00904500" w:rsidRPr="00431B13">
              <w:rPr>
                <w:rFonts w:asciiTheme="minorHAnsi" w:eastAsia="Times New Roman" w:hAnsiTheme="minorHAnsi" w:cstheme="minorHAnsi"/>
                <w:color w:val="000000"/>
              </w:rPr>
              <w:t xml:space="preserve"> R</w:t>
            </w:r>
            <w:r w:rsidR="00826017">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Birrenbach</w:t>
            </w:r>
            <w:r w:rsidR="00904500" w:rsidRPr="00431B13">
              <w:rPr>
                <w:rFonts w:asciiTheme="minorHAnsi" w:eastAsia="Times New Roman" w:hAnsiTheme="minorHAnsi" w:cstheme="minorHAnsi"/>
                <w:color w:val="000000"/>
              </w:rPr>
              <w:t xml:space="preserve"> T </w:t>
            </w:r>
            <w:r w:rsidR="00826017">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2011</w:t>
            </w:r>
            <w:r>
              <w:rPr>
                <w:rFonts w:asciiTheme="minorHAnsi" w:eastAsia="Times New Roman" w:hAnsiTheme="minorHAnsi" w:cstheme="minorHAnsi"/>
                <w:color w:val="000000"/>
              </w:rPr>
              <w:t>)</w:t>
            </w:r>
            <w:r w:rsidR="00826017">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High-dose intravenous immunoglobulins: A promising therapeutic approach for idiopathic sys</w:t>
            </w:r>
            <w:r w:rsidR="00826017">
              <w:rPr>
                <w:rFonts w:asciiTheme="minorHAnsi" w:eastAsia="Times New Roman" w:hAnsiTheme="minorHAnsi" w:cstheme="minorHAnsi"/>
                <w:color w:val="000000"/>
              </w:rPr>
              <w:t xml:space="preserve">temic capillary leak syndrome. </w:t>
            </w:r>
            <w:r w:rsidR="00904500" w:rsidRPr="00826017">
              <w:rPr>
                <w:rFonts w:asciiTheme="minorHAnsi" w:eastAsia="Times New Roman" w:hAnsiTheme="minorHAnsi" w:cstheme="minorHAnsi"/>
                <w:i/>
                <w:color w:val="000000"/>
              </w:rPr>
              <w:t>BMJ Case Reports</w:t>
            </w:r>
            <w:r w:rsidR="00904500" w:rsidRPr="00431B13">
              <w:rPr>
                <w:rFonts w:asciiTheme="minorHAnsi" w:eastAsia="Times New Roman" w:hAnsiTheme="minorHAnsi" w:cstheme="minorHAnsi"/>
                <w:color w:val="000000"/>
              </w:rPr>
              <w:t xml:space="preserve">, </w:t>
            </w:r>
            <w:r w:rsidR="00826017">
              <w:rPr>
                <w:rFonts w:asciiTheme="minorHAnsi" w:eastAsia="Times New Roman" w:hAnsiTheme="minorHAnsi" w:cstheme="minorHAnsi"/>
                <w:color w:val="000000"/>
              </w:rPr>
              <w:t>May 3;</w:t>
            </w:r>
            <w:r w:rsidR="00205F66">
              <w:rPr>
                <w:rFonts w:asciiTheme="minorHAnsi" w:eastAsia="Times New Roman" w:hAnsiTheme="minorHAnsi" w:cstheme="minorHAnsi"/>
                <w:color w:val="000000"/>
              </w:rPr>
              <w:t xml:space="preserve"> </w:t>
            </w:r>
            <w:r w:rsidR="00826017">
              <w:rPr>
                <w:rFonts w:asciiTheme="minorHAnsi" w:eastAsia="Times New Roman" w:hAnsiTheme="minorHAnsi" w:cstheme="minorHAnsi"/>
                <w:color w:val="000000"/>
              </w:rPr>
              <w:t xml:space="preserve">2011. </w:t>
            </w:r>
          </w:p>
          <w:p w:rsidR="00DB21FB" w:rsidRPr="00DB21FB" w:rsidRDefault="00F77AC2" w:rsidP="00826017">
            <w:pPr>
              <w:spacing w:before="120" w:after="120"/>
              <w:ind w:left="360"/>
              <w:rPr>
                <w:rFonts w:asciiTheme="minorHAnsi" w:hAnsiTheme="minorHAnsi"/>
                <w:color w:val="808080" w:themeColor="background1" w:themeShade="80"/>
              </w:rPr>
            </w:pPr>
            <w:hyperlink r:id="rId20" w:history="1">
              <w:r w:rsidR="00DB21FB" w:rsidRPr="00DB21FB">
                <w:rPr>
                  <w:rStyle w:val="Hyperlink"/>
                  <w:rFonts w:asciiTheme="minorHAnsi" w:hAnsiTheme="minorHAnsi"/>
                  <w:color w:val="808080" w:themeColor="background1" w:themeShade="80"/>
                </w:rPr>
                <w:t>https://www.ncbi.nlm.nih.gov/pubmed/22696704</w:t>
              </w:r>
            </w:hyperlink>
          </w:p>
          <w:p w:rsidR="00DB21FB" w:rsidRPr="00431B13" w:rsidRDefault="00DB21FB" w:rsidP="00826017">
            <w:pPr>
              <w:spacing w:before="120" w:after="120"/>
              <w:ind w:left="36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34"/>
        <w:gridCol w:w="1369"/>
        <w:gridCol w:w="1574"/>
        <w:gridCol w:w="1648"/>
        <w:gridCol w:w="1682"/>
        <w:gridCol w:w="1869"/>
        <w:gridCol w:w="4325"/>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822C3B" w:rsidP="004A10A2">
            <w:pPr>
              <w:spacing w:before="120" w:after="120"/>
              <w:rPr>
                <w:rFonts w:asciiTheme="minorHAnsi" w:hAnsiTheme="minorHAnsi"/>
              </w:rPr>
            </w:pPr>
            <w:r>
              <w:rPr>
                <w:rFonts w:asciiTheme="minorHAnsi" w:hAnsiTheme="minorHAnsi"/>
              </w:rPr>
              <w:t>The operational impact is anticipated to be minor</w:t>
            </w:r>
            <w:r w:rsidR="001263B7">
              <w:rPr>
                <w:rFonts w:asciiTheme="minorHAnsi" w:hAnsiTheme="minorHAnsi"/>
              </w:rPr>
              <w:t xml:space="preserve">, however, given that there have not previously been criteria for access, a communication strategy will be developed to inform prescribers regarding the changes.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6362D3">
        <w:tc>
          <w:tcPr>
            <w:tcW w:w="3503"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98" w:type="dxa"/>
            <w:gridSpan w:val="5"/>
            <w:shd w:val="clear" w:color="auto" w:fill="auto"/>
          </w:tcPr>
          <w:p w:rsidR="00E13351" w:rsidRDefault="00E13351" w:rsidP="00676C50">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align with the current clinical management of patients with this very rare condition</w:t>
            </w:r>
            <w:r w:rsidR="00083582">
              <w:rPr>
                <w:rFonts w:asciiTheme="minorHAnsi" w:hAnsiTheme="minorHAnsi"/>
              </w:rPr>
              <w:t>.  C</w:t>
            </w:r>
            <w:r>
              <w:rPr>
                <w:rFonts w:asciiTheme="minorHAnsi" w:hAnsiTheme="minorHAnsi"/>
              </w:rPr>
              <w:t xml:space="preserve">urrent levels of Ig use </w:t>
            </w:r>
            <w:r w:rsidR="00083582">
              <w:rPr>
                <w:rFonts w:asciiTheme="minorHAnsi" w:hAnsiTheme="minorHAnsi"/>
              </w:rPr>
              <w:t>are consistent with</w:t>
            </w:r>
            <w:r>
              <w:rPr>
                <w:rFonts w:asciiTheme="minorHAnsi" w:hAnsiTheme="minorHAnsi"/>
              </w:rPr>
              <w:t xml:space="preserve"> the expected number of patients </w:t>
            </w:r>
            <w:r w:rsidR="00083582">
              <w:rPr>
                <w:rFonts w:asciiTheme="minorHAnsi" w:hAnsiTheme="minorHAnsi"/>
              </w:rPr>
              <w:t xml:space="preserve">that </w:t>
            </w:r>
            <w:r w:rsidR="0066075E">
              <w:rPr>
                <w:rFonts w:asciiTheme="minorHAnsi" w:hAnsiTheme="minorHAnsi"/>
              </w:rPr>
              <w:t>should</w:t>
            </w:r>
            <w:r>
              <w:rPr>
                <w:rFonts w:asciiTheme="minorHAnsi" w:hAnsiTheme="minorHAnsi"/>
              </w:rPr>
              <w:t xml:space="preserve"> require </w:t>
            </w:r>
            <w:r w:rsidR="00083582">
              <w:rPr>
                <w:rFonts w:asciiTheme="minorHAnsi" w:hAnsiTheme="minorHAnsi"/>
              </w:rPr>
              <w:t xml:space="preserve">ongoing </w:t>
            </w:r>
            <w:r>
              <w:rPr>
                <w:rFonts w:asciiTheme="minorHAnsi" w:hAnsiTheme="minorHAnsi"/>
              </w:rPr>
              <w:t xml:space="preserve">Ig treatment. </w:t>
            </w:r>
            <w:r w:rsidR="00676C50">
              <w:rPr>
                <w:rFonts w:asciiTheme="minorHAnsi" w:hAnsiTheme="minorHAnsi"/>
              </w:rPr>
              <w:t xml:space="preserve">The formal access criteria proposed for this condition </w:t>
            </w:r>
            <w:r w:rsidR="003E3871">
              <w:rPr>
                <w:rFonts w:asciiTheme="minorHAnsi" w:hAnsiTheme="minorHAnsi"/>
              </w:rPr>
              <w:t xml:space="preserve">now </w:t>
            </w:r>
            <w:r w:rsidR="00676C50">
              <w:rPr>
                <w:rFonts w:asciiTheme="minorHAnsi" w:hAnsiTheme="minorHAnsi"/>
              </w:rPr>
              <w:t xml:space="preserve">include a clinical immunologist as being amongst the specialists that can make the diagnosis and manage the ongoing treatment. This is because while this is a very rare condition, patients may present to and be treated by clinical immunologists in addition to the other specialties </w:t>
            </w:r>
            <w:r>
              <w:rPr>
                <w:rFonts w:asciiTheme="minorHAnsi" w:hAnsiTheme="minorHAnsi"/>
              </w:rPr>
              <w:t xml:space="preserve">already </w:t>
            </w:r>
            <w:r w:rsidR="00676C50">
              <w:rPr>
                <w:rFonts w:asciiTheme="minorHAnsi" w:hAnsiTheme="minorHAnsi"/>
              </w:rPr>
              <w:t xml:space="preserve">listed.   </w:t>
            </w:r>
          </w:p>
          <w:p w:rsidR="00083582" w:rsidRDefault="00083582" w:rsidP="00676C50">
            <w:pPr>
              <w:spacing w:before="120" w:after="120"/>
              <w:rPr>
                <w:rFonts w:asciiTheme="minorHAnsi" w:hAnsiTheme="minorHAnsi"/>
              </w:rPr>
            </w:pPr>
            <w:r>
              <w:rPr>
                <w:rFonts w:asciiTheme="minorHAnsi" w:hAnsiTheme="minorHAnsi"/>
              </w:rPr>
              <w:t xml:space="preserve">Existing patients will need to be reviewed every year to confirm that Ig therapy continues to be effective in reducing or controlling the number of acute episodes that require admission to hospital. Patients will already be undergoing regular review by their treating specialist so this requirement will not place an added burden on patients. </w:t>
            </w:r>
            <w:r>
              <w:rPr>
                <w:szCs w:val="20"/>
              </w:rPr>
              <w:t xml:space="preserve">Where patients have been well controlled for a long period of time, </w:t>
            </w:r>
            <w:r>
              <w:rPr>
                <w:rFonts w:asciiTheme="minorHAnsi" w:hAnsiTheme="minorHAnsi"/>
              </w:rPr>
              <w:t>a trial of reducing dose and then stopping Ig therapy will be considered by doctors.  However, if patients relapse once Ig treatment has been stopped, a further request to restart ongoing Ig therapy can be made.</w:t>
            </w:r>
          </w:p>
          <w:p w:rsidR="00832D0D" w:rsidRPr="00832D0D" w:rsidRDefault="00083582" w:rsidP="00676C50">
            <w:pPr>
              <w:spacing w:before="120" w:after="120"/>
              <w:rPr>
                <w:rFonts w:asciiTheme="minorHAnsi" w:hAnsiTheme="minorHAnsi"/>
              </w:rPr>
            </w:pPr>
            <w:r>
              <w:rPr>
                <w:rFonts w:asciiTheme="minorHAnsi" w:hAnsiTheme="minorHAnsi"/>
              </w:rPr>
              <w:t>New p</w:t>
            </w:r>
            <w:r w:rsidR="00E13351">
              <w:rPr>
                <w:rFonts w:asciiTheme="minorHAnsi" w:hAnsiTheme="minorHAnsi"/>
              </w:rPr>
              <w:t>atients will require</w:t>
            </w:r>
            <w:r w:rsidR="00676C50">
              <w:rPr>
                <w:rFonts w:asciiTheme="minorHAnsi" w:hAnsiTheme="minorHAnsi"/>
              </w:rPr>
              <w:t xml:space="preserve"> an initial check a</w:t>
            </w:r>
            <w:r w:rsidR="00E13351">
              <w:rPr>
                <w:rFonts w:asciiTheme="minorHAnsi" w:hAnsiTheme="minorHAnsi"/>
              </w:rPr>
              <w:t>f</w:t>
            </w:r>
            <w:r w:rsidR="00676C50">
              <w:rPr>
                <w:rFonts w:asciiTheme="minorHAnsi" w:hAnsiTheme="minorHAnsi"/>
              </w:rPr>
              <w:t>t</w:t>
            </w:r>
            <w:r w:rsidR="00E13351">
              <w:rPr>
                <w:rFonts w:asciiTheme="minorHAnsi" w:hAnsiTheme="minorHAnsi"/>
              </w:rPr>
              <w:t>er</w:t>
            </w:r>
            <w:r w:rsidR="00676C50">
              <w:rPr>
                <w:rFonts w:asciiTheme="minorHAnsi" w:hAnsiTheme="minorHAnsi"/>
              </w:rPr>
              <w:t xml:space="preserve"> six months </w:t>
            </w:r>
            <w:r w:rsidR="00E13351">
              <w:rPr>
                <w:rFonts w:asciiTheme="minorHAnsi" w:hAnsiTheme="minorHAnsi"/>
              </w:rPr>
              <w:t xml:space="preserve">Ig treatment </w:t>
            </w:r>
            <w:r w:rsidR="00676C50">
              <w:rPr>
                <w:rFonts w:asciiTheme="minorHAnsi" w:hAnsiTheme="minorHAnsi"/>
              </w:rPr>
              <w:t xml:space="preserve">to confirm that </w:t>
            </w:r>
            <w:r w:rsidR="00E13351">
              <w:rPr>
                <w:rFonts w:asciiTheme="minorHAnsi" w:hAnsiTheme="minorHAnsi"/>
              </w:rPr>
              <w:t xml:space="preserve">Ig therapy has been effective in reducing the number of severe acute episodes </w:t>
            </w:r>
            <w:r>
              <w:rPr>
                <w:rFonts w:asciiTheme="minorHAnsi" w:hAnsiTheme="minorHAnsi"/>
              </w:rPr>
              <w:t xml:space="preserve">requiring hospital admission </w:t>
            </w:r>
            <w:r w:rsidR="00E13351">
              <w:rPr>
                <w:rFonts w:asciiTheme="minorHAnsi" w:hAnsiTheme="minorHAnsi"/>
              </w:rPr>
              <w:t xml:space="preserve">and </w:t>
            </w:r>
            <w:r>
              <w:rPr>
                <w:rFonts w:asciiTheme="minorHAnsi" w:hAnsiTheme="minorHAnsi"/>
              </w:rPr>
              <w:t xml:space="preserve">the severity of </w:t>
            </w:r>
            <w:r w:rsidR="00E13351">
              <w:rPr>
                <w:rFonts w:asciiTheme="minorHAnsi" w:hAnsiTheme="minorHAnsi"/>
              </w:rPr>
              <w:t xml:space="preserve">symptoms. Patients will already be </w:t>
            </w:r>
            <w:r>
              <w:rPr>
                <w:rFonts w:asciiTheme="minorHAnsi" w:hAnsiTheme="minorHAnsi"/>
              </w:rPr>
              <w:t>undergoing regular review</w:t>
            </w:r>
            <w:r w:rsidR="00E13351">
              <w:rPr>
                <w:rFonts w:asciiTheme="minorHAnsi" w:hAnsiTheme="minorHAnsi"/>
              </w:rPr>
              <w:t xml:space="preserve"> by their treating specialist so this requirement will not place an added burden on patients</w:t>
            </w:r>
            <w:r w:rsidR="00676C50">
              <w:rPr>
                <w:rFonts w:asciiTheme="minorHAnsi" w:hAnsiTheme="minorHAnsi"/>
              </w:rPr>
              <w:t xml:space="preserve">. If patients have not improved after </w:t>
            </w:r>
            <w:r>
              <w:rPr>
                <w:rFonts w:asciiTheme="minorHAnsi" w:hAnsiTheme="minorHAnsi"/>
              </w:rPr>
              <w:t>the six month</w:t>
            </w:r>
            <w:r w:rsidR="00E13351">
              <w:rPr>
                <w:rFonts w:asciiTheme="minorHAnsi" w:hAnsiTheme="minorHAnsi"/>
              </w:rPr>
              <w:t xml:space="preserve"> treatment</w:t>
            </w:r>
            <w:r w:rsidR="00676C50">
              <w:rPr>
                <w:rFonts w:asciiTheme="minorHAnsi" w:hAnsiTheme="minorHAnsi"/>
              </w:rPr>
              <w:t xml:space="preserve">, Ig therapy will be ceased and substituted with a different treatment approach. If improvement has been demonstrated, annual checks on progress to assess the </w:t>
            </w:r>
            <w:r w:rsidR="00E13351">
              <w:rPr>
                <w:rFonts w:asciiTheme="minorHAnsi" w:hAnsiTheme="minorHAnsi"/>
              </w:rPr>
              <w:t xml:space="preserve">ongoing </w:t>
            </w:r>
            <w:r w:rsidR="00676C50">
              <w:rPr>
                <w:rFonts w:asciiTheme="minorHAnsi" w:hAnsiTheme="minorHAnsi"/>
              </w:rPr>
              <w:t>effectiveness of Ig maintenance therapy will be performed as part of th</w:t>
            </w:r>
            <w:r>
              <w:rPr>
                <w:rFonts w:asciiTheme="minorHAnsi" w:hAnsiTheme="minorHAnsi"/>
              </w:rPr>
              <w:t>e</w:t>
            </w:r>
            <w:r w:rsidR="00676C50">
              <w:rPr>
                <w:rFonts w:asciiTheme="minorHAnsi" w:hAnsiTheme="minorHAnsi"/>
              </w:rPr>
              <w:t xml:space="preserve"> usual monitoring process</w:t>
            </w:r>
            <w:r>
              <w:rPr>
                <w:rFonts w:asciiTheme="minorHAnsi" w:hAnsiTheme="minorHAnsi"/>
              </w:rPr>
              <w:t xml:space="preserve"> by specialists</w:t>
            </w:r>
            <w:r w:rsidR="00676C50">
              <w:rPr>
                <w:rFonts w:asciiTheme="minorHAnsi" w:hAnsiTheme="minorHAnsi"/>
              </w:rPr>
              <w:t>.</w:t>
            </w:r>
            <w:r>
              <w:rPr>
                <w:rFonts w:asciiTheme="minorHAnsi" w:hAnsiTheme="minorHAnsi"/>
              </w:rPr>
              <w:t xml:space="preserve"> Arrangements for maintenance therapy will be the same as outlined above for existing patients. </w:t>
            </w:r>
          </w:p>
        </w:tc>
      </w:tr>
      <w:tr w:rsidR="00E862E5" w:rsidRPr="00021243" w:rsidTr="006362D3">
        <w:tc>
          <w:tcPr>
            <w:tcW w:w="3503" w:type="dxa"/>
            <w:gridSpan w:val="2"/>
            <w:shd w:val="clear" w:color="auto" w:fill="auto"/>
          </w:tcPr>
          <w:p w:rsidR="00E862E5" w:rsidRDefault="00E862E5" w:rsidP="004A10A2">
            <w:pPr>
              <w:spacing w:before="120" w:after="120"/>
              <w:rPr>
                <w:rFonts w:asciiTheme="minorHAnsi" w:hAnsiTheme="minorHAnsi"/>
                <w:b/>
              </w:rPr>
            </w:pPr>
            <w:r>
              <w:rPr>
                <w:rFonts w:asciiTheme="minorHAnsi" w:hAnsiTheme="minorHAnsi"/>
                <w:b/>
              </w:rPr>
              <w:t>Impact on Demand</w:t>
            </w:r>
          </w:p>
        </w:tc>
        <w:tc>
          <w:tcPr>
            <w:tcW w:w="11098" w:type="dxa"/>
            <w:gridSpan w:val="5"/>
            <w:shd w:val="clear" w:color="auto" w:fill="auto"/>
          </w:tcPr>
          <w:p w:rsidR="00E862E5" w:rsidRDefault="009046AF" w:rsidP="009046AF">
            <w:pPr>
              <w:spacing w:before="120" w:after="120"/>
              <w:rPr>
                <w:rFonts w:asciiTheme="minorHAnsi" w:hAnsiTheme="minorHAnsi"/>
              </w:rPr>
            </w:pPr>
            <w:r>
              <w:rPr>
                <w:rFonts w:asciiTheme="minorHAnsi" w:hAnsiTheme="minorHAnsi"/>
              </w:rPr>
              <w:t>T</w:t>
            </w:r>
            <w:r w:rsidR="00E862E5">
              <w:rPr>
                <w:rFonts w:asciiTheme="minorHAnsi" w:hAnsiTheme="minorHAnsi"/>
              </w:rPr>
              <w:t>he number of patients undergoing treatment</w:t>
            </w:r>
            <w:r>
              <w:rPr>
                <w:rFonts w:asciiTheme="minorHAnsi" w:hAnsiTheme="minorHAnsi"/>
              </w:rPr>
              <w:t xml:space="preserve"> has increased in recent years and may be due to the greater recognition in recent years that Ig therapy should be part of first line treatment for recurrent disease (</w:t>
            </w:r>
            <w:r w:rsidR="000A300B">
              <w:rPr>
                <w:rFonts w:asciiTheme="minorHAnsi" w:hAnsiTheme="minorHAnsi"/>
              </w:rPr>
              <w:t>Marra et al</w:t>
            </w:r>
            <w:r w:rsidR="00B039CD">
              <w:rPr>
                <w:rFonts w:asciiTheme="minorHAnsi" w:hAnsiTheme="minorHAnsi"/>
              </w:rPr>
              <w:t>, 2014</w:t>
            </w:r>
            <w:r w:rsidR="000A300B">
              <w:rPr>
                <w:rFonts w:asciiTheme="minorHAnsi" w:hAnsiTheme="minorHAnsi"/>
              </w:rPr>
              <w:t>)</w:t>
            </w:r>
            <w:r>
              <w:rPr>
                <w:rFonts w:asciiTheme="minorHAnsi" w:hAnsiTheme="minorHAnsi"/>
              </w:rPr>
              <w:t xml:space="preserve">. </w:t>
            </w:r>
            <w:r w:rsidR="00B96920">
              <w:rPr>
                <w:rFonts w:asciiTheme="minorHAnsi" w:hAnsiTheme="minorHAnsi"/>
              </w:rPr>
              <w:t xml:space="preserve">The prevalence is reported to be less than 1 in 1 million and 9 patients in Australia is consistent with </w:t>
            </w:r>
            <w:r w:rsidR="00E862E5">
              <w:rPr>
                <w:rFonts w:asciiTheme="minorHAnsi" w:hAnsiTheme="minorHAnsi"/>
              </w:rPr>
              <w:t xml:space="preserve">this </w:t>
            </w:r>
            <w:r w:rsidR="00B96920">
              <w:rPr>
                <w:rFonts w:asciiTheme="minorHAnsi" w:hAnsiTheme="minorHAnsi"/>
              </w:rPr>
              <w:t>level. It is possible that patients have been commenced on Ig therapy</w:t>
            </w:r>
            <w:r w:rsidR="00822C3B">
              <w:rPr>
                <w:rFonts w:asciiTheme="minorHAnsi" w:hAnsiTheme="minorHAnsi"/>
              </w:rPr>
              <w:t xml:space="preserve"> without establishing that recurrent episodes</w:t>
            </w:r>
            <w:r w:rsidR="000A300B">
              <w:rPr>
                <w:rFonts w:asciiTheme="minorHAnsi" w:hAnsiTheme="minorHAnsi"/>
              </w:rPr>
              <w:t xml:space="preserve"> requiring hospitalisation has</w:t>
            </w:r>
            <w:r w:rsidR="00822C3B">
              <w:rPr>
                <w:rFonts w:asciiTheme="minorHAnsi" w:hAnsiTheme="minorHAnsi"/>
              </w:rPr>
              <w:t xml:space="preserve"> occurred</w:t>
            </w:r>
            <w:r w:rsidR="00E862E5">
              <w:rPr>
                <w:rFonts w:asciiTheme="minorHAnsi" w:hAnsiTheme="minorHAnsi"/>
              </w:rPr>
              <w:t xml:space="preserve">. </w:t>
            </w:r>
            <w:r w:rsidR="000A300B">
              <w:rPr>
                <w:rFonts w:asciiTheme="minorHAnsi" w:hAnsiTheme="minorHAnsi"/>
              </w:rPr>
              <w:t>If this was the case, t</w:t>
            </w:r>
            <w:r w:rsidR="00E862E5">
              <w:rPr>
                <w:rFonts w:asciiTheme="minorHAnsi" w:hAnsiTheme="minorHAnsi"/>
              </w:rPr>
              <w:t xml:space="preserve">here could potentially be a small reduction </w:t>
            </w:r>
            <w:r w:rsidR="00B96920">
              <w:rPr>
                <w:rFonts w:asciiTheme="minorHAnsi" w:hAnsiTheme="minorHAnsi"/>
              </w:rPr>
              <w:t xml:space="preserve">in use </w:t>
            </w:r>
            <w:r w:rsidR="00E862E5">
              <w:rPr>
                <w:rFonts w:asciiTheme="minorHAnsi" w:hAnsiTheme="minorHAnsi"/>
              </w:rPr>
              <w:t xml:space="preserve">if patients are managed on a reduced dose and/or a trial off Ig therapy is successful. </w:t>
            </w:r>
            <w:r w:rsidR="00B96920">
              <w:rPr>
                <w:rFonts w:asciiTheme="minorHAnsi" w:hAnsiTheme="minorHAnsi"/>
              </w:rPr>
              <w:t xml:space="preserve">However, demand is not anticipated to change markedly given the </w:t>
            </w:r>
            <w:r w:rsidR="00B96920">
              <w:rPr>
                <w:rFonts w:asciiTheme="minorHAnsi" w:hAnsiTheme="minorHAnsi"/>
              </w:rPr>
              <w:lastRenderedPageBreak/>
              <w:t>small number of patients being treated currently and ongoing low incidence expected.</w:t>
            </w:r>
          </w:p>
        </w:tc>
      </w:tr>
      <w:tr w:rsidR="00AC1479" w:rsidRPr="00853117" w:rsidTr="006362D3">
        <w:tc>
          <w:tcPr>
            <w:tcW w:w="2134" w:type="dxa"/>
            <w:shd w:val="clear" w:color="auto" w:fill="auto"/>
          </w:tcPr>
          <w:p w:rsidR="00AC1479" w:rsidRPr="00C92149" w:rsidRDefault="00AC1479" w:rsidP="004A10A2">
            <w:pPr>
              <w:spacing w:before="120" w:after="120"/>
              <w:rPr>
                <w:rFonts w:asciiTheme="minorHAnsi" w:hAnsiTheme="minorHAnsi"/>
                <w:b/>
                <w:sz w:val="18"/>
                <w:szCs w:val="18"/>
              </w:rPr>
            </w:pPr>
          </w:p>
        </w:tc>
        <w:tc>
          <w:tcPr>
            <w:tcW w:w="1369"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74"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48"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682"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69" w:type="dxa"/>
            <w:shd w:val="clear" w:color="auto" w:fill="auto"/>
          </w:tcPr>
          <w:p w:rsidR="00AC1479" w:rsidRPr="00AC1479" w:rsidRDefault="00AC1479" w:rsidP="00AC1479">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25" w:type="dxa"/>
            <w:vMerge w:val="restart"/>
            <w:shd w:val="clear" w:color="auto" w:fill="auto"/>
          </w:tcPr>
          <w:p w:rsidR="00AC1479" w:rsidRPr="00B039CD" w:rsidRDefault="00AC1479" w:rsidP="00AC1479">
            <w:pPr>
              <w:rPr>
                <w:rFonts w:asciiTheme="minorHAnsi" w:hAnsiTheme="minorHAnsi"/>
                <w:sz w:val="18"/>
                <w:szCs w:val="18"/>
              </w:rPr>
            </w:pPr>
            <w:r w:rsidRPr="00B039CD">
              <w:rPr>
                <w:rFonts w:asciiTheme="minorHAnsi" w:hAnsiTheme="minorHAnsi"/>
                <w:sz w:val="18"/>
                <w:szCs w:val="18"/>
              </w:rPr>
              <w:t xml:space="preserve">The </w:t>
            </w:r>
            <w:r w:rsidR="00A42333">
              <w:rPr>
                <w:rFonts w:asciiTheme="minorHAnsi" w:hAnsiTheme="minorHAnsi"/>
                <w:sz w:val="18"/>
                <w:szCs w:val="18"/>
              </w:rPr>
              <w:t>Specialist Working Group</w:t>
            </w:r>
            <w:r w:rsidRPr="00B039CD">
              <w:rPr>
                <w:rFonts w:asciiTheme="minorHAnsi" w:hAnsiTheme="minorHAnsi"/>
                <w:sz w:val="18"/>
                <w:szCs w:val="18"/>
              </w:rPr>
              <w:t xml:space="preserve"> estimated magnitude of effect:</w:t>
            </w:r>
          </w:p>
          <w:p w:rsidR="00AC1479" w:rsidRPr="00B039CD" w:rsidRDefault="00AC1479" w:rsidP="00E862E5">
            <w:pPr>
              <w:rPr>
                <w:rFonts w:asciiTheme="minorHAnsi" w:hAnsiTheme="minorHAnsi"/>
                <w:sz w:val="18"/>
                <w:szCs w:val="18"/>
              </w:rPr>
            </w:pPr>
            <w:r w:rsidRPr="00B039CD">
              <w:rPr>
                <w:rFonts w:asciiTheme="minorHAnsi" w:hAnsiTheme="minorHAnsi"/>
                <w:sz w:val="18"/>
                <w:szCs w:val="18"/>
              </w:rPr>
              <w:t xml:space="preserve"> </w:t>
            </w:r>
          </w:p>
          <w:p w:rsidR="00AC1479" w:rsidRPr="00B039CD" w:rsidRDefault="00AC1479" w:rsidP="00AC1479">
            <w:pPr>
              <w:rPr>
                <w:rFonts w:asciiTheme="minorHAnsi" w:hAnsiTheme="minorHAnsi"/>
                <w:sz w:val="18"/>
                <w:szCs w:val="18"/>
              </w:rPr>
            </w:pPr>
            <w:r w:rsidRPr="00B039CD">
              <w:rPr>
                <w:rFonts w:asciiTheme="minorHAnsi" w:hAnsiTheme="minorHAnsi"/>
                <w:sz w:val="18"/>
                <w:szCs w:val="18"/>
              </w:rPr>
              <w:t>No impact</w:t>
            </w:r>
            <w:r w:rsidR="00F04A58">
              <w:rPr>
                <w:rFonts w:asciiTheme="minorHAnsi" w:hAnsiTheme="minorHAnsi"/>
                <w:sz w:val="18"/>
                <w:szCs w:val="18"/>
              </w:rPr>
              <w:t xml:space="preserve"> against projected demand</w:t>
            </w:r>
          </w:p>
          <w:p w:rsidR="00AC1479" w:rsidRPr="00C92149" w:rsidRDefault="00AC1479" w:rsidP="004A10A2">
            <w:pPr>
              <w:spacing w:before="120" w:after="120"/>
              <w:rPr>
                <w:rFonts w:asciiTheme="minorHAnsi" w:hAnsiTheme="minorHAnsi"/>
                <w:b/>
                <w:sz w:val="18"/>
                <w:szCs w:val="18"/>
              </w:rPr>
            </w:pPr>
          </w:p>
        </w:tc>
      </w:tr>
      <w:tr w:rsidR="00AC1479" w:rsidRPr="00853117" w:rsidTr="001D53A8">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w:t>
            </w:r>
          </w:p>
        </w:tc>
        <w:tc>
          <w:tcPr>
            <w:tcW w:w="1574"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1648"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1682"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9</w:t>
            </w:r>
          </w:p>
        </w:tc>
        <w:tc>
          <w:tcPr>
            <w:tcW w:w="1869" w:type="dxa"/>
            <w:shd w:val="clear" w:color="auto" w:fill="auto"/>
            <w:vAlign w:val="center"/>
          </w:tcPr>
          <w:p w:rsidR="00AC1479" w:rsidRPr="00AC1479" w:rsidRDefault="007D587F"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9</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AC1479" w:rsidRPr="00853117" w:rsidTr="001D53A8">
        <w:trPr>
          <w:trHeight w:val="535"/>
        </w:trPr>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0 </w:t>
            </w:r>
          </w:p>
        </w:tc>
        <w:tc>
          <w:tcPr>
            <w:tcW w:w="1574" w:type="dxa"/>
            <w:shd w:val="clear" w:color="auto" w:fill="auto"/>
            <w:vAlign w:val="center"/>
          </w:tcPr>
          <w:p w:rsidR="00AC1479" w:rsidRPr="00D46CE1" w:rsidRDefault="007E6071"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&lt;2,000</w:t>
            </w:r>
          </w:p>
        </w:tc>
        <w:tc>
          <w:tcPr>
            <w:tcW w:w="1648" w:type="dxa"/>
            <w:shd w:val="clear" w:color="auto" w:fill="auto"/>
            <w:vAlign w:val="center"/>
          </w:tcPr>
          <w:p w:rsidR="00AC1479" w:rsidRPr="00D46CE1" w:rsidRDefault="007E6071"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&lt;3,000</w:t>
            </w:r>
          </w:p>
        </w:tc>
        <w:tc>
          <w:tcPr>
            <w:tcW w:w="1682"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8,238</w:t>
            </w:r>
          </w:p>
        </w:tc>
        <w:tc>
          <w:tcPr>
            <w:tcW w:w="1869" w:type="dxa"/>
            <w:shd w:val="clear" w:color="auto" w:fill="auto"/>
            <w:vAlign w:val="center"/>
          </w:tcPr>
          <w:p w:rsidR="00AC1479" w:rsidRPr="00AC1479" w:rsidRDefault="007D587F"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8,407</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AC1479" w:rsidRPr="00853117" w:rsidTr="001D53A8">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0.00%</w:t>
            </w:r>
          </w:p>
        </w:tc>
        <w:tc>
          <w:tcPr>
            <w:tcW w:w="1574" w:type="dxa"/>
            <w:shd w:val="clear" w:color="auto" w:fill="auto"/>
            <w:vAlign w:val="center"/>
          </w:tcPr>
          <w:p w:rsidR="00AC1479" w:rsidRPr="00D46CE1" w:rsidRDefault="001D53A8"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w:t>
            </w:r>
            <w:r w:rsidR="008A7F69">
              <w:rPr>
                <w:rFonts w:asciiTheme="minorHAnsi" w:hAnsiTheme="minorHAnsi" w:cs="Helvetica"/>
                <w:b/>
                <w:color w:val="333333"/>
                <w:sz w:val="18"/>
                <w:szCs w:val="18"/>
              </w:rPr>
              <w:t>0.0</w:t>
            </w:r>
            <w:r>
              <w:rPr>
                <w:rFonts w:asciiTheme="minorHAnsi" w:hAnsiTheme="minorHAnsi" w:cs="Helvetica"/>
                <w:b/>
                <w:color w:val="333333"/>
                <w:sz w:val="18"/>
                <w:szCs w:val="18"/>
              </w:rPr>
              <w:t>5</w:t>
            </w:r>
            <w:r w:rsidR="00AC1479" w:rsidRPr="00D46CE1">
              <w:rPr>
                <w:rFonts w:asciiTheme="minorHAnsi" w:hAnsiTheme="minorHAnsi" w:cs="Helvetica"/>
                <w:b/>
                <w:color w:val="333333"/>
                <w:sz w:val="18"/>
                <w:szCs w:val="18"/>
              </w:rPr>
              <w:t>%</w:t>
            </w:r>
          </w:p>
        </w:tc>
        <w:tc>
          <w:tcPr>
            <w:tcW w:w="1648"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&lt;0.0</w:t>
            </w:r>
            <w:r w:rsidR="001D53A8">
              <w:rPr>
                <w:rFonts w:asciiTheme="minorHAnsi" w:hAnsiTheme="minorHAnsi" w:cs="Helvetica"/>
                <w:b/>
                <w:color w:val="333333"/>
                <w:sz w:val="18"/>
                <w:szCs w:val="18"/>
              </w:rPr>
              <w:t>7</w:t>
            </w:r>
            <w:r w:rsidR="00AC1479" w:rsidRPr="00D46CE1">
              <w:rPr>
                <w:rFonts w:asciiTheme="minorHAnsi" w:hAnsiTheme="minorHAnsi" w:cs="Helvetica"/>
                <w:b/>
                <w:color w:val="333333"/>
                <w:sz w:val="18"/>
                <w:szCs w:val="18"/>
              </w:rPr>
              <w:t>%</w:t>
            </w:r>
          </w:p>
        </w:tc>
        <w:tc>
          <w:tcPr>
            <w:tcW w:w="1682"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1D53A8">
              <w:rPr>
                <w:rFonts w:asciiTheme="minorHAnsi" w:hAnsiTheme="minorHAnsi" w:cs="Helvetica"/>
                <w:b/>
                <w:color w:val="333333"/>
                <w:sz w:val="18"/>
                <w:szCs w:val="18"/>
              </w:rPr>
              <w:t>18</w:t>
            </w:r>
            <w:r w:rsidR="00AC1479" w:rsidRPr="00D46CE1">
              <w:rPr>
                <w:rFonts w:asciiTheme="minorHAnsi" w:hAnsiTheme="minorHAnsi" w:cs="Helvetica"/>
                <w:b/>
                <w:color w:val="333333"/>
                <w:sz w:val="18"/>
                <w:szCs w:val="18"/>
              </w:rPr>
              <w:t>%</w:t>
            </w:r>
          </w:p>
        </w:tc>
        <w:tc>
          <w:tcPr>
            <w:tcW w:w="1869" w:type="dxa"/>
            <w:shd w:val="clear" w:color="auto" w:fill="auto"/>
            <w:vAlign w:val="center"/>
          </w:tcPr>
          <w:p w:rsidR="00AC1479" w:rsidRPr="00AC1479" w:rsidRDefault="007D587F" w:rsidP="001D53A8">
            <w:pPr>
              <w:tabs>
                <w:tab w:val="left" w:pos="1200"/>
              </w:tabs>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ab/>
              <w:t>0.1</w:t>
            </w:r>
            <w:r w:rsidR="001D53A8">
              <w:rPr>
                <w:rFonts w:asciiTheme="minorHAnsi" w:hAnsiTheme="minorHAnsi" w:cs="Helvetica"/>
                <w:b/>
                <w:color w:val="333333"/>
                <w:sz w:val="18"/>
                <w:szCs w:val="18"/>
              </w:rPr>
              <w:t>7</w:t>
            </w:r>
            <w:r>
              <w:rPr>
                <w:rFonts w:asciiTheme="minorHAnsi" w:hAnsiTheme="minorHAnsi" w:cs="Helvetica"/>
                <w:b/>
                <w:color w:val="333333"/>
                <w:sz w:val="18"/>
                <w:szCs w:val="18"/>
              </w:rPr>
              <w:t>%</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D46CE1" w:rsidRPr="00021243" w:rsidTr="005D45E6">
        <w:tc>
          <w:tcPr>
            <w:tcW w:w="14601" w:type="dxa"/>
            <w:gridSpan w:val="7"/>
            <w:shd w:val="clear" w:color="auto" w:fill="F79646" w:themeFill="accent6"/>
          </w:tcPr>
          <w:p w:rsidR="00D46CE1" w:rsidRDefault="00A42333" w:rsidP="005D45E6">
            <w:pPr>
              <w:spacing w:before="120" w:after="120"/>
              <w:rPr>
                <w:rFonts w:asciiTheme="minorHAnsi" w:hAnsiTheme="minorHAnsi"/>
                <w:b/>
              </w:rPr>
            </w:pPr>
            <w:r>
              <w:rPr>
                <w:rFonts w:asciiTheme="minorHAnsi" w:hAnsiTheme="minorHAnsi"/>
                <w:b/>
              </w:rPr>
              <w:t xml:space="preserve">Specialist Working Group </w:t>
            </w:r>
            <w:r w:rsidR="00D46CE1">
              <w:rPr>
                <w:rFonts w:asciiTheme="minorHAnsi" w:hAnsiTheme="minorHAnsi"/>
                <w:b/>
              </w:rPr>
              <w:t>knowledge development opportunities and recommendations</w:t>
            </w:r>
          </w:p>
        </w:tc>
      </w:tr>
      <w:tr w:rsidR="00D46CE1" w:rsidRPr="00021243" w:rsidTr="005D45E6">
        <w:tc>
          <w:tcPr>
            <w:tcW w:w="14601" w:type="dxa"/>
            <w:gridSpan w:val="7"/>
            <w:shd w:val="clear" w:color="auto" w:fill="auto"/>
          </w:tcPr>
          <w:p w:rsidR="00D46CE1" w:rsidRPr="002506FF" w:rsidRDefault="00B24562" w:rsidP="001B4E7A">
            <w:pPr>
              <w:spacing w:before="120" w:after="120"/>
              <w:rPr>
                <w:rFonts w:asciiTheme="minorHAnsi" w:hAnsiTheme="minorHAnsi"/>
              </w:rPr>
            </w:pPr>
            <w:r>
              <w:rPr>
                <w:rFonts w:asciiTheme="minorHAnsi" w:hAnsiTheme="minorHAnsi"/>
              </w:rPr>
              <w:t>None identified at this time.</w:t>
            </w:r>
            <w:r w:rsidR="001B4E7A">
              <w:rPr>
                <w:szCs w:val="20"/>
              </w:rPr>
              <w:t xml:space="preserve"> </w:t>
            </w:r>
          </w:p>
        </w:tc>
      </w:tr>
      <w:tr w:rsidR="002506FF" w:rsidRPr="00021243" w:rsidTr="009F1DFC">
        <w:tblPrEx>
          <w:tblLook w:val="04A0" w:firstRow="1" w:lastRow="0" w:firstColumn="1" w:lastColumn="0" w:noHBand="0" w:noVBand="1"/>
        </w:tblPrEx>
        <w:tc>
          <w:tcPr>
            <w:tcW w:w="14601" w:type="dxa"/>
            <w:gridSpan w:val="7"/>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6362D3">
              <w:rPr>
                <w:rFonts w:asciiTheme="minorHAnsi" w:hAnsiTheme="minorHAnsi"/>
                <w:b/>
              </w:rPr>
              <w:t>PUBLIC CONSULTATION</w:t>
            </w:r>
            <w:r>
              <w:rPr>
                <w:rFonts w:asciiTheme="minorHAnsi" w:hAnsiTheme="minorHAnsi"/>
                <w:b/>
              </w:rPr>
              <w:t xml:space="preserve"> DOCUMENT</w:t>
            </w:r>
          </w:p>
          <w:p w:rsidR="000E09C4" w:rsidRPr="00021243" w:rsidRDefault="006362D3" w:rsidP="002506FF">
            <w:pPr>
              <w:spacing w:before="120" w:after="120"/>
              <w:jc w:val="center"/>
              <w:rPr>
                <w:rFonts w:asciiTheme="minorHAnsi" w:hAnsiTheme="minorHAnsi"/>
                <w:b/>
              </w:rPr>
            </w:pPr>
            <w:r>
              <w:rPr>
                <w:rFonts w:asciiTheme="minorHAnsi" w:hAnsiTheme="minorHAnsi"/>
                <w:b/>
              </w:rPr>
              <w:t>Next review</w:t>
            </w:r>
            <w:r w:rsidR="00822C3B">
              <w:rPr>
                <w:rFonts w:asciiTheme="minorHAnsi" w:hAnsiTheme="minorHAnsi"/>
                <w:b/>
              </w:rPr>
              <w:t>:</w:t>
            </w:r>
            <w:r w:rsidR="000E09C4">
              <w:rPr>
                <w:rFonts w:asciiTheme="minorHAnsi" w:hAnsiTheme="minorHAnsi"/>
                <w:b/>
              </w:rPr>
              <w:t xml:space="preserve"> </w:t>
            </w:r>
            <w:r w:rsidR="00822C3B">
              <w:rPr>
                <w:rFonts w:asciiTheme="minorHAnsi" w:hAnsiTheme="minorHAnsi"/>
                <w:b/>
              </w:rPr>
              <w:t xml:space="preserve">Eighteen months </w:t>
            </w:r>
            <w:r w:rsidR="00A42333">
              <w:rPr>
                <w:rFonts w:asciiTheme="minorHAnsi" w:hAnsiTheme="minorHAnsi"/>
                <w:b/>
              </w:rPr>
              <w:t>following implementation of BloodSTAR v</w:t>
            </w:r>
            <w:r w:rsidR="00083619">
              <w:rPr>
                <w:rFonts w:asciiTheme="minorHAnsi" w:hAnsiTheme="minorHAnsi"/>
                <w:b/>
              </w:rPr>
              <w:t>3.0</w:t>
            </w:r>
          </w:p>
        </w:tc>
      </w:tr>
    </w:tbl>
    <w:p w:rsidR="006627B5" w:rsidRPr="00FD2CCD" w:rsidRDefault="006627B5" w:rsidP="00B24562">
      <w:pPr>
        <w:spacing w:line="276" w:lineRule="auto"/>
      </w:pPr>
    </w:p>
    <w:sectPr w:rsidR="006627B5" w:rsidRPr="00FD2CCD" w:rsidSect="00B24562">
      <w:headerReference w:type="first" r:id="rId21"/>
      <w:pgSz w:w="16839" w:h="11907" w:orient="landscape" w:code="9"/>
      <w:pgMar w:top="993"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42" w:rsidRDefault="00AB3742" w:rsidP="00856708">
      <w:pPr>
        <w:spacing w:after="0"/>
      </w:pPr>
      <w:r>
        <w:separator/>
      </w:r>
    </w:p>
  </w:endnote>
  <w:endnote w:type="continuationSeparator" w:id="0">
    <w:p w:rsidR="00AB3742" w:rsidRDefault="00AB374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3342"/>
      <w:docPartObj>
        <w:docPartGallery w:val="Page Numbers (Bottom of Page)"/>
        <w:docPartUnique/>
      </w:docPartObj>
    </w:sdtPr>
    <w:sdtEndPr>
      <w:rPr>
        <w:noProof/>
      </w:rPr>
    </w:sdtEndPr>
    <w:sdtContent>
      <w:p w:rsidR="008D54C4" w:rsidRDefault="008D54C4">
        <w:pPr>
          <w:pStyle w:val="Footer"/>
          <w:jc w:val="right"/>
        </w:pPr>
        <w:r>
          <w:fldChar w:fldCharType="begin"/>
        </w:r>
        <w:r>
          <w:instrText xml:space="preserve"> PAGE   \* MERGEFORMAT </w:instrText>
        </w:r>
        <w:r>
          <w:fldChar w:fldCharType="separate"/>
        </w:r>
        <w:r w:rsidR="00F77AC2">
          <w:rPr>
            <w:noProof/>
          </w:rPr>
          <w:t>2</w:t>
        </w:r>
        <w:r>
          <w:rPr>
            <w:noProof/>
          </w:rPr>
          <w:fldChar w:fldCharType="end"/>
        </w:r>
      </w:p>
    </w:sdtContent>
  </w:sdt>
  <w:p w:rsidR="00853117" w:rsidRPr="00A71856" w:rsidRDefault="00853117" w:rsidP="00A7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1350"/>
      <w:docPartObj>
        <w:docPartGallery w:val="Page Numbers (Bottom of Page)"/>
        <w:docPartUnique/>
      </w:docPartObj>
    </w:sdtPr>
    <w:sdtEndPr>
      <w:rPr>
        <w:noProof/>
      </w:rPr>
    </w:sdtEndPr>
    <w:sdtContent>
      <w:p w:rsidR="008D54C4" w:rsidRDefault="008D54C4">
        <w:pPr>
          <w:pStyle w:val="Footer"/>
          <w:jc w:val="right"/>
        </w:pPr>
        <w:r>
          <w:fldChar w:fldCharType="begin"/>
        </w:r>
        <w:r>
          <w:instrText xml:space="preserve"> PAGE   \* MERGEFORMAT </w:instrText>
        </w:r>
        <w:r>
          <w:fldChar w:fldCharType="separate"/>
        </w:r>
        <w:r w:rsidR="00F77AC2">
          <w:rPr>
            <w:noProof/>
          </w:rPr>
          <w:t>1</w:t>
        </w:r>
        <w:r>
          <w:rPr>
            <w:noProof/>
          </w:rPr>
          <w:fldChar w:fldCharType="end"/>
        </w:r>
      </w:p>
    </w:sdtContent>
  </w:sdt>
  <w:p w:rsidR="00A71856" w:rsidRDefault="00A7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42" w:rsidRDefault="00AB3742" w:rsidP="00856708">
      <w:pPr>
        <w:spacing w:after="0"/>
      </w:pPr>
      <w:r>
        <w:separator/>
      </w:r>
    </w:p>
  </w:footnote>
  <w:footnote w:type="continuationSeparator" w:id="0">
    <w:p w:rsidR="00AB3742" w:rsidRDefault="00AB3742"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F04A58" w:rsidP="008D54C4">
    <w:pPr>
      <w:pStyle w:val="Footer"/>
      <w:rPr>
        <w:sz w:val="20"/>
        <w:szCs w:val="20"/>
      </w:rPr>
    </w:pPr>
    <w:r>
      <w:rPr>
        <w:sz w:val="20"/>
        <w:szCs w:val="20"/>
      </w:rPr>
      <w:t>PUBLIC CONSULTATION 2017</w:t>
    </w:r>
    <w:r w:rsidR="008D54C4" w:rsidRPr="009016FB">
      <w:rPr>
        <w:sz w:val="20"/>
        <w:szCs w:val="20"/>
      </w:rPr>
      <w:t xml:space="preserve"> </w:t>
    </w:r>
    <w:r w:rsidR="008D54C4">
      <w:rPr>
        <w:sz w:val="20"/>
        <w:szCs w:val="20"/>
      </w:rPr>
      <w:t>–</w:t>
    </w:r>
    <w:r w:rsidR="008D54C4" w:rsidRPr="009016FB">
      <w:rPr>
        <w:sz w:val="20"/>
        <w:szCs w:val="20"/>
      </w:rPr>
      <w:t xml:space="preserve"> </w:t>
    </w:r>
    <w:r w:rsidR="008D54C4" w:rsidRPr="00A71856">
      <w:rPr>
        <w:sz w:val="20"/>
        <w:szCs w:val="20"/>
      </w:rPr>
      <w:t>Systemic capillary leak syndrome</w:t>
    </w:r>
  </w:p>
  <w:p w:rsidR="008D54C4" w:rsidRDefault="008D5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F04A58" w:rsidP="008D54C4">
    <w:pPr>
      <w:pStyle w:val="Footer"/>
      <w:rPr>
        <w:sz w:val="20"/>
        <w:szCs w:val="20"/>
      </w:rPr>
    </w:pPr>
    <w:r>
      <w:rPr>
        <w:sz w:val="20"/>
        <w:szCs w:val="20"/>
      </w:rPr>
      <w:t>PUBLIC CONSULTATION 2017</w:t>
    </w:r>
    <w:r w:rsidR="008D54C4" w:rsidRPr="009016FB">
      <w:rPr>
        <w:sz w:val="20"/>
        <w:szCs w:val="20"/>
      </w:rPr>
      <w:t xml:space="preserve"> </w:t>
    </w:r>
    <w:r w:rsidR="008D54C4">
      <w:rPr>
        <w:sz w:val="20"/>
        <w:szCs w:val="20"/>
      </w:rPr>
      <w:t>–</w:t>
    </w:r>
    <w:r w:rsidR="008D54C4" w:rsidRPr="009016FB">
      <w:rPr>
        <w:sz w:val="20"/>
        <w:szCs w:val="20"/>
      </w:rPr>
      <w:t xml:space="preserve"> </w:t>
    </w:r>
    <w:r w:rsidR="008D54C4" w:rsidRPr="00A71856">
      <w:rPr>
        <w:sz w:val="20"/>
        <w:szCs w:val="20"/>
      </w:rPr>
      <w:t>Systemic capillary leak syndrome</w:t>
    </w:r>
  </w:p>
  <w:p w:rsidR="008D54C4" w:rsidRDefault="008D5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8F598E" w:rsidP="008D54C4">
    <w:pPr>
      <w:pStyle w:val="Footer"/>
      <w:rPr>
        <w:sz w:val="20"/>
        <w:szCs w:val="20"/>
      </w:rP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A71856">
      <w:rPr>
        <w:sz w:val="20"/>
        <w:szCs w:val="20"/>
      </w:rPr>
      <w:t>Systemic capillary leak syndrome</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4E1"/>
    <w:multiLevelType w:val="hybridMultilevel"/>
    <w:tmpl w:val="8126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DC65DED"/>
    <w:multiLevelType w:val="hybridMultilevel"/>
    <w:tmpl w:val="3AC29AA8"/>
    <w:lvl w:ilvl="0" w:tplc="4E126DC2">
      <w:numFmt w:val="bullet"/>
      <w:lvlText w:val="-"/>
      <w:lvlJc w:val="left"/>
      <w:pPr>
        <w:ind w:left="720" w:hanging="360"/>
      </w:pPr>
      <w:rPr>
        <w:rFonts w:ascii="Calibri" w:eastAsia="Dotu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11390"/>
    <w:multiLevelType w:val="multilevel"/>
    <w:tmpl w:val="41CE0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F0F0F54"/>
    <w:multiLevelType w:val="hybridMultilevel"/>
    <w:tmpl w:val="016CD4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DA90DF7"/>
    <w:multiLevelType w:val="hybridMultilevel"/>
    <w:tmpl w:val="D1B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64A76"/>
    <w:rsid w:val="0007639A"/>
    <w:rsid w:val="00083582"/>
    <w:rsid w:val="00083619"/>
    <w:rsid w:val="00087114"/>
    <w:rsid w:val="000A1269"/>
    <w:rsid w:val="000A14E4"/>
    <w:rsid w:val="000A300B"/>
    <w:rsid w:val="000A3A69"/>
    <w:rsid w:val="000A65C9"/>
    <w:rsid w:val="000B27A7"/>
    <w:rsid w:val="000E09C4"/>
    <w:rsid w:val="000E4D1E"/>
    <w:rsid w:val="001010DE"/>
    <w:rsid w:val="001263B7"/>
    <w:rsid w:val="00127903"/>
    <w:rsid w:val="00153753"/>
    <w:rsid w:val="00165F48"/>
    <w:rsid w:val="0017270F"/>
    <w:rsid w:val="001849B2"/>
    <w:rsid w:val="00184E12"/>
    <w:rsid w:val="00186CF7"/>
    <w:rsid w:val="001A2460"/>
    <w:rsid w:val="001A797D"/>
    <w:rsid w:val="001B4E7A"/>
    <w:rsid w:val="001C45B4"/>
    <w:rsid w:val="001D53A8"/>
    <w:rsid w:val="001E102B"/>
    <w:rsid w:val="00205F66"/>
    <w:rsid w:val="0021213D"/>
    <w:rsid w:val="00216823"/>
    <w:rsid w:val="002306B2"/>
    <w:rsid w:val="002360A8"/>
    <w:rsid w:val="00236B19"/>
    <w:rsid w:val="00240825"/>
    <w:rsid w:val="002445E2"/>
    <w:rsid w:val="002506FF"/>
    <w:rsid w:val="002537F2"/>
    <w:rsid w:val="00255740"/>
    <w:rsid w:val="00257053"/>
    <w:rsid w:val="00275679"/>
    <w:rsid w:val="00282F66"/>
    <w:rsid w:val="002936DD"/>
    <w:rsid w:val="00295B21"/>
    <w:rsid w:val="00295CD3"/>
    <w:rsid w:val="002C7DBC"/>
    <w:rsid w:val="002D2007"/>
    <w:rsid w:val="002E2392"/>
    <w:rsid w:val="002F3325"/>
    <w:rsid w:val="003066AA"/>
    <w:rsid w:val="00316124"/>
    <w:rsid w:val="00320BEB"/>
    <w:rsid w:val="00327526"/>
    <w:rsid w:val="0033060E"/>
    <w:rsid w:val="00336737"/>
    <w:rsid w:val="003457EC"/>
    <w:rsid w:val="003461E4"/>
    <w:rsid w:val="00395032"/>
    <w:rsid w:val="003A1F9D"/>
    <w:rsid w:val="003C6002"/>
    <w:rsid w:val="003D1795"/>
    <w:rsid w:val="003D27F1"/>
    <w:rsid w:val="003E3235"/>
    <w:rsid w:val="003E3871"/>
    <w:rsid w:val="003F11F8"/>
    <w:rsid w:val="00403201"/>
    <w:rsid w:val="00431B13"/>
    <w:rsid w:val="00433C78"/>
    <w:rsid w:val="00445EDE"/>
    <w:rsid w:val="00447869"/>
    <w:rsid w:val="00454FA8"/>
    <w:rsid w:val="00460325"/>
    <w:rsid w:val="00463B0C"/>
    <w:rsid w:val="0047615E"/>
    <w:rsid w:val="004856E4"/>
    <w:rsid w:val="00485890"/>
    <w:rsid w:val="004A10A2"/>
    <w:rsid w:val="004B14F4"/>
    <w:rsid w:val="004B258D"/>
    <w:rsid w:val="004D4636"/>
    <w:rsid w:val="004D7D22"/>
    <w:rsid w:val="004E4A52"/>
    <w:rsid w:val="005023CE"/>
    <w:rsid w:val="00525C51"/>
    <w:rsid w:val="0053108A"/>
    <w:rsid w:val="005318C2"/>
    <w:rsid w:val="00531E6D"/>
    <w:rsid w:val="00540020"/>
    <w:rsid w:val="00543C69"/>
    <w:rsid w:val="005517F9"/>
    <w:rsid w:val="005546AE"/>
    <w:rsid w:val="005629EE"/>
    <w:rsid w:val="00584BEC"/>
    <w:rsid w:val="005851ED"/>
    <w:rsid w:val="005960E7"/>
    <w:rsid w:val="005D2C3D"/>
    <w:rsid w:val="005E04F6"/>
    <w:rsid w:val="005E5E5E"/>
    <w:rsid w:val="00602D7D"/>
    <w:rsid w:val="006201B1"/>
    <w:rsid w:val="00631EAB"/>
    <w:rsid w:val="006362D3"/>
    <w:rsid w:val="006427C2"/>
    <w:rsid w:val="00642A5C"/>
    <w:rsid w:val="00644285"/>
    <w:rsid w:val="00644FEA"/>
    <w:rsid w:val="00646D1A"/>
    <w:rsid w:val="00657F36"/>
    <w:rsid w:val="0066075E"/>
    <w:rsid w:val="006627B5"/>
    <w:rsid w:val="006631E9"/>
    <w:rsid w:val="00666AA5"/>
    <w:rsid w:val="00670D34"/>
    <w:rsid w:val="00676C50"/>
    <w:rsid w:val="006855AF"/>
    <w:rsid w:val="00695219"/>
    <w:rsid w:val="006B0323"/>
    <w:rsid w:val="006B4C33"/>
    <w:rsid w:val="006D2521"/>
    <w:rsid w:val="006D2FA8"/>
    <w:rsid w:val="006D36A9"/>
    <w:rsid w:val="006E1803"/>
    <w:rsid w:val="006F1FA7"/>
    <w:rsid w:val="006F485E"/>
    <w:rsid w:val="00702EB0"/>
    <w:rsid w:val="00741277"/>
    <w:rsid w:val="0075469F"/>
    <w:rsid w:val="007558C2"/>
    <w:rsid w:val="00787242"/>
    <w:rsid w:val="007B0C7B"/>
    <w:rsid w:val="007B2100"/>
    <w:rsid w:val="007C7B0F"/>
    <w:rsid w:val="007D587F"/>
    <w:rsid w:val="007E59C2"/>
    <w:rsid w:val="007E6071"/>
    <w:rsid w:val="007F3022"/>
    <w:rsid w:val="008041F6"/>
    <w:rsid w:val="00822C3B"/>
    <w:rsid w:val="00826017"/>
    <w:rsid w:val="00832D0D"/>
    <w:rsid w:val="008348F8"/>
    <w:rsid w:val="00847EC8"/>
    <w:rsid w:val="008515FF"/>
    <w:rsid w:val="00853117"/>
    <w:rsid w:val="00856708"/>
    <w:rsid w:val="008612AB"/>
    <w:rsid w:val="00880ECB"/>
    <w:rsid w:val="00893E0A"/>
    <w:rsid w:val="00896241"/>
    <w:rsid w:val="008A7F69"/>
    <w:rsid w:val="008B1889"/>
    <w:rsid w:val="008D4DD5"/>
    <w:rsid w:val="008D54C4"/>
    <w:rsid w:val="008F598E"/>
    <w:rsid w:val="00901446"/>
    <w:rsid w:val="00901F76"/>
    <w:rsid w:val="009025B7"/>
    <w:rsid w:val="00904500"/>
    <w:rsid w:val="009046AF"/>
    <w:rsid w:val="009208EC"/>
    <w:rsid w:val="00933536"/>
    <w:rsid w:val="009347BC"/>
    <w:rsid w:val="0093594E"/>
    <w:rsid w:val="00951B85"/>
    <w:rsid w:val="00982D63"/>
    <w:rsid w:val="009B04BD"/>
    <w:rsid w:val="009B04CC"/>
    <w:rsid w:val="009C1E09"/>
    <w:rsid w:val="009E38CC"/>
    <w:rsid w:val="009F4509"/>
    <w:rsid w:val="009F679D"/>
    <w:rsid w:val="00A0276B"/>
    <w:rsid w:val="00A0352E"/>
    <w:rsid w:val="00A05745"/>
    <w:rsid w:val="00A23D1D"/>
    <w:rsid w:val="00A2500F"/>
    <w:rsid w:val="00A31C82"/>
    <w:rsid w:val="00A357C4"/>
    <w:rsid w:val="00A42333"/>
    <w:rsid w:val="00A57D60"/>
    <w:rsid w:val="00A71856"/>
    <w:rsid w:val="00A7510F"/>
    <w:rsid w:val="00A80A19"/>
    <w:rsid w:val="00A81C38"/>
    <w:rsid w:val="00A92019"/>
    <w:rsid w:val="00AA19C1"/>
    <w:rsid w:val="00AA48C6"/>
    <w:rsid w:val="00AB120F"/>
    <w:rsid w:val="00AB3742"/>
    <w:rsid w:val="00AC1479"/>
    <w:rsid w:val="00AD086B"/>
    <w:rsid w:val="00AD4362"/>
    <w:rsid w:val="00AE5015"/>
    <w:rsid w:val="00AE63FA"/>
    <w:rsid w:val="00B039CD"/>
    <w:rsid w:val="00B052F8"/>
    <w:rsid w:val="00B14508"/>
    <w:rsid w:val="00B24562"/>
    <w:rsid w:val="00B27930"/>
    <w:rsid w:val="00B35BD7"/>
    <w:rsid w:val="00B3726E"/>
    <w:rsid w:val="00B644E6"/>
    <w:rsid w:val="00B77FEC"/>
    <w:rsid w:val="00B8742B"/>
    <w:rsid w:val="00B96920"/>
    <w:rsid w:val="00BA76D8"/>
    <w:rsid w:val="00BA76E3"/>
    <w:rsid w:val="00BB7245"/>
    <w:rsid w:val="00BD1DFB"/>
    <w:rsid w:val="00BD6C2D"/>
    <w:rsid w:val="00BD7111"/>
    <w:rsid w:val="00BD735D"/>
    <w:rsid w:val="00C023F3"/>
    <w:rsid w:val="00C21002"/>
    <w:rsid w:val="00C24E0B"/>
    <w:rsid w:val="00C27DE0"/>
    <w:rsid w:val="00C30FD5"/>
    <w:rsid w:val="00C34D27"/>
    <w:rsid w:val="00C364CA"/>
    <w:rsid w:val="00C42737"/>
    <w:rsid w:val="00C51E04"/>
    <w:rsid w:val="00C612C3"/>
    <w:rsid w:val="00C75233"/>
    <w:rsid w:val="00C83CBD"/>
    <w:rsid w:val="00C92149"/>
    <w:rsid w:val="00CA4321"/>
    <w:rsid w:val="00CB47C1"/>
    <w:rsid w:val="00CB50C5"/>
    <w:rsid w:val="00CC12B9"/>
    <w:rsid w:val="00CD5856"/>
    <w:rsid w:val="00CD7B8A"/>
    <w:rsid w:val="00CF2705"/>
    <w:rsid w:val="00D16B82"/>
    <w:rsid w:val="00D17E7A"/>
    <w:rsid w:val="00D17FEC"/>
    <w:rsid w:val="00D24193"/>
    <w:rsid w:val="00D46CE1"/>
    <w:rsid w:val="00D67CFD"/>
    <w:rsid w:val="00D829D7"/>
    <w:rsid w:val="00D874FD"/>
    <w:rsid w:val="00D96987"/>
    <w:rsid w:val="00DB17C2"/>
    <w:rsid w:val="00DB1925"/>
    <w:rsid w:val="00DB21FB"/>
    <w:rsid w:val="00DD166F"/>
    <w:rsid w:val="00DF33D9"/>
    <w:rsid w:val="00E13351"/>
    <w:rsid w:val="00E337E6"/>
    <w:rsid w:val="00E34C1D"/>
    <w:rsid w:val="00E415BE"/>
    <w:rsid w:val="00E422DF"/>
    <w:rsid w:val="00E62E16"/>
    <w:rsid w:val="00E672AA"/>
    <w:rsid w:val="00E712B5"/>
    <w:rsid w:val="00E862E5"/>
    <w:rsid w:val="00EA2E82"/>
    <w:rsid w:val="00EB78FB"/>
    <w:rsid w:val="00EC0889"/>
    <w:rsid w:val="00F04A58"/>
    <w:rsid w:val="00F42816"/>
    <w:rsid w:val="00F66136"/>
    <w:rsid w:val="00F70578"/>
    <w:rsid w:val="00F77AC2"/>
    <w:rsid w:val="00FC0E9B"/>
    <w:rsid w:val="00FC5CB0"/>
    <w:rsid w:val="00FD0309"/>
    <w:rsid w:val="00FD2CCD"/>
    <w:rsid w:val="00FD6D12"/>
    <w:rsid w:val="00FE1B13"/>
    <w:rsid w:val="00FE1EE0"/>
    <w:rsid w:val="00FE5B66"/>
    <w:rsid w:val="00FF03A0"/>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B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B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5193271" TargetMode="External"/><Relationship Id="rId18" Type="http://schemas.openxmlformats.org/officeDocument/2006/relationships/hyperlink" Target="https://www.ncbi.nlm.nih.gov/pubmed/24490827"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8552679" TargetMode="External"/><Relationship Id="rId2" Type="http://schemas.openxmlformats.org/officeDocument/2006/relationships/numbering" Target="numbering.xml"/><Relationship Id="rId16" Type="http://schemas.openxmlformats.org/officeDocument/2006/relationships/hyperlink" Target="https://www.ncbi.nlm.nih.gov/pubmed/21135305" TargetMode="External"/><Relationship Id="rId20" Type="http://schemas.openxmlformats.org/officeDocument/2006/relationships/hyperlink" Target="https://www.ncbi.nlm.nih.gov/pubmed/226967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2146434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2519327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206439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1409-AC28-4AD3-80E0-B36F2A08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2232</Words>
  <Characters>12724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2017-04-10T04:03:00Z</cp:lastPrinted>
  <dcterms:created xsi:type="dcterms:W3CDTF">2017-09-08T02:56:00Z</dcterms:created>
  <dcterms:modified xsi:type="dcterms:W3CDTF">2017-09-08T02:56:00Z</dcterms:modified>
</cp:coreProperties>
</file>