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192" w:rsidRPr="00E1737D" w:rsidRDefault="00022192" w:rsidP="00022192">
      <w:pPr>
        <w:pStyle w:val="Title"/>
        <w:spacing w:before="6000"/>
        <w:ind w:left="-709" w:right="3805"/>
        <w:rPr>
          <w:color w:val="000000" w:themeColor="text1"/>
          <w:sz w:val="56"/>
        </w:rPr>
      </w:pPr>
      <w:bookmarkStart w:id="0" w:name="_GoBack"/>
      <w:bookmarkEnd w:id="0"/>
      <w:r w:rsidRPr="00F27C41">
        <w:rPr>
          <w:noProof/>
          <w:color w:val="000000" w:themeColor="text1"/>
          <w:sz w:val="56"/>
          <w:lang w:eastAsia="en-AU"/>
        </w:rPr>
        <w:drawing>
          <wp:anchor distT="0" distB="0" distL="114300" distR="114300" simplePos="0" relativeHeight="251659264" behindDoc="1" locked="0" layoutInCell="1" allowOverlap="1" wp14:anchorId="32D8CAF8" wp14:editId="41EF4B42">
            <wp:simplePos x="0" y="0"/>
            <wp:positionH relativeFrom="column">
              <wp:posOffset>-914400</wp:posOffset>
            </wp:positionH>
            <wp:positionV relativeFrom="paragraph">
              <wp:posOffset>-905455</wp:posOffset>
            </wp:positionV>
            <wp:extent cx="7559040" cy="10688320"/>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040" cy="10688320"/>
                    </a:xfrm>
                    <a:prstGeom prst="rect">
                      <a:avLst/>
                    </a:prstGeom>
                  </pic:spPr>
                </pic:pic>
              </a:graphicData>
            </a:graphic>
          </wp:anchor>
        </w:drawing>
      </w:r>
      <w:r w:rsidR="000C4D79">
        <w:rPr>
          <w:color w:val="000000" w:themeColor="text1"/>
          <w:sz w:val="56"/>
        </w:rPr>
        <w:t xml:space="preserve">STRATEGIC FRAMEWORK FOR THE </w:t>
      </w:r>
      <w:r>
        <w:rPr>
          <w:color w:val="000000" w:themeColor="text1"/>
          <w:sz w:val="56"/>
        </w:rPr>
        <w:t xml:space="preserve">nATIONAL </w:t>
      </w:r>
      <w:r w:rsidR="000C4D79">
        <w:rPr>
          <w:color w:val="000000" w:themeColor="text1"/>
          <w:sz w:val="56"/>
        </w:rPr>
        <w:t>HAEMOVIGILANCE PROGRAM</w:t>
      </w:r>
    </w:p>
    <w:p w:rsidR="00022192" w:rsidRDefault="00022192" w:rsidP="00022192">
      <w:pPr>
        <w:pStyle w:val="NoSpacing"/>
        <w:ind w:left="-709"/>
        <w:rPr>
          <w:sz w:val="28"/>
        </w:rPr>
      </w:pPr>
    </w:p>
    <w:p w:rsidR="00022192" w:rsidRDefault="00022192" w:rsidP="00022192">
      <w:pPr>
        <w:pStyle w:val="NoSpacing"/>
        <w:ind w:left="-709"/>
        <w:rPr>
          <w:sz w:val="28"/>
        </w:rPr>
      </w:pPr>
    </w:p>
    <w:p w:rsidR="00022192" w:rsidRDefault="00022192" w:rsidP="00022192">
      <w:pPr>
        <w:pStyle w:val="NoSpacing"/>
        <w:ind w:left="-709"/>
        <w:rPr>
          <w:sz w:val="52"/>
        </w:rPr>
      </w:pPr>
    </w:p>
    <w:p w:rsidR="00022192" w:rsidRPr="004A3747" w:rsidRDefault="003612DE" w:rsidP="00022192">
      <w:pPr>
        <w:pStyle w:val="NoSpacing"/>
        <w:ind w:left="-709"/>
        <w:rPr>
          <w:sz w:val="24"/>
        </w:rPr>
      </w:pPr>
      <w:r>
        <w:rPr>
          <w:sz w:val="52"/>
        </w:rPr>
        <w:t>September</w:t>
      </w:r>
      <w:r w:rsidR="000C4D79">
        <w:rPr>
          <w:sz w:val="52"/>
        </w:rPr>
        <w:t xml:space="preserve"> 2014</w:t>
      </w:r>
    </w:p>
    <w:p w:rsidR="00022192" w:rsidRDefault="00022192" w:rsidP="00022192"/>
    <w:p w:rsidR="00022192" w:rsidRDefault="00022192" w:rsidP="00022192">
      <w:pPr>
        <w:spacing w:after="0"/>
      </w:pPr>
      <w:r>
        <w:br w:type="page"/>
      </w:r>
    </w:p>
    <w:p w:rsidR="000C4D79" w:rsidRDefault="000C4D79" w:rsidP="00E055B7">
      <w:pPr>
        <w:pStyle w:val="Heading1"/>
        <w:spacing w:after="120" w:line="276" w:lineRule="auto"/>
      </w:pPr>
      <w:r>
        <w:lastRenderedPageBreak/>
        <w:t>W</w:t>
      </w:r>
      <w:r w:rsidRPr="006048C0">
        <w:t>hy</w:t>
      </w:r>
      <w:r w:rsidR="00F07B61">
        <w:t xml:space="preserve"> conduct H</w:t>
      </w:r>
      <w:r w:rsidRPr="00C33045">
        <w:t>aemovigilance</w:t>
      </w:r>
      <w:r>
        <w:t xml:space="preserve">? </w:t>
      </w:r>
    </w:p>
    <w:p w:rsidR="000C4D79" w:rsidRPr="00BB0D0C" w:rsidRDefault="000C4D79" w:rsidP="000C4D79">
      <w:pPr>
        <w:spacing w:line="276" w:lineRule="auto"/>
        <w:rPr>
          <w:rFonts w:ascii="Times" w:eastAsiaTheme="minorHAnsi" w:hAnsi="Times" w:cstheme="minorBidi"/>
          <w:sz w:val="20"/>
          <w:szCs w:val="20"/>
        </w:rPr>
      </w:pPr>
      <w:r>
        <w:t xml:space="preserve">The World Health Organisation suggests that </w:t>
      </w:r>
      <w:r w:rsidRPr="00BB0D0C">
        <w:rPr>
          <w:i/>
        </w:rPr>
        <w:t>"Haemovigilance is required to identify and prevent occurrence or recurrence of transfusion related unwanted events, to increase the safety, efficacy and efficiency of blood transfusion, covering all activities of the transfusion chain from donor to recipient.</w:t>
      </w:r>
      <w:r w:rsidRPr="00BB0D0C">
        <w:rPr>
          <w:i/>
        </w:rPr>
        <w:br/>
        <w:t>The system should include monitoring, identification, reporting, investigation and analysis of adverse events near-misses and reactions related to transfusion and manufacturing." </w:t>
      </w:r>
    </w:p>
    <w:p w:rsidR="000C4D79" w:rsidRPr="00BB0D0C" w:rsidRDefault="000C4D79" w:rsidP="000C4D79">
      <w:pPr>
        <w:spacing w:line="276" w:lineRule="auto"/>
        <w:rPr>
          <w:i/>
        </w:rPr>
      </w:pPr>
      <w:r w:rsidRPr="00683714">
        <w:t xml:space="preserve">Haemovigilance is defined </w:t>
      </w:r>
      <w:r>
        <w:t xml:space="preserve">by the International Haemovigilance Network </w:t>
      </w:r>
      <w:r w:rsidRPr="00683714">
        <w:t xml:space="preserve">as </w:t>
      </w:r>
      <w:r w:rsidRPr="00BB0D0C">
        <w:rPr>
          <w:i/>
        </w:rPr>
        <w:t>‘a set of surveillance procedures covering the whole transfusion chain (from the collection of blood and its components to the follow up of recipients), intended to collect and assess information on unexpected or undesirable effects resulting from the therapeutic use of labile blood products, and to prevent their occurrence or recurrence’</w:t>
      </w:r>
      <w:r w:rsidR="00BA0664">
        <w:rPr>
          <w:i/>
        </w:rPr>
        <w:t>.</w:t>
      </w:r>
      <w:r w:rsidRPr="00BB0D0C">
        <w:rPr>
          <w:i/>
        </w:rPr>
        <w:t xml:space="preserve">  </w:t>
      </w:r>
    </w:p>
    <w:p w:rsidR="000C4D79" w:rsidRDefault="000C4D79" w:rsidP="000C4D79">
      <w:pPr>
        <w:spacing w:line="276" w:lineRule="auto"/>
      </w:pPr>
      <w:r w:rsidRPr="00C61916">
        <w:t xml:space="preserve">It is widely acknowledged that haemovigilance is an important tool to improve the effective and appropriate management of blood and blood products, and to ensure the safety of </w:t>
      </w:r>
      <w:r>
        <w:t xml:space="preserve">people </w:t>
      </w:r>
      <w:r w:rsidRPr="00C61916">
        <w:t>receiving and donating blood.</w:t>
      </w:r>
      <w:r>
        <w:t xml:space="preserve"> </w:t>
      </w:r>
    </w:p>
    <w:p w:rsidR="000C4D79" w:rsidRPr="00ED5F64" w:rsidRDefault="000C4D79" w:rsidP="000C4D79">
      <w:pPr>
        <w:spacing w:line="276" w:lineRule="auto"/>
      </w:pPr>
      <w:bookmarkStart w:id="1" w:name="_Toc320605105"/>
      <w:r w:rsidRPr="00ED5F64">
        <w:t xml:space="preserve">The </w:t>
      </w:r>
      <w:r w:rsidRPr="005674B4">
        <w:rPr>
          <w:i/>
        </w:rPr>
        <w:t>National Blood Authority Act 2003</w:t>
      </w:r>
      <w:r w:rsidRPr="00ED5F64">
        <w:t xml:space="preserve"> states that the </w:t>
      </w:r>
      <w:r w:rsidR="005674B4">
        <w:t>National Blood Authority (</w:t>
      </w:r>
      <w:r w:rsidRPr="00ED5F64">
        <w:t>NBA</w:t>
      </w:r>
      <w:r w:rsidR="005674B4">
        <w:t>)</w:t>
      </w:r>
      <w:r w:rsidRPr="00ED5F64">
        <w:t xml:space="preserve"> is “</w:t>
      </w:r>
      <w:r w:rsidRPr="00ED5F64">
        <w:rPr>
          <w:i/>
        </w:rPr>
        <w:t>to carry out national blood arrangements relating to safety measures, quality measures, contingency measures and risk mitigation measures for the supply of blood products and services”</w:t>
      </w:r>
      <w:r w:rsidRPr="00ED5F64">
        <w:t>,  and to provide information, advice and assistance to various stakeholders under the national blood arrangements.</w:t>
      </w:r>
    </w:p>
    <w:p w:rsidR="000C4D79" w:rsidRPr="00ED5F64" w:rsidRDefault="000C4D79" w:rsidP="000C4D79">
      <w:pPr>
        <w:spacing w:line="276" w:lineRule="auto"/>
      </w:pPr>
      <w:r w:rsidRPr="00ED5F64">
        <w:t>The National Blood Agreement requires the NBA to perform the following activities</w:t>
      </w:r>
      <w:bookmarkEnd w:id="1"/>
      <w:r w:rsidRPr="00ED5F64">
        <w:t>:</w:t>
      </w:r>
    </w:p>
    <w:p w:rsidR="000C4D79" w:rsidRPr="00ED5F64" w:rsidRDefault="000C4D79" w:rsidP="000C4D79">
      <w:pPr>
        <w:pStyle w:val="ListParagraph"/>
        <w:numPr>
          <w:ilvl w:val="0"/>
          <w:numId w:val="17"/>
        </w:numPr>
        <w:spacing w:after="120" w:line="276" w:lineRule="auto"/>
      </w:pPr>
      <w:r w:rsidRPr="00ED5F64">
        <w:t>promote optimal safety and quality in the supply, management and use of products, including through uniform national standards</w:t>
      </w:r>
    </w:p>
    <w:p w:rsidR="000C4D79" w:rsidRPr="00ED5F64" w:rsidRDefault="000C4D79" w:rsidP="000C4D79">
      <w:pPr>
        <w:pStyle w:val="ListParagraph"/>
        <w:numPr>
          <w:ilvl w:val="0"/>
          <w:numId w:val="17"/>
        </w:numPr>
        <w:spacing w:after="120" w:line="276" w:lineRule="auto"/>
      </w:pPr>
      <w:r w:rsidRPr="00ED5F64">
        <w:t>make best use of available resources, and to give financial and performance accountability for the use of resources by all entities involved in the Australian blood sector</w:t>
      </w:r>
    </w:p>
    <w:p w:rsidR="000C4D79" w:rsidRPr="00ED5F64" w:rsidRDefault="000C4D79" w:rsidP="000C4D79">
      <w:pPr>
        <w:pStyle w:val="ListParagraph"/>
        <w:numPr>
          <w:ilvl w:val="0"/>
          <w:numId w:val="17"/>
        </w:numPr>
        <w:spacing w:after="120" w:line="276" w:lineRule="auto"/>
      </w:pPr>
      <w:r w:rsidRPr="00ED5F64">
        <w:t xml:space="preserve">undertake national information gathering, monitoring of new developments, reporting and research in relation to the Australian blood sector </w:t>
      </w:r>
    </w:p>
    <w:p w:rsidR="000C4D79" w:rsidRPr="00ED5F64" w:rsidRDefault="000C4D79" w:rsidP="000C4D79">
      <w:pPr>
        <w:pStyle w:val="ListParagraph"/>
        <w:numPr>
          <w:ilvl w:val="0"/>
          <w:numId w:val="17"/>
        </w:numPr>
        <w:spacing w:after="120" w:line="276" w:lineRule="auto"/>
      </w:pPr>
      <w:r w:rsidRPr="00ED5F64">
        <w:t xml:space="preserve">undertake or facilitate national information management, benchmarking and cost and performance evaluation for the national blood supply </w:t>
      </w:r>
    </w:p>
    <w:p w:rsidR="000C4D79" w:rsidRPr="00ED5F64" w:rsidRDefault="000C4D79" w:rsidP="000C4D79">
      <w:pPr>
        <w:pStyle w:val="ListParagraph"/>
        <w:numPr>
          <w:ilvl w:val="0"/>
          <w:numId w:val="17"/>
        </w:numPr>
        <w:spacing w:after="120" w:line="276" w:lineRule="auto"/>
      </w:pPr>
      <w:r w:rsidRPr="00ED5F64">
        <w:t>facilitate the development of national information systems for safety and quality issues in relation to the Australian blood sector.</w:t>
      </w:r>
    </w:p>
    <w:p w:rsidR="000C4D79" w:rsidRPr="008E4791" w:rsidRDefault="000C4D79" w:rsidP="000C4D79">
      <w:pPr>
        <w:spacing w:after="0"/>
        <w:ind w:left="360"/>
        <w:rPr>
          <w:rFonts w:cstheme="minorHAnsi"/>
        </w:rPr>
      </w:pPr>
    </w:p>
    <w:p w:rsidR="000C4D79" w:rsidRDefault="000C4D79" w:rsidP="000C4D79">
      <w:pPr>
        <w:pStyle w:val="Heading1"/>
        <w:spacing w:line="276" w:lineRule="auto"/>
      </w:pPr>
      <w:r>
        <w:lastRenderedPageBreak/>
        <w:t>H</w:t>
      </w:r>
      <w:r w:rsidRPr="00C33045">
        <w:t>aemovigilance</w:t>
      </w:r>
      <w:r>
        <w:t xml:space="preserve"> in Australia </w:t>
      </w:r>
    </w:p>
    <w:p w:rsidR="006609F6" w:rsidRPr="00F97882" w:rsidRDefault="006609F6" w:rsidP="006609F6">
      <w:pPr>
        <w:spacing w:after="120" w:line="276" w:lineRule="auto"/>
      </w:pPr>
      <w:r w:rsidRPr="00F97882">
        <w:t xml:space="preserve">The transfusion of blood and blood products is a core part of healthcare service delivery to patients. While the use of blood and blood products can be lifesaving, there are also risks associated with the transfusion. Incidents can occur and some of these can have serious consequences to patients if not well managed. </w:t>
      </w:r>
    </w:p>
    <w:p w:rsidR="000C4D79" w:rsidRPr="002E38F5" w:rsidRDefault="000C4D79" w:rsidP="000C4D79">
      <w:pPr>
        <w:spacing w:line="276" w:lineRule="auto"/>
      </w:pPr>
      <w:r w:rsidRPr="002E38F5">
        <w:t xml:space="preserve">In Australia the rationale for setting up a national haemovigilance program </w:t>
      </w:r>
      <w:r>
        <w:t>is</w:t>
      </w:r>
      <w:r w:rsidRPr="002E38F5">
        <w:t xml:space="preserve"> to:</w:t>
      </w:r>
    </w:p>
    <w:p w:rsidR="000C4D79" w:rsidRPr="002E38F5" w:rsidRDefault="000C4D79" w:rsidP="000C4D79">
      <w:pPr>
        <w:pStyle w:val="ListParagraph"/>
        <w:numPr>
          <w:ilvl w:val="0"/>
          <w:numId w:val="17"/>
        </w:numPr>
        <w:spacing w:after="120" w:line="276" w:lineRule="auto"/>
      </w:pPr>
      <w:r w:rsidRPr="002E38F5">
        <w:t>enable transfusion practice improvements</w:t>
      </w:r>
    </w:p>
    <w:p w:rsidR="000C4D79" w:rsidRPr="002E38F5" w:rsidRDefault="000C4D79" w:rsidP="000C4D79">
      <w:pPr>
        <w:pStyle w:val="ListParagraph"/>
        <w:numPr>
          <w:ilvl w:val="0"/>
          <w:numId w:val="17"/>
        </w:numPr>
        <w:spacing w:after="120" w:line="276" w:lineRule="auto"/>
      </w:pPr>
      <w:r w:rsidRPr="002E38F5">
        <w:t>enable product improvements</w:t>
      </w:r>
    </w:p>
    <w:p w:rsidR="000C4D79" w:rsidRPr="002E38F5" w:rsidRDefault="000C4D79" w:rsidP="000C4D79">
      <w:pPr>
        <w:pStyle w:val="ListParagraph"/>
        <w:numPr>
          <w:ilvl w:val="0"/>
          <w:numId w:val="17"/>
        </w:numPr>
        <w:spacing w:after="120" w:line="276" w:lineRule="auto"/>
      </w:pPr>
      <w:r w:rsidRPr="002E38F5">
        <w:t>identify contributory and comparator factors</w:t>
      </w:r>
    </w:p>
    <w:p w:rsidR="000C4D79" w:rsidRPr="002E38F5" w:rsidRDefault="000C4D79" w:rsidP="000C4D79">
      <w:pPr>
        <w:pStyle w:val="ListParagraph"/>
        <w:numPr>
          <w:ilvl w:val="0"/>
          <w:numId w:val="17"/>
        </w:numPr>
        <w:spacing w:after="120" w:line="276" w:lineRule="auto"/>
      </w:pPr>
      <w:r w:rsidRPr="002E38F5">
        <w:t>place Australian transfusion risks into an international perspective</w:t>
      </w:r>
    </w:p>
    <w:p w:rsidR="000C4D79" w:rsidRPr="002E38F5" w:rsidRDefault="000C4D79" w:rsidP="000C4D79">
      <w:pPr>
        <w:spacing w:after="120" w:line="276" w:lineRule="auto"/>
      </w:pPr>
      <w:r w:rsidRPr="002E38F5">
        <w:t>This was done to promote safety and quality improvements through:</w:t>
      </w:r>
    </w:p>
    <w:p w:rsidR="000C4D79" w:rsidRPr="002E38F5" w:rsidRDefault="000C4D79" w:rsidP="000C4D79">
      <w:pPr>
        <w:pStyle w:val="ListParagraph"/>
        <w:numPr>
          <w:ilvl w:val="0"/>
          <w:numId w:val="17"/>
        </w:numPr>
        <w:spacing w:after="120" w:line="276" w:lineRule="auto"/>
      </w:pPr>
      <w:r w:rsidRPr="002E38F5">
        <w:t>education</w:t>
      </w:r>
    </w:p>
    <w:p w:rsidR="000C4D79" w:rsidRPr="002E38F5" w:rsidRDefault="000C4D79" w:rsidP="000C4D79">
      <w:pPr>
        <w:pStyle w:val="ListParagraph"/>
        <w:numPr>
          <w:ilvl w:val="0"/>
          <w:numId w:val="17"/>
        </w:numPr>
        <w:spacing w:after="120" w:line="276" w:lineRule="auto"/>
      </w:pPr>
      <w:r w:rsidRPr="002E38F5">
        <w:t>supply chain efficiencies</w:t>
      </w:r>
    </w:p>
    <w:p w:rsidR="000C4D79" w:rsidRPr="002E38F5" w:rsidRDefault="000C4D79" w:rsidP="000C4D79">
      <w:pPr>
        <w:pStyle w:val="ListParagraph"/>
        <w:numPr>
          <w:ilvl w:val="0"/>
          <w:numId w:val="17"/>
        </w:numPr>
        <w:spacing w:after="120" w:line="276" w:lineRule="auto"/>
      </w:pPr>
      <w:r w:rsidRPr="002E38F5">
        <w:t>research and development</w:t>
      </w:r>
    </w:p>
    <w:p w:rsidR="000C4D79" w:rsidRDefault="000C4D79" w:rsidP="000C4D79">
      <w:pPr>
        <w:pStyle w:val="ListParagraph"/>
        <w:numPr>
          <w:ilvl w:val="0"/>
          <w:numId w:val="17"/>
        </w:numPr>
        <w:spacing w:after="120" w:line="276" w:lineRule="auto"/>
      </w:pPr>
      <w:r w:rsidRPr="002E38F5">
        <w:t>guidelines</w:t>
      </w:r>
    </w:p>
    <w:p w:rsidR="000C4D79" w:rsidRPr="00ED5F64" w:rsidRDefault="000C4D79" w:rsidP="000C4D79">
      <w:pPr>
        <w:spacing w:line="276" w:lineRule="auto"/>
      </w:pPr>
      <w:r w:rsidRPr="00ED5F64">
        <w:t>The National Safety Quality Heath Service (NSQHS) Standard 7 – Blood and Blood products requires under 7.3 that health organisations  ensure blood and blood product adverse events are included in the incidents management and investigation system:</w:t>
      </w:r>
    </w:p>
    <w:p w:rsidR="000C4D79" w:rsidRPr="00ED5F64" w:rsidRDefault="000C4D79" w:rsidP="000C4D79">
      <w:pPr>
        <w:spacing w:after="120" w:line="276" w:lineRule="auto"/>
        <w:ind w:left="1134" w:hanging="850"/>
      </w:pPr>
      <w:r w:rsidRPr="00ED5F64">
        <w:t>7.3.1</w:t>
      </w:r>
      <w:r w:rsidRPr="00ED5F64">
        <w:tab/>
        <w:t>Reporting on blood and blood product incidents is included in regular incident reports</w:t>
      </w:r>
    </w:p>
    <w:p w:rsidR="000C4D79" w:rsidRPr="00ED5F64" w:rsidRDefault="000C4D79" w:rsidP="000C4D79">
      <w:pPr>
        <w:spacing w:after="120" w:line="276" w:lineRule="auto"/>
        <w:ind w:left="1134" w:hanging="850"/>
      </w:pPr>
      <w:r w:rsidRPr="00ED5F64">
        <w:t>7.3.2</w:t>
      </w:r>
      <w:r w:rsidRPr="00ED5F64">
        <w:tab/>
        <w:t>Adverse blood and blood product incidents are reported to and reviewed by the highest level of governance in the health service organisation</w:t>
      </w:r>
    </w:p>
    <w:p w:rsidR="000C4D79" w:rsidRDefault="000C4D79" w:rsidP="000C4D79">
      <w:pPr>
        <w:spacing w:after="120" w:line="276" w:lineRule="auto"/>
        <w:ind w:left="1134" w:hanging="850"/>
      </w:pPr>
      <w:r w:rsidRPr="00ED5F64">
        <w:t>7.3.3</w:t>
      </w:r>
      <w:r w:rsidRPr="00ED5F64">
        <w:tab/>
        <w:t>Health service organisations participate in relevant haemovigilance activities conducted by the organisation or at state or national level</w:t>
      </w:r>
    </w:p>
    <w:p w:rsidR="00C13116" w:rsidRPr="00F80D06" w:rsidRDefault="00C13116" w:rsidP="00C13116">
      <w:pPr>
        <w:spacing w:line="276" w:lineRule="auto"/>
        <w:rPr>
          <w:lang w:eastAsia="en-AU"/>
        </w:rPr>
      </w:pPr>
      <w:r w:rsidRPr="00E86CD8">
        <w:t xml:space="preserve">The </w:t>
      </w:r>
      <w:hyperlink r:id="rId10" w:history="1">
        <w:r w:rsidRPr="00E86CD8">
          <w:t>Stewardship Statement</w:t>
        </w:r>
      </w:hyperlink>
      <w:r w:rsidRPr="00E86CD8">
        <w:t xml:space="preserve"> outlines measures that Health Ministers expect all health providers to adopt within their organisation. </w:t>
      </w:r>
      <w:r>
        <w:rPr>
          <w:lang w:eastAsia="en-AU"/>
        </w:rPr>
        <w:t xml:space="preserve">As illustrated below, this </w:t>
      </w:r>
      <w:r w:rsidRPr="00037F75">
        <w:rPr>
          <w:lang w:eastAsia="en-AU"/>
        </w:rPr>
        <w:t>includes the requirement to manage blood and blood products in ways that ensure</w:t>
      </w:r>
      <w:r>
        <w:rPr>
          <w:lang w:eastAsia="en-AU"/>
        </w:rPr>
        <w:t xml:space="preserve"> t</w:t>
      </w:r>
      <w:r w:rsidRPr="00F3635D">
        <w:rPr>
          <w:rFonts w:ascii="Gill Sans MT" w:hAnsi="Gill Sans MT"/>
          <w:lang w:eastAsia="en-AU"/>
        </w:rPr>
        <w:t>ransfusion related adverse event information is collected and managed according to jurisdictional requirements</w:t>
      </w:r>
      <w:r w:rsidR="00DF366F">
        <w:rPr>
          <w:rFonts w:ascii="Gill Sans MT" w:hAnsi="Gill Sans MT"/>
          <w:lang w:eastAsia="en-AU"/>
        </w:rPr>
        <w:t>.</w:t>
      </w:r>
    </w:p>
    <w:p w:rsidR="00C13116" w:rsidRDefault="00C13116" w:rsidP="00C13116">
      <w:pPr>
        <w:spacing w:line="276" w:lineRule="auto"/>
      </w:pPr>
      <w:r>
        <w:t xml:space="preserve">The roles and responsibilities within Australia are depicted below, together with the data collection and reporting obligations at each level. </w:t>
      </w:r>
    </w:p>
    <w:p w:rsidR="00C13116" w:rsidRDefault="00C13116">
      <w:pPr>
        <w:spacing w:after="0"/>
      </w:pPr>
      <w:r>
        <w:br w:type="page"/>
      </w:r>
    </w:p>
    <w:p w:rsidR="00C13116" w:rsidRDefault="00C13116">
      <w:pPr>
        <w:spacing w:after="0"/>
      </w:pPr>
      <w:r>
        <w:rPr>
          <w:noProof/>
          <w:lang w:eastAsia="en-AU"/>
        </w:rPr>
        <w:lastRenderedPageBreak/>
        <w:drawing>
          <wp:inline distT="0" distB="0" distL="0" distR="0" wp14:anchorId="5BAFC209" wp14:editId="00B3C1CB">
            <wp:extent cx="5731510" cy="7599045"/>
            <wp:effectExtent l="19050" t="19050" r="21590"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731510" cy="7599045"/>
                    </a:xfrm>
                    <a:prstGeom prst="rect">
                      <a:avLst/>
                    </a:prstGeom>
                    <a:ln w="22225">
                      <a:solidFill>
                        <a:schemeClr val="tx1"/>
                      </a:solidFill>
                    </a:ln>
                  </pic:spPr>
                </pic:pic>
              </a:graphicData>
            </a:graphic>
          </wp:inline>
        </w:drawing>
      </w:r>
      <w:r>
        <w:br w:type="page"/>
      </w:r>
    </w:p>
    <w:p w:rsidR="00C13116" w:rsidRDefault="00C13116" w:rsidP="00C13116">
      <w:pPr>
        <w:spacing w:line="276" w:lineRule="auto"/>
        <w:sectPr w:rsidR="00C13116" w:rsidSect="00437C2E">
          <w:footerReference w:type="default" r:id="rId12"/>
          <w:pgSz w:w="11906" w:h="16838" w:code="9"/>
          <w:pgMar w:top="1418" w:right="1134" w:bottom="1418" w:left="1418" w:header="709" w:footer="567" w:gutter="0"/>
          <w:cols w:space="708"/>
          <w:docGrid w:linePitch="360"/>
        </w:sectPr>
      </w:pPr>
    </w:p>
    <w:p w:rsidR="005D2665" w:rsidRDefault="006609F6" w:rsidP="006609F6">
      <w:pPr>
        <w:pStyle w:val="Heading1"/>
      </w:pPr>
      <w:r w:rsidRPr="006609F6">
        <w:lastRenderedPageBreak/>
        <w:t xml:space="preserve">Haemovigilance </w:t>
      </w:r>
      <w:r>
        <w:t>in Australia – Roles and Responsibilities</w:t>
      </w:r>
    </w:p>
    <w:p w:rsidR="006609F6" w:rsidRDefault="006609F6" w:rsidP="005D2665"/>
    <w:p w:rsidR="005D2665" w:rsidRDefault="005D2665" w:rsidP="005D2665">
      <w:r w:rsidRPr="005D2665">
        <w:rPr>
          <w:noProof/>
          <w:lang w:eastAsia="en-AU"/>
        </w:rPr>
        <w:drawing>
          <wp:inline distT="0" distB="0" distL="0" distR="0" wp14:anchorId="0B1E3927" wp14:editId="21834DAF">
            <wp:extent cx="8891270" cy="4141842"/>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91270" cy="4141842"/>
                    </a:xfrm>
                    <a:prstGeom prst="rect">
                      <a:avLst/>
                    </a:prstGeom>
                    <a:noFill/>
                    <a:ln>
                      <a:noFill/>
                    </a:ln>
                  </pic:spPr>
                </pic:pic>
              </a:graphicData>
            </a:graphic>
          </wp:inline>
        </w:drawing>
      </w:r>
    </w:p>
    <w:p w:rsidR="005D2665" w:rsidRDefault="005D2665" w:rsidP="005D2665"/>
    <w:p w:rsidR="005D2665" w:rsidRDefault="005D2665" w:rsidP="005D2665"/>
    <w:tbl>
      <w:tblPr>
        <w:tblStyle w:val="TableGrid"/>
        <w:tblW w:w="14567" w:type="dxa"/>
        <w:tblLook w:val="04A0" w:firstRow="1" w:lastRow="0" w:firstColumn="1" w:lastColumn="0" w:noHBand="0" w:noVBand="1"/>
      </w:tblPr>
      <w:tblGrid>
        <w:gridCol w:w="534"/>
        <w:gridCol w:w="4677"/>
        <w:gridCol w:w="5387"/>
        <w:gridCol w:w="3969"/>
      </w:tblGrid>
      <w:tr w:rsidR="005D2665" w:rsidRPr="0098423F" w:rsidTr="005D2665">
        <w:tc>
          <w:tcPr>
            <w:tcW w:w="534" w:type="dxa"/>
            <w:shd w:val="clear" w:color="auto" w:fill="auto"/>
          </w:tcPr>
          <w:p w:rsidR="005D2665" w:rsidRPr="0098423F" w:rsidRDefault="005D2665" w:rsidP="00437C2E">
            <w:pPr>
              <w:ind w:left="175"/>
              <w:jc w:val="center"/>
              <w:rPr>
                <w:b/>
                <w:sz w:val="28"/>
                <w:szCs w:val="28"/>
              </w:rPr>
            </w:pPr>
          </w:p>
        </w:tc>
        <w:tc>
          <w:tcPr>
            <w:tcW w:w="4677" w:type="dxa"/>
            <w:shd w:val="clear" w:color="auto" w:fill="auto"/>
          </w:tcPr>
          <w:p w:rsidR="005D2665" w:rsidRPr="0098423F" w:rsidRDefault="005D2665" w:rsidP="00437C2E">
            <w:pPr>
              <w:spacing w:after="0"/>
              <w:ind w:left="176"/>
              <w:jc w:val="center"/>
              <w:rPr>
                <w:b/>
                <w:sz w:val="28"/>
                <w:szCs w:val="28"/>
              </w:rPr>
            </w:pPr>
            <w:r w:rsidRPr="0098423F">
              <w:rPr>
                <w:b/>
                <w:sz w:val="28"/>
                <w:szCs w:val="28"/>
              </w:rPr>
              <w:t xml:space="preserve">Local </w:t>
            </w:r>
            <w:r>
              <w:rPr>
                <w:b/>
                <w:sz w:val="28"/>
                <w:szCs w:val="28"/>
              </w:rPr>
              <w:t xml:space="preserve">Organisation </w:t>
            </w:r>
            <w:r w:rsidRPr="0098423F">
              <w:rPr>
                <w:b/>
                <w:sz w:val="28"/>
                <w:szCs w:val="28"/>
              </w:rPr>
              <w:t>(</w:t>
            </w:r>
            <w:r>
              <w:rPr>
                <w:b/>
                <w:sz w:val="28"/>
                <w:szCs w:val="28"/>
              </w:rPr>
              <w:t xml:space="preserve">Private and Public </w:t>
            </w:r>
            <w:r w:rsidRPr="0098423F">
              <w:rPr>
                <w:b/>
                <w:sz w:val="28"/>
                <w:szCs w:val="28"/>
              </w:rPr>
              <w:t>Hospital, LHN)</w:t>
            </w:r>
          </w:p>
        </w:tc>
        <w:tc>
          <w:tcPr>
            <w:tcW w:w="5387" w:type="dxa"/>
            <w:shd w:val="clear" w:color="auto" w:fill="auto"/>
          </w:tcPr>
          <w:p w:rsidR="005D2665" w:rsidRPr="0098423F" w:rsidRDefault="005D2665" w:rsidP="00437C2E">
            <w:pPr>
              <w:ind w:left="175"/>
              <w:jc w:val="center"/>
              <w:rPr>
                <w:b/>
                <w:sz w:val="28"/>
                <w:szCs w:val="28"/>
              </w:rPr>
            </w:pPr>
            <w:r w:rsidRPr="0098423F">
              <w:rPr>
                <w:b/>
                <w:sz w:val="28"/>
                <w:szCs w:val="28"/>
              </w:rPr>
              <w:t>State or Territory</w:t>
            </w:r>
          </w:p>
        </w:tc>
        <w:tc>
          <w:tcPr>
            <w:tcW w:w="3969" w:type="dxa"/>
            <w:shd w:val="clear" w:color="auto" w:fill="auto"/>
          </w:tcPr>
          <w:p w:rsidR="005D2665" w:rsidRPr="0098423F" w:rsidRDefault="005D2665" w:rsidP="00437C2E">
            <w:pPr>
              <w:ind w:left="175"/>
              <w:jc w:val="center"/>
              <w:rPr>
                <w:b/>
                <w:sz w:val="28"/>
                <w:szCs w:val="28"/>
              </w:rPr>
            </w:pPr>
            <w:r w:rsidRPr="0098423F">
              <w:rPr>
                <w:b/>
                <w:sz w:val="28"/>
                <w:szCs w:val="28"/>
              </w:rPr>
              <w:t>National</w:t>
            </w:r>
          </w:p>
        </w:tc>
      </w:tr>
      <w:tr w:rsidR="005D2665" w:rsidTr="005D2665">
        <w:trPr>
          <w:cantSplit/>
          <w:trHeight w:val="1134"/>
        </w:trPr>
        <w:tc>
          <w:tcPr>
            <w:tcW w:w="534" w:type="dxa"/>
            <w:textDirection w:val="btLr"/>
          </w:tcPr>
          <w:p w:rsidR="005D2665" w:rsidRPr="005D2665" w:rsidRDefault="005D2665" w:rsidP="00437C2E">
            <w:pPr>
              <w:spacing w:after="0"/>
              <w:ind w:left="113" w:right="113"/>
              <w:jc w:val="center"/>
              <w:rPr>
                <w:b/>
                <w:sz w:val="24"/>
                <w:szCs w:val="24"/>
              </w:rPr>
            </w:pPr>
            <w:r w:rsidRPr="005D2665">
              <w:rPr>
                <w:b/>
                <w:sz w:val="24"/>
                <w:szCs w:val="24"/>
              </w:rPr>
              <w:t>Incident Management</w:t>
            </w:r>
          </w:p>
        </w:tc>
        <w:tc>
          <w:tcPr>
            <w:tcW w:w="4677" w:type="dxa"/>
          </w:tcPr>
          <w:p w:rsidR="005D2665" w:rsidRDefault="005D2665" w:rsidP="00437C2E">
            <w:pPr>
              <w:pStyle w:val="ListParagraph"/>
              <w:numPr>
                <w:ilvl w:val="0"/>
                <w:numId w:val="21"/>
              </w:numPr>
              <w:spacing w:after="0"/>
              <w:ind w:left="318" w:hanging="284"/>
            </w:pPr>
            <w:r>
              <w:t>Incident management system</w:t>
            </w:r>
          </w:p>
          <w:p w:rsidR="005D2665" w:rsidRDefault="005D2665" w:rsidP="00437C2E">
            <w:pPr>
              <w:pStyle w:val="ListParagraph"/>
              <w:numPr>
                <w:ilvl w:val="0"/>
                <w:numId w:val="21"/>
              </w:numPr>
              <w:spacing w:after="0"/>
              <w:ind w:left="318" w:hanging="284"/>
            </w:pPr>
            <w:r>
              <w:t>Manage incident</w:t>
            </w:r>
            <w:r w:rsidR="003612DE">
              <w:t xml:space="preserve"> and identify causation</w:t>
            </w:r>
          </w:p>
          <w:p w:rsidR="005D2665" w:rsidRDefault="005D2665" w:rsidP="00437C2E">
            <w:pPr>
              <w:pStyle w:val="ListParagraph"/>
              <w:numPr>
                <w:ilvl w:val="0"/>
                <w:numId w:val="21"/>
              </w:numPr>
              <w:spacing w:after="0"/>
              <w:ind w:left="318" w:hanging="284"/>
            </w:pPr>
            <w:r>
              <w:t>Monitor and review and quality improvement process</w:t>
            </w:r>
          </w:p>
          <w:p w:rsidR="005D2665" w:rsidRDefault="005D2665" w:rsidP="00437C2E">
            <w:pPr>
              <w:pStyle w:val="ListParagraph"/>
              <w:numPr>
                <w:ilvl w:val="0"/>
                <w:numId w:val="21"/>
              </w:numPr>
              <w:spacing w:after="0"/>
              <w:ind w:left="318" w:hanging="284"/>
            </w:pPr>
            <w:r>
              <w:t xml:space="preserve">Incident management reporting and local governance </w:t>
            </w:r>
          </w:p>
          <w:p w:rsidR="005D2665" w:rsidRDefault="005D2665" w:rsidP="00437C2E">
            <w:pPr>
              <w:pStyle w:val="ListParagraph"/>
              <w:numPr>
                <w:ilvl w:val="1"/>
                <w:numId w:val="20"/>
              </w:numPr>
              <w:spacing w:after="0"/>
              <w:ind w:left="601" w:hanging="283"/>
            </w:pPr>
            <w:r>
              <w:t>Escalate/notify depending on severity (eg supplier/TGA (eg product issue)</w:t>
            </w:r>
          </w:p>
          <w:p w:rsidR="005D2665" w:rsidRDefault="005D2665" w:rsidP="00437C2E">
            <w:pPr>
              <w:pStyle w:val="ListParagraph"/>
              <w:numPr>
                <w:ilvl w:val="0"/>
                <w:numId w:val="21"/>
              </w:numPr>
              <w:spacing w:after="0"/>
              <w:ind w:left="318" w:hanging="284"/>
            </w:pPr>
            <w:r>
              <w:t>Review by clinical group, Governance Committee/Quality Improvement Committee</w:t>
            </w:r>
          </w:p>
        </w:tc>
        <w:tc>
          <w:tcPr>
            <w:tcW w:w="5387" w:type="dxa"/>
          </w:tcPr>
          <w:p w:rsidR="005D2665" w:rsidRDefault="005D2665" w:rsidP="00437C2E">
            <w:pPr>
              <w:pStyle w:val="ListParagraph"/>
              <w:numPr>
                <w:ilvl w:val="0"/>
                <w:numId w:val="21"/>
              </w:numPr>
              <w:spacing w:after="0"/>
              <w:ind w:left="318" w:hanging="284"/>
            </w:pPr>
            <w:r>
              <w:t>Incident management reporting and governance depending on severity level</w:t>
            </w:r>
          </w:p>
          <w:p w:rsidR="005D2665" w:rsidRDefault="005D2665" w:rsidP="00437C2E">
            <w:pPr>
              <w:pStyle w:val="ListParagraph"/>
              <w:numPr>
                <w:ilvl w:val="1"/>
                <w:numId w:val="20"/>
              </w:numPr>
              <w:spacing w:after="0"/>
              <w:ind w:left="601" w:hanging="283"/>
            </w:pPr>
            <w:r>
              <w:t>Escalated from local organisation to state/territory</w:t>
            </w:r>
          </w:p>
          <w:p w:rsidR="005D2665" w:rsidRDefault="005D2665" w:rsidP="00437C2E">
            <w:pPr>
              <w:pStyle w:val="ListParagraph"/>
              <w:numPr>
                <w:ilvl w:val="1"/>
                <w:numId w:val="20"/>
              </w:numPr>
              <w:spacing w:after="0"/>
              <w:ind w:left="601" w:hanging="283"/>
            </w:pPr>
            <w:r>
              <w:t>If issue identified at state/territory level, deal with at state/territory level</w:t>
            </w:r>
          </w:p>
          <w:p w:rsidR="005D2665" w:rsidRDefault="005D2665" w:rsidP="00437C2E">
            <w:pPr>
              <w:pStyle w:val="ListParagraph"/>
              <w:numPr>
                <w:ilvl w:val="1"/>
                <w:numId w:val="20"/>
              </w:numPr>
              <w:spacing w:after="0"/>
              <w:ind w:left="601" w:hanging="283"/>
            </w:pPr>
            <w:r>
              <w:t>Compare with supplier/TGA reporting if required</w:t>
            </w:r>
          </w:p>
          <w:p w:rsidR="005D2665" w:rsidRDefault="005D2665" w:rsidP="00437C2E">
            <w:pPr>
              <w:pStyle w:val="ListParagraph"/>
              <w:ind w:left="927"/>
            </w:pPr>
          </w:p>
        </w:tc>
        <w:tc>
          <w:tcPr>
            <w:tcW w:w="3969" w:type="dxa"/>
          </w:tcPr>
          <w:p w:rsidR="005D2665" w:rsidRDefault="005D2665" w:rsidP="00437C2E">
            <w:pPr>
              <w:pStyle w:val="ListParagraph"/>
              <w:numPr>
                <w:ilvl w:val="0"/>
                <w:numId w:val="21"/>
              </w:numPr>
              <w:spacing w:after="0"/>
              <w:ind w:left="318" w:hanging="284"/>
            </w:pPr>
            <w:r>
              <w:t>Incident management reporting depending on severity level as a notifiable event through supplier contracts</w:t>
            </w:r>
          </w:p>
          <w:p w:rsidR="005D2665" w:rsidRDefault="005D2665" w:rsidP="00437C2E">
            <w:pPr>
              <w:pStyle w:val="ListParagraph"/>
              <w:numPr>
                <w:ilvl w:val="1"/>
                <w:numId w:val="20"/>
              </w:numPr>
              <w:spacing w:after="0"/>
              <w:ind w:left="601" w:hanging="283"/>
            </w:pPr>
            <w:r>
              <w:t>Escalated from local organisation to TGA/Supplier (eg product issue)</w:t>
            </w:r>
          </w:p>
          <w:p w:rsidR="003612DE" w:rsidRDefault="005D2665" w:rsidP="003612DE">
            <w:pPr>
              <w:pStyle w:val="ListParagraph"/>
              <w:numPr>
                <w:ilvl w:val="1"/>
                <w:numId w:val="20"/>
              </w:numPr>
              <w:spacing w:after="0"/>
              <w:ind w:left="601" w:hanging="283"/>
            </w:pPr>
            <w:r>
              <w:t>Compare with supplier/TGA reporting if required</w:t>
            </w:r>
          </w:p>
        </w:tc>
      </w:tr>
      <w:tr w:rsidR="005D2665" w:rsidTr="005D2665">
        <w:trPr>
          <w:cantSplit/>
          <w:trHeight w:val="1134"/>
        </w:trPr>
        <w:tc>
          <w:tcPr>
            <w:tcW w:w="534" w:type="dxa"/>
            <w:textDirection w:val="btLr"/>
          </w:tcPr>
          <w:p w:rsidR="005D2665" w:rsidRPr="005D2665" w:rsidRDefault="005D2665" w:rsidP="00437C2E">
            <w:pPr>
              <w:spacing w:after="0"/>
              <w:ind w:left="113" w:right="113"/>
              <w:jc w:val="center"/>
              <w:rPr>
                <w:b/>
                <w:sz w:val="24"/>
                <w:szCs w:val="24"/>
              </w:rPr>
            </w:pPr>
            <w:r w:rsidRPr="005D2665">
              <w:rPr>
                <w:b/>
                <w:sz w:val="24"/>
                <w:szCs w:val="24"/>
              </w:rPr>
              <w:t>Haemovigilance</w:t>
            </w:r>
          </w:p>
        </w:tc>
        <w:tc>
          <w:tcPr>
            <w:tcW w:w="4677" w:type="dxa"/>
          </w:tcPr>
          <w:p w:rsidR="005D2665" w:rsidRDefault="005D2665" w:rsidP="00437C2E">
            <w:pPr>
              <w:pStyle w:val="ListParagraph"/>
              <w:numPr>
                <w:ilvl w:val="0"/>
                <w:numId w:val="21"/>
              </w:numPr>
              <w:spacing w:after="0"/>
              <w:ind w:left="318" w:hanging="284"/>
            </w:pPr>
            <w:r>
              <w:t>Haemovigilance reporting and local governance</w:t>
            </w:r>
          </w:p>
          <w:p w:rsidR="005D2665" w:rsidRDefault="005D2665" w:rsidP="00437C2E">
            <w:pPr>
              <w:pStyle w:val="ListParagraph"/>
              <w:numPr>
                <w:ilvl w:val="1"/>
                <w:numId w:val="20"/>
              </w:numPr>
              <w:spacing w:after="0"/>
              <w:ind w:left="601" w:hanging="283"/>
            </w:pPr>
            <w:r>
              <w:t xml:space="preserve">Responsible for independent review </w:t>
            </w:r>
          </w:p>
          <w:p w:rsidR="005D2665" w:rsidRDefault="005D2665" w:rsidP="00437C2E">
            <w:pPr>
              <w:pStyle w:val="ListParagraph"/>
              <w:numPr>
                <w:ilvl w:val="1"/>
                <w:numId w:val="20"/>
              </w:numPr>
              <w:spacing w:after="0"/>
              <w:ind w:left="601" w:hanging="283"/>
            </w:pPr>
            <w:r>
              <w:t>Establish validity classification and imputability assessment – either conducting or arranging through Hospital/LHN/STIR or other central organisation or committee</w:t>
            </w:r>
          </w:p>
          <w:p w:rsidR="005D2665" w:rsidRDefault="005D2665" w:rsidP="00437C2E">
            <w:pPr>
              <w:pStyle w:val="ListParagraph"/>
              <w:numPr>
                <w:ilvl w:val="1"/>
                <w:numId w:val="20"/>
              </w:numPr>
              <w:spacing w:after="0"/>
              <w:ind w:left="601" w:hanging="283"/>
            </w:pPr>
            <w:r>
              <w:t>Only serious adverse events reported (to be defined in ANHDD) to state and territory</w:t>
            </w:r>
          </w:p>
          <w:p w:rsidR="005D2665" w:rsidRDefault="005D2665" w:rsidP="00437C2E">
            <w:pPr>
              <w:pStyle w:val="ListParagraph"/>
              <w:numPr>
                <w:ilvl w:val="0"/>
                <w:numId w:val="21"/>
              </w:numPr>
              <w:spacing w:after="0"/>
              <w:ind w:left="318" w:hanging="284"/>
            </w:pPr>
            <w:r>
              <w:t>Review by clinical group, Governance Committee/Quality Improvement Committee</w:t>
            </w:r>
          </w:p>
        </w:tc>
        <w:tc>
          <w:tcPr>
            <w:tcW w:w="5387" w:type="dxa"/>
          </w:tcPr>
          <w:p w:rsidR="005D2665" w:rsidRDefault="005D2665" w:rsidP="00437C2E">
            <w:pPr>
              <w:pStyle w:val="ListParagraph"/>
              <w:numPr>
                <w:ilvl w:val="0"/>
                <w:numId w:val="21"/>
              </w:numPr>
              <w:spacing w:after="0"/>
              <w:ind w:left="318" w:hanging="284"/>
            </w:pPr>
            <w:r>
              <w:t>Haemovigilance reporting</w:t>
            </w:r>
          </w:p>
          <w:p w:rsidR="005D2665" w:rsidRDefault="005D2665" w:rsidP="00437C2E">
            <w:pPr>
              <w:pStyle w:val="ListParagraph"/>
              <w:numPr>
                <w:ilvl w:val="1"/>
                <w:numId w:val="20"/>
              </w:numPr>
              <w:spacing w:after="0"/>
              <w:ind w:left="601" w:hanging="283"/>
            </w:pPr>
            <w:r>
              <w:t>Collate de-identified data from local organisations at agreed timing</w:t>
            </w:r>
          </w:p>
          <w:p w:rsidR="005D2665" w:rsidRDefault="005D2665" w:rsidP="00437C2E">
            <w:pPr>
              <w:pStyle w:val="ListParagraph"/>
              <w:numPr>
                <w:ilvl w:val="1"/>
                <w:numId w:val="20"/>
              </w:numPr>
              <w:spacing w:after="0"/>
              <w:ind w:left="601" w:hanging="283"/>
            </w:pPr>
            <w:r>
              <w:t>Provide collated data to national level based on ANHDD</w:t>
            </w:r>
          </w:p>
          <w:p w:rsidR="005D2665" w:rsidRDefault="005D2665" w:rsidP="00437C2E">
            <w:pPr>
              <w:pStyle w:val="ListParagraph"/>
              <w:numPr>
                <w:ilvl w:val="1"/>
                <w:numId w:val="20"/>
              </w:numPr>
              <w:spacing w:after="0"/>
              <w:ind w:left="601" w:hanging="283"/>
            </w:pPr>
            <w:r>
              <w:t>May choose to provide comparator and cumulative reporting at cross-organisational level</w:t>
            </w:r>
          </w:p>
          <w:p w:rsidR="005D2665" w:rsidRDefault="005D2665" w:rsidP="00437C2E">
            <w:pPr>
              <w:pStyle w:val="ListParagraph"/>
              <w:numPr>
                <w:ilvl w:val="2"/>
                <w:numId w:val="20"/>
              </w:numPr>
              <w:spacing w:after="0"/>
              <w:ind w:left="884" w:hanging="338"/>
            </w:pPr>
            <w:r>
              <w:t>Choose level of incident/trend analysis, feedback and recommendations undertaken</w:t>
            </w:r>
          </w:p>
          <w:p w:rsidR="005D2665" w:rsidRDefault="005D2665" w:rsidP="00437C2E">
            <w:pPr>
              <w:pStyle w:val="ListParagraph"/>
              <w:numPr>
                <w:ilvl w:val="2"/>
                <w:numId w:val="20"/>
              </w:numPr>
              <w:spacing w:after="0"/>
              <w:ind w:left="884" w:hanging="338"/>
            </w:pPr>
            <w:r>
              <w:t>Only serious adverse events reported (to be defined in ANHDD)</w:t>
            </w:r>
          </w:p>
          <w:p w:rsidR="005D2665" w:rsidRDefault="005D2665" w:rsidP="00437C2E">
            <w:pPr>
              <w:pStyle w:val="ListParagraph"/>
              <w:numPr>
                <w:ilvl w:val="0"/>
                <w:numId w:val="21"/>
              </w:numPr>
              <w:spacing w:after="0"/>
              <w:ind w:left="318" w:hanging="284"/>
            </w:pPr>
            <w:r>
              <w:t>May choose to co-ordinate independent review or find a mechanism of action with the state or territory to deliver this service when necessary, but otherwise review sits at local organisation level</w:t>
            </w:r>
          </w:p>
          <w:p w:rsidR="005D2665" w:rsidRDefault="005D2665" w:rsidP="00437C2E">
            <w:pPr>
              <w:pStyle w:val="ListParagraph"/>
              <w:numPr>
                <w:ilvl w:val="0"/>
                <w:numId w:val="21"/>
              </w:numPr>
              <w:spacing w:after="0"/>
              <w:ind w:left="318" w:hanging="284"/>
            </w:pPr>
            <w:r>
              <w:t>May choose to Identify opportunities for improvement or seek indication of resolution</w:t>
            </w:r>
          </w:p>
          <w:p w:rsidR="005D2665" w:rsidRDefault="005D2665" w:rsidP="00437C2E">
            <w:pPr>
              <w:pStyle w:val="ListParagraph"/>
              <w:numPr>
                <w:ilvl w:val="0"/>
                <w:numId w:val="21"/>
              </w:numPr>
              <w:spacing w:after="0"/>
              <w:ind w:left="318" w:hanging="284"/>
            </w:pPr>
            <w:r>
              <w:t>Enter into MOUs or data sharing agreements with private hospitals to enable reporting</w:t>
            </w:r>
          </w:p>
          <w:p w:rsidR="005D2665" w:rsidRDefault="005D2665" w:rsidP="00437C2E">
            <w:pPr>
              <w:pStyle w:val="ListParagraph"/>
              <w:numPr>
                <w:ilvl w:val="0"/>
                <w:numId w:val="21"/>
              </w:numPr>
              <w:spacing w:after="0"/>
              <w:ind w:left="318" w:hanging="284"/>
            </w:pPr>
            <w:r>
              <w:t>National report review and analysed at jurisdictional level – trends acted on if required</w:t>
            </w:r>
          </w:p>
          <w:p w:rsidR="005D2665" w:rsidRDefault="005D2665" w:rsidP="00437C2E">
            <w:pPr>
              <w:pStyle w:val="ListParagraph"/>
              <w:numPr>
                <w:ilvl w:val="0"/>
                <w:numId w:val="21"/>
              </w:numPr>
              <w:spacing w:after="0"/>
              <w:ind w:left="318" w:hanging="284"/>
            </w:pPr>
            <w:r>
              <w:t>Comparison with supplier/TGA reporting if required</w:t>
            </w:r>
          </w:p>
        </w:tc>
        <w:tc>
          <w:tcPr>
            <w:tcW w:w="3969" w:type="dxa"/>
          </w:tcPr>
          <w:p w:rsidR="005D2665" w:rsidRDefault="005D2665" w:rsidP="00437C2E">
            <w:pPr>
              <w:pStyle w:val="ListParagraph"/>
              <w:numPr>
                <w:ilvl w:val="0"/>
                <w:numId w:val="21"/>
              </w:numPr>
              <w:spacing w:after="0"/>
              <w:ind w:left="318" w:hanging="284"/>
            </w:pPr>
            <w:r>
              <w:t xml:space="preserve">Annual National Haemovigilance reporting and analysis </w:t>
            </w:r>
          </w:p>
          <w:p w:rsidR="005D2665" w:rsidRDefault="005D2665" w:rsidP="00437C2E">
            <w:pPr>
              <w:pStyle w:val="ListParagraph"/>
              <w:numPr>
                <w:ilvl w:val="1"/>
                <w:numId w:val="20"/>
              </w:numPr>
              <w:spacing w:after="0"/>
              <w:ind w:left="601" w:hanging="283"/>
            </w:pPr>
            <w:r>
              <w:t>collate and collect data from states and territories</w:t>
            </w:r>
          </w:p>
          <w:p w:rsidR="005D2665" w:rsidRDefault="005D2665" w:rsidP="00437C2E">
            <w:pPr>
              <w:pStyle w:val="ListParagraph"/>
              <w:numPr>
                <w:ilvl w:val="1"/>
                <w:numId w:val="20"/>
              </w:numPr>
              <w:spacing w:after="0"/>
              <w:ind w:left="601" w:hanging="283"/>
            </w:pPr>
            <w:r>
              <w:t xml:space="preserve">Only serious adverse events </w:t>
            </w:r>
          </w:p>
          <w:p w:rsidR="005D2665" w:rsidRDefault="005D2665" w:rsidP="00437C2E">
            <w:pPr>
              <w:pStyle w:val="ListParagraph"/>
              <w:numPr>
                <w:ilvl w:val="1"/>
                <w:numId w:val="20"/>
              </w:numPr>
              <w:spacing w:after="0"/>
              <w:ind w:left="601" w:hanging="283"/>
            </w:pPr>
            <w:r>
              <w:t xml:space="preserve">De-identified patient and health provider data reported </w:t>
            </w:r>
          </w:p>
          <w:p w:rsidR="005D2665" w:rsidRDefault="005D2665" w:rsidP="00437C2E">
            <w:pPr>
              <w:pStyle w:val="ListParagraph"/>
              <w:numPr>
                <w:ilvl w:val="1"/>
                <w:numId w:val="20"/>
              </w:numPr>
              <w:spacing w:after="0"/>
              <w:ind w:left="601" w:hanging="283"/>
            </w:pPr>
            <w:r>
              <w:t>Comparative and cumulative data</w:t>
            </w:r>
          </w:p>
          <w:p w:rsidR="005D2665" w:rsidRDefault="005D2665" w:rsidP="00437C2E">
            <w:pPr>
              <w:pStyle w:val="ListParagraph"/>
              <w:numPr>
                <w:ilvl w:val="1"/>
                <w:numId w:val="20"/>
              </w:numPr>
              <w:spacing w:after="0"/>
              <w:ind w:left="601" w:hanging="283"/>
            </w:pPr>
            <w:r>
              <w:t>Publish national report</w:t>
            </w:r>
          </w:p>
          <w:p w:rsidR="005D2665" w:rsidRDefault="005D2665" w:rsidP="00437C2E">
            <w:pPr>
              <w:pStyle w:val="ListParagraph"/>
              <w:numPr>
                <w:ilvl w:val="0"/>
                <w:numId w:val="21"/>
              </w:numPr>
              <w:spacing w:after="0"/>
              <w:ind w:left="318" w:hanging="284"/>
            </w:pPr>
            <w:r>
              <w:t>Identify possible items for active surveillance such as clinical audits</w:t>
            </w:r>
          </w:p>
          <w:p w:rsidR="005D2665" w:rsidRDefault="005D2665" w:rsidP="00437C2E">
            <w:pPr>
              <w:pStyle w:val="ListParagraph"/>
              <w:numPr>
                <w:ilvl w:val="0"/>
                <w:numId w:val="21"/>
              </w:numPr>
              <w:spacing w:after="0"/>
              <w:ind w:left="318" w:hanging="284"/>
            </w:pPr>
            <w:r>
              <w:t>Contribution to international reporting if required</w:t>
            </w:r>
          </w:p>
          <w:p w:rsidR="005D2665" w:rsidRDefault="005D2665" w:rsidP="00437C2E">
            <w:pPr>
              <w:pStyle w:val="ListParagraph"/>
              <w:numPr>
                <w:ilvl w:val="0"/>
                <w:numId w:val="21"/>
              </w:numPr>
              <w:spacing w:after="0"/>
              <w:ind w:left="318" w:hanging="284"/>
            </w:pPr>
            <w:r>
              <w:t xml:space="preserve">Identify opportunities for improvement </w:t>
            </w:r>
          </w:p>
          <w:p w:rsidR="003612DE" w:rsidRDefault="005D2665" w:rsidP="003612DE">
            <w:pPr>
              <w:pStyle w:val="ListParagraph"/>
              <w:numPr>
                <w:ilvl w:val="0"/>
                <w:numId w:val="21"/>
              </w:numPr>
              <w:spacing w:after="0"/>
              <w:ind w:left="318" w:hanging="284"/>
            </w:pPr>
            <w:r>
              <w:t>Comparison with supplier/TGA reporting if required</w:t>
            </w:r>
          </w:p>
          <w:p w:rsidR="003612DE" w:rsidRDefault="003612DE" w:rsidP="003612DE">
            <w:pPr>
              <w:pStyle w:val="ListParagraph"/>
              <w:numPr>
                <w:ilvl w:val="1"/>
                <w:numId w:val="20"/>
              </w:numPr>
              <w:spacing w:after="0"/>
              <w:ind w:left="601" w:hanging="283"/>
            </w:pPr>
            <w:r>
              <w:t>Monitor and identify causation</w:t>
            </w:r>
          </w:p>
          <w:p w:rsidR="005D2665" w:rsidRDefault="005D2665" w:rsidP="00437C2E">
            <w:pPr>
              <w:spacing w:after="0"/>
            </w:pPr>
          </w:p>
        </w:tc>
      </w:tr>
    </w:tbl>
    <w:p w:rsidR="003612DE" w:rsidRDefault="003612DE" w:rsidP="00F07B61">
      <w:pPr>
        <w:spacing w:after="0"/>
        <w:sectPr w:rsidR="003612DE" w:rsidSect="00437C2E">
          <w:footerReference w:type="default" r:id="rId14"/>
          <w:pgSz w:w="16838" w:h="11906" w:orient="landscape" w:code="9"/>
          <w:pgMar w:top="1418" w:right="1418" w:bottom="1134" w:left="1418" w:header="709" w:footer="567" w:gutter="0"/>
          <w:cols w:space="708"/>
          <w:docGrid w:linePitch="360"/>
        </w:sectPr>
      </w:pPr>
    </w:p>
    <w:p w:rsidR="000C4D79" w:rsidRPr="008058D2" w:rsidRDefault="006F6EE9" w:rsidP="000C4D79">
      <w:pPr>
        <w:pStyle w:val="Heading1"/>
        <w:spacing w:line="276" w:lineRule="auto"/>
      </w:pPr>
      <w:bookmarkStart w:id="2" w:name="_Toc359828739"/>
      <w:r>
        <w:lastRenderedPageBreak/>
        <w:t>T</w:t>
      </w:r>
      <w:r w:rsidR="000C4D79" w:rsidRPr="008058D2">
        <w:t>he National Haemovigilance Program</w:t>
      </w:r>
      <w:bookmarkEnd w:id="2"/>
    </w:p>
    <w:p w:rsidR="006F6EE9" w:rsidRDefault="006F6EE9" w:rsidP="006F6EE9">
      <w:pPr>
        <w:pStyle w:val="Heading2"/>
      </w:pPr>
      <w:bookmarkStart w:id="3" w:name="_Toc359828740"/>
      <w:r>
        <w:t>THE PROCESS</w:t>
      </w:r>
    </w:p>
    <w:p w:rsidR="000C4D79" w:rsidRDefault="000C4D79" w:rsidP="000C4D79">
      <w:pPr>
        <w:pStyle w:val="BodyText"/>
      </w:pPr>
      <w:r>
        <w:t>In Australia, h</w:t>
      </w:r>
      <w:r w:rsidRPr="006807B5">
        <w:t xml:space="preserve">aemovigilance is </w:t>
      </w:r>
      <w:r>
        <w:t xml:space="preserve">undertaken </w:t>
      </w:r>
      <w:r w:rsidRPr="006807B5">
        <w:t>at local or state</w:t>
      </w:r>
      <w:r>
        <w:t xml:space="preserve">/territory, supported by a national data collection and reporting process. </w:t>
      </w:r>
      <w:r w:rsidR="005674B4">
        <w:t>D</w:t>
      </w:r>
      <w:r>
        <w:t xml:space="preserve">ata is collected at the local or state/territory level and the local area is responsible for the review of reported incidents to assess the validity </w:t>
      </w:r>
      <w:r w:rsidR="005674B4">
        <w:t xml:space="preserve">and imputability </w:t>
      </w:r>
      <w:r>
        <w:t xml:space="preserve">of the incident with respect to whether it was reported correctly, the seriousness of the incident, and assessment of the cause of the incident being related to the transfusion. Some states and territories/local organisations provide their data to STIR to conduct this review, while others manage this process themselves, or do not do a review outside of the local level. Following review, the data is </w:t>
      </w:r>
      <w:r w:rsidR="005674B4">
        <w:t>aggregated</w:t>
      </w:r>
      <w:r>
        <w:t xml:space="preserve"> and provided to the NBA for national analysis and reporting.  </w:t>
      </w:r>
    </w:p>
    <w:p w:rsidR="006F6EE9" w:rsidRDefault="005C18CB" w:rsidP="006F6EE9">
      <w:pPr>
        <w:spacing w:line="276" w:lineRule="auto"/>
      </w:pPr>
      <w:r w:rsidRPr="005C18CB">
        <w:rPr>
          <w:noProof/>
          <w:lang w:eastAsia="en-AU"/>
        </w:rPr>
        <w:drawing>
          <wp:inline distT="0" distB="0" distL="0" distR="0" wp14:anchorId="346D8C69" wp14:editId="69B0682A">
            <wp:extent cx="5926347" cy="596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6347" cy="5969479"/>
                    </a:xfrm>
                    <a:prstGeom prst="rect">
                      <a:avLst/>
                    </a:prstGeom>
                    <a:noFill/>
                    <a:ln>
                      <a:noFill/>
                    </a:ln>
                  </pic:spPr>
                </pic:pic>
              </a:graphicData>
            </a:graphic>
          </wp:inline>
        </w:drawing>
      </w:r>
    </w:p>
    <w:p w:rsidR="006F6EE9" w:rsidRDefault="006F6EE9" w:rsidP="006F6EE9">
      <w:pPr>
        <w:spacing w:line="276" w:lineRule="auto"/>
      </w:pPr>
      <w:r>
        <w:lastRenderedPageBreak/>
        <w:t xml:space="preserve">Since 2008, the NBA has collected haemovigilance data from states and territories to publish a national haemovigilance report. </w:t>
      </w:r>
    </w:p>
    <w:p w:rsidR="005674B4" w:rsidRDefault="005674B4" w:rsidP="005674B4">
      <w:pPr>
        <w:spacing w:line="276" w:lineRule="auto"/>
      </w:pPr>
      <w:r>
        <w:t xml:space="preserve">De-identified data is collated, aggregated and reported. Privacy principles are upheld, and data cannot be manipulated to identify patient, clinician or </w:t>
      </w:r>
      <w:r w:rsidR="00DA0130">
        <w:t>facility</w:t>
      </w:r>
      <w:r>
        <w:t>.</w:t>
      </w:r>
    </w:p>
    <w:p w:rsidR="005674B4" w:rsidRDefault="005674B4" w:rsidP="006F6EE9">
      <w:pPr>
        <w:spacing w:line="276" w:lineRule="auto"/>
      </w:pPr>
    </w:p>
    <w:p w:rsidR="000C4D79" w:rsidRPr="006F69D3" w:rsidRDefault="000C4D79" w:rsidP="000C4D79">
      <w:pPr>
        <w:pStyle w:val="Heading2"/>
      </w:pPr>
      <w:r w:rsidRPr="006F69D3">
        <w:t>Collection and submission of haemovigilance data</w:t>
      </w:r>
      <w:bookmarkEnd w:id="3"/>
    </w:p>
    <w:p w:rsidR="000C4D79" w:rsidRPr="00864342" w:rsidRDefault="000C4D79" w:rsidP="000C4D79">
      <w:pPr>
        <w:spacing w:after="0" w:line="276" w:lineRule="auto"/>
        <w:rPr>
          <w:rFonts w:eastAsia="Calibri" w:cs="Times New Roman"/>
        </w:rPr>
      </w:pPr>
      <w:r w:rsidRPr="00864342">
        <w:rPr>
          <w:rFonts w:eastAsia="Calibri" w:cs="Times New Roman"/>
        </w:rPr>
        <w:t>The NBA request</w:t>
      </w:r>
      <w:r>
        <w:rPr>
          <w:rFonts w:eastAsia="Calibri" w:cs="Times New Roman"/>
        </w:rPr>
        <w:t>s</w:t>
      </w:r>
      <w:r w:rsidRPr="00864342">
        <w:rPr>
          <w:rFonts w:eastAsia="Calibri" w:cs="Times New Roman"/>
        </w:rPr>
        <w:t xml:space="preserve"> data from State and Territory Departments of Health</w:t>
      </w:r>
      <w:r>
        <w:rPr>
          <w:rFonts w:eastAsia="Calibri" w:cs="Times New Roman"/>
        </w:rPr>
        <w:t xml:space="preserve"> through the JBC member or proxy</w:t>
      </w:r>
      <w:r w:rsidRPr="00864342">
        <w:rPr>
          <w:rFonts w:eastAsia="Calibri" w:cs="Times New Roman"/>
        </w:rPr>
        <w:t xml:space="preserve">. Data can be submitted through the NBA data portal on </w:t>
      </w:r>
      <w:hyperlink r:id="rId16" w:history="1">
        <w:r w:rsidRPr="00864342">
          <w:rPr>
            <w:rFonts w:eastAsia="Calibri" w:cs="Times New Roman"/>
          </w:rPr>
          <w:t>www.govdex.gov.au</w:t>
        </w:r>
      </w:hyperlink>
      <w:r w:rsidRPr="00864342">
        <w:rPr>
          <w:rFonts w:eastAsia="Calibri" w:cs="Times New Roman"/>
        </w:rPr>
        <w:t xml:space="preserve"> or through other agreed means. To support a national approach to haemovigilance, </w:t>
      </w:r>
      <w:r>
        <w:rPr>
          <w:rFonts w:eastAsia="Calibri" w:cs="Times New Roman"/>
        </w:rPr>
        <w:t>s</w:t>
      </w:r>
      <w:r w:rsidRPr="00864342">
        <w:rPr>
          <w:rFonts w:eastAsia="Calibri" w:cs="Times New Roman"/>
        </w:rPr>
        <w:t xml:space="preserve">tates and </w:t>
      </w:r>
      <w:r>
        <w:rPr>
          <w:rFonts w:eastAsia="Calibri" w:cs="Times New Roman"/>
        </w:rPr>
        <w:t>t</w:t>
      </w:r>
      <w:r w:rsidRPr="00864342">
        <w:rPr>
          <w:rFonts w:eastAsia="Calibri" w:cs="Times New Roman"/>
        </w:rPr>
        <w:t>erritories have agreed to progressively align their reporting systems with the agreed dataset requirements to contribute to a comprehensive national dataset. It is recognised that this will require all users of labile blood products to:</w:t>
      </w:r>
    </w:p>
    <w:p w:rsidR="000C4D79" w:rsidRPr="00864342" w:rsidRDefault="000C4D79" w:rsidP="000C4D79">
      <w:pPr>
        <w:numPr>
          <w:ilvl w:val="0"/>
          <w:numId w:val="18"/>
        </w:numPr>
        <w:spacing w:line="276" w:lineRule="auto"/>
        <w:contextualSpacing/>
        <w:rPr>
          <w:rFonts w:eastAsia="Calibri" w:cs="Times New Roman"/>
        </w:rPr>
      </w:pPr>
      <w:r w:rsidRPr="00864342">
        <w:rPr>
          <w:rFonts w:eastAsia="Calibri" w:cs="Times New Roman"/>
        </w:rPr>
        <w:t>Participate in the provision and analysis of data</w:t>
      </w:r>
    </w:p>
    <w:p w:rsidR="000C4D79" w:rsidRPr="00864342" w:rsidRDefault="000C4D79" w:rsidP="000C4D79">
      <w:pPr>
        <w:numPr>
          <w:ilvl w:val="0"/>
          <w:numId w:val="18"/>
        </w:numPr>
        <w:spacing w:line="276" w:lineRule="auto"/>
        <w:contextualSpacing/>
        <w:rPr>
          <w:rFonts w:eastAsia="Calibri" w:cs="Times New Roman"/>
        </w:rPr>
      </w:pPr>
      <w:r w:rsidRPr="00864342">
        <w:rPr>
          <w:rFonts w:eastAsia="Calibri" w:cs="Times New Roman"/>
        </w:rPr>
        <w:t>Investigate and report adverse events in accordance with the national dataset</w:t>
      </w:r>
    </w:p>
    <w:p w:rsidR="000C4D79" w:rsidRDefault="000C4D79" w:rsidP="000C4D79">
      <w:pPr>
        <w:spacing w:after="0" w:line="276" w:lineRule="auto"/>
        <w:rPr>
          <w:rFonts w:eastAsia="Calibri" w:cs="Times New Roman"/>
        </w:rPr>
      </w:pPr>
    </w:p>
    <w:p w:rsidR="000C4D79" w:rsidRDefault="000C4D79" w:rsidP="000C4D79">
      <w:pPr>
        <w:spacing w:after="0" w:line="276" w:lineRule="auto"/>
        <w:rPr>
          <w:rFonts w:eastAsia="Calibri" w:cs="Times New Roman"/>
        </w:rPr>
      </w:pPr>
      <w:r w:rsidRPr="00864342">
        <w:rPr>
          <w:rFonts w:eastAsia="Calibri" w:cs="Times New Roman"/>
        </w:rPr>
        <w:t xml:space="preserve">To </w:t>
      </w:r>
      <w:r w:rsidR="000B39C5">
        <w:rPr>
          <w:rFonts w:eastAsia="Calibri" w:cs="Times New Roman"/>
        </w:rPr>
        <w:t xml:space="preserve">ensure </w:t>
      </w:r>
      <w:r w:rsidRPr="00864342">
        <w:rPr>
          <w:rFonts w:eastAsia="Calibri" w:cs="Times New Roman"/>
        </w:rPr>
        <w:t>the quality, comparability and imputability of dat</w:t>
      </w:r>
      <w:r>
        <w:rPr>
          <w:rFonts w:eastAsia="Calibri" w:cs="Times New Roman"/>
        </w:rPr>
        <w:t>a, all information provided by s</w:t>
      </w:r>
      <w:r w:rsidRPr="00864342">
        <w:rPr>
          <w:rFonts w:eastAsia="Calibri" w:cs="Times New Roman"/>
        </w:rPr>
        <w:t xml:space="preserve">tates and </w:t>
      </w:r>
      <w:r>
        <w:rPr>
          <w:rFonts w:eastAsia="Calibri" w:cs="Times New Roman"/>
        </w:rPr>
        <w:t>t</w:t>
      </w:r>
      <w:r w:rsidRPr="00864342">
        <w:rPr>
          <w:rFonts w:eastAsia="Calibri" w:cs="Times New Roman"/>
        </w:rPr>
        <w:t>erritories for national reporting</w:t>
      </w:r>
      <w:r w:rsidR="000B39C5">
        <w:rPr>
          <w:rFonts w:eastAsia="Calibri" w:cs="Times New Roman"/>
        </w:rPr>
        <w:t xml:space="preserve"> has been fully </w:t>
      </w:r>
      <w:r w:rsidRPr="00864342">
        <w:rPr>
          <w:rFonts w:eastAsia="Calibri" w:cs="Times New Roman"/>
        </w:rPr>
        <w:t>validated and de-identified by the jurisdiction before submission</w:t>
      </w:r>
      <w:r>
        <w:rPr>
          <w:rFonts w:eastAsia="Calibri" w:cs="Times New Roman"/>
        </w:rPr>
        <w:t xml:space="preserve"> to the NBA</w:t>
      </w:r>
      <w:r w:rsidRPr="00864342">
        <w:rPr>
          <w:rFonts w:eastAsia="Calibri" w:cs="Times New Roman"/>
        </w:rPr>
        <w:t>.</w:t>
      </w:r>
    </w:p>
    <w:p w:rsidR="000C4D79" w:rsidRPr="006F69D3" w:rsidRDefault="000C4D79" w:rsidP="000C4D79">
      <w:pPr>
        <w:pStyle w:val="Heading2"/>
      </w:pPr>
      <w:bookmarkStart w:id="4" w:name="_Toc359828741"/>
      <w:r w:rsidRPr="006F69D3">
        <w:t>National haemovigilance reports</w:t>
      </w:r>
      <w:bookmarkEnd w:id="4"/>
    </w:p>
    <w:p w:rsidR="000C4D79" w:rsidRDefault="000C4D79" w:rsidP="000C4D79">
      <w:pPr>
        <w:spacing w:after="0" w:line="276" w:lineRule="auto"/>
        <w:rPr>
          <w:rFonts w:eastAsia="Calibri" w:cs="Times New Roman"/>
        </w:rPr>
      </w:pPr>
      <w:r w:rsidRPr="00864342">
        <w:rPr>
          <w:rFonts w:eastAsia="Calibri" w:cs="Times New Roman"/>
        </w:rPr>
        <w:t>Aggregated haemovigilance data, supplied through State and Territory Departments of Health, will be analysed for national trends and other indicators. Reports will also refer to the national data in the context of previous national haemovigilance data. The function of national haemovigilance reports will be to identify the incidence and causes of voluntarily reported adverse transfusion events and make recommendations for national quality and safety investments that can lead to genuine improvements in patient safety outcomes in Australia. National haemovigilance reports are issued by the NBA after advice from the Haemovigilance Advisory Committee (HAC). It is desirable to publish national reports annually</w:t>
      </w:r>
      <w:r>
        <w:rPr>
          <w:rFonts w:eastAsia="Calibri" w:cs="Times New Roman"/>
        </w:rPr>
        <w:t>.</w:t>
      </w:r>
      <w:r w:rsidRPr="00864342">
        <w:rPr>
          <w:rFonts w:eastAsia="Calibri" w:cs="Times New Roman"/>
        </w:rPr>
        <w:t xml:space="preserve"> Following publication of a national report, the NBA will table HAC recommendations present in the report for </w:t>
      </w:r>
      <w:r>
        <w:rPr>
          <w:rFonts w:eastAsia="Calibri" w:cs="Times New Roman"/>
        </w:rPr>
        <w:t>noting to</w:t>
      </w:r>
      <w:r w:rsidRPr="00864342">
        <w:rPr>
          <w:rFonts w:eastAsia="Calibri" w:cs="Times New Roman"/>
        </w:rPr>
        <w:t xml:space="preserve"> JBC and the development of action items as part of the HAC annual work program.</w:t>
      </w:r>
    </w:p>
    <w:p w:rsidR="000C4D79" w:rsidRPr="006F69D3" w:rsidRDefault="000C4D79" w:rsidP="000C4D79">
      <w:pPr>
        <w:pStyle w:val="Heading2"/>
      </w:pPr>
      <w:bookmarkStart w:id="5" w:name="_Toc359828742"/>
      <w:r w:rsidRPr="006F69D3">
        <w:t>National haemovigilance reporting process</w:t>
      </w:r>
      <w:bookmarkEnd w:id="5"/>
    </w:p>
    <w:p w:rsidR="000C4D79" w:rsidRDefault="000C4D79" w:rsidP="000C4D79">
      <w:pPr>
        <w:spacing w:after="0" w:line="276" w:lineRule="auto"/>
        <w:rPr>
          <w:rFonts w:eastAsia="Calibri" w:cs="Times New Roman"/>
        </w:rPr>
      </w:pPr>
      <w:r w:rsidRPr="00B168FA">
        <w:rPr>
          <w:rFonts w:eastAsia="Calibri" w:cs="Times New Roman"/>
        </w:rPr>
        <w:t xml:space="preserve">All national haemovigilance data is held and managed by the NBA in a secure manner to prevent disaggregation and identification of patients, clinicians or facilities, and to meet relevant privacy requirements. </w:t>
      </w:r>
      <w:r>
        <w:rPr>
          <w:rFonts w:eastAsia="Calibri" w:cs="Times New Roman"/>
        </w:rPr>
        <w:t>H</w:t>
      </w:r>
      <w:r w:rsidRPr="00B168FA">
        <w:rPr>
          <w:rFonts w:eastAsia="Calibri" w:cs="Times New Roman"/>
        </w:rPr>
        <w:t xml:space="preserve">aemovigilance data analysis by the NBA will be presented for discussion </w:t>
      </w:r>
      <w:r>
        <w:rPr>
          <w:rFonts w:eastAsia="Calibri" w:cs="Times New Roman"/>
        </w:rPr>
        <w:t>at</w:t>
      </w:r>
      <w:r w:rsidRPr="00B168FA">
        <w:rPr>
          <w:rFonts w:eastAsia="Calibri" w:cs="Times New Roman"/>
        </w:rPr>
        <w:t xml:space="preserve"> the HAC. It is the role of the HAC to advise on further data analysis and revision and to develop conclusions and national recommendations based on the resulting evidence. The HAC may also advise on stakeholder and sector consultation and dissemination of the conclusions and recommendations.  It is the role of the NBA to draft, finalise and publish periodic national haemovigilance reports for public dissemination. Depending on the reporting intervals from states and territories, an annual reporting period for national haemovigilance may represent the optimum interval to work towards. The NBA </w:t>
      </w:r>
      <w:r>
        <w:rPr>
          <w:rFonts w:eastAsia="Calibri" w:cs="Times New Roman"/>
        </w:rPr>
        <w:t>may</w:t>
      </w:r>
      <w:r w:rsidRPr="00B168FA">
        <w:rPr>
          <w:rFonts w:eastAsia="Calibri" w:cs="Times New Roman"/>
        </w:rPr>
        <w:t xml:space="preserve"> require the </w:t>
      </w:r>
      <w:r w:rsidRPr="00B168FA">
        <w:rPr>
          <w:rFonts w:eastAsia="Calibri" w:cs="Times New Roman"/>
        </w:rPr>
        <w:lastRenderedPageBreak/>
        <w:t xml:space="preserve">approval of the appropriate JBC representative for publication of any and all jurisdiction-specific data, conclusions or recommendations. </w:t>
      </w:r>
    </w:p>
    <w:p w:rsidR="000C4D79" w:rsidRPr="00B168FA" w:rsidRDefault="000C4D79" w:rsidP="000C4D79">
      <w:pPr>
        <w:spacing w:after="0" w:line="276" w:lineRule="auto"/>
        <w:rPr>
          <w:rFonts w:eastAsia="Calibri" w:cs="Times New Roman"/>
        </w:rPr>
      </w:pPr>
    </w:p>
    <w:p w:rsidR="000C4D79" w:rsidRPr="006F69D3" w:rsidRDefault="000C4D79" w:rsidP="000C4D79">
      <w:pPr>
        <w:pStyle w:val="Heading2"/>
      </w:pPr>
      <w:bookmarkStart w:id="6" w:name="_Toc359828744"/>
      <w:r w:rsidRPr="006F69D3">
        <w:t>Publication processes</w:t>
      </w:r>
      <w:bookmarkEnd w:id="6"/>
    </w:p>
    <w:p w:rsidR="000C4D79" w:rsidRPr="00ED5F64" w:rsidRDefault="000C4D79" w:rsidP="000C4D79">
      <w:pPr>
        <w:spacing w:after="0" w:line="276" w:lineRule="auto"/>
        <w:rPr>
          <w:rFonts w:eastAsia="Calibri" w:cs="Times New Roman"/>
        </w:rPr>
      </w:pPr>
      <w:r w:rsidRPr="00ED5F64">
        <w:rPr>
          <w:rFonts w:eastAsia="Calibri" w:cs="Times New Roman"/>
        </w:rPr>
        <w:t xml:space="preserve">The NBA is responsible for </w:t>
      </w:r>
      <w:r w:rsidR="005674B4">
        <w:rPr>
          <w:rFonts w:eastAsia="Calibri" w:cs="Times New Roman"/>
        </w:rPr>
        <w:t>publishing</w:t>
      </w:r>
      <w:r w:rsidRPr="00ED5F64">
        <w:rPr>
          <w:rFonts w:eastAsia="Calibri" w:cs="Times New Roman"/>
        </w:rPr>
        <w:t xml:space="preserve"> national haemovigilance reports and other reports, presentations, case studies, commentaries or research articles in relevant academic or professional body forums. Publication </w:t>
      </w:r>
      <w:r w:rsidR="005674B4">
        <w:rPr>
          <w:rFonts w:eastAsia="Calibri" w:cs="Times New Roman"/>
        </w:rPr>
        <w:t>and dissemination</w:t>
      </w:r>
      <w:r w:rsidR="005674B4" w:rsidRPr="00ED5F64">
        <w:rPr>
          <w:rFonts w:eastAsia="Calibri" w:cs="Times New Roman"/>
        </w:rPr>
        <w:t xml:space="preserve"> </w:t>
      </w:r>
      <w:r w:rsidRPr="00ED5F64">
        <w:rPr>
          <w:rFonts w:eastAsia="Calibri" w:cs="Times New Roman"/>
        </w:rPr>
        <w:t xml:space="preserve">will be managed in accordance with NBA policies and management instructions, which guide the construction of internal and external publications. </w:t>
      </w:r>
      <w:r w:rsidR="005674B4">
        <w:rPr>
          <w:rFonts w:eastAsia="Calibri" w:cs="Times New Roman"/>
        </w:rPr>
        <w:t>These policies</w:t>
      </w:r>
      <w:r w:rsidRPr="00ED5F64">
        <w:rPr>
          <w:rFonts w:eastAsia="Calibri" w:cs="Times New Roman"/>
        </w:rPr>
        <w:t xml:space="preserve"> ensure that all publications are of a similar high standard and follow a consistent format, and outline the procedures for developing, drafting, approving, printing and releasing NBA publications. Other reports, presentations, case studies, commentaries or research articles in relevant academic or professional body forums will be published in line with that publisher’s specifications. It is anticipated that the published reports will be made available to all identified primary stakeholders, who will be encouraged to comment on the scope of the report and its recommendations. The NBA will actively engage with the health, education and quality and safety sectors to disseminate national recommendations widely, effectively and efficiently and will seek written feedback from primary stakeholders on published national haemovigilance reports</w:t>
      </w:r>
      <w:r>
        <w:rPr>
          <w:rFonts w:eastAsia="Calibri" w:cs="Times New Roman"/>
        </w:rPr>
        <w:t>.</w:t>
      </w:r>
      <w:r w:rsidRPr="00ED5F64">
        <w:rPr>
          <w:rFonts w:eastAsia="Calibri" w:cs="Times New Roman"/>
        </w:rPr>
        <w:t xml:space="preserve"> </w:t>
      </w:r>
    </w:p>
    <w:p w:rsidR="000C4D79" w:rsidRDefault="000C4D79" w:rsidP="000C4D79">
      <w:pPr>
        <w:spacing w:line="276" w:lineRule="auto"/>
      </w:pPr>
      <w:r>
        <w:br w:type="page"/>
      </w:r>
    </w:p>
    <w:p w:rsidR="000C4D79" w:rsidRDefault="000C4D79" w:rsidP="000C4D79">
      <w:pPr>
        <w:pStyle w:val="Heading1"/>
        <w:spacing w:line="276" w:lineRule="auto"/>
      </w:pPr>
      <w:r>
        <w:lastRenderedPageBreak/>
        <w:t>Action Plan</w:t>
      </w:r>
    </w:p>
    <w:p w:rsidR="000C4D79" w:rsidRPr="002352A9" w:rsidRDefault="000C4D79" w:rsidP="000C4D79">
      <w:pPr>
        <w:spacing w:line="276" w:lineRule="auto"/>
      </w:pPr>
      <w:r>
        <w:t xml:space="preserve">The Action Plan for the NBA and HAC over the next </w:t>
      </w:r>
      <w:r w:rsidR="00287A9B">
        <w:t xml:space="preserve">three </w:t>
      </w:r>
      <w:r>
        <w:t>year</w:t>
      </w:r>
      <w:r w:rsidR="00287A9B">
        <w:t>s</w:t>
      </w:r>
      <w:r>
        <w:t xml:space="preserve"> includes the development of tools such as forms to support data collection at the local and state/territory level </w:t>
      </w:r>
      <w:r w:rsidRPr="002352A9">
        <w:t xml:space="preserve">and </w:t>
      </w:r>
      <w:r>
        <w:t xml:space="preserve">improvements to the current </w:t>
      </w:r>
      <w:r w:rsidRPr="002352A9">
        <w:t>national haemovigi</w:t>
      </w:r>
      <w:r>
        <w:t>l</w:t>
      </w:r>
      <w:r w:rsidRPr="002352A9">
        <w:t>ance reporting</w:t>
      </w:r>
      <w:r>
        <w:t xml:space="preserve"> with regard to the data included as well as timeliness of the reports</w:t>
      </w:r>
      <w:r w:rsidRPr="002352A9">
        <w:t xml:space="preserve">. </w:t>
      </w:r>
    </w:p>
    <w:p w:rsidR="000C4D79" w:rsidRPr="00B90D09" w:rsidRDefault="000C4D79" w:rsidP="000C4D79">
      <w:pPr>
        <w:spacing w:line="276" w:lineRule="auto"/>
      </w:pPr>
      <w:r>
        <w:t>A number of activities will be undertaken to improve the consistency of data provided for national reporting, as outlined below:</w:t>
      </w:r>
    </w:p>
    <w:p w:rsidR="000C4D79" w:rsidRPr="00514016" w:rsidRDefault="000C4D79" w:rsidP="000C4D79">
      <w:pPr>
        <w:pStyle w:val="Heading4"/>
        <w:keepNext w:val="0"/>
        <w:keepLines w:val="0"/>
        <w:numPr>
          <w:ilvl w:val="0"/>
          <w:numId w:val="19"/>
        </w:numPr>
        <w:spacing w:before="0" w:line="276" w:lineRule="auto"/>
        <w:rPr>
          <w:rFonts w:ascii="Calibri" w:hAnsi="Calibri"/>
          <w:b/>
          <w:i w:val="0"/>
        </w:rPr>
      </w:pPr>
      <w:r w:rsidRPr="00514016">
        <w:rPr>
          <w:rFonts w:ascii="Calibri" w:hAnsi="Calibri"/>
        </w:rPr>
        <w:t>Review the national data dictionary</w:t>
      </w:r>
    </w:p>
    <w:p w:rsidR="000C4D79" w:rsidRDefault="000C4D79" w:rsidP="000C4D79">
      <w:pPr>
        <w:spacing w:line="276" w:lineRule="auto"/>
        <w:ind w:left="644"/>
      </w:pPr>
      <w:r w:rsidRPr="003A27F2">
        <w:t xml:space="preserve">The ANHDD </w:t>
      </w:r>
      <w:r>
        <w:t xml:space="preserve">will </w:t>
      </w:r>
      <w:r w:rsidRPr="003A27F2">
        <w:t>be reviewed and redefined</w:t>
      </w:r>
      <w:r w:rsidR="005674B4">
        <w:t xml:space="preserve"> for consistency against international definitions</w:t>
      </w:r>
      <w:r w:rsidRPr="003A27F2">
        <w:t xml:space="preserve">. </w:t>
      </w:r>
      <w:r w:rsidR="005674B4">
        <w:t>I</w:t>
      </w:r>
      <w:r w:rsidRPr="003A27F2">
        <w:t xml:space="preserve">mportant haemovigilance concepts, such as incident, adverse event, adverse reaction and near miss, would be defined and added to the dictionary. </w:t>
      </w:r>
      <w:r>
        <w:t xml:space="preserve">Definitions for incident </w:t>
      </w:r>
      <w:r w:rsidRPr="003A27F2">
        <w:t xml:space="preserve">types such as WBIT (wrong blood in tube) </w:t>
      </w:r>
      <w:r>
        <w:t>will</w:t>
      </w:r>
      <w:r w:rsidRPr="003A27F2">
        <w:t xml:space="preserve"> be added to the dictionary as well.  Some definitions (such as FNHTR) </w:t>
      </w:r>
      <w:r>
        <w:t>will</w:t>
      </w:r>
      <w:r w:rsidRPr="003A27F2">
        <w:t xml:space="preserve"> be reviewed/revised to improve alignment with international standards. The NBA </w:t>
      </w:r>
      <w:r>
        <w:t>will</w:t>
      </w:r>
      <w:r w:rsidRPr="003A27F2">
        <w:t xml:space="preserve"> also consider developing a data dictionary to define the input data elements (such as symptoms/signs) which are used to generate the output data elements required by the ANHDD. </w:t>
      </w:r>
    </w:p>
    <w:p w:rsidR="000C4D79" w:rsidRPr="00514016" w:rsidRDefault="000C4D79" w:rsidP="000C4D79">
      <w:pPr>
        <w:pStyle w:val="Heading4"/>
        <w:keepNext w:val="0"/>
        <w:keepLines w:val="0"/>
        <w:numPr>
          <w:ilvl w:val="0"/>
          <w:numId w:val="19"/>
        </w:numPr>
        <w:spacing w:before="0" w:line="276" w:lineRule="auto"/>
        <w:rPr>
          <w:rFonts w:ascii="Calibri" w:hAnsi="Calibri"/>
          <w:b/>
          <w:i w:val="0"/>
        </w:rPr>
      </w:pPr>
      <w:r w:rsidRPr="00514016">
        <w:rPr>
          <w:rFonts w:ascii="Calibri" w:hAnsi="Calibri"/>
        </w:rPr>
        <w:t>Develop tools</w:t>
      </w:r>
    </w:p>
    <w:p w:rsidR="000C4D79" w:rsidRPr="003A27F2" w:rsidRDefault="005674B4" w:rsidP="000C4D79">
      <w:pPr>
        <w:spacing w:line="276" w:lineRule="auto"/>
        <w:ind w:left="644"/>
      </w:pPr>
      <w:r>
        <w:t xml:space="preserve">In conjunction </w:t>
      </w:r>
      <w:r w:rsidR="000C4D79">
        <w:t xml:space="preserve">with Queensland Health </w:t>
      </w:r>
      <w:r>
        <w:t xml:space="preserve">the NBA has developed </w:t>
      </w:r>
      <w:r w:rsidR="000C4D79" w:rsidRPr="003A27F2">
        <w:t>a Data Collection Tool to be used by hospitals for haemovigilance reporting</w:t>
      </w:r>
      <w:r>
        <w:t>.</w:t>
      </w:r>
      <w:r w:rsidR="000C4D79">
        <w:t xml:space="preserve"> </w:t>
      </w:r>
      <w:r>
        <w:t>T</w:t>
      </w:r>
      <w:r w:rsidR="000C4D79">
        <w:t xml:space="preserve">his Data Collection Tool is now being </w:t>
      </w:r>
      <w:r>
        <w:t xml:space="preserve">reviewed by the </w:t>
      </w:r>
      <w:r w:rsidR="000C4D79">
        <w:t>the NBA</w:t>
      </w:r>
      <w:r>
        <w:t xml:space="preserve"> for </w:t>
      </w:r>
      <w:r w:rsidR="00E055B7">
        <w:t>wider distribution</w:t>
      </w:r>
      <w:r w:rsidR="000C4D79" w:rsidRPr="003A27F2">
        <w:t>. The tool has been tested and will be published on the NBA web</w:t>
      </w:r>
      <w:r w:rsidR="000C4D79">
        <w:t>site</w:t>
      </w:r>
      <w:r w:rsidR="000C4D79" w:rsidRPr="003A27F2">
        <w:t xml:space="preserve"> in 2014. The NBA is also considering using </w:t>
      </w:r>
      <w:r w:rsidR="000C4D79">
        <w:t>a software tool for visual analytics</w:t>
      </w:r>
      <w:r w:rsidR="000C4D79">
        <w:rPr>
          <w:rFonts w:ascii="Arial" w:hAnsi="Arial" w:cs="Arial"/>
          <w:color w:val="222222"/>
        </w:rPr>
        <w:t xml:space="preserve"> </w:t>
      </w:r>
      <w:r w:rsidR="000C4D79" w:rsidRPr="003A27F2">
        <w:t xml:space="preserve">as a dissemination/publishing tool for the NBA data including haemovigilance data. </w:t>
      </w:r>
    </w:p>
    <w:p w:rsidR="000C4D79" w:rsidRPr="003A27F2" w:rsidRDefault="000C4D79" w:rsidP="000C4D79">
      <w:pPr>
        <w:spacing w:line="276" w:lineRule="auto"/>
        <w:ind w:left="644"/>
      </w:pPr>
      <w:r w:rsidRPr="003A27F2">
        <w:t xml:space="preserve">In addition to this, the NBA could develop other tools such as data validation and review tools to support haemovigilance data reporting. </w:t>
      </w:r>
    </w:p>
    <w:p w:rsidR="000C4D79" w:rsidRPr="00514016" w:rsidRDefault="000C4D79" w:rsidP="000C4D79">
      <w:pPr>
        <w:pStyle w:val="Heading4"/>
        <w:keepNext w:val="0"/>
        <w:keepLines w:val="0"/>
        <w:numPr>
          <w:ilvl w:val="0"/>
          <w:numId w:val="19"/>
        </w:numPr>
        <w:spacing w:before="0" w:line="276" w:lineRule="auto"/>
        <w:rPr>
          <w:rFonts w:ascii="Calibri" w:hAnsi="Calibri"/>
          <w:b/>
          <w:i w:val="0"/>
        </w:rPr>
      </w:pPr>
      <w:r w:rsidRPr="00514016">
        <w:rPr>
          <w:rFonts w:ascii="Calibri" w:hAnsi="Calibri"/>
        </w:rPr>
        <w:t>Standardise forms</w:t>
      </w:r>
    </w:p>
    <w:p w:rsidR="000C4D79" w:rsidRPr="00914802" w:rsidRDefault="000C4D79" w:rsidP="000C4D79">
      <w:pPr>
        <w:spacing w:line="276" w:lineRule="auto"/>
        <w:ind w:left="644"/>
      </w:pPr>
      <w:r w:rsidRPr="003A27F2">
        <w:t xml:space="preserve">National incident reporting and investigation forms could be developed in hard copy and/or eForms. Computer technologies such as smart phone apps and smart web-based forms could be utilised to improve accessibility and improve ease of data entry. These forms could work with current local or state/territory systems to reduce duplication of effort. </w:t>
      </w:r>
      <w:r>
        <w:t>N</w:t>
      </w:r>
      <w:r w:rsidRPr="00914802">
        <w:t xml:space="preserve">ational standard forms are important for haemovigilance reporting at national and local level and the forms can be used as educational tools to improve the transfusion practice in Australia </w:t>
      </w:r>
    </w:p>
    <w:p w:rsidR="000C4D79" w:rsidRPr="00514016" w:rsidRDefault="000C4D79" w:rsidP="000C4D79">
      <w:pPr>
        <w:pStyle w:val="Heading4"/>
        <w:keepNext w:val="0"/>
        <w:keepLines w:val="0"/>
        <w:numPr>
          <w:ilvl w:val="0"/>
          <w:numId w:val="19"/>
        </w:numPr>
        <w:spacing w:before="0" w:line="276" w:lineRule="auto"/>
        <w:rPr>
          <w:rFonts w:ascii="Calibri" w:hAnsi="Calibri"/>
          <w:b/>
          <w:i w:val="0"/>
        </w:rPr>
      </w:pPr>
      <w:r w:rsidRPr="00514016">
        <w:rPr>
          <w:rFonts w:ascii="Calibri" w:hAnsi="Calibri"/>
        </w:rPr>
        <w:t>Guidelines and case studies</w:t>
      </w:r>
    </w:p>
    <w:p w:rsidR="000C4D79" w:rsidRDefault="000C4D79" w:rsidP="000C4D79">
      <w:pPr>
        <w:spacing w:line="276" w:lineRule="auto"/>
        <w:ind w:left="644"/>
      </w:pPr>
      <w:r>
        <w:t xml:space="preserve">The NBA is working with stakeholders to develop </w:t>
      </w:r>
      <w:r w:rsidRPr="00B90D09">
        <w:rPr>
          <w:i/>
        </w:rPr>
        <w:t>Guidance on Recognition and Management of Acute Transfusion-Related Adverse Events</w:t>
      </w:r>
      <w:r>
        <w:t>.  This may improve consistency of clinical assessment of transfusion incidents</w:t>
      </w:r>
      <w:r w:rsidR="00E055B7">
        <w:t xml:space="preserve"> and provide</w:t>
      </w:r>
      <w:r>
        <w:t xml:space="preserve"> greater consistency in reporting.  </w:t>
      </w:r>
      <w:r w:rsidR="00E055B7">
        <w:t xml:space="preserve">The </w:t>
      </w:r>
      <w:r>
        <w:t xml:space="preserve">NBA could also develop guidelines on the management of transfusion incidents such as the guidelines for incident reporting, investigation, validation and review to support activities under the NSQHS Standards, as well as to support national haemovigilance activities. </w:t>
      </w:r>
    </w:p>
    <w:p w:rsidR="000C4D79" w:rsidRDefault="000C4D79" w:rsidP="000C4D79">
      <w:pPr>
        <w:spacing w:line="276" w:lineRule="auto"/>
        <w:ind w:left="644"/>
      </w:pPr>
      <w:r>
        <w:lastRenderedPageBreak/>
        <w:t xml:space="preserve">In addition </w:t>
      </w:r>
      <w:r w:rsidRPr="00D213D1">
        <w:t xml:space="preserve">case studies </w:t>
      </w:r>
      <w:r>
        <w:t xml:space="preserve">could be developed to support health service organisations identify what is best practice with regard to responding to an incident from the perspective of reporting and quality improvement. </w:t>
      </w:r>
      <w:r w:rsidRPr="00D213D1">
        <w:t xml:space="preserve"> </w:t>
      </w:r>
    </w:p>
    <w:p w:rsidR="000C4D79" w:rsidRPr="00514016" w:rsidRDefault="000C4D79" w:rsidP="000C4D79">
      <w:pPr>
        <w:pStyle w:val="Heading4"/>
        <w:keepNext w:val="0"/>
        <w:keepLines w:val="0"/>
        <w:numPr>
          <w:ilvl w:val="0"/>
          <w:numId w:val="19"/>
        </w:numPr>
        <w:spacing w:before="0" w:line="276" w:lineRule="auto"/>
        <w:rPr>
          <w:rFonts w:ascii="Calibri" w:hAnsi="Calibri"/>
          <w:b/>
          <w:i w:val="0"/>
        </w:rPr>
      </w:pPr>
      <w:r>
        <w:rPr>
          <w:rFonts w:ascii="Calibri" w:hAnsi="Calibri"/>
        </w:rPr>
        <w:t>Education and Training</w:t>
      </w:r>
    </w:p>
    <w:p w:rsidR="000C4D79" w:rsidRPr="002C03B6" w:rsidRDefault="000C4D79" w:rsidP="000C4D79">
      <w:pPr>
        <w:spacing w:line="276" w:lineRule="auto"/>
        <w:ind w:left="644"/>
      </w:pPr>
      <w:r>
        <w:t xml:space="preserve">Best practice management, with regard to the use </w:t>
      </w:r>
      <w:r w:rsidRPr="002C03B6">
        <w:t xml:space="preserve">of blood and blood products, is critical to optimise patient outcomes, minimise adverse events and ensure judicious use of </w:t>
      </w:r>
      <w:r w:rsidR="00E055B7">
        <w:t>costly blood and blood products</w:t>
      </w:r>
      <w:r w:rsidRPr="002C03B6">
        <w:t>.</w:t>
      </w:r>
    </w:p>
    <w:p w:rsidR="000C4D79" w:rsidRDefault="000C4D79" w:rsidP="000C4D79">
      <w:pPr>
        <w:spacing w:line="276" w:lineRule="auto"/>
        <w:ind w:left="644"/>
      </w:pPr>
      <w:r>
        <w:t>The National Blood Sector Education and Training Strategy 2013</w:t>
      </w:r>
      <w:r>
        <w:rPr>
          <w:rFonts w:ascii="MS Gothic" w:eastAsia="MS Gothic" w:hAnsi="MS Gothic" w:cs="MS Gothic" w:hint="eastAsia"/>
        </w:rPr>
        <w:t>‑</w:t>
      </w:r>
      <w:r>
        <w:t>2016 outlines a plan to work with current education and training providers to address the growing demand for high quality, well-tailored education, training and health promotion materials to support the implementation of evidence-based practice and attainment of health service accreditation under the new  National Safety and Quality Health Service Standards (NSQHS).</w:t>
      </w:r>
    </w:p>
    <w:p w:rsidR="000C4D79" w:rsidRDefault="000C4D79" w:rsidP="000C4D79">
      <w:pPr>
        <w:spacing w:line="276" w:lineRule="auto"/>
        <w:ind w:left="644"/>
      </w:pPr>
      <w:r w:rsidRPr="005D37FB">
        <w:t>The NBA could engage with key stakeholders in the sector and enter into collaborations, joint arrangements and outsourcing to develop education and training tools</w:t>
      </w:r>
      <w:r>
        <w:t xml:space="preserve"> or programs</w:t>
      </w:r>
      <w:r w:rsidRPr="005D37FB">
        <w:t xml:space="preserve"> that support health service organisations identify what is best practice with regard to responding to an incident from the perspective of reporting and quality improvement.</w:t>
      </w:r>
      <w:r>
        <w:t xml:space="preserve"> </w:t>
      </w:r>
      <w:r w:rsidRPr="00D213D1">
        <w:t xml:space="preserve"> </w:t>
      </w:r>
    </w:p>
    <w:p w:rsidR="000C4D79" w:rsidRPr="00514016" w:rsidRDefault="000C4D79" w:rsidP="000C4D79">
      <w:pPr>
        <w:pStyle w:val="Heading4"/>
        <w:keepNext w:val="0"/>
        <w:keepLines w:val="0"/>
        <w:numPr>
          <w:ilvl w:val="0"/>
          <w:numId w:val="19"/>
        </w:numPr>
        <w:spacing w:before="0" w:line="276" w:lineRule="auto"/>
        <w:rPr>
          <w:rFonts w:ascii="Calibri" w:hAnsi="Calibri"/>
          <w:b/>
          <w:i w:val="0"/>
        </w:rPr>
      </w:pPr>
      <w:r>
        <w:rPr>
          <w:rFonts w:ascii="Calibri" w:hAnsi="Calibri"/>
        </w:rPr>
        <w:t>Audits</w:t>
      </w:r>
    </w:p>
    <w:p w:rsidR="000C4D79" w:rsidRDefault="000C4D79" w:rsidP="000C4D79">
      <w:pPr>
        <w:spacing w:line="276" w:lineRule="auto"/>
        <w:ind w:left="644"/>
      </w:pPr>
      <w:r w:rsidRPr="000105DD">
        <w:t xml:space="preserve">Audits </w:t>
      </w:r>
      <w:r>
        <w:t xml:space="preserve">could </w:t>
      </w:r>
      <w:r w:rsidRPr="000105DD">
        <w:t xml:space="preserve">include several other quality improvement strategies </w:t>
      </w:r>
      <w:r>
        <w:t>such as</w:t>
      </w:r>
      <w:r w:rsidRPr="000105DD">
        <w:t xml:space="preserve"> record reviews, peer review, standard reviews (to see if standards are being met, guidelines followed and or evidence based practice used) and patient surveys.</w:t>
      </w:r>
    </w:p>
    <w:p w:rsidR="003612DE" w:rsidRPr="00085B76" w:rsidRDefault="000C4D79" w:rsidP="00085B76">
      <w:pPr>
        <w:spacing w:line="276" w:lineRule="auto"/>
        <w:ind w:left="644"/>
      </w:pPr>
      <w:r w:rsidRPr="000105DD">
        <w:t xml:space="preserve">The NBA could develop audit tools </w:t>
      </w:r>
      <w:r w:rsidR="00E055B7">
        <w:t>for use by organisations to</w:t>
      </w:r>
      <w:r w:rsidRPr="000105DD">
        <w:t xml:space="preserve"> conduct clinical audits to improve the quality of </w:t>
      </w:r>
      <w:r>
        <w:t>incident and haemovigilance reporting</w:t>
      </w:r>
      <w:r w:rsidRPr="000105DD">
        <w:t xml:space="preserve"> by systematically reviewing the care provided against set criteria. The gap between the criteria and the assessed performance </w:t>
      </w:r>
      <w:r>
        <w:t xml:space="preserve">could also </w:t>
      </w:r>
      <w:r w:rsidRPr="000105DD">
        <w:t>provide guidance for priority improvement strategies</w:t>
      </w:r>
      <w:r>
        <w:t xml:space="preserve"> and further education and training.</w:t>
      </w:r>
      <w:r w:rsidRPr="000105DD">
        <w:t xml:space="preserve"> </w:t>
      </w:r>
    </w:p>
    <w:sectPr w:rsidR="003612DE" w:rsidRPr="00085B76" w:rsidSect="006F6EE9">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0AE" w:rsidRDefault="00C050AE" w:rsidP="00856708">
      <w:pPr>
        <w:spacing w:after="0"/>
      </w:pPr>
      <w:r>
        <w:separator/>
      </w:r>
    </w:p>
  </w:endnote>
  <w:endnote w:type="continuationSeparator" w:id="0">
    <w:p w:rsidR="00C050AE" w:rsidRDefault="00C050AE" w:rsidP="00856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HYGothic-Extra">
    <w:panose1 w:val="00000000000000000000"/>
    <w:charset w:val="81"/>
    <w:family w:val="roman"/>
    <w:notTrueType/>
    <w:pitch w:val="default"/>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M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0AE" w:rsidRPr="00856708" w:rsidRDefault="00C050AE" w:rsidP="00437C2E">
    <w:pPr>
      <w:pStyle w:val="Footer"/>
      <w:tabs>
        <w:tab w:val="clear" w:pos="4513"/>
        <w:tab w:val="clear" w:pos="9026"/>
        <w:tab w:val="right" w:pos="9356"/>
      </w:tabs>
      <w:rPr>
        <w:sz w:val="20"/>
        <w:szCs w:val="20"/>
      </w:rPr>
    </w:pPr>
    <w:r w:rsidRPr="00856708">
      <w:rPr>
        <w:sz w:val="20"/>
        <w:szCs w:val="20"/>
      </w:rPr>
      <w:t>National Blood Authority</w:t>
    </w:r>
    <w:r w:rsidRPr="00856708">
      <w:rPr>
        <w:sz w:val="20"/>
        <w:szCs w:val="20"/>
      </w:rPr>
      <w:tab/>
    </w:r>
    <w:r>
      <w:fldChar w:fldCharType="begin"/>
    </w:r>
    <w:r>
      <w:instrText xml:space="preserve"> PAGE    \* MERGEFORMAT </w:instrText>
    </w:r>
    <w:r>
      <w:fldChar w:fldCharType="separate"/>
    </w:r>
    <w:r w:rsidR="00C352EF" w:rsidRPr="00C352EF">
      <w:rPr>
        <w:noProof/>
        <w:sz w:val="20"/>
        <w:szCs w:val="20"/>
      </w:rPr>
      <w:t>2</w:t>
    </w:r>
    <w:r>
      <w:rPr>
        <w:noProo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0AE" w:rsidRPr="00856708" w:rsidRDefault="00C050AE" w:rsidP="00437C2E">
    <w:pPr>
      <w:pStyle w:val="Footer"/>
      <w:tabs>
        <w:tab w:val="clear" w:pos="4513"/>
        <w:tab w:val="clear" w:pos="9026"/>
        <w:tab w:val="right" w:pos="9356"/>
      </w:tabs>
      <w:rPr>
        <w:sz w:val="20"/>
        <w:szCs w:val="20"/>
      </w:rPr>
    </w:pPr>
    <w:r w:rsidRPr="00856708">
      <w:rPr>
        <w:sz w:val="20"/>
        <w:szCs w:val="20"/>
      </w:rPr>
      <w:t>National Blood Authority</w:t>
    </w:r>
    <w:r w:rsidRPr="00856708">
      <w:rPr>
        <w:sz w:val="20"/>
        <w:szCs w:val="20"/>
      </w:rPr>
      <w:tab/>
    </w:r>
    <w:r>
      <w:fldChar w:fldCharType="begin"/>
    </w:r>
    <w:r>
      <w:instrText xml:space="preserve"> PAGE    \* MERGEFORMAT </w:instrText>
    </w:r>
    <w:r>
      <w:fldChar w:fldCharType="separate"/>
    </w:r>
    <w:r w:rsidR="00C352EF" w:rsidRPr="00C352EF">
      <w:rPr>
        <w:noProof/>
        <w:sz w:val="20"/>
        <w:szCs w:val="20"/>
      </w:rPr>
      <w:t>11</w:t>
    </w:r>
    <w:r>
      <w:rPr>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0AE" w:rsidRDefault="00C050AE" w:rsidP="00856708">
      <w:pPr>
        <w:spacing w:after="0"/>
      </w:pPr>
      <w:r>
        <w:separator/>
      </w:r>
    </w:p>
  </w:footnote>
  <w:footnote w:type="continuationSeparator" w:id="0">
    <w:p w:rsidR="00C050AE" w:rsidRDefault="00C050AE" w:rsidP="0085670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6FA42C0"/>
    <w:multiLevelType w:val="multilevel"/>
    <w:tmpl w:val="E854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ED472A"/>
    <w:multiLevelType w:val="hybridMultilevel"/>
    <w:tmpl w:val="A320A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C337CA"/>
    <w:multiLevelType w:val="hybridMultilevel"/>
    <w:tmpl w:val="13A4BDF4"/>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3">
    <w:nsid w:val="22985413"/>
    <w:multiLevelType w:val="hybridMultilevel"/>
    <w:tmpl w:val="2A4AE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34B25AA"/>
    <w:multiLevelType w:val="hybridMultilevel"/>
    <w:tmpl w:val="1910C7BE"/>
    <w:lvl w:ilvl="0" w:tplc="0C090001">
      <w:start w:val="1"/>
      <w:numFmt w:val="bullet"/>
      <w:lvlText w:val=""/>
      <w:lvlJc w:val="left"/>
      <w:pPr>
        <w:ind w:left="720" w:hanging="360"/>
      </w:pPr>
      <w:rPr>
        <w:rFonts w:ascii="Symbol" w:hAnsi="Symbol" w:hint="default"/>
      </w:rPr>
    </w:lvl>
    <w:lvl w:ilvl="1" w:tplc="8E8E5E9C">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A3C7386"/>
    <w:multiLevelType w:val="hybridMultilevel"/>
    <w:tmpl w:val="5C16155C"/>
    <w:lvl w:ilvl="0" w:tplc="D49AB12C">
      <w:start w:val="1"/>
      <w:numFmt w:val="bullet"/>
      <w:lvlText w:val="&gt;"/>
      <w:lvlJc w:val="left"/>
      <w:pPr>
        <w:ind w:left="720" w:hanging="360"/>
      </w:pPr>
      <w:rPr>
        <w:rFonts w:ascii="Calibri" w:hAnsi="Calibri" w:hint="default"/>
        <w:b/>
        <w:i w:val="0"/>
        <w:color w:val="000000" w:themeColor="text1"/>
        <w:sz w:val="22"/>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D0D7864"/>
    <w:multiLevelType w:val="hybridMultilevel"/>
    <w:tmpl w:val="09683B8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30613CE7"/>
    <w:multiLevelType w:val="hybridMultilevel"/>
    <w:tmpl w:val="6B2AB6D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1DF7BF4"/>
    <w:multiLevelType w:val="multilevel"/>
    <w:tmpl w:val="E25EB8C8"/>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37434B42"/>
    <w:multiLevelType w:val="hybridMultilevel"/>
    <w:tmpl w:val="E28CBCD8"/>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8747AA6"/>
    <w:multiLevelType w:val="hybridMultilevel"/>
    <w:tmpl w:val="2EB2CF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C275F59"/>
    <w:multiLevelType w:val="hybridMultilevel"/>
    <w:tmpl w:val="2334C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CC93582"/>
    <w:multiLevelType w:val="hybridMultilevel"/>
    <w:tmpl w:val="5B067E8E"/>
    <w:lvl w:ilvl="0" w:tplc="802CBC6C">
      <w:start w:val="1"/>
      <w:numFmt w:val="decimal"/>
      <w:lvlText w:val="%1."/>
      <w:lvlJc w:val="left"/>
      <w:pPr>
        <w:ind w:left="644" w:hanging="360"/>
      </w:pPr>
      <w:rPr>
        <w:rFonts w:hint="default"/>
      </w:rPr>
    </w:lvl>
    <w:lvl w:ilvl="1" w:tplc="0C090003">
      <w:start w:val="1"/>
      <w:numFmt w:val="bullet"/>
      <w:lvlText w:val="o"/>
      <w:lvlJc w:val="left"/>
      <w:pPr>
        <w:ind w:left="1069" w:hanging="360"/>
      </w:pPr>
      <w:rPr>
        <w:rFonts w:ascii="Courier New" w:hAnsi="Courier New" w:cs="Courier New" w:hint="default"/>
      </w:rPr>
    </w:lvl>
    <w:lvl w:ilvl="2" w:tplc="0C090003">
      <w:start w:val="1"/>
      <w:numFmt w:val="bullet"/>
      <w:lvlText w:val="o"/>
      <w:lvlJc w:val="left"/>
      <w:pPr>
        <w:ind w:left="1069"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F3F151E"/>
    <w:multiLevelType w:val="hybridMultilevel"/>
    <w:tmpl w:val="C4F47D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Aria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Arial"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Arial" w:hint="default"/>
      </w:rPr>
    </w:lvl>
    <w:lvl w:ilvl="8" w:tplc="0C090005" w:tentative="1">
      <w:start w:val="1"/>
      <w:numFmt w:val="bullet"/>
      <w:lvlText w:val=""/>
      <w:lvlJc w:val="left"/>
      <w:pPr>
        <w:ind w:left="7200" w:hanging="360"/>
      </w:pPr>
      <w:rPr>
        <w:rFonts w:ascii="Wingdings" w:hAnsi="Wingdings" w:hint="default"/>
      </w:rPr>
    </w:lvl>
  </w:abstractNum>
  <w:abstractNum w:abstractNumId="14">
    <w:nsid w:val="42AE468C"/>
    <w:multiLevelType w:val="hybridMultilevel"/>
    <w:tmpl w:val="37A28CB6"/>
    <w:lvl w:ilvl="0" w:tplc="DA3E38AC">
      <w:start w:val="1"/>
      <w:numFmt w:val="bullet"/>
      <w:lvlText w:val="&gt;"/>
      <w:lvlJc w:val="left"/>
      <w:pPr>
        <w:ind w:left="927" w:hanging="360"/>
      </w:pPr>
      <w:rPr>
        <w:rFonts w:ascii="Calibri" w:hAnsi="Calibri" w:hint="default"/>
        <w:b/>
        <w:i w:val="0"/>
        <w:color w:val="BCBDBC"/>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3486B07"/>
    <w:multiLevelType w:val="hybridMultilevel"/>
    <w:tmpl w:val="8D00D556"/>
    <w:lvl w:ilvl="0" w:tplc="4A286E86">
      <w:start w:val="1"/>
      <w:numFmt w:val="bullet"/>
      <w:pStyle w:val="dot1"/>
      <w:lvlText w:val=""/>
      <w:lvlJc w:val="left"/>
      <w:pPr>
        <w:tabs>
          <w:tab w:val="num" w:pos="1854"/>
        </w:tabs>
        <w:ind w:left="1854" w:hanging="36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16">
    <w:nsid w:val="43BB20B7"/>
    <w:multiLevelType w:val="hybridMultilevel"/>
    <w:tmpl w:val="E688B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8D5E1C"/>
    <w:multiLevelType w:val="hybridMultilevel"/>
    <w:tmpl w:val="8E249A7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49266DE3"/>
    <w:multiLevelType w:val="hybridMultilevel"/>
    <w:tmpl w:val="DF963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B914C7E"/>
    <w:multiLevelType w:val="hybridMultilevel"/>
    <w:tmpl w:val="AB682962"/>
    <w:lvl w:ilvl="0" w:tplc="0C090001">
      <w:start w:val="1"/>
      <w:numFmt w:val="bullet"/>
      <w:lvlText w:val=""/>
      <w:lvlJc w:val="left"/>
      <w:pPr>
        <w:ind w:left="927" w:hanging="360"/>
      </w:pPr>
      <w:rPr>
        <w:rFonts w:ascii="Symbol" w:hAnsi="Symbol" w:hint="default"/>
      </w:rPr>
    </w:lvl>
    <w:lvl w:ilvl="1" w:tplc="861A257C">
      <w:start w:val="1"/>
      <w:numFmt w:val="bullet"/>
      <w:lvlText w:val="-"/>
      <w:lvlJc w:val="left"/>
      <w:pPr>
        <w:ind w:left="1440" w:hanging="360"/>
      </w:pPr>
      <w:rPr>
        <w:rFonts w:ascii="Calibri" w:eastAsia="Calibri" w:hAnsi="Calibri" w:cs="Calibr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C9B2274"/>
    <w:multiLevelType w:val="hybridMultilevel"/>
    <w:tmpl w:val="687CE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7C4CDB"/>
    <w:multiLevelType w:val="multilevel"/>
    <w:tmpl w:val="3FCE4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5B32F3"/>
    <w:multiLevelType w:val="hybridMultilevel"/>
    <w:tmpl w:val="81541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6AE1436"/>
    <w:multiLevelType w:val="hybridMultilevel"/>
    <w:tmpl w:val="2D2C6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D9A2991"/>
    <w:multiLevelType w:val="hybridMultilevel"/>
    <w:tmpl w:val="D5522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CC05DB2"/>
    <w:multiLevelType w:val="hybridMultilevel"/>
    <w:tmpl w:val="85904D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EA216AE"/>
    <w:multiLevelType w:val="hybridMultilevel"/>
    <w:tmpl w:val="79BEDF2C"/>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4C323FE"/>
    <w:multiLevelType w:val="hybridMultilevel"/>
    <w:tmpl w:val="8F8C5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69F0611"/>
    <w:multiLevelType w:val="hybridMultilevel"/>
    <w:tmpl w:val="D0CE2840"/>
    <w:lvl w:ilvl="0" w:tplc="0C09000F">
      <w:start w:val="1"/>
      <w:numFmt w:val="decimal"/>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29">
    <w:nsid w:val="78D66F6E"/>
    <w:multiLevelType w:val="hybridMultilevel"/>
    <w:tmpl w:val="23BC6C5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Arial"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Arial"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Arial" w:hint="default"/>
      </w:rPr>
    </w:lvl>
    <w:lvl w:ilvl="8" w:tplc="0C090005" w:tentative="1">
      <w:start w:val="1"/>
      <w:numFmt w:val="bullet"/>
      <w:lvlText w:val=""/>
      <w:lvlJc w:val="left"/>
      <w:pPr>
        <w:ind w:left="6837" w:hanging="360"/>
      </w:pPr>
      <w:rPr>
        <w:rFonts w:ascii="Wingdings" w:hAnsi="Wingdings" w:hint="default"/>
      </w:rPr>
    </w:lvl>
  </w:abstractNum>
  <w:num w:numId="1">
    <w:abstractNumId w:val="8"/>
  </w:num>
  <w:num w:numId="2">
    <w:abstractNumId w:val="8"/>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
    <w:abstractNumId w:val="9"/>
  </w:num>
  <w:num w:numId="4">
    <w:abstractNumId w:val="26"/>
  </w:num>
  <w:num w:numId="5">
    <w:abstractNumId w:val="5"/>
  </w:num>
  <w:num w:numId="6">
    <w:abstractNumId w:val="13"/>
  </w:num>
  <w:num w:numId="7">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1"/>
  </w:num>
  <w:num w:numId="9">
    <w:abstractNumId w:val="15"/>
  </w:num>
  <w:num w:numId="10">
    <w:abstractNumId w:val="10"/>
  </w:num>
  <w:num w:numId="11">
    <w:abstractNumId w:val="29"/>
  </w:num>
  <w:num w:numId="12">
    <w:abstractNumId w:val="16"/>
  </w:num>
  <w:num w:numId="13">
    <w:abstractNumId w:val="1"/>
  </w:num>
  <w:num w:numId="14">
    <w:abstractNumId w:val="28"/>
  </w:num>
  <w:num w:numId="15">
    <w:abstractNumId w:val="21"/>
  </w:num>
  <w:num w:numId="16">
    <w:abstractNumId w:val="24"/>
  </w:num>
  <w:num w:numId="17">
    <w:abstractNumId w:val="20"/>
  </w:num>
  <w:num w:numId="18">
    <w:abstractNumId w:val="2"/>
  </w:num>
  <w:num w:numId="19">
    <w:abstractNumId w:val="12"/>
  </w:num>
  <w:num w:numId="20">
    <w:abstractNumId w:val="19"/>
  </w:num>
  <w:num w:numId="21">
    <w:abstractNumId w:val="14"/>
  </w:num>
  <w:num w:numId="22">
    <w:abstractNumId w:val="23"/>
  </w:num>
  <w:num w:numId="23">
    <w:abstractNumId w:val="4"/>
  </w:num>
  <w:num w:numId="24">
    <w:abstractNumId w:val="3"/>
  </w:num>
  <w:num w:numId="25">
    <w:abstractNumId w:val="17"/>
  </w:num>
  <w:num w:numId="26">
    <w:abstractNumId w:val="18"/>
  </w:num>
  <w:num w:numId="27">
    <w:abstractNumId w:val="22"/>
  </w:num>
  <w:num w:numId="28">
    <w:abstractNumId w:val="6"/>
  </w:num>
  <w:num w:numId="29">
    <w:abstractNumId w:val="27"/>
  </w:num>
  <w:num w:numId="30">
    <w:abstractNumId w:val="7"/>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6DF"/>
    <w:rsid w:val="000005AF"/>
    <w:rsid w:val="00002F3F"/>
    <w:rsid w:val="00005253"/>
    <w:rsid w:val="00006B46"/>
    <w:rsid w:val="00012B55"/>
    <w:rsid w:val="000155B0"/>
    <w:rsid w:val="00017A19"/>
    <w:rsid w:val="0002135C"/>
    <w:rsid w:val="00022192"/>
    <w:rsid w:val="000243E7"/>
    <w:rsid w:val="000278E4"/>
    <w:rsid w:val="00030DAD"/>
    <w:rsid w:val="00036EDC"/>
    <w:rsid w:val="000450BF"/>
    <w:rsid w:val="00045AF0"/>
    <w:rsid w:val="00051D67"/>
    <w:rsid w:val="000622C5"/>
    <w:rsid w:val="000635D0"/>
    <w:rsid w:val="00063AFE"/>
    <w:rsid w:val="00064DBF"/>
    <w:rsid w:val="00066948"/>
    <w:rsid w:val="000709CE"/>
    <w:rsid w:val="00082314"/>
    <w:rsid w:val="00085B76"/>
    <w:rsid w:val="000931B8"/>
    <w:rsid w:val="000978FA"/>
    <w:rsid w:val="000A1B1A"/>
    <w:rsid w:val="000A2420"/>
    <w:rsid w:val="000A2E03"/>
    <w:rsid w:val="000B0668"/>
    <w:rsid w:val="000B39C5"/>
    <w:rsid w:val="000B3D42"/>
    <w:rsid w:val="000B5AE5"/>
    <w:rsid w:val="000C349D"/>
    <w:rsid w:val="000C4D79"/>
    <w:rsid w:val="000C507C"/>
    <w:rsid w:val="000C7CBB"/>
    <w:rsid w:val="000D63BF"/>
    <w:rsid w:val="000E1B2A"/>
    <w:rsid w:val="000E2E10"/>
    <w:rsid w:val="000E3AA4"/>
    <w:rsid w:val="000F6C7F"/>
    <w:rsid w:val="00107C5B"/>
    <w:rsid w:val="00116CA9"/>
    <w:rsid w:val="00117426"/>
    <w:rsid w:val="0011770B"/>
    <w:rsid w:val="00127E90"/>
    <w:rsid w:val="00131C2A"/>
    <w:rsid w:val="00132DD7"/>
    <w:rsid w:val="00133B72"/>
    <w:rsid w:val="00133BA4"/>
    <w:rsid w:val="00133F93"/>
    <w:rsid w:val="00136734"/>
    <w:rsid w:val="00137D79"/>
    <w:rsid w:val="0014038F"/>
    <w:rsid w:val="00145C54"/>
    <w:rsid w:val="00151F31"/>
    <w:rsid w:val="00164121"/>
    <w:rsid w:val="001649F8"/>
    <w:rsid w:val="0016503E"/>
    <w:rsid w:val="0016597B"/>
    <w:rsid w:val="0017310B"/>
    <w:rsid w:val="00175284"/>
    <w:rsid w:val="00176D9D"/>
    <w:rsid w:val="00181109"/>
    <w:rsid w:val="00181ED1"/>
    <w:rsid w:val="00184BEC"/>
    <w:rsid w:val="001850AC"/>
    <w:rsid w:val="001861DA"/>
    <w:rsid w:val="0018752E"/>
    <w:rsid w:val="00196A3B"/>
    <w:rsid w:val="00196B2F"/>
    <w:rsid w:val="001A007F"/>
    <w:rsid w:val="001A1AAB"/>
    <w:rsid w:val="001A27E5"/>
    <w:rsid w:val="001B0A6B"/>
    <w:rsid w:val="001B0F4A"/>
    <w:rsid w:val="001B4585"/>
    <w:rsid w:val="001C4944"/>
    <w:rsid w:val="001D0C4E"/>
    <w:rsid w:val="001D3923"/>
    <w:rsid w:val="001D4BD5"/>
    <w:rsid w:val="001D4EBD"/>
    <w:rsid w:val="001D5FBB"/>
    <w:rsid w:val="001D64A9"/>
    <w:rsid w:val="001E3E64"/>
    <w:rsid w:val="001E45D0"/>
    <w:rsid w:val="001E5C73"/>
    <w:rsid w:val="001E7992"/>
    <w:rsid w:val="001F0580"/>
    <w:rsid w:val="001F1C19"/>
    <w:rsid w:val="001F1E55"/>
    <w:rsid w:val="001F2D29"/>
    <w:rsid w:val="001F3DC3"/>
    <w:rsid w:val="001F6A13"/>
    <w:rsid w:val="002030BB"/>
    <w:rsid w:val="00203679"/>
    <w:rsid w:val="002112ED"/>
    <w:rsid w:val="0022032E"/>
    <w:rsid w:val="00223D39"/>
    <w:rsid w:val="00236E6D"/>
    <w:rsid w:val="00237FE3"/>
    <w:rsid w:val="00242D38"/>
    <w:rsid w:val="0024311D"/>
    <w:rsid w:val="002440BA"/>
    <w:rsid w:val="00247164"/>
    <w:rsid w:val="00247EC9"/>
    <w:rsid w:val="002507AE"/>
    <w:rsid w:val="002537F2"/>
    <w:rsid w:val="0025596C"/>
    <w:rsid w:val="00257135"/>
    <w:rsid w:val="00261A7F"/>
    <w:rsid w:val="00267140"/>
    <w:rsid w:val="00273054"/>
    <w:rsid w:val="002734A3"/>
    <w:rsid w:val="002778CD"/>
    <w:rsid w:val="00280964"/>
    <w:rsid w:val="00287A9B"/>
    <w:rsid w:val="0029120E"/>
    <w:rsid w:val="00293EDD"/>
    <w:rsid w:val="00295CD3"/>
    <w:rsid w:val="0029757B"/>
    <w:rsid w:val="002B37DA"/>
    <w:rsid w:val="002B5687"/>
    <w:rsid w:val="002C0C10"/>
    <w:rsid w:val="002C0EFF"/>
    <w:rsid w:val="002C1112"/>
    <w:rsid w:val="002C4DC9"/>
    <w:rsid w:val="002D0363"/>
    <w:rsid w:val="002D0FA8"/>
    <w:rsid w:val="002D2379"/>
    <w:rsid w:val="002D7833"/>
    <w:rsid w:val="002D7E17"/>
    <w:rsid w:val="002E4D25"/>
    <w:rsid w:val="002E7C5F"/>
    <w:rsid w:val="002F4F17"/>
    <w:rsid w:val="002F62A9"/>
    <w:rsid w:val="003002E8"/>
    <w:rsid w:val="00302BDF"/>
    <w:rsid w:val="003031B6"/>
    <w:rsid w:val="00305284"/>
    <w:rsid w:val="00316137"/>
    <w:rsid w:val="00316621"/>
    <w:rsid w:val="00321CC6"/>
    <w:rsid w:val="003262E7"/>
    <w:rsid w:val="00332F80"/>
    <w:rsid w:val="00340C84"/>
    <w:rsid w:val="0034336A"/>
    <w:rsid w:val="003478CB"/>
    <w:rsid w:val="00353CA7"/>
    <w:rsid w:val="003612DE"/>
    <w:rsid w:val="00367133"/>
    <w:rsid w:val="00370AED"/>
    <w:rsid w:val="00374F3D"/>
    <w:rsid w:val="00383805"/>
    <w:rsid w:val="00383E85"/>
    <w:rsid w:val="0038404C"/>
    <w:rsid w:val="003869DF"/>
    <w:rsid w:val="003903EF"/>
    <w:rsid w:val="00397F23"/>
    <w:rsid w:val="003A12B1"/>
    <w:rsid w:val="003A4663"/>
    <w:rsid w:val="003B5DD7"/>
    <w:rsid w:val="003B6820"/>
    <w:rsid w:val="003B72FE"/>
    <w:rsid w:val="003C544F"/>
    <w:rsid w:val="003C594C"/>
    <w:rsid w:val="003D1107"/>
    <w:rsid w:val="003D2243"/>
    <w:rsid w:val="003D27F1"/>
    <w:rsid w:val="003E1AF1"/>
    <w:rsid w:val="003E76F8"/>
    <w:rsid w:val="003F2D3B"/>
    <w:rsid w:val="004003F9"/>
    <w:rsid w:val="004048AA"/>
    <w:rsid w:val="00417D9E"/>
    <w:rsid w:val="004239F3"/>
    <w:rsid w:val="00437C2E"/>
    <w:rsid w:val="00444024"/>
    <w:rsid w:val="004461D2"/>
    <w:rsid w:val="0044660E"/>
    <w:rsid w:val="004529F5"/>
    <w:rsid w:val="00455E05"/>
    <w:rsid w:val="00460263"/>
    <w:rsid w:val="004751D4"/>
    <w:rsid w:val="00486C69"/>
    <w:rsid w:val="004872FD"/>
    <w:rsid w:val="004937D4"/>
    <w:rsid w:val="004A2B69"/>
    <w:rsid w:val="004A310D"/>
    <w:rsid w:val="004A7472"/>
    <w:rsid w:val="004A7679"/>
    <w:rsid w:val="004A76B3"/>
    <w:rsid w:val="004B0A31"/>
    <w:rsid w:val="004B16D4"/>
    <w:rsid w:val="004B4722"/>
    <w:rsid w:val="004B72A9"/>
    <w:rsid w:val="004B7A6D"/>
    <w:rsid w:val="004B7E22"/>
    <w:rsid w:val="004C273E"/>
    <w:rsid w:val="004C3184"/>
    <w:rsid w:val="004C460A"/>
    <w:rsid w:val="004C6DDB"/>
    <w:rsid w:val="004C79E1"/>
    <w:rsid w:val="004C7E55"/>
    <w:rsid w:val="004D0466"/>
    <w:rsid w:val="004D1FDF"/>
    <w:rsid w:val="004D3D40"/>
    <w:rsid w:val="004D4636"/>
    <w:rsid w:val="004D5232"/>
    <w:rsid w:val="004F03AF"/>
    <w:rsid w:val="004F2BA4"/>
    <w:rsid w:val="004F3B5D"/>
    <w:rsid w:val="004F3B95"/>
    <w:rsid w:val="004F62AE"/>
    <w:rsid w:val="0050781C"/>
    <w:rsid w:val="00507B65"/>
    <w:rsid w:val="00511BE6"/>
    <w:rsid w:val="00520EF3"/>
    <w:rsid w:val="005256CB"/>
    <w:rsid w:val="0053552D"/>
    <w:rsid w:val="00540020"/>
    <w:rsid w:val="00540BE1"/>
    <w:rsid w:val="00547897"/>
    <w:rsid w:val="0055054B"/>
    <w:rsid w:val="00551611"/>
    <w:rsid w:val="005522B0"/>
    <w:rsid w:val="00552A2C"/>
    <w:rsid w:val="005537AD"/>
    <w:rsid w:val="00561273"/>
    <w:rsid w:val="005617CB"/>
    <w:rsid w:val="00566E89"/>
    <w:rsid w:val="005674B4"/>
    <w:rsid w:val="00575E68"/>
    <w:rsid w:val="005762DE"/>
    <w:rsid w:val="00583911"/>
    <w:rsid w:val="0059178E"/>
    <w:rsid w:val="00597591"/>
    <w:rsid w:val="005A2519"/>
    <w:rsid w:val="005C18CB"/>
    <w:rsid w:val="005C4351"/>
    <w:rsid w:val="005C5B21"/>
    <w:rsid w:val="005C6DFA"/>
    <w:rsid w:val="005D2665"/>
    <w:rsid w:val="005D71BA"/>
    <w:rsid w:val="005E16DB"/>
    <w:rsid w:val="005F3092"/>
    <w:rsid w:val="005F4BC1"/>
    <w:rsid w:val="00602777"/>
    <w:rsid w:val="00611726"/>
    <w:rsid w:val="0061330D"/>
    <w:rsid w:val="00617DFA"/>
    <w:rsid w:val="0062078C"/>
    <w:rsid w:val="00622293"/>
    <w:rsid w:val="00622469"/>
    <w:rsid w:val="00624272"/>
    <w:rsid w:val="00624AD3"/>
    <w:rsid w:val="0063669C"/>
    <w:rsid w:val="00642F30"/>
    <w:rsid w:val="00643ADB"/>
    <w:rsid w:val="00644D7E"/>
    <w:rsid w:val="00652D53"/>
    <w:rsid w:val="0065660F"/>
    <w:rsid w:val="006609F6"/>
    <w:rsid w:val="006669E6"/>
    <w:rsid w:val="00672CB1"/>
    <w:rsid w:val="00673908"/>
    <w:rsid w:val="00674069"/>
    <w:rsid w:val="00674E88"/>
    <w:rsid w:val="006826A1"/>
    <w:rsid w:val="0068337A"/>
    <w:rsid w:val="006842FF"/>
    <w:rsid w:val="00685EDA"/>
    <w:rsid w:val="00690F47"/>
    <w:rsid w:val="00693AC5"/>
    <w:rsid w:val="006958A6"/>
    <w:rsid w:val="006A3E1B"/>
    <w:rsid w:val="006A44CC"/>
    <w:rsid w:val="006B7847"/>
    <w:rsid w:val="006C17BF"/>
    <w:rsid w:val="006C63BC"/>
    <w:rsid w:val="006C789A"/>
    <w:rsid w:val="006D1551"/>
    <w:rsid w:val="006D1B7B"/>
    <w:rsid w:val="006D4DB9"/>
    <w:rsid w:val="006D72E2"/>
    <w:rsid w:val="006E02E7"/>
    <w:rsid w:val="006E46CD"/>
    <w:rsid w:val="006E7B97"/>
    <w:rsid w:val="006F5001"/>
    <w:rsid w:val="006F6EE9"/>
    <w:rsid w:val="006F7EF4"/>
    <w:rsid w:val="00701735"/>
    <w:rsid w:val="00705FE5"/>
    <w:rsid w:val="00707217"/>
    <w:rsid w:val="00707A51"/>
    <w:rsid w:val="0071226C"/>
    <w:rsid w:val="0072166F"/>
    <w:rsid w:val="00730085"/>
    <w:rsid w:val="0073216D"/>
    <w:rsid w:val="007334D7"/>
    <w:rsid w:val="00735268"/>
    <w:rsid w:val="00735C1D"/>
    <w:rsid w:val="0074182F"/>
    <w:rsid w:val="00742936"/>
    <w:rsid w:val="007460DB"/>
    <w:rsid w:val="00747F48"/>
    <w:rsid w:val="00753027"/>
    <w:rsid w:val="0075377A"/>
    <w:rsid w:val="00757E8E"/>
    <w:rsid w:val="00761E40"/>
    <w:rsid w:val="00762116"/>
    <w:rsid w:val="007621B6"/>
    <w:rsid w:val="0076501A"/>
    <w:rsid w:val="00765ACF"/>
    <w:rsid w:val="007737E6"/>
    <w:rsid w:val="00781015"/>
    <w:rsid w:val="00782CE1"/>
    <w:rsid w:val="00784390"/>
    <w:rsid w:val="00786A37"/>
    <w:rsid w:val="007A21C6"/>
    <w:rsid w:val="007A2590"/>
    <w:rsid w:val="007A4065"/>
    <w:rsid w:val="007A710D"/>
    <w:rsid w:val="007B1090"/>
    <w:rsid w:val="007B6BB2"/>
    <w:rsid w:val="007B745A"/>
    <w:rsid w:val="007B7D2A"/>
    <w:rsid w:val="007C06AC"/>
    <w:rsid w:val="007C15F7"/>
    <w:rsid w:val="007C1AE3"/>
    <w:rsid w:val="007D3476"/>
    <w:rsid w:val="007D56EB"/>
    <w:rsid w:val="007D6E1A"/>
    <w:rsid w:val="007E2A05"/>
    <w:rsid w:val="007E2E21"/>
    <w:rsid w:val="007E4835"/>
    <w:rsid w:val="007E77BD"/>
    <w:rsid w:val="007F5A15"/>
    <w:rsid w:val="00806444"/>
    <w:rsid w:val="00810567"/>
    <w:rsid w:val="008146AB"/>
    <w:rsid w:val="008172DE"/>
    <w:rsid w:val="00821D54"/>
    <w:rsid w:val="00827C6F"/>
    <w:rsid w:val="008309E8"/>
    <w:rsid w:val="008318FF"/>
    <w:rsid w:val="008345D6"/>
    <w:rsid w:val="00840A1A"/>
    <w:rsid w:val="00841334"/>
    <w:rsid w:val="008435E5"/>
    <w:rsid w:val="00852B5A"/>
    <w:rsid w:val="0085373D"/>
    <w:rsid w:val="008555EA"/>
    <w:rsid w:val="00856708"/>
    <w:rsid w:val="00861411"/>
    <w:rsid w:val="0086293C"/>
    <w:rsid w:val="00866AC2"/>
    <w:rsid w:val="00875096"/>
    <w:rsid w:val="00875770"/>
    <w:rsid w:val="00881F04"/>
    <w:rsid w:val="008829DC"/>
    <w:rsid w:val="00887374"/>
    <w:rsid w:val="008907BD"/>
    <w:rsid w:val="00893E0A"/>
    <w:rsid w:val="00894C04"/>
    <w:rsid w:val="008A36DF"/>
    <w:rsid w:val="008A672C"/>
    <w:rsid w:val="008A6DA3"/>
    <w:rsid w:val="008B1D80"/>
    <w:rsid w:val="008B39DD"/>
    <w:rsid w:val="008B5C3E"/>
    <w:rsid w:val="008B7003"/>
    <w:rsid w:val="008C0886"/>
    <w:rsid w:val="008C3ADF"/>
    <w:rsid w:val="008C3EFF"/>
    <w:rsid w:val="008C40DA"/>
    <w:rsid w:val="008D0348"/>
    <w:rsid w:val="008D1D39"/>
    <w:rsid w:val="008D3546"/>
    <w:rsid w:val="008D4B7F"/>
    <w:rsid w:val="008E0449"/>
    <w:rsid w:val="008E58DA"/>
    <w:rsid w:val="008F04E1"/>
    <w:rsid w:val="00900232"/>
    <w:rsid w:val="009030EF"/>
    <w:rsid w:val="0090374D"/>
    <w:rsid w:val="00906390"/>
    <w:rsid w:val="00922E59"/>
    <w:rsid w:val="00924E52"/>
    <w:rsid w:val="00934181"/>
    <w:rsid w:val="00935419"/>
    <w:rsid w:val="00936E54"/>
    <w:rsid w:val="0094122E"/>
    <w:rsid w:val="00944F83"/>
    <w:rsid w:val="0094576C"/>
    <w:rsid w:val="00946110"/>
    <w:rsid w:val="00951B85"/>
    <w:rsid w:val="00953454"/>
    <w:rsid w:val="00953606"/>
    <w:rsid w:val="009575A3"/>
    <w:rsid w:val="0096767F"/>
    <w:rsid w:val="00970E45"/>
    <w:rsid w:val="00973667"/>
    <w:rsid w:val="00977C73"/>
    <w:rsid w:val="00980882"/>
    <w:rsid w:val="009820F2"/>
    <w:rsid w:val="009840A8"/>
    <w:rsid w:val="00992EA9"/>
    <w:rsid w:val="00993E84"/>
    <w:rsid w:val="009A092E"/>
    <w:rsid w:val="009A45F5"/>
    <w:rsid w:val="009B08C9"/>
    <w:rsid w:val="009B1399"/>
    <w:rsid w:val="009B1A79"/>
    <w:rsid w:val="009B4B9C"/>
    <w:rsid w:val="009C0BBE"/>
    <w:rsid w:val="009C176B"/>
    <w:rsid w:val="009C22C4"/>
    <w:rsid w:val="009C272E"/>
    <w:rsid w:val="009C27D0"/>
    <w:rsid w:val="009C2E79"/>
    <w:rsid w:val="009C605F"/>
    <w:rsid w:val="009D7E93"/>
    <w:rsid w:val="009D7F08"/>
    <w:rsid w:val="009E0691"/>
    <w:rsid w:val="009E2976"/>
    <w:rsid w:val="009E38CC"/>
    <w:rsid w:val="009E6B92"/>
    <w:rsid w:val="009F36D1"/>
    <w:rsid w:val="009F4229"/>
    <w:rsid w:val="009F6FE9"/>
    <w:rsid w:val="009F7B68"/>
    <w:rsid w:val="00A063D5"/>
    <w:rsid w:val="00A2146C"/>
    <w:rsid w:val="00A22232"/>
    <w:rsid w:val="00A31EC4"/>
    <w:rsid w:val="00A342C7"/>
    <w:rsid w:val="00A3595D"/>
    <w:rsid w:val="00A47CC4"/>
    <w:rsid w:val="00A52623"/>
    <w:rsid w:val="00A53DDC"/>
    <w:rsid w:val="00A56590"/>
    <w:rsid w:val="00A56CBA"/>
    <w:rsid w:val="00A64A8F"/>
    <w:rsid w:val="00A6620D"/>
    <w:rsid w:val="00A67029"/>
    <w:rsid w:val="00A70977"/>
    <w:rsid w:val="00A70ADD"/>
    <w:rsid w:val="00A72DDB"/>
    <w:rsid w:val="00A73015"/>
    <w:rsid w:val="00A81F7A"/>
    <w:rsid w:val="00A84591"/>
    <w:rsid w:val="00A91FF3"/>
    <w:rsid w:val="00AA1F0C"/>
    <w:rsid w:val="00AA322F"/>
    <w:rsid w:val="00AC0C23"/>
    <w:rsid w:val="00AC72E5"/>
    <w:rsid w:val="00AD2D19"/>
    <w:rsid w:val="00AD423C"/>
    <w:rsid w:val="00AE0775"/>
    <w:rsid w:val="00AE3E50"/>
    <w:rsid w:val="00AE6168"/>
    <w:rsid w:val="00AE7A56"/>
    <w:rsid w:val="00AF1887"/>
    <w:rsid w:val="00AF2CBC"/>
    <w:rsid w:val="00AF4090"/>
    <w:rsid w:val="00AF544C"/>
    <w:rsid w:val="00AF6DCB"/>
    <w:rsid w:val="00AF717F"/>
    <w:rsid w:val="00B03604"/>
    <w:rsid w:val="00B04685"/>
    <w:rsid w:val="00B051DF"/>
    <w:rsid w:val="00B10097"/>
    <w:rsid w:val="00B154A6"/>
    <w:rsid w:val="00B25A48"/>
    <w:rsid w:val="00B25E08"/>
    <w:rsid w:val="00B27217"/>
    <w:rsid w:val="00B32511"/>
    <w:rsid w:val="00B33AE7"/>
    <w:rsid w:val="00B3726E"/>
    <w:rsid w:val="00B45FB4"/>
    <w:rsid w:val="00B46D1F"/>
    <w:rsid w:val="00B550EA"/>
    <w:rsid w:val="00B55552"/>
    <w:rsid w:val="00B617C4"/>
    <w:rsid w:val="00B6229B"/>
    <w:rsid w:val="00B647A5"/>
    <w:rsid w:val="00B71033"/>
    <w:rsid w:val="00B72857"/>
    <w:rsid w:val="00B7546D"/>
    <w:rsid w:val="00B7652C"/>
    <w:rsid w:val="00B81AFC"/>
    <w:rsid w:val="00B828DF"/>
    <w:rsid w:val="00B8503F"/>
    <w:rsid w:val="00BA0664"/>
    <w:rsid w:val="00BA220E"/>
    <w:rsid w:val="00BA55BD"/>
    <w:rsid w:val="00BA5807"/>
    <w:rsid w:val="00BC0B14"/>
    <w:rsid w:val="00BC2FCC"/>
    <w:rsid w:val="00BC3417"/>
    <w:rsid w:val="00BD0220"/>
    <w:rsid w:val="00BD3561"/>
    <w:rsid w:val="00BF07A9"/>
    <w:rsid w:val="00BF41F5"/>
    <w:rsid w:val="00BF5257"/>
    <w:rsid w:val="00C03547"/>
    <w:rsid w:val="00C04029"/>
    <w:rsid w:val="00C050AE"/>
    <w:rsid w:val="00C119CD"/>
    <w:rsid w:val="00C13116"/>
    <w:rsid w:val="00C167AF"/>
    <w:rsid w:val="00C17A96"/>
    <w:rsid w:val="00C26C61"/>
    <w:rsid w:val="00C31BB5"/>
    <w:rsid w:val="00C337C0"/>
    <w:rsid w:val="00C352EF"/>
    <w:rsid w:val="00C36771"/>
    <w:rsid w:val="00C44B61"/>
    <w:rsid w:val="00C45E48"/>
    <w:rsid w:val="00C52AE1"/>
    <w:rsid w:val="00C56A00"/>
    <w:rsid w:val="00C57846"/>
    <w:rsid w:val="00C618F4"/>
    <w:rsid w:val="00C67B20"/>
    <w:rsid w:val="00C67E60"/>
    <w:rsid w:val="00C67F5F"/>
    <w:rsid w:val="00C703DA"/>
    <w:rsid w:val="00C7162D"/>
    <w:rsid w:val="00C72BF8"/>
    <w:rsid w:val="00C770C6"/>
    <w:rsid w:val="00C810AC"/>
    <w:rsid w:val="00C83098"/>
    <w:rsid w:val="00C84875"/>
    <w:rsid w:val="00C85A8F"/>
    <w:rsid w:val="00C87084"/>
    <w:rsid w:val="00C92189"/>
    <w:rsid w:val="00C9255E"/>
    <w:rsid w:val="00C9472D"/>
    <w:rsid w:val="00C97017"/>
    <w:rsid w:val="00CA03FE"/>
    <w:rsid w:val="00CA15CC"/>
    <w:rsid w:val="00CA6955"/>
    <w:rsid w:val="00CB191B"/>
    <w:rsid w:val="00CB46BA"/>
    <w:rsid w:val="00CB7FF8"/>
    <w:rsid w:val="00CC3C5F"/>
    <w:rsid w:val="00CC3E5B"/>
    <w:rsid w:val="00CC557D"/>
    <w:rsid w:val="00CD534F"/>
    <w:rsid w:val="00CD5D5B"/>
    <w:rsid w:val="00CF3AEF"/>
    <w:rsid w:val="00CF6DA8"/>
    <w:rsid w:val="00D04A1F"/>
    <w:rsid w:val="00D06EB8"/>
    <w:rsid w:val="00D203F4"/>
    <w:rsid w:val="00D2361F"/>
    <w:rsid w:val="00D33277"/>
    <w:rsid w:val="00D43088"/>
    <w:rsid w:val="00D50B84"/>
    <w:rsid w:val="00D50CEA"/>
    <w:rsid w:val="00D51E27"/>
    <w:rsid w:val="00D52AA6"/>
    <w:rsid w:val="00D53729"/>
    <w:rsid w:val="00D56F24"/>
    <w:rsid w:val="00D60684"/>
    <w:rsid w:val="00D63965"/>
    <w:rsid w:val="00D63C20"/>
    <w:rsid w:val="00D7069D"/>
    <w:rsid w:val="00D72FA9"/>
    <w:rsid w:val="00D77190"/>
    <w:rsid w:val="00D80C8E"/>
    <w:rsid w:val="00D90728"/>
    <w:rsid w:val="00D91279"/>
    <w:rsid w:val="00D935C5"/>
    <w:rsid w:val="00D95C5E"/>
    <w:rsid w:val="00DA0130"/>
    <w:rsid w:val="00DA1F87"/>
    <w:rsid w:val="00DA264F"/>
    <w:rsid w:val="00DA2710"/>
    <w:rsid w:val="00DA527B"/>
    <w:rsid w:val="00DA71A8"/>
    <w:rsid w:val="00DB394D"/>
    <w:rsid w:val="00DC049C"/>
    <w:rsid w:val="00DC6A42"/>
    <w:rsid w:val="00DD0558"/>
    <w:rsid w:val="00DD6B9E"/>
    <w:rsid w:val="00DE5F57"/>
    <w:rsid w:val="00DE7E14"/>
    <w:rsid w:val="00DF1AD2"/>
    <w:rsid w:val="00DF34C5"/>
    <w:rsid w:val="00DF366F"/>
    <w:rsid w:val="00DF6961"/>
    <w:rsid w:val="00E00135"/>
    <w:rsid w:val="00E02A95"/>
    <w:rsid w:val="00E055B7"/>
    <w:rsid w:val="00E076D8"/>
    <w:rsid w:val="00E13DC0"/>
    <w:rsid w:val="00E27116"/>
    <w:rsid w:val="00E279E2"/>
    <w:rsid w:val="00E30C0E"/>
    <w:rsid w:val="00E3767A"/>
    <w:rsid w:val="00E44670"/>
    <w:rsid w:val="00E5706B"/>
    <w:rsid w:val="00E60CAF"/>
    <w:rsid w:val="00E63034"/>
    <w:rsid w:val="00E65D00"/>
    <w:rsid w:val="00E674C3"/>
    <w:rsid w:val="00E733C0"/>
    <w:rsid w:val="00E74E7B"/>
    <w:rsid w:val="00E75319"/>
    <w:rsid w:val="00E84A7D"/>
    <w:rsid w:val="00E8675E"/>
    <w:rsid w:val="00E86CD8"/>
    <w:rsid w:val="00E92A7B"/>
    <w:rsid w:val="00E93472"/>
    <w:rsid w:val="00EA024D"/>
    <w:rsid w:val="00EA7A79"/>
    <w:rsid w:val="00EB0DB2"/>
    <w:rsid w:val="00EB1F15"/>
    <w:rsid w:val="00EB5FD7"/>
    <w:rsid w:val="00EB6913"/>
    <w:rsid w:val="00EC318F"/>
    <w:rsid w:val="00EC3281"/>
    <w:rsid w:val="00EC6AB5"/>
    <w:rsid w:val="00EC7AA7"/>
    <w:rsid w:val="00ED1ED0"/>
    <w:rsid w:val="00ED2D5F"/>
    <w:rsid w:val="00EE452C"/>
    <w:rsid w:val="00EE5283"/>
    <w:rsid w:val="00EF0EA8"/>
    <w:rsid w:val="00F07B61"/>
    <w:rsid w:val="00F1467A"/>
    <w:rsid w:val="00F1675D"/>
    <w:rsid w:val="00F21AE1"/>
    <w:rsid w:val="00F23FF0"/>
    <w:rsid w:val="00F43A96"/>
    <w:rsid w:val="00F502CF"/>
    <w:rsid w:val="00F52A66"/>
    <w:rsid w:val="00F616FC"/>
    <w:rsid w:val="00F61CDB"/>
    <w:rsid w:val="00F6375B"/>
    <w:rsid w:val="00F6444A"/>
    <w:rsid w:val="00F64C44"/>
    <w:rsid w:val="00F67926"/>
    <w:rsid w:val="00F705C0"/>
    <w:rsid w:val="00F72BAB"/>
    <w:rsid w:val="00F77175"/>
    <w:rsid w:val="00F77DED"/>
    <w:rsid w:val="00F81A57"/>
    <w:rsid w:val="00F91C64"/>
    <w:rsid w:val="00F949D9"/>
    <w:rsid w:val="00F976BC"/>
    <w:rsid w:val="00FA20DD"/>
    <w:rsid w:val="00FA2CF7"/>
    <w:rsid w:val="00FA70BB"/>
    <w:rsid w:val="00FB3F96"/>
    <w:rsid w:val="00FB4A6A"/>
    <w:rsid w:val="00FC3022"/>
    <w:rsid w:val="00FD427D"/>
    <w:rsid w:val="00FD4AF6"/>
    <w:rsid w:val="00FE30B1"/>
    <w:rsid w:val="00FE7F5B"/>
    <w:rsid w:val="00FF0F75"/>
    <w:rsid w:val="00FF1C08"/>
    <w:rsid w:val="00FF5802"/>
    <w:rsid w:val="00FF6DD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Dotum" w:hAnsi="Arial" w:cs="Arial"/>
        <w:sz w:val="24"/>
        <w:szCs w:val="24"/>
        <w:lang w:val="en-AU" w:eastAsia="en-US" w:bidi="ar-SA"/>
      </w:rPr>
    </w:rPrDefault>
    <w:pPrDefault/>
  </w:docDefaults>
  <w:latentStyles w:defLockedState="0" w:defUIPriority="0" w:defSemiHidden="0" w:defUnhideWhenUsed="0" w:defQFormat="0" w:count="267">
    <w:lsdException w:name="heading 2" w:uiPriority="9" w:qFormat="1"/>
    <w:lsdException w:name="toc 1" w:uiPriority="39"/>
    <w:lsdException w:name="toc 2" w:uiPriority="39"/>
    <w:lsdException w:name="footer" w:uiPriority="99"/>
    <w:lsdException w:name="table of figures" w:uiPriority="99"/>
    <w:lsdException w:name="endnote reference" w:uiPriority="99"/>
    <w:lsdException w:name="endnote text" w:uiPriority="99"/>
    <w:lsdException w:name="Body Text" w:uiPriority="99"/>
    <w:lsdException w:name="FollowedHyperlink" w:uiPriority="99"/>
    <w:lsdException w:name="Emphasis" w:qFormat="1"/>
    <w:lsdException w:name="Normal (Web)" w:uiPriority="99"/>
    <w:lsdException w:name="No List" w:uiPriority="99"/>
    <w:lsdException w:name="No Spacing" w:uiPriority="1" w:qFormat="1"/>
    <w:lsdException w:name="List Paragraph" w:uiPriority="34" w:qFormat="1"/>
  </w:latentStyles>
  <w:style w:type="paragraph" w:default="1" w:styleId="Normal">
    <w:name w:val="Normal"/>
    <w:qFormat/>
    <w:rsid w:val="008A36DF"/>
    <w:pPr>
      <w:spacing w:after="200"/>
    </w:pPr>
    <w:rPr>
      <w:rFonts w:ascii="Calibri" w:hAnsi="Calibri" w:cs="Calibri"/>
      <w:sz w:val="22"/>
      <w:szCs w:val="22"/>
    </w:rPr>
  </w:style>
  <w:style w:type="paragraph" w:styleId="Heading1">
    <w:name w:val="heading 1"/>
    <w:next w:val="Normal"/>
    <w:link w:val="Heading1Char"/>
    <w:uiPriority w:val="9"/>
    <w:qFormat/>
    <w:rsid w:val="005D2665"/>
    <w:pPr>
      <w:pageBreakBefore/>
      <w:widowControl w:val="0"/>
      <w:pBdr>
        <w:top w:val="single" w:sz="24" w:space="1" w:color="D1282E"/>
        <w:left w:val="single" w:sz="24" w:space="4" w:color="D1282E"/>
        <w:bottom w:val="single" w:sz="24" w:space="1" w:color="D1282E"/>
        <w:right w:val="single" w:sz="24" w:space="4" w:color="D1282E"/>
      </w:pBdr>
      <w:shd w:val="clear" w:color="auto" w:fill="D1282E"/>
      <w:spacing w:after="240"/>
      <w:ind w:right="6"/>
      <w:outlineLvl w:val="0"/>
    </w:pPr>
    <w:rPr>
      <w:rFonts w:ascii="Calibri" w:eastAsia="HYGothic-Extra" w:hAnsi="Calibri" w:cs="Calibri"/>
      <w:b/>
      <w:bCs/>
      <w:color w:val="FFFFFF" w:themeColor="background1"/>
      <w:spacing w:val="-20"/>
      <w:sz w:val="44"/>
      <w:szCs w:val="60"/>
    </w:rPr>
  </w:style>
  <w:style w:type="paragraph" w:styleId="Heading2">
    <w:name w:val="heading 2"/>
    <w:next w:val="Normal"/>
    <w:link w:val="Heading2Char"/>
    <w:autoRedefine/>
    <w:uiPriority w:val="9"/>
    <w:unhideWhenUsed/>
    <w:qFormat/>
    <w:rsid w:val="008A36DF"/>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pPr>
    <w:rPr>
      <w:i/>
      <w:caps/>
      <w:color w:val="000000" w:themeColor="text1"/>
      <w:sz w:val="28"/>
      <w:szCs w:val="32"/>
    </w:rPr>
  </w:style>
  <w:style w:type="paragraph" w:styleId="Heading3">
    <w:name w:val="heading 3"/>
    <w:basedOn w:val="Normal"/>
    <w:next w:val="Normal"/>
    <w:link w:val="Heading3Char1"/>
    <w:autoRedefine/>
    <w:uiPriority w:val="9"/>
    <w:unhideWhenUsed/>
    <w:qFormat/>
    <w:rsid w:val="008A36DF"/>
    <w:pPr>
      <w:keepNext/>
      <w:keepLines/>
      <w:pBdr>
        <w:top w:val="single" w:sz="12" w:space="1" w:color="4F81BD" w:themeColor="accent1"/>
        <w:left w:val="single" w:sz="12" w:space="4" w:color="4F81BD" w:themeColor="accent1"/>
      </w:pBdr>
      <w:shd w:val="clear" w:color="4F81BD" w:themeColor="accent1" w:fill="auto"/>
      <w:spacing w:before="200" w:after="0"/>
      <w:outlineLvl w:val="2"/>
    </w:pPr>
    <w:rPr>
      <w:rFonts w:asciiTheme="majorHAnsi" w:eastAsiaTheme="majorEastAsia" w:hAnsiTheme="majorHAnsi" w:cstheme="majorBidi"/>
      <w:b/>
      <w:bCs/>
      <w:color w:val="FF0000"/>
      <w:sz w:val="24"/>
    </w:rPr>
  </w:style>
  <w:style w:type="paragraph" w:styleId="Heading4">
    <w:name w:val="heading 4"/>
    <w:basedOn w:val="Normal"/>
    <w:next w:val="Normal"/>
    <w:link w:val="Heading4Char"/>
    <w:uiPriority w:val="9"/>
    <w:unhideWhenUsed/>
    <w:qFormat/>
    <w:rsid w:val="008A36DF"/>
    <w:pPr>
      <w:keepNext/>
      <w:keepLines/>
      <w:spacing w:before="200" w:after="0"/>
      <w:outlineLvl w:val="3"/>
    </w:pPr>
    <w:rPr>
      <w:rFonts w:ascii="Arial Black" w:eastAsia="HYGothic-Extra" w:hAnsi="Arial Black" w:cs="Tahoma"/>
      <w:bCs/>
      <w:i/>
      <w:iCs/>
      <w:color w:val="7A7A7A"/>
      <w:sz w:val="20"/>
      <w:szCs w:val="20"/>
    </w:rPr>
  </w:style>
  <w:style w:type="paragraph" w:styleId="Heading5">
    <w:name w:val="heading 5"/>
    <w:basedOn w:val="Normal"/>
    <w:next w:val="Normal"/>
    <w:link w:val="Heading5Char"/>
    <w:uiPriority w:val="9"/>
    <w:unhideWhenUsed/>
    <w:qFormat/>
    <w:rsid w:val="008A36DF"/>
    <w:pPr>
      <w:keepNext/>
      <w:keepLines/>
      <w:spacing w:before="200" w:after="0"/>
      <w:outlineLvl w:val="4"/>
    </w:pPr>
    <w:rPr>
      <w:rFonts w:ascii="Arial" w:eastAsia="HYGothic-Extra" w:hAnsi="Arial" w:cs="Tahoma"/>
      <w:b/>
      <w:color w:val="5B5B5B"/>
      <w:sz w:val="20"/>
      <w:szCs w:val="20"/>
    </w:rPr>
  </w:style>
  <w:style w:type="paragraph" w:styleId="Heading6">
    <w:name w:val="heading 6"/>
    <w:basedOn w:val="Normal"/>
    <w:next w:val="Normal"/>
    <w:link w:val="Heading6Char"/>
    <w:uiPriority w:val="9"/>
    <w:semiHidden/>
    <w:unhideWhenUsed/>
    <w:qFormat/>
    <w:rsid w:val="008A36DF"/>
    <w:pPr>
      <w:keepNext/>
      <w:keepLines/>
      <w:spacing w:before="200" w:after="0"/>
      <w:outlineLvl w:val="5"/>
    </w:pPr>
    <w:rPr>
      <w:rFonts w:ascii="Arial Black" w:eastAsia="HYGothic-Extra" w:hAnsi="Arial Black" w:cs="Tahoma"/>
      <w:i/>
      <w:iCs/>
      <w:color w:val="5B5B5B"/>
      <w:sz w:val="20"/>
      <w:szCs w:val="20"/>
    </w:rPr>
  </w:style>
  <w:style w:type="paragraph" w:styleId="Heading7">
    <w:name w:val="heading 7"/>
    <w:basedOn w:val="Normal"/>
    <w:next w:val="Normal"/>
    <w:link w:val="Heading7Char"/>
    <w:uiPriority w:val="9"/>
    <w:semiHidden/>
    <w:unhideWhenUsed/>
    <w:qFormat/>
    <w:rsid w:val="008A36DF"/>
    <w:pPr>
      <w:keepNext/>
      <w:keepLines/>
      <w:spacing w:before="200" w:after="0"/>
      <w:outlineLvl w:val="6"/>
    </w:pPr>
    <w:rPr>
      <w:rFonts w:ascii="Arial" w:eastAsia="HYGothic-Extra" w:hAnsi="Arial" w:cs="Tahoma"/>
      <w:b/>
      <w:iCs/>
      <w:color w:val="D1282E"/>
      <w:sz w:val="20"/>
      <w:szCs w:val="20"/>
    </w:rPr>
  </w:style>
  <w:style w:type="paragraph" w:styleId="Heading8">
    <w:name w:val="heading 8"/>
    <w:basedOn w:val="Normal"/>
    <w:next w:val="Normal"/>
    <w:link w:val="Heading8Char"/>
    <w:uiPriority w:val="9"/>
    <w:semiHidden/>
    <w:unhideWhenUsed/>
    <w:qFormat/>
    <w:rsid w:val="008A36DF"/>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rsid w:val="008A36DF"/>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D2665"/>
    <w:rPr>
      <w:rFonts w:ascii="Calibri" w:eastAsia="HYGothic-Extra" w:hAnsi="Calibri" w:cs="Calibri"/>
      <w:b/>
      <w:bCs/>
      <w:color w:val="FFFFFF" w:themeColor="background1"/>
      <w:spacing w:val="-20"/>
      <w:sz w:val="44"/>
      <w:szCs w:val="60"/>
      <w:shd w:val="clear" w:color="auto" w:fill="D1282E"/>
    </w:rPr>
  </w:style>
  <w:style w:type="character" w:customStyle="1" w:styleId="Heading2Char">
    <w:name w:val="Heading 2 Char"/>
    <w:link w:val="Heading2"/>
    <w:uiPriority w:val="9"/>
    <w:rsid w:val="008A36DF"/>
    <w:rPr>
      <w:i/>
      <w:caps/>
      <w:color w:val="000000" w:themeColor="text1"/>
      <w:sz w:val="28"/>
      <w:szCs w:val="32"/>
      <w:shd w:val="clear" w:color="auto" w:fill="DBE5F1"/>
    </w:rPr>
  </w:style>
  <w:style w:type="character" w:customStyle="1" w:styleId="Heading3Char1">
    <w:name w:val="Heading 3 Char1"/>
    <w:basedOn w:val="DefaultParagraphFont"/>
    <w:link w:val="Heading3"/>
    <w:uiPriority w:val="9"/>
    <w:rsid w:val="008A36DF"/>
    <w:rPr>
      <w:rFonts w:asciiTheme="majorHAnsi" w:eastAsiaTheme="majorEastAsia" w:hAnsiTheme="majorHAnsi" w:cstheme="majorBidi"/>
      <w:b/>
      <w:bCs/>
      <w:color w:val="FF0000"/>
      <w:sz w:val="24"/>
      <w:szCs w:val="22"/>
      <w:shd w:val="clear" w:color="4F81BD" w:themeColor="accent1" w:fill="auto"/>
    </w:rPr>
  </w:style>
  <w:style w:type="character" w:customStyle="1" w:styleId="Heading4Char">
    <w:name w:val="Heading 4 Char"/>
    <w:link w:val="Heading4"/>
    <w:uiPriority w:val="9"/>
    <w:rsid w:val="008A36DF"/>
    <w:rPr>
      <w:rFonts w:ascii="Arial Black" w:eastAsia="HYGothic-Extra" w:hAnsi="Arial Black" w:cs="Tahoma"/>
      <w:bCs/>
      <w:i/>
      <w:iCs/>
      <w:color w:val="7A7A7A"/>
    </w:rPr>
  </w:style>
  <w:style w:type="character" w:customStyle="1" w:styleId="Heading5Char">
    <w:name w:val="Heading 5 Char"/>
    <w:link w:val="Heading5"/>
    <w:uiPriority w:val="9"/>
    <w:rsid w:val="008A36DF"/>
    <w:rPr>
      <w:rFonts w:eastAsia="HYGothic-Extra" w:cs="Tahoma"/>
      <w:b/>
      <w:color w:val="5B5B5B"/>
    </w:rPr>
  </w:style>
  <w:style w:type="character" w:customStyle="1" w:styleId="Heading6Char">
    <w:name w:val="Heading 6 Char"/>
    <w:link w:val="Heading6"/>
    <w:uiPriority w:val="9"/>
    <w:semiHidden/>
    <w:rsid w:val="008A36DF"/>
    <w:rPr>
      <w:rFonts w:ascii="Arial Black" w:eastAsia="HYGothic-Extra" w:hAnsi="Arial Black" w:cs="Tahoma"/>
      <w:i/>
      <w:iCs/>
      <w:color w:val="5B5B5B"/>
    </w:rPr>
  </w:style>
  <w:style w:type="character" w:customStyle="1" w:styleId="Heading7Char">
    <w:name w:val="Heading 7 Char"/>
    <w:link w:val="Heading7"/>
    <w:uiPriority w:val="9"/>
    <w:semiHidden/>
    <w:rsid w:val="008A36DF"/>
    <w:rPr>
      <w:rFonts w:eastAsia="HYGothic-Extra" w:cs="Tahoma"/>
      <w:b/>
      <w:iCs/>
      <w:color w:val="D1282E"/>
    </w:rPr>
  </w:style>
  <w:style w:type="character" w:customStyle="1" w:styleId="Heading8Char">
    <w:name w:val="Heading 8 Char"/>
    <w:link w:val="Heading8"/>
    <w:uiPriority w:val="9"/>
    <w:semiHidden/>
    <w:rsid w:val="008A36DF"/>
    <w:rPr>
      <w:rFonts w:ascii="Arial Black" w:eastAsia="HYGothic-Extra" w:hAnsi="Arial Black" w:cs="Tahoma"/>
      <w:color w:val="7A7A7A"/>
    </w:rPr>
  </w:style>
  <w:style w:type="character" w:customStyle="1" w:styleId="Heading9Char">
    <w:name w:val="Heading 9 Char"/>
    <w:link w:val="Heading9"/>
    <w:uiPriority w:val="9"/>
    <w:semiHidden/>
    <w:rsid w:val="008A36DF"/>
    <w:rPr>
      <w:rFonts w:ascii="Arial Black" w:eastAsia="HYGothic-Extra" w:hAnsi="Arial Black" w:cs="Tahoma"/>
      <w:i/>
      <w:iCs/>
      <w:color w:val="5B5B5B"/>
    </w:rPr>
  </w:style>
  <w:style w:type="character" w:customStyle="1" w:styleId="Heading3Char">
    <w:name w:val="Heading 3 Char"/>
    <w:basedOn w:val="DefaultParagraphFont"/>
    <w:uiPriority w:val="9"/>
    <w:rsid w:val="003D27F1"/>
    <w:rPr>
      <w:rFonts w:ascii="Arial" w:eastAsia="Dotum" w:hAnsi="Arial" w:cs="Arial"/>
      <w:color w:val="C60C30"/>
      <w:sz w:val="28"/>
      <w:szCs w:val="28"/>
    </w:rPr>
  </w:style>
  <w:style w:type="paragraph" w:styleId="ListParagraph">
    <w:name w:val="List Paragraph"/>
    <w:basedOn w:val="Normal"/>
    <w:link w:val="ListParagraphChar"/>
    <w:uiPriority w:val="34"/>
    <w:qFormat/>
    <w:rsid w:val="008A36DF"/>
    <w:pPr>
      <w:ind w:left="720"/>
      <w:contextualSpacing/>
    </w:pPr>
  </w:style>
  <w:style w:type="table" w:styleId="TableGrid">
    <w:name w:val="Table Grid"/>
    <w:basedOn w:val="TableNormal"/>
    <w:rsid w:val="00B37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A36DF"/>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8A36DF"/>
    <w:rPr>
      <w:rFonts w:ascii="Calibri" w:eastAsia="HYGothic-Extra" w:hAnsi="Calibri" w:cs="Calibri"/>
      <w:b/>
      <w:caps/>
      <w:color w:val="005374"/>
      <w:spacing w:val="-20"/>
      <w:kern w:val="28"/>
      <w:sz w:val="60"/>
      <w:szCs w:val="60"/>
    </w:rPr>
  </w:style>
  <w:style w:type="paragraph" w:styleId="Subtitle">
    <w:name w:val="Subtitle"/>
    <w:basedOn w:val="Normal"/>
    <w:next w:val="Normal"/>
    <w:link w:val="SubtitleChar"/>
    <w:uiPriority w:val="11"/>
    <w:qFormat/>
    <w:rsid w:val="008A36DF"/>
    <w:pPr>
      <w:numPr>
        <w:ilvl w:val="1"/>
      </w:numPr>
    </w:pPr>
    <w:rPr>
      <w:rFonts w:eastAsia="HYGothic-Extra"/>
      <w:b/>
      <w:bCs/>
      <w:iCs/>
      <w:color w:val="D1282E"/>
      <w:sz w:val="40"/>
      <w:szCs w:val="40"/>
      <w:lang w:val="en-US"/>
    </w:rPr>
  </w:style>
  <w:style w:type="character" w:customStyle="1" w:styleId="SubtitleChar">
    <w:name w:val="Subtitle Char"/>
    <w:link w:val="Subtitle"/>
    <w:uiPriority w:val="11"/>
    <w:rsid w:val="008A36DF"/>
    <w:rPr>
      <w:rFonts w:ascii="Calibri" w:eastAsia="HYGothic-Extra" w:hAnsi="Calibri" w:cs="Calibri"/>
      <w:b/>
      <w:bCs/>
      <w:iCs/>
      <w:color w:val="D1282E"/>
      <w:sz w:val="40"/>
      <w:szCs w:val="40"/>
      <w:lang w:val="en-US"/>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TOCHeading">
    <w:name w:val="TOC Heading"/>
    <w:basedOn w:val="Heading1"/>
    <w:next w:val="Normal"/>
    <w:uiPriority w:val="39"/>
    <w:unhideWhenUsed/>
    <w:qFormat/>
    <w:rsid w:val="008A36DF"/>
    <w:pPr>
      <w:outlineLvl w:val="9"/>
    </w:pPr>
  </w:style>
  <w:style w:type="paragraph" w:styleId="TOC2">
    <w:name w:val="toc 2"/>
    <w:basedOn w:val="Normal"/>
    <w:next w:val="Normal"/>
    <w:autoRedefine/>
    <w:uiPriority w:val="39"/>
    <w:unhideWhenUsed/>
    <w:qFormat/>
    <w:rsid w:val="008A36DF"/>
    <w:pPr>
      <w:spacing w:after="0"/>
      <w:ind w:left="220"/>
    </w:pPr>
    <w:rPr>
      <w:rFonts w:asciiTheme="minorHAnsi" w:hAnsiTheme="minorHAnsi" w:cstheme="minorHAnsi"/>
      <w:smallCaps/>
      <w:sz w:val="20"/>
      <w:szCs w:val="20"/>
    </w:rPr>
  </w:style>
  <w:style w:type="paragraph" w:styleId="TOC1">
    <w:name w:val="toc 1"/>
    <w:basedOn w:val="Normal"/>
    <w:next w:val="Normal"/>
    <w:autoRedefine/>
    <w:uiPriority w:val="39"/>
    <w:unhideWhenUsed/>
    <w:qFormat/>
    <w:rsid w:val="008A36DF"/>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semiHidden/>
    <w:unhideWhenUsed/>
    <w:qFormat/>
    <w:rsid w:val="008A36DF"/>
    <w:pPr>
      <w:spacing w:after="0"/>
      <w:ind w:left="440"/>
    </w:pPr>
    <w:rPr>
      <w:rFonts w:asciiTheme="minorHAnsi" w:hAnsiTheme="minorHAnsi" w:cstheme="minorHAnsi"/>
      <w:i/>
      <w:iCs/>
      <w:sz w:val="20"/>
      <w:szCs w:val="20"/>
    </w:rPr>
  </w:style>
  <w:style w:type="paragraph" w:styleId="BalloonText">
    <w:name w:val="Balloon Text"/>
    <w:basedOn w:val="Normal"/>
    <w:link w:val="BalloonTextChar"/>
    <w:uiPriority w:val="99"/>
    <w:semiHidden/>
    <w:unhideWhenUsed/>
    <w:rsid w:val="008A36D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6DF"/>
    <w:rPr>
      <w:rFonts w:ascii="Tahoma" w:eastAsia="Dotum" w:hAnsi="Tahoma" w:cs="Tahoma"/>
      <w:sz w:val="16"/>
      <w:szCs w:val="16"/>
    </w:rPr>
  </w:style>
  <w:style w:type="paragraph" w:customStyle="1" w:styleId="QuickTip">
    <w:name w:val="Quick Tip"/>
    <w:basedOn w:val="NoSpacing"/>
    <w:qFormat/>
    <w:rsid w:val="008A36DF"/>
    <w:rPr>
      <w:b/>
      <w:caps/>
      <w:color w:val="548DD4" w:themeColor="text2" w:themeTint="99"/>
    </w:rPr>
  </w:style>
  <w:style w:type="paragraph" w:styleId="NoSpacing">
    <w:name w:val="No Spacing"/>
    <w:link w:val="NoSpacingChar"/>
    <w:uiPriority w:val="1"/>
    <w:qFormat/>
    <w:rsid w:val="008A36DF"/>
    <w:rPr>
      <w:rFonts w:ascii="Calibri" w:hAnsi="Calibri" w:cs="Calibri"/>
      <w:sz w:val="22"/>
      <w:szCs w:val="22"/>
      <w:lang w:val="en-US"/>
    </w:rPr>
  </w:style>
  <w:style w:type="character" w:customStyle="1" w:styleId="NoSpacingChar">
    <w:name w:val="No Spacing Char"/>
    <w:basedOn w:val="DefaultParagraphFont"/>
    <w:link w:val="NoSpacing"/>
    <w:uiPriority w:val="1"/>
    <w:rsid w:val="008A36DF"/>
    <w:rPr>
      <w:rFonts w:ascii="Calibri" w:hAnsi="Calibri" w:cs="Calibri"/>
      <w:sz w:val="22"/>
      <w:szCs w:val="22"/>
      <w:lang w:val="en-US"/>
    </w:rPr>
  </w:style>
  <w:style w:type="paragraph" w:styleId="Caption">
    <w:name w:val="caption"/>
    <w:aliases w:val="Caption 2"/>
    <w:basedOn w:val="Normal"/>
    <w:next w:val="Normal"/>
    <w:unhideWhenUsed/>
    <w:qFormat/>
    <w:rsid w:val="008A36DF"/>
    <w:pPr>
      <w:spacing w:after="0"/>
      <w:ind w:left="1418" w:hanging="1418"/>
    </w:pPr>
    <w:rPr>
      <w:b/>
      <w:bCs/>
      <w:color w:val="A6A6A6" w:themeColor="background1" w:themeShade="A6"/>
      <w:szCs w:val="18"/>
    </w:rPr>
  </w:style>
  <w:style w:type="character" w:styleId="Strong">
    <w:name w:val="Strong"/>
    <w:uiPriority w:val="22"/>
    <w:qFormat/>
    <w:rsid w:val="008A36DF"/>
    <w:rPr>
      <w:b/>
      <w:bCs/>
    </w:rPr>
  </w:style>
  <w:style w:type="character" w:styleId="Emphasis">
    <w:name w:val="Emphasis"/>
    <w:qFormat/>
    <w:rsid w:val="008A36DF"/>
    <w:rPr>
      <w:i/>
      <w:iCs/>
    </w:rPr>
  </w:style>
  <w:style w:type="paragraph" w:styleId="Quote">
    <w:name w:val="Quote"/>
    <w:basedOn w:val="Normal"/>
    <w:next w:val="Normal"/>
    <w:link w:val="QuoteChar"/>
    <w:uiPriority w:val="29"/>
    <w:qFormat/>
    <w:rsid w:val="008A36DF"/>
    <w:pPr>
      <w:spacing w:line="360" w:lineRule="auto"/>
    </w:pPr>
    <w:rPr>
      <w:rFonts w:ascii="Arial" w:hAnsi="Arial" w:cs="Arial"/>
      <w:i/>
      <w:iCs/>
      <w:color w:val="7A7A7A"/>
      <w:sz w:val="28"/>
      <w:szCs w:val="20"/>
    </w:rPr>
  </w:style>
  <w:style w:type="character" w:customStyle="1" w:styleId="QuoteChar">
    <w:name w:val="Quote Char"/>
    <w:link w:val="Quote"/>
    <w:uiPriority w:val="29"/>
    <w:rsid w:val="008A36DF"/>
    <w:rPr>
      <w:i/>
      <w:iCs/>
      <w:color w:val="7A7A7A"/>
      <w:sz w:val="28"/>
    </w:rPr>
  </w:style>
  <w:style w:type="paragraph" w:styleId="IntenseQuote">
    <w:name w:val="Intense Quote"/>
    <w:basedOn w:val="Normal"/>
    <w:next w:val="Normal"/>
    <w:link w:val="IntenseQuoteChar"/>
    <w:uiPriority w:val="30"/>
    <w:qFormat/>
    <w:rsid w:val="008A36DF"/>
    <w:pPr>
      <w:pBdr>
        <w:top w:val="single" w:sz="36" w:space="5" w:color="000000"/>
        <w:bottom w:val="single" w:sz="18" w:space="5" w:color="D1282E"/>
      </w:pBdr>
      <w:spacing w:before="200" w:after="280" w:line="360" w:lineRule="auto"/>
    </w:pPr>
    <w:rPr>
      <w:rFonts w:ascii="Arial" w:hAnsi="Arial" w:cs="Arial"/>
      <w:b/>
      <w:bCs/>
      <w:i/>
      <w:iCs/>
      <w:color w:val="7F7F7F"/>
      <w:sz w:val="26"/>
      <w:szCs w:val="20"/>
    </w:rPr>
  </w:style>
  <w:style w:type="character" w:customStyle="1" w:styleId="IntenseQuoteChar">
    <w:name w:val="Intense Quote Char"/>
    <w:link w:val="IntenseQuote"/>
    <w:uiPriority w:val="30"/>
    <w:rsid w:val="008A36DF"/>
    <w:rPr>
      <w:b/>
      <w:bCs/>
      <w:i/>
      <w:iCs/>
      <w:color w:val="7F7F7F"/>
      <w:sz w:val="26"/>
    </w:rPr>
  </w:style>
  <w:style w:type="character" w:styleId="SubtleEmphasis">
    <w:name w:val="Subtle Emphasis"/>
    <w:uiPriority w:val="19"/>
    <w:qFormat/>
    <w:rsid w:val="008A36DF"/>
    <w:rPr>
      <w:i/>
      <w:iCs/>
      <w:color w:val="7A7A7A"/>
    </w:rPr>
  </w:style>
  <w:style w:type="character" w:styleId="IntenseEmphasis">
    <w:name w:val="Intense Emphasis"/>
    <w:uiPriority w:val="21"/>
    <w:qFormat/>
    <w:rsid w:val="008A36DF"/>
    <w:rPr>
      <w:b/>
      <w:bCs/>
      <w:i/>
      <w:iCs/>
      <w:color w:val="D1282E"/>
    </w:rPr>
  </w:style>
  <w:style w:type="character" w:styleId="SubtleReference">
    <w:name w:val="Subtle Reference"/>
    <w:uiPriority w:val="31"/>
    <w:qFormat/>
    <w:rsid w:val="008A36DF"/>
    <w:rPr>
      <w:rFonts w:ascii="Arial" w:hAnsi="Arial"/>
      <w:smallCaps/>
      <w:color w:val="F5C201"/>
      <w:sz w:val="22"/>
      <w:u w:val="none"/>
    </w:rPr>
  </w:style>
  <w:style w:type="character" w:styleId="IntenseReference">
    <w:name w:val="Intense Reference"/>
    <w:uiPriority w:val="32"/>
    <w:qFormat/>
    <w:rsid w:val="008A36DF"/>
    <w:rPr>
      <w:rFonts w:ascii="Arial" w:hAnsi="Arial"/>
      <w:b/>
      <w:bCs/>
      <w:caps/>
      <w:color w:val="F5C201"/>
      <w:spacing w:val="5"/>
      <w:sz w:val="22"/>
      <w:u w:val="single"/>
    </w:rPr>
  </w:style>
  <w:style w:type="character" w:styleId="BookTitle">
    <w:name w:val="Book Title"/>
    <w:uiPriority w:val="33"/>
    <w:qFormat/>
    <w:rsid w:val="008A36DF"/>
    <w:rPr>
      <w:rFonts w:ascii="Arial" w:hAnsi="Arial"/>
      <w:b/>
      <w:bCs/>
      <w:caps/>
      <w:color w:val="3D3D3D"/>
      <w:spacing w:val="5"/>
      <w:sz w:val="22"/>
    </w:rPr>
  </w:style>
  <w:style w:type="character" w:styleId="FootnoteReference">
    <w:name w:val="footnote reference"/>
    <w:basedOn w:val="DefaultParagraphFont"/>
    <w:uiPriority w:val="99"/>
    <w:semiHidden/>
    <w:unhideWhenUsed/>
    <w:rsid w:val="008A36DF"/>
    <w:rPr>
      <w:vertAlign w:val="superscript"/>
    </w:rPr>
  </w:style>
  <w:style w:type="character" w:styleId="CommentReference">
    <w:name w:val="annotation reference"/>
    <w:basedOn w:val="DefaultParagraphFont"/>
    <w:uiPriority w:val="99"/>
    <w:semiHidden/>
    <w:unhideWhenUsed/>
    <w:rsid w:val="008A36DF"/>
    <w:rPr>
      <w:sz w:val="16"/>
      <w:szCs w:val="16"/>
    </w:rPr>
  </w:style>
  <w:style w:type="paragraph" w:styleId="CommentText">
    <w:name w:val="annotation text"/>
    <w:basedOn w:val="Normal"/>
    <w:link w:val="CommentTextChar"/>
    <w:uiPriority w:val="99"/>
    <w:unhideWhenUsed/>
    <w:rsid w:val="008A36DF"/>
    <w:rPr>
      <w:sz w:val="20"/>
      <w:szCs w:val="20"/>
    </w:rPr>
  </w:style>
  <w:style w:type="character" w:customStyle="1" w:styleId="CommentTextChar">
    <w:name w:val="Comment Text Char"/>
    <w:basedOn w:val="DefaultParagraphFont"/>
    <w:link w:val="CommentText"/>
    <w:uiPriority w:val="99"/>
    <w:rsid w:val="008A36DF"/>
    <w:rPr>
      <w:rFonts w:ascii="Calibri" w:hAnsi="Calibri" w:cs="Calibri"/>
    </w:rPr>
  </w:style>
  <w:style w:type="paragraph" w:styleId="CommentSubject">
    <w:name w:val="annotation subject"/>
    <w:basedOn w:val="CommentText"/>
    <w:next w:val="CommentText"/>
    <w:link w:val="CommentSubjectChar"/>
    <w:uiPriority w:val="99"/>
    <w:semiHidden/>
    <w:unhideWhenUsed/>
    <w:rsid w:val="002734A3"/>
    <w:rPr>
      <w:b/>
      <w:bCs/>
    </w:rPr>
  </w:style>
  <w:style w:type="character" w:customStyle="1" w:styleId="CommentSubjectChar">
    <w:name w:val="Comment Subject Char"/>
    <w:basedOn w:val="CommentTextChar"/>
    <w:link w:val="CommentSubject"/>
    <w:uiPriority w:val="99"/>
    <w:semiHidden/>
    <w:rsid w:val="002734A3"/>
    <w:rPr>
      <w:rFonts w:ascii="Calibri" w:hAnsi="Calibri" w:cs="Calibri"/>
      <w:b/>
      <w:bCs/>
    </w:rPr>
  </w:style>
  <w:style w:type="table" w:customStyle="1" w:styleId="NBATableStyle2">
    <w:name w:val="NBA Table Style 2"/>
    <w:basedOn w:val="TableNormal"/>
    <w:uiPriority w:val="99"/>
    <w:rsid w:val="00BA55BD"/>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paragraph" w:styleId="FootnoteText">
    <w:name w:val="footnote text"/>
    <w:basedOn w:val="Normal"/>
    <w:link w:val="FootnoteTextChar"/>
    <w:uiPriority w:val="99"/>
    <w:semiHidden/>
    <w:unhideWhenUsed/>
    <w:rsid w:val="008907BD"/>
    <w:pPr>
      <w:spacing w:after="0"/>
    </w:pPr>
    <w:rPr>
      <w:sz w:val="20"/>
      <w:szCs w:val="20"/>
    </w:rPr>
  </w:style>
  <w:style w:type="character" w:customStyle="1" w:styleId="FootnoteTextChar">
    <w:name w:val="Footnote Text Char"/>
    <w:basedOn w:val="DefaultParagraphFont"/>
    <w:link w:val="FootnoteText"/>
    <w:uiPriority w:val="99"/>
    <w:semiHidden/>
    <w:rsid w:val="008907BD"/>
    <w:rPr>
      <w:rFonts w:ascii="Calibri" w:hAnsi="Calibri" w:cs="Calibri"/>
    </w:rPr>
  </w:style>
  <w:style w:type="paragraph" w:customStyle="1" w:styleId="tabtext">
    <w:name w:val="tab text"/>
    <w:basedOn w:val="Normal"/>
    <w:link w:val="tabtextChar"/>
    <w:rsid w:val="007D6E1A"/>
    <w:pPr>
      <w:tabs>
        <w:tab w:val="left" w:pos="567"/>
      </w:tabs>
      <w:spacing w:before="60" w:after="60"/>
    </w:pPr>
    <w:rPr>
      <w:rFonts w:eastAsia="Times New Roman" w:cs="Arial"/>
      <w:sz w:val="18"/>
      <w:szCs w:val="18"/>
      <w:lang w:eastAsia="en-AU"/>
    </w:rPr>
  </w:style>
  <w:style w:type="character" w:customStyle="1" w:styleId="tabtextChar">
    <w:name w:val="tab text Char"/>
    <w:link w:val="tabtext"/>
    <w:rsid w:val="007D6E1A"/>
    <w:rPr>
      <w:rFonts w:ascii="Calibri" w:eastAsia="Times New Roman" w:hAnsi="Calibri"/>
      <w:sz w:val="18"/>
      <w:szCs w:val="18"/>
      <w:lang w:eastAsia="en-AU"/>
    </w:rPr>
  </w:style>
  <w:style w:type="paragraph" w:customStyle="1" w:styleId="dot1">
    <w:name w:val="dot 1"/>
    <w:basedOn w:val="Header"/>
    <w:rsid w:val="000709CE"/>
    <w:pPr>
      <w:numPr>
        <w:numId w:val="9"/>
      </w:numPr>
      <w:tabs>
        <w:tab w:val="clear" w:pos="4513"/>
        <w:tab w:val="clear" w:pos="9026"/>
        <w:tab w:val="right" w:pos="567"/>
        <w:tab w:val="left" w:pos="1134"/>
      </w:tabs>
      <w:spacing w:before="200" w:after="100" w:line="276" w:lineRule="auto"/>
      <w:ind w:left="567" w:hanging="567"/>
    </w:pPr>
    <w:rPr>
      <w:rFonts w:eastAsia="Times New Roman" w:cs="Arial"/>
      <w:sz w:val="20"/>
      <w:szCs w:val="20"/>
      <w:lang w:eastAsia="en-AU"/>
    </w:rPr>
  </w:style>
  <w:style w:type="table" w:customStyle="1" w:styleId="LightList-Accent22">
    <w:name w:val="Light List - Accent 22"/>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6E02E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3">
    <w:name w:val="Light List - Accent 23"/>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NBATableStyle1">
    <w:name w:val="NBA Table Style 1"/>
    <w:basedOn w:val="TableGrid"/>
    <w:uiPriority w:val="99"/>
    <w:rsid w:val="000E1B2A"/>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E74E7B"/>
    <w:pPr>
      <w:spacing w:after="0"/>
    </w:pPr>
  </w:style>
  <w:style w:type="character" w:styleId="Hyperlink">
    <w:name w:val="Hyperlink"/>
    <w:basedOn w:val="DefaultParagraphFont"/>
    <w:unhideWhenUsed/>
    <w:rsid w:val="00E74E7B"/>
    <w:rPr>
      <w:color w:val="0000FF" w:themeColor="hyperlink"/>
      <w:u w:val="single"/>
    </w:rPr>
  </w:style>
  <w:style w:type="paragraph" w:styleId="Revision">
    <w:name w:val="Revision"/>
    <w:hidden/>
    <w:uiPriority w:val="99"/>
    <w:semiHidden/>
    <w:rsid w:val="005762DE"/>
    <w:rPr>
      <w:rFonts w:ascii="Calibri" w:hAnsi="Calibri" w:cs="Calibri"/>
      <w:sz w:val="22"/>
      <w:szCs w:val="22"/>
    </w:rPr>
  </w:style>
  <w:style w:type="paragraph" w:styleId="NormalWeb">
    <w:name w:val="Normal (Web)"/>
    <w:basedOn w:val="Normal"/>
    <w:uiPriority w:val="99"/>
    <w:semiHidden/>
    <w:unhideWhenUsed/>
    <w:rsid w:val="00753027"/>
    <w:pPr>
      <w:spacing w:before="100" w:beforeAutospacing="1" w:after="100" w:afterAutospacing="1"/>
    </w:pPr>
    <w:rPr>
      <w:rFonts w:ascii="Times New Roman" w:eastAsiaTheme="minorEastAsia" w:hAnsi="Times New Roman" w:cs="Times New Roman"/>
      <w:sz w:val="24"/>
      <w:szCs w:val="24"/>
      <w:lang w:eastAsia="en-AU"/>
    </w:rPr>
  </w:style>
  <w:style w:type="character" w:customStyle="1" w:styleId="apple-converted-space">
    <w:name w:val="apple-converted-space"/>
    <w:basedOn w:val="DefaultParagraphFont"/>
    <w:rsid w:val="00164121"/>
  </w:style>
  <w:style w:type="paragraph" w:styleId="EndnoteText">
    <w:name w:val="endnote text"/>
    <w:basedOn w:val="Normal"/>
    <w:link w:val="EndnoteTextChar"/>
    <w:uiPriority w:val="99"/>
    <w:rsid w:val="00E60CAF"/>
    <w:pPr>
      <w:spacing w:after="0"/>
    </w:pPr>
    <w:rPr>
      <w:sz w:val="20"/>
      <w:szCs w:val="20"/>
    </w:rPr>
  </w:style>
  <w:style w:type="character" w:customStyle="1" w:styleId="EndnoteTextChar">
    <w:name w:val="Endnote Text Char"/>
    <w:basedOn w:val="DefaultParagraphFont"/>
    <w:link w:val="EndnoteText"/>
    <w:uiPriority w:val="99"/>
    <w:rsid w:val="00E60CAF"/>
    <w:rPr>
      <w:rFonts w:ascii="Calibri" w:hAnsi="Calibri" w:cs="Calibri"/>
      <w:sz w:val="20"/>
      <w:szCs w:val="20"/>
    </w:rPr>
  </w:style>
  <w:style w:type="character" w:styleId="EndnoteReference">
    <w:name w:val="endnote reference"/>
    <w:basedOn w:val="DefaultParagraphFont"/>
    <w:uiPriority w:val="99"/>
    <w:rsid w:val="00E60CAF"/>
    <w:rPr>
      <w:vertAlign w:val="superscript"/>
    </w:rPr>
  </w:style>
  <w:style w:type="paragraph" w:customStyle="1" w:styleId="Default">
    <w:name w:val="Default"/>
    <w:rsid w:val="00946110"/>
    <w:pPr>
      <w:autoSpaceDE w:val="0"/>
      <w:autoSpaceDN w:val="0"/>
      <w:adjustRightInd w:val="0"/>
    </w:pPr>
    <w:rPr>
      <w:rFonts w:ascii="Arial MT" w:hAnsi="Arial MT" w:cs="Arial MT"/>
      <w:color w:val="000000"/>
    </w:rPr>
  </w:style>
  <w:style w:type="character" w:styleId="FollowedHyperlink">
    <w:name w:val="FollowedHyperlink"/>
    <w:basedOn w:val="DefaultParagraphFont"/>
    <w:uiPriority w:val="99"/>
    <w:rsid w:val="00ED1ED0"/>
    <w:rPr>
      <w:color w:val="800080" w:themeColor="followedHyperlink"/>
      <w:u w:val="single"/>
    </w:rPr>
  </w:style>
  <w:style w:type="character" w:customStyle="1" w:styleId="ListParagraphChar">
    <w:name w:val="List Paragraph Char"/>
    <w:basedOn w:val="DefaultParagraphFont"/>
    <w:link w:val="ListParagraph"/>
    <w:uiPriority w:val="34"/>
    <w:locked/>
    <w:rsid w:val="000C4D79"/>
    <w:rPr>
      <w:rFonts w:ascii="Calibri" w:hAnsi="Calibri" w:cs="Calibri"/>
      <w:sz w:val="22"/>
      <w:szCs w:val="22"/>
    </w:rPr>
  </w:style>
  <w:style w:type="paragraph" w:styleId="BodyText">
    <w:name w:val="Body Text"/>
    <w:basedOn w:val="Normal"/>
    <w:link w:val="BodyTextChar"/>
    <w:uiPriority w:val="99"/>
    <w:rsid w:val="000C4D79"/>
    <w:pPr>
      <w:spacing w:after="120" w:line="276" w:lineRule="auto"/>
    </w:pPr>
  </w:style>
  <w:style w:type="character" w:customStyle="1" w:styleId="BodyTextChar">
    <w:name w:val="Body Text Char"/>
    <w:basedOn w:val="DefaultParagraphFont"/>
    <w:link w:val="BodyText"/>
    <w:uiPriority w:val="99"/>
    <w:rsid w:val="000C4D79"/>
    <w:rPr>
      <w:rFonts w:ascii="Calibr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Dotum" w:hAnsi="Arial" w:cs="Arial"/>
        <w:sz w:val="24"/>
        <w:szCs w:val="24"/>
        <w:lang w:val="en-AU" w:eastAsia="en-US" w:bidi="ar-SA"/>
      </w:rPr>
    </w:rPrDefault>
    <w:pPrDefault/>
  </w:docDefaults>
  <w:latentStyles w:defLockedState="0" w:defUIPriority="0" w:defSemiHidden="0" w:defUnhideWhenUsed="0" w:defQFormat="0" w:count="267">
    <w:lsdException w:name="heading 2" w:uiPriority="9" w:qFormat="1"/>
    <w:lsdException w:name="toc 1" w:uiPriority="39"/>
    <w:lsdException w:name="toc 2" w:uiPriority="39"/>
    <w:lsdException w:name="footer" w:uiPriority="99"/>
    <w:lsdException w:name="table of figures" w:uiPriority="99"/>
    <w:lsdException w:name="endnote reference" w:uiPriority="99"/>
    <w:lsdException w:name="endnote text" w:uiPriority="99"/>
    <w:lsdException w:name="Body Text" w:uiPriority="99"/>
    <w:lsdException w:name="FollowedHyperlink" w:uiPriority="99"/>
    <w:lsdException w:name="Emphasis" w:qFormat="1"/>
    <w:lsdException w:name="Normal (Web)" w:uiPriority="99"/>
    <w:lsdException w:name="No List" w:uiPriority="99"/>
    <w:lsdException w:name="No Spacing" w:uiPriority="1" w:qFormat="1"/>
    <w:lsdException w:name="List Paragraph" w:uiPriority="34" w:qFormat="1"/>
  </w:latentStyles>
  <w:style w:type="paragraph" w:default="1" w:styleId="Normal">
    <w:name w:val="Normal"/>
    <w:qFormat/>
    <w:rsid w:val="008A36DF"/>
    <w:pPr>
      <w:spacing w:after="200"/>
    </w:pPr>
    <w:rPr>
      <w:rFonts w:ascii="Calibri" w:hAnsi="Calibri" w:cs="Calibri"/>
      <w:sz w:val="22"/>
      <w:szCs w:val="22"/>
    </w:rPr>
  </w:style>
  <w:style w:type="paragraph" w:styleId="Heading1">
    <w:name w:val="heading 1"/>
    <w:next w:val="Normal"/>
    <w:link w:val="Heading1Char"/>
    <w:uiPriority w:val="9"/>
    <w:qFormat/>
    <w:rsid w:val="005D2665"/>
    <w:pPr>
      <w:pageBreakBefore/>
      <w:widowControl w:val="0"/>
      <w:pBdr>
        <w:top w:val="single" w:sz="24" w:space="1" w:color="D1282E"/>
        <w:left w:val="single" w:sz="24" w:space="4" w:color="D1282E"/>
        <w:bottom w:val="single" w:sz="24" w:space="1" w:color="D1282E"/>
        <w:right w:val="single" w:sz="24" w:space="4" w:color="D1282E"/>
      </w:pBdr>
      <w:shd w:val="clear" w:color="auto" w:fill="D1282E"/>
      <w:spacing w:after="240"/>
      <w:ind w:right="6"/>
      <w:outlineLvl w:val="0"/>
    </w:pPr>
    <w:rPr>
      <w:rFonts w:ascii="Calibri" w:eastAsia="HYGothic-Extra" w:hAnsi="Calibri" w:cs="Calibri"/>
      <w:b/>
      <w:bCs/>
      <w:color w:val="FFFFFF" w:themeColor="background1"/>
      <w:spacing w:val="-20"/>
      <w:sz w:val="44"/>
      <w:szCs w:val="60"/>
    </w:rPr>
  </w:style>
  <w:style w:type="paragraph" w:styleId="Heading2">
    <w:name w:val="heading 2"/>
    <w:next w:val="Normal"/>
    <w:link w:val="Heading2Char"/>
    <w:autoRedefine/>
    <w:uiPriority w:val="9"/>
    <w:unhideWhenUsed/>
    <w:qFormat/>
    <w:rsid w:val="008A36DF"/>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pPr>
    <w:rPr>
      <w:i/>
      <w:caps/>
      <w:color w:val="000000" w:themeColor="text1"/>
      <w:sz w:val="28"/>
      <w:szCs w:val="32"/>
    </w:rPr>
  </w:style>
  <w:style w:type="paragraph" w:styleId="Heading3">
    <w:name w:val="heading 3"/>
    <w:basedOn w:val="Normal"/>
    <w:next w:val="Normal"/>
    <w:link w:val="Heading3Char1"/>
    <w:autoRedefine/>
    <w:uiPriority w:val="9"/>
    <w:unhideWhenUsed/>
    <w:qFormat/>
    <w:rsid w:val="008A36DF"/>
    <w:pPr>
      <w:keepNext/>
      <w:keepLines/>
      <w:pBdr>
        <w:top w:val="single" w:sz="12" w:space="1" w:color="4F81BD" w:themeColor="accent1"/>
        <w:left w:val="single" w:sz="12" w:space="4" w:color="4F81BD" w:themeColor="accent1"/>
      </w:pBdr>
      <w:shd w:val="clear" w:color="4F81BD" w:themeColor="accent1" w:fill="auto"/>
      <w:spacing w:before="200" w:after="0"/>
      <w:outlineLvl w:val="2"/>
    </w:pPr>
    <w:rPr>
      <w:rFonts w:asciiTheme="majorHAnsi" w:eastAsiaTheme="majorEastAsia" w:hAnsiTheme="majorHAnsi" w:cstheme="majorBidi"/>
      <w:b/>
      <w:bCs/>
      <w:color w:val="FF0000"/>
      <w:sz w:val="24"/>
    </w:rPr>
  </w:style>
  <w:style w:type="paragraph" w:styleId="Heading4">
    <w:name w:val="heading 4"/>
    <w:basedOn w:val="Normal"/>
    <w:next w:val="Normal"/>
    <w:link w:val="Heading4Char"/>
    <w:uiPriority w:val="9"/>
    <w:unhideWhenUsed/>
    <w:qFormat/>
    <w:rsid w:val="008A36DF"/>
    <w:pPr>
      <w:keepNext/>
      <w:keepLines/>
      <w:spacing w:before="200" w:after="0"/>
      <w:outlineLvl w:val="3"/>
    </w:pPr>
    <w:rPr>
      <w:rFonts w:ascii="Arial Black" w:eastAsia="HYGothic-Extra" w:hAnsi="Arial Black" w:cs="Tahoma"/>
      <w:bCs/>
      <w:i/>
      <w:iCs/>
      <w:color w:val="7A7A7A"/>
      <w:sz w:val="20"/>
      <w:szCs w:val="20"/>
    </w:rPr>
  </w:style>
  <w:style w:type="paragraph" w:styleId="Heading5">
    <w:name w:val="heading 5"/>
    <w:basedOn w:val="Normal"/>
    <w:next w:val="Normal"/>
    <w:link w:val="Heading5Char"/>
    <w:uiPriority w:val="9"/>
    <w:unhideWhenUsed/>
    <w:qFormat/>
    <w:rsid w:val="008A36DF"/>
    <w:pPr>
      <w:keepNext/>
      <w:keepLines/>
      <w:spacing w:before="200" w:after="0"/>
      <w:outlineLvl w:val="4"/>
    </w:pPr>
    <w:rPr>
      <w:rFonts w:ascii="Arial" w:eastAsia="HYGothic-Extra" w:hAnsi="Arial" w:cs="Tahoma"/>
      <w:b/>
      <w:color w:val="5B5B5B"/>
      <w:sz w:val="20"/>
      <w:szCs w:val="20"/>
    </w:rPr>
  </w:style>
  <w:style w:type="paragraph" w:styleId="Heading6">
    <w:name w:val="heading 6"/>
    <w:basedOn w:val="Normal"/>
    <w:next w:val="Normal"/>
    <w:link w:val="Heading6Char"/>
    <w:uiPriority w:val="9"/>
    <w:semiHidden/>
    <w:unhideWhenUsed/>
    <w:qFormat/>
    <w:rsid w:val="008A36DF"/>
    <w:pPr>
      <w:keepNext/>
      <w:keepLines/>
      <w:spacing w:before="200" w:after="0"/>
      <w:outlineLvl w:val="5"/>
    </w:pPr>
    <w:rPr>
      <w:rFonts w:ascii="Arial Black" w:eastAsia="HYGothic-Extra" w:hAnsi="Arial Black" w:cs="Tahoma"/>
      <w:i/>
      <w:iCs/>
      <w:color w:val="5B5B5B"/>
      <w:sz w:val="20"/>
      <w:szCs w:val="20"/>
    </w:rPr>
  </w:style>
  <w:style w:type="paragraph" w:styleId="Heading7">
    <w:name w:val="heading 7"/>
    <w:basedOn w:val="Normal"/>
    <w:next w:val="Normal"/>
    <w:link w:val="Heading7Char"/>
    <w:uiPriority w:val="9"/>
    <w:semiHidden/>
    <w:unhideWhenUsed/>
    <w:qFormat/>
    <w:rsid w:val="008A36DF"/>
    <w:pPr>
      <w:keepNext/>
      <w:keepLines/>
      <w:spacing w:before="200" w:after="0"/>
      <w:outlineLvl w:val="6"/>
    </w:pPr>
    <w:rPr>
      <w:rFonts w:ascii="Arial" w:eastAsia="HYGothic-Extra" w:hAnsi="Arial" w:cs="Tahoma"/>
      <w:b/>
      <w:iCs/>
      <w:color w:val="D1282E"/>
      <w:sz w:val="20"/>
      <w:szCs w:val="20"/>
    </w:rPr>
  </w:style>
  <w:style w:type="paragraph" w:styleId="Heading8">
    <w:name w:val="heading 8"/>
    <w:basedOn w:val="Normal"/>
    <w:next w:val="Normal"/>
    <w:link w:val="Heading8Char"/>
    <w:uiPriority w:val="9"/>
    <w:semiHidden/>
    <w:unhideWhenUsed/>
    <w:qFormat/>
    <w:rsid w:val="008A36DF"/>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rsid w:val="008A36DF"/>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D2665"/>
    <w:rPr>
      <w:rFonts w:ascii="Calibri" w:eastAsia="HYGothic-Extra" w:hAnsi="Calibri" w:cs="Calibri"/>
      <w:b/>
      <w:bCs/>
      <w:color w:val="FFFFFF" w:themeColor="background1"/>
      <w:spacing w:val="-20"/>
      <w:sz w:val="44"/>
      <w:szCs w:val="60"/>
      <w:shd w:val="clear" w:color="auto" w:fill="D1282E"/>
    </w:rPr>
  </w:style>
  <w:style w:type="character" w:customStyle="1" w:styleId="Heading2Char">
    <w:name w:val="Heading 2 Char"/>
    <w:link w:val="Heading2"/>
    <w:uiPriority w:val="9"/>
    <w:rsid w:val="008A36DF"/>
    <w:rPr>
      <w:i/>
      <w:caps/>
      <w:color w:val="000000" w:themeColor="text1"/>
      <w:sz w:val="28"/>
      <w:szCs w:val="32"/>
      <w:shd w:val="clear" w:color="auto" w:fill="DBE5F1"/>
    </w:rPr>
  </w:style>
  <w:style w:type="character" w:customStyle="1" w:styleId="Heading3Char1">
    <w:name w:val="Heading 3 Char1"/>
    <w:basedOn w:val="DefaultParagraphFont"/>
    <w:link w:val="Heading3"/>
    <w:uiPriority w:val="9"/>
    <w:rsid w:val="008A36DF"/>
    <w:rPr>
      <w:rFonts w:asciiTheme="majorHAnsi" w:eastAsiaTheme="majorEastAsia" w:hAnsiTheme="majorHAnsi" w:cstheme="majorBidi"/>
      <w:b/>
      <w:bCs/>
      <w:color w:val="FF0000"/>
      <w:sz w:val="24"/>
      <w:szCs w:val="22"/>
      <w:shd w:val="clear" w:color="4F81BD" w:themeColor="accent1" w:fill="auto"/>
    </w:rPr>
  </w:style>
  <w:style w:type="character" w:customStyle="1" w:styleId="Heading4Char">
    <w:name w:val="Heading 4 Char"/>
    <w:link w:val="Heading4"/>
    <w:uiPriority w:val="9"/>
    <w:rsid w:val="008A36DF"/>
    <w:rPr>
      <w:rFonts w:ascii="Arial Black" w:eastAsia="HYGothic-Extra" w:hAnsi="Arial Black" w:cs="Tahoma"/>
      <w:bCs/>
      <w:i/>
      <w:iCs/>
      <w:color w:val="7A7A7A"/>
    </w:rPr>
  </w:style>
  <w:style w:type="character" w:customStyle="1" w:styleId="Heading5Char">
    <w:name w:val="Heading 5 Char"/>
    <w:link w:val="Heading5"/>
    <w:uiPriority w:val="9"/>
    <w:rsid w:val="008A36DF"/>
    <w:rPr>
      <w:rFonts w:eastAsia="HYGothic-Extra" w:cs="Tahoma"/>
      <w:b/>
      <w:color w:val="5B5B5B"/>
    </w:rPr>
  </w:style>
  <w:style w:type="character" w:customStyle="1" w:styleId="Heading6Char">
    <w:name w:val="Heading 6 Char"/>
    <w:link w:val="Heading6"/>
    <w:uiPriority w:val="9"/>
    <w:semiHidden/>
    <w:rsid w:val="008A36DF"/>
    <w:rPr>
      <w:rFonts w:ascii="Arial Black" w:eastAsia="HYGothic-Extra" w:hAnsi="Arial Black" w:cs="Tahoma"/>
      <w:i/>
      <w:iCs/>
      <w:color w:val="5B5B5B"/>
    </w:rPr>
  </w:style>
  <w:style w:type="character" w:customStyle="1" w:styleId="Heading7Char">
    <w:name w:val="Heading 7 Char"/>
    <w:link w:val="Heading7"/>
    <w:uiPriority w:val="9"/>
    <w:semiHidden/>
    <w:rsid w:val="008A36DF"/>
    <w:rPr>
      <w:rFonts w:eastAsia="HYGothic-Extra" w:cs="Tahoma"/>
      <w:b/>
      <w:iCs/>
      <w:color w:val="D1282E"/>
    </w:rPr>
  </w:style>
  <w:style w:type="character" w:customStyle="1" w:styleId="Heading8Char">
    <w:name w:val="Heading 8 Char"/>
    <w:link w:val="Heading8"/>
    <w:uiPriority w:val="9"/>
    <w:semiHidden/>
    <w:rsid w:val="008A36DF"/>
    <w:rPr>
      <w:rFonts w:ascii="Arial Black" w:eastAsia="HYGothic-Extra" w:hAnsi="Arial Black" w:cs="Tahoma"/>
      <w:color w:val="7A7A7A"/>
    </w:rPr>
  </w:style>
  <w:style w:type="character" w:customStyle="1" w:styleId="Heading9Char">
    <w:name w:val="Heading 9 Char"/>
    <w:link w:val="Heading9"/>
    <w:uiPriority w:val="9"/>
    <w:semiHidden/>
    <w:rsid w:val="008A36DF"/>
    <w:rPr>
      <w:rFonts w:ascii="Arial Black" w:eastAsia="HYGothic-Extra" w:hAnsi="Arial Black" w:cs="Tahoma"/>
      <w:i/>
      <w:iCs/>
      <w:color w:val="5B5B5B"/>
    </w:rPr>
  </w:style>
  <w:style w:type="character" w:customStyle="1" w:styleId="Heading3Char">
    <w:name w:val="Heading 3 Char"/>
    <w:basedOn w:val="DefaultParagraphFont"/>
    <w:uiPriority w:val="9"/>
    <w:rsid w:val="003D27F1"/>
    <w:rPr>
      <w:rFonts w:ascii="Arial" w:eastAsia="Dotum" w:hAnsi="Arial" w:cs="Arial"/>
      <w:color w:val="C60C30"/>
      <w:sz w:val="28"/>
      <w:szCs w:val="28"/>
    </w:rPr>
  </w:style>
  <w:style w:type="paragraph" w:styleId="ListParagraph">
    <w:name w:val="List Paragraph"/>
    <w:basedOn w:val="Normal"/>
    <w:link w:val="ListParagraphChar"/>
    <w:uiPriority w:val="34"/>
    <w:qFormat/>
    <w:rsid w:val="008A36DF"/>
    <w:pPr>
      <w:ind w:left="720"/>
      <w:contextualSpacing/>
    </w:pPr>
  </w:style>
  <w:style w:type="table" w:styleId="TableGrid">
    <w:name w:val="Table Grid"/>
    <w:basedOn w:val="TableNormal"/>
    <w:rsid w:val="00B37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A36DF"/>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8A36DF"/>
    <w:rPr>
      <w:rFonts w:ascii="Calibri" w:eastAsia="HYGothic-Extra" w:hAnsi="Calibri" w:cs="Calibri"/>
      <w:b/>
      <w:caps/>
      <w:color w:val="005374"/>
      <w:spacing w:val="-20"/>
      <w:kern w:val="28"/>
      <w:sz w:val="60"/>
      <w:szCs w:val="60"/>
    </w:rPr>
  </w:style>
  <w:style w:type="paragraph" w:styleId="Subtitle">
    <w:name w:val="Subtitle"/>
    <w:basedOn w:val="Normal"/>
    <w:next w:val="Normal"/>
    <w:link w:val="SubtitleChar"/>
    <w:uiPriority w:val="11"/>
    <w:qFormat/>
    <w:rsid w:val="008A36DF"/>
    <w:pPr>
      <w:numPr>
        <w:ilvl w:val="1"/>
      </w:numPr>
    </w:pPr>
    <w:rPr>
      <w:rFonts w:eastAsia="HYGothic-Extra"/>
      <w:b/>
      <w:bCs/>
      <w:iCs/>
      <w:color w:val="D1282E"/>
      <w:sz w:val="40"/>
      <w:szCs w:val="40"/>
      <w:lang w:val="en-US"/>
    </w:rPr>
  </w:style>
  <w:style w:type="character" w:customStyle="1" w:styleId="SubtitleChar">
    <w:name w:val="Subtitle Char"/>
    <w:link w:val="Subtitle"/>
    <w:uiPriority w:val="11"/>
    <w:rsid w:val="008A36DF"/>
    <w:rPr>
      <w:rFonts w:ascii="Calibri" w:eastAsia="HYGothic-Extra" w:hAnsi="Calibri" w:cs="Calibri"/>
      <w:b/>
      <w:bCs/>
      <w:iCs/>
      <w:color w:val="D1282E"/>
      <w:sz w:val="40"/>
      <w:szCs w:val="40"/>
      <w:lang w:val="en-US"/>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TOCHeading">
    <w:name w:val="TOC Heading"/>
    <w:basedOn w:val="Heading1"/>
    <w:next w:val="Normal"/>
    <w:uiPriority w:val="39"/>
    <w:unhideWhenUsed/>
    <w:qFormat/>
    <w:rsid w:val="008A36DF"/>
    <w:pPr>
      <w:outlineLvl w:val="9"/>
    </w:pPr>
  </w:style>
  <w:style w:type="paragraph" w:styleId="TOC2">
    <w:name w:val="toc 2"/>
    <w:basedOn w:val="Normal"/>
    <w:next w:val="Normal"/>
    <w:autoRedefine/>
    <w:uiPriority w:val="39"/>
    <w:unhideWhenUsed/>
    <w:qFormat/>
    <w:rsid w:val="008A36DF"/>
    <w:pPr>
      <w:spacing w:after="0"/>
      <w:ind w:left="220"/>
    </w:pPr>
    <w:rPr>
      <w:rFonts w:asciiTheme="minorHAnsi" w:hAnsiTheme="minorHAnsi" w:cstheme="minorHAnsi"/>
      <w:smallCaps/>
      <w:sz w:val="20"/>
      <w:szCs w:val="20"/>
    </w:rPr>
  </w:style>
  <w:style w:type="paragraph" w:styleId="TOC1">
    <w:name w:val="toc 1"/>
    <w:basedOn w:val="Normal"/>
    <w:next w:val="Normal"/>
    <w:autoRedefine/>
    <w:uiPriority w:val="39"/>
    <w:unhideWhenUsed/>
    <w:qFormat/>
    <w:rsid w:val="008A36DF"/>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semiHidden/>
    <w:unhideWhenUsed/>
    <w:qFormat/>
    <w:rsid w:val="008A36DF"/>
    <w:pPr>
      <w:spacing w:after="0"/>
      <w:ind w:left="440"/>
    </w:pPr>
    <w:rPr>
      <w:rFonts w:asciiTheme="minorHAnsi" w:hAnsiTheme="minorHAnsi" w:cstheme="minorHAnsi"/>
      <w:i/>
      <w:iCs/>
      <w:sz w:val="20"/>
      <w:szCs w:val="20"/>
    </w:rPr>
  </w:style>
  <w:style w:type="paragraph" w:styleId="BalloonText">
    <w:name w:val="Balloon Text"/>
    <w:basedOn w:val="Normal"/>
    <w:link w:val="BalloonTextChar"/>
    <w:uiPriority w:val="99"/>
    <w:semiHidden/>
    <w:unhideWhenUsed/>
    <w:rsid w:val="008A36D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6DF"/>
    <w:rPr>
      <w:rFonts w:ascii="Tahoma" w:eastAsia="Dotum" w:hAnsi="Tahoma" w:cs="Tahoma"/>
      <w:sz w:val="16"/>
      <w:szCs w:val="16"/>
    </w:rPr>
  </w:style>
  <w:style w:type="paragraph" w:customStyle="1" w:styleId="QuickTip">
    <w:name w:val="Quick Tip"/>
    <w:basedOn w:val="NoSpacing"/>
    <w:qFormat/>
    <w:rsid w:val="008A36DF"/>
    <w:rPr>
      <w:b/>
      <w:caps/>
      <w:color w:val="548DD4" w:themeColor="text2" w:themeTint="99"/>
    </w:rPr>
  </w:style>
  <w:style w:type="paragraph" w:styleId="NoSpacing">
    <w:name w:val="No Spacing"/>
    <w:link w:val="NoSpacingChar"/>
    <w:uiPriority w:val="1"/>
    <w:qFormat/>
    <w:rsid w:val="008A36DF"/>
    <w:rPr>
      <w:rFonts w:ascii="Calibri" w:hAnsi="Calibri" w:cs="Calibri"/>
      <w:sz w:val="22"/>
      <w:szCs w:val="22"/>
      <w:lang w:val="en-US"/>
    </w:rPr>
  </w:style>
  <w:style w:type="character" w:customStyle="1" w:styleId="NoSpacingChar">
    <w:name w:val="No Spacing Char"/>
    <w:basedOn w:val="DefaultParagraphFont"/>
    <w:link w:val="NoSpacing"/>
    <w:uiPriority w:val="1"/>
    <w:rsid w:val="008A36DF"/>
    <w:rPr>
      <w:rFonts w:ascii="Calibri" w:hAnsi="Calibri" w:cs="Calibri"/>
      <w:sz w:val="22"/>
      <w:szCs w:val="22"/>
      <w:lang w:val="en-US"/>
    </w:rPr>
  </w:style>
  <w:style w:type="paragraph" w:styleId="Caption">
    <w:name w:val="caption"/>
    <w:aliases w:val="Caption 2"/>
    <w:basedOn w:val="Normal"/>
    <w:next w:val="Normal"/>
    <w:unhideWhenUsed/>
    <w:qFormat/>
    <w:rsid w:val="008A36DF"/>
    <w:pPr>
      <w:spacing w:after="0"/>
      <w:ind w:left="1418" w:hanging="1418"/>
    </w:pPr>
    <w:rPr>
      <w:b/>
      <w:bCs/>
      <w:color w:val="A6A6A6" w:themeColor="background1" w:themeShade="A6"/>
      <w:szCs w:val="18"/>
    </w:rPr>
  </w:style>
  <w:style w:type="character" w:styleId="Strong">
    <w:name w:val="Strong"/>
    <w:uiPriority w:val="22"/>
    <w:qFormat/>
    <w:rsid w:val="008A36DF"/>
    <w:rPr>
      <w:b/>
      <w:bCs/>
    </w:rPr>
  </w:style>
  <w:style w:type="character" w:styleId="Emphasis">
    <w:name w:val="Emphasis"/>
    <w:qFormat/>
    <w:rsid w:val="008A36DF"/>
    <w:rPr>
      <w:i/>
      <w:iCs/>
    </w:rPr>
  </w:style>
  <w:style w:type="paragraph" w:styleId="Quote">
    <w:name w:val="Quote"/>
    <w:basedOn w:val="Normal"/>
    <w:next w:val="Normal"/>
    <w:link w:val="QuoteChar"/>
    <w:uiPriority w:val="29"/>
    <w:qFormat/>
    <w:rsid w:val="008A36DF"/>
    <w:pPr>
      <w:spacing w:line="360" w:lineRule="auto"/>
    </w:pPr>
    <w:rPr>
      <w:rFonts w:ascii="Arial" w:hAnsi="Arial" w:cs="Arial"/>
      <w:i/>
      <w:iCs/>
      <w:color w:val="7A7A7A"/>
      <w:sz w:val="28"/>
      <w:szCs w:val="20"/>
    </w:rPr>
  </w:style>
  <w:style w:type="character" w:customStyle="1" w:styleId="QuoteChar">
    <w:name w:val="Quote Char"/>
    <w:link w:val="Quote"/>
    <w:uiPriority w:val="29"/>
    <w:rsid w:val="008A36DF"/>
    <w:rPr>
      <w:i/>
      <w:iCs/>
      <w:color w:val="7A7A7A"/>
      <w:sz w:val="28"/>
    </w:rPr>
  </w:style>
  <w:style w:type="paragraph" w:styleId="IntenseQuote">
    <w:name w:val="Intense Quote"/>
    <w:basedOn w:val="Normal"/>
    <w:next w:val="Normal"/>
    <w:link w:val="IntenseQuoteChar"/>
    <w:uiPriority w:val="30"/>
    <w:qFormat/>
    <w:rsid w:val="008A36DF"/>
    <w:pPr>
      <w:pBdr>
        <w:top w:val="single" w:sz="36" w:space="5" w:color="000000"/>
        <w:bottom w:val="single" w:sz="18" w:space="5" w:color="D1282E"/>
      </w:pBdr>
      <w:spacing w:before="200" w:after="280" w:line="360" w:lineRule="auto"/>
    </w:pPr>
    <w:rPr>
      <w:rFonts w:ascii="Arial" w:hAnsi="Arial" w:cs="Arial"/>
      <w:b/>
      <w:bCs/>
      <w:i/>
      <w:iCs/>
      <w:color w:val="7F7F7F"/>
      <w:sz w:val="26"/>
      <w:szCs w:val="20"/>
    </w:rPr>
  </w:style>
  <w:style w:type="character" w:customStyle="1" w:styleId="IntenseQuoteChar">
    <w:name w:val="Intense Quote Char"/>
    <w:link w:val="IntenseQuote"/>
    <w:uiPriority w:val="30"/>
    <w:rsid w:val="008A36DF"/>
    <w:rPr>
      <w:b/>
      <w:bCs/>
      <w:i/>
      <w:iCs/>
      <w:color w:val="7F7F7F"/>
      <w:sz w:val="26"/>
    </w:rPr>
  </w:style>
  <w:style w:type="character" w:styleId="SubtleEmphasis">
    <w:name w:val="Subtle Emphasis"/>
    <w:uiPriority w:val="19"/>
    <w:qFormat/>
    <w:rsid w:val="008A36DF"/>
    <w:rPr>
      <w:i/>
      <w:iCs/>
      <w:color w:val="7A7A7A"/>
    </w:rPr>
  </w:style>
  <w:style w:type="character" w:styleId="IntenseEmphasis">
    <w:name w:val="Intense Emphasis"/>
    <w:uiPriority w:val="21"/>
    <w:qFormat/>
    <w:rsid w:val="008A36DF"/>
    <w:rPr>
      <w:b/>
      <w:bCs/>
      <w:i/>
      <w:iCs/>
      <w:color w:val="D1282E"/>
    </w:rPr>
  </w:style>
  <w:style w:type="character" w:styleId="SubtleReference">
    <w:name w:val="Subtle Reference"/>
    <w:uiPriority w:val="31"/>
    <w:qFormat/>
    <w:rsid w:val="008A36DF"/>
    <w:rPr>
      <w:rFonts w:ascii="Arial" w:hAnsi="Arial"/>
      <w:smallCaps/>
      <w:color w:val="F5C201"/>
      <w:sz w:val="22"/>
      <w:u w:val="none"/>
    </w:rPr>
  </w:style>
  <w:style w:type="character" w:styleId="IntenseReference">
    <w:name w:val="Intense Reference"/>
    <w:uiPriority w:val="32"/>
    <w:qFormat/>
    <w:rsid w:val="008A36DF"/>
    <w:rPr>
      <w:rFonts w:ascii="Arial" w:hAnsi="Arial"/>
      <w:b/>
      <w:bCs/>
      <w:caps/>
      <w:color w:val="F5C201"/>
      <w:spacing w:val="5"/>
      <w:sz w:val="22"/>
      <w:u w:val="single"/>
    </w:rPr>
  </w:style>
  <w:style w:type="character" w:styleId="BookTitle">
    <w:name w:val="Book Title"/>
    <w:uiPriority w:val="33"/>
    <w:qFormat/>
    <w:rsid w:val="008A36DF"/>
    <w:rPr>
      <w:rFonts w:ascii="Arial" w:hAnsi="Arial"/>
      <w:b/>
      <w:bCs/>
      <w:caps/>
      <w:color w:val="3D3D3D"/>
      <w:spacing w:val="5"/>
      <w:sz w:val="22"/>
    </w:rPr>
  </w:style>
  <w:style w:type="character" w:styleId="FootnoteReference">
    <w:name w:val="footnote reference"/>
    <w:basedOn w:val="DefaultParagraphFont"/>
    <w:uiPriority w:val="99"/>
    <w:semiHidden/>
    <w:unhideWhenUsed/>
    <w:rsid w:val="008A36DF"/>
    <w:rPr>
      <w:vertAlign w:val="superscript"/>
    </w:rPr>
  </w:style>
  <w:style w:type="character" w:styleId="CommentReference">
    <w:name w:val="annotation reference"/>
    <w:basedOn w:val="DefaultParagraphFont"/>
    <w:uiPriority w:val="99"/>
    <w:semiHidden/>
    <w:unhideWhenUsed/>
    <w:rsid w:val="008A36DF"/>
    <w:rPr>
      <w:sz w:val="16"/>
      <w:szCs w:val="16"/>
    </w:rPr>
  </w:style>
  <w:style w:type="paragraph" w:styleId="CommentText">
    <w:name w:val="annotation text"/>
    <w:basedOn w:val="Normal"/>
    <w:link w:val="CommentTextChar"/>
    <w:uiPriority w:val="99"/>
    <w:unhideWhenUsed/>
    <w:rsid w:val="008A36DF"/>
    <w:rPr>
      <w:sz w:val="20"/>
      <w:szCs w:val="20"/>
    </w:rPr>
  </w:style>
  <w:style w:type="character" w:customStyle="1" w:styleId="CommentTextChar">
    <w:name w:val="Comment Text Char"/>
    <w:basedOn w:val="DefaultParagraphFont"/>
    <w:link w:val="CommentText"/>
    <w:uiPriority w:val="99"/>
    <w:rsid w:val="008A36DF"/>
    <w:rPr>
      <w:rFonts w:ascii="Calibri" w:hAnsi="Calibri" w:cs="Calibri"/>
    </w:rPr>
  </w:style>
  <w:style w:type="paragraph" w:styleId="CommentSubject">
    <w:name w:val="annotation subject"/>
    <w:basedOn w:val="CommentText"/>
    <w:next w:val="CommentText"/>
    <w:link w:val="CommentSubjectChar"/>
    <w:uiPriority w:val="99"/>
    <w:semiHidden/>
    <w:unhideWhenUsed/>
    <w:rsid w:val="002734A3"/>
    <w:rPr>
      <w:b/>
      <w:bCs/>
    </w:rPr>
  </w:style>
  <w:style w:type="character" w:customStyle="1" w:styleId="CommentSubjectChar">
    <w:name w:val="Comment Subject Char"/>
    <w:basedOn w:val="CommentTextChar"/>
    <w:link w:val="CommentSubject"/>
    <w:uiPriority w:val="99"/>
    <w:semiHidden/>
    <w:rsid w:val="002734A3"/>
    <w:rPr>
      <w:rFonts w:ascii="Calibri" w:hAnsi="Calibri" w:cs="Calibri"/>
      <w:b/>
      <w:bCs/>
    </w:rPr>
  </w:style>
  <w:style w:type="table" w:customStyle="1" w:styleId="NBATableStyle2">
    <w:name w:val="NBA Table Style 2"/>
    <w:basedOn w:val="TableNormal"/>
    <w:uiPriority w:val="99"/>
    <w:rsid w:val="00BA55BD"/>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paragraph" w:styleId="FootnoteText">
    <w:name w:val="footnote text"/>
    <w:basedOn w:val="Normal"/>
    <w:link w:val="FootnoteTextChar"/>
    <w:uiPriority w:val="99"/>
    <w:semiHidden/>
    <w:unhideWhenUsed/>
    <w:rsid w:val="008907BD"/>
    <w:pPr>
      <w:spacing w:after="0"/>
    </w:pPr>
    <w:rPr>
      <w:sz w:val="20"/>
      <w:szCs w:val="20"/>
    </w:rPr>
  </w:style>
  <w:style w:type="character" w:customStyle="1" w:styleId="FootnoteTextChar">
    <w:name w:val="Footnote Text Char"/>
    <w:basedOn w:val="DefaultParagraphFont"/>
    <w:link w:val="FootnoteText"/>
    <w:uiPriority w:val="99"/>
    <w:semiHidden/>
    <w:rsid w:val="008907BD"/>
    <w:rPr>
      <w:rFonts w:ascii="Calibri" w:hAnsi="Calibri" w:cs="Calibri"/>
    </w:rPr>
  </w:style>
  <w:style w:type="paragraph" w:customStyle="1" w:styleId="tabtext">
    <w:name w:val="tab text"/>
    <w:basedOn w:val="Normal"/>
    <w:link w:val="tabtextChar"/>
    <w:rsid w:val="007D6E1A"/>
    <w:pPr>
      <w:tabs>
        <w:tab w:val="left" w:pos="567"/>
      </w:tabs>
      <w:spacing w:before="60" w:after="60"/>
    </w:pPr>
    <w:rPr>
      <w:rFonts w:eastAsia="Times New Roman" w:cs="Arial"/>
      <w:sz w:val="18"/>
      <w:szCs w:val="18"/>
      <w:lang w:eastAsia="en-AU"/>
    </w:rPr>
  </w:style>
  <w:style w:type="character" w:customStyle="1" w:styleId="tabtextChar">
    <w:name w:val="tab text Char"/>
    <w:link w:val="tabtext"/>
    <w:rsid w:val="007D6E1A"/>
    <w:rPr>
      <w:rFonts w:ascii="Calibri" w:eastAsia="Times New Roman" w:hAnsi="Calibri"/>
      <w:sz w:val="18"/>
      <w:szCs w:val="18"/>
      <w:lang w:eastAsia="en-AU"/>
    </w:rPr>
  </w:style>
  <w:style w:type="paragraph" w:customStyle="1" w:styleId="dot1">
    <w:name w:val="dot 1"/>
    <w:basedOn w:val="Header"/>
    <w:rsid w:val="000709CE"/>
    <w:pPr>
      <w:numPr>
        <w:numId w:val="9"/>
      </w:numPr>
      <w:tabs>
        <w:tab w:val="clear" w:pos="4513"/>
        <w:tab w:val="clear" w:pos="9026"/>
        <w:tab w:val="right" w:pos="567"/>
        <w:tab w:val="left" w:pos="1134"/>
      </w:tabs>
      <w:spacing w:before="200" w:after="100" w:line="276" w:lineRule="auto"/>
      <w:ind w:left="567" w:hanging="567"/>
    </w:pPr>
    <w:rPr>
      <w:rFonts w:eastAsia="Times New Roman" w:cs="Arial"/>
      <w:sz w:val="20"/>
      <w:szCs w:val="20"/>
      <w:lang w:eastAsia="en-AU"/>
    </w:rPr>
  </w:style>
  <w:style w:type="table" w:customStyle="1" w:styleId="LightList-Accent22">
    <w:name w:val="Light List - Accent 22"/>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6E02E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3">
    <w:name w:val="Light List - Accent 23"/>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NBATableStyle1">
    <w:name w:val="NBA Table Style 1"/>
    <w:basedOn w:val="TableGrid"/>
    <w:uiPriority w:val="99"/>
    <w:rsid w:val="000E1B2A"/>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E74E7B"/>
    <w:pPr>
      <w:spacing w:after="0"/>
    </w:pPr>
  </w:style>
  <w:style w:type="character" w:styleId="Hyperlink">
    <w:name w:val="Hyperlink"/>
    <w:basedOn w:val="DefaultParagraphFont"/>
    <w:unhideWhenUsed/>
    <w:rsid w:val="00E74E7B"/>
    <w:rPr>
      <w:color w:val="0000FF" w:themeColor="hyperlink"/>
      <w:u w:val="single"/>
    </w:rPr>
  </w:style>
  <w:style w:type="paragraph" w:styleId="Revision">
    <w:name w:val="Revision"/>
    <w:hidden/>
    <w:uiPriority w:val="99"/>
    <w:semiHidden/>
    <w:rsid w:val="005762DE"/>
    <w:rPr>
      <w:rFonts w:ascii="Calibri" w:hAnsi="Calibri" w:cs="Calibri"/>
      <w:sz w:val="22"/>
      <w:szCs w:val="22"/>
    </w:rPr>
  </w:style>
  <w:style w:type="paragraph" w:styleId="NormalWeb">
    <w:name w:val="Normal (Web)"/>
    <w:basedOn w:val="Normal"/>
    <w:uiPriority w:val="99"/>
    <w:semiHidden/>
    <w:unhideWhenUsed/>
    <w:rsid w:val="00753027"/>
    <w:pPr>
      <w:spacing w:before="100" w:beforeAutospacing="1" w:after="100" w:afterAutospacing="1"/>
    </w:pPr>
    <w:rPr>
      <w:rFonts w:ascii="Times New Roman" w:eastAsiaTheme="minorEastAsia" w:hAnsi="Times New Roman" w:cs="Times New Roman"/>
      <w:sz w:val="24"/>
      <w:szCs w:val="24"/>
      <w:lang w:eastAsia="en-AU"/>
    </w:rPr>
  </w:style>
  <w:style w:type="character" w:customStyle="1" w:styleId="apple-converted-space">
    <w:name w:val="apple-converted-space"/>
    <w:basedOn w:val="DefaultParagraphFont"/>
    <w:rsid w:val="00164121"/>
  </w:style>
  <w:style w:type="paragraph" w:styleId="EndnoteText">
    <w:name w:val="endnote text"/>
    <w:basedOn w:val="Normal"/>
    <w:link w:val="EndnoteTextChar"/>
    <w:uiPriority w:val="99"/>
    <w:rsid w:val="00E60CAF"/>
    <w:pPr>
      <w:spacing w:after="0"/>
    </w:pPr>
    <w:rPr>
      <w:sz w:val="20"/>
      <w:szCs w:val="20"/>
    </w:rPr>
  </w:style>
  <w:style w:type="character" w:customStyle="1" w:styleId="EndnoteTextChar">
    <w:name w:val="Endnote Text Char"/>
    <w:basedOn w:val="DefaultParagraphFont"/>
    <w:link w:val="EndnoteText"/>
    <w:uiPriority w:val="99"/>
    <w:rsid w:val="00E60CAF"/>
    <w:rPr>
      <w:rFonts w:ascii="Calibri" w:hAnsi="Calibri" w:cs="Calibri"/>
      <w:sz w:val="20"/>
      <w:szCs w:val="20"/>
    </w:rPr>
  </w:style>
  <w:style w:type="character" w:styleId="EndnoteReference">
    <w:name w:val="endnote reference"/>
    <w:basedOn w:val="DefaultParagraphFont"/>
    <w:uiPriority w:val="99"/>
    <w:rsid w:val="00E60CAF"/>
    <w:rPr>
      <w:vertAlign w:val="superscript"/>
    </w:rPr>
  </w:style>
  <w:style w:type="paragraph" w:customStyle="1" w:styleId="Default">
    <w:name w:val="Default"/>
    <w:rsid w:val="00946110"/>
    <w:pPr>
      <w:autoSpaceDE w:val="0"/>
      <w:autoSpaceDN w:val="0"/>
      <w:adjustRightInd w:val="0"/>
    </w:pPr>
    <w:rPr>
      <w:rFonts w:ascii="Arial MT" w:hAnsi="Arial MT" w:cs="Arial MT"/>
      <w:color w:val="000000"/>
    </w:rPr>
  </w:style>
  <w:style w:type="character" w:styleId="FollowedHyperlink">
    <w:name w:val="FollowedHyperlink"/>
    <w:basedOn w:val="DefaultParagraphFont"/>
    <w:uiPriority w:val="99"/>
    <w:rsid w:val="00ED1ED0"/>
    <w:rPr>
      <w:color w:val="800080" w:themeColor="followedHyperlink"/>
      <w:u w:val="single"/>
    </w:rPr>
  </w:style>
  <w:style w:type="character" w:customStyle="1" w:styleId="ListParagraphChar">
    <w:name w:val="List Paragraph Char"/>
    <w:basedOn w:val="DefaultParagraphFont"/>
    <w:link w:val="ListParagraph"/>
    <w:uiPriority w:val="34"/>
    <w:locked/>
    <w:rsid w:val="000C4D79"/>
    <w:rPr>
      <w:rFonts w:ascii="Calibri" w:hAnsi="Calibri" w:cs="Calibri"/>
      <w:sz w:val="22"/>
      <w:szCs w:val="22"/>
    </w:rPr>
  </w:style>
  <w:style w:type="paragraph" w:styleId="BodyText">
    <w:name w:val="Body Text"/>
    <w:basedOn w:val="Normal"/>
    <w:link w:val="BodyTextChar"/>
    <w:uiPriority w:val="99"/>
    <w:rsid w:val="000C4D79"/>
    <w:pPr>
      <w:spacing w:after="120" w:line="276" w:lineRule="auto"/>
    </w:pPr>
  </w:style>
  <w:style w:type="character" w:customStyle="1" w:styleId="BodyTextChar">
    <w:name w:val="Body Text Char"/>
    <w:basedOn w:val="DefaultParagraphFont"/>
    <w:link w:val="BodyText"/>
    <w:uiPriority w:val="99"/>
    <w:rsid w:val="000C4D79"/>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56866">
      <w:bodyDiv w:val="1"/>
      <w:marLeft w:val="0"/>
      <w:marRight w:val="0"/>
      <w:marTop w:val="0"/>
      <w:marBottom w:val="0"/>
      <w:divBdr>
        <w:top w:val="none" w:sz="0" w:space="0" w:color="auto"/>
        <w:left w:val="none" w:sz="0" w:space="0" w:color="auto"/>
        <w:bottom w:val="none" w:sz="0" w:space="0" w:color="auto"/>
        <w:right w:val="none" w:sz="0" w:space="0" w:color="auto"/>
      </w:divBdr>
    </w:div>
    <w:div w:id="127941380">
      <w:bodyDiv w:val="1"/>
      <w:marLeft w:val="0"/>
      <w:marRight w:val="0"/>
      <w:marTop w:val="0"/>
      <w:marBottom w:val="0"/>
      <w:divBdr>
        <w:top w:val="none" w:sz="0" w:space="0" w:color="auto"/>
        <w:left w:val="none" w:sz="0" w:space="0" w:color="auto"/>
        <w:bottom w:val="none" w:sz="0" w:space="0" w:color="auto"/>
        <w:right w:val="none" w:sz="0" w:space="0" w:color="auto"/>
      </w:divBdr>
    </w:div>
    <w:div w:id="154886278">
      <w:bodyDiv w:val="1"/>
      <w:marLeft w:val="0"/>
      <w:marRight w:val="0"/>
      <w:marTop w:val="0"/>
      <w:marBottom w:val="0"/>
      <w:divBdr>
        <w:top w:val="none" w:sz="0" w:space="0" w:color="auto"/>
        <w:left w:val="none" w:sz="0" w:space="0" w:color="auto"/>
        <w:bottom w:val="none" w:sz="0" w:space="0" w:color="auto"/>
        <w:right w:val="none" w:sz="0" w:space="0" w:color="auto"/>
      </w:divBdr>
    </w:div>
    <w:div w:id="311368288">
      <w:bodyDiv w:val="1"/>
      <w:marLeft w:val="0"/>
      <w:marRight w:val="0"/>
      <w:marTop w:val="0"/>
      <w:marBottom w:val="0"/>
      <w:divBdr>
        <w:top w:val="none" w:sz="0" w:space="0" w:color="auto"/>
        <w:left w:val="none" w:sz="0" w:space="0" w:color="auto"/>
        <w:bottom w:val="none" w:sz="0" w:space="0" w:color="auto"/>
        <w:right w:val="none" w:sz="0" w:space="0" w:color="auto"/>
      </w:divBdr>
    </w:div>
    <w:div w:id="328872252">
      <w:bodyDiv w:val="1"/>
      <w:marLeft w:val="0"/>
      <w:marRight w:val="0"/>
      <w:marTop w:val="0"/>
      <w:marBottom w:val="0"/>
      <w:divBdr>
        <w:top w:val="none" w:sz="0" w:space="0" w:color="auto"/>
        <w:left w:val="none" w:sz="0" w:space="0" w:color="auto"/>
        <w:bottom w:val="none" w:sz="0" w:space="0" w:color="auto"/>
        <w:right w:val="none" w:sz="0" w:space="0" w:color="auto"/>
      </w:divBdr>
    </w:div>
    <w:div w:id="356086359">
      <w:bodyDiv w:val="1"/>
      <w:marLeft w:val="0"/>
      <w:marRight w:val="0"/>
      <w:marTop w:val="0"/>
      <w:marBottom w:val="0"/>
      <w:divBdr>
        <w:top w:val="none" w:sz="0" w:space="0" w:color="auto"/>
        <w:left w:val="none" w:sz="0" w:space="0" w:color="auto"/>
        <w:bottom w:val="none" w:sz="0" w:space="0" w:color="auto"/>
        <w:right w:val="none" w:sz="0" w:space="0" w:color="auto"/>
      </w:divBdr>
    </w:div>
    <w:div w:id="371226649">
      <w:bodyDiv w:val="1"/>
      <w:marLeft w:val="0"/>
      <w:marRight w:val="0"/>
      <w:marTop w:val="0"/>
      <w:marBottom w:val="0"/>
      <w:divBdr>
        <w:top w:val="none" w:sz="0" w:space="0" w:color="auto"/>
        <w:left w:val="none" w:sz="0" w:space="0" w:color="auto"/>
        <w:bottom w:val="none" w:sz="0" w:space="0" w:color="auto"/>
        <w:right w:val="none" w:sz="0" w:space="0" w:color="auto"/>
      </w:divBdr>
    </w:div>
    <w:div w:id="385490259">
      <w:bodyDiv w:val="1"/>
      <w:marLeft w:val="0"/>
      <w:marRight w:val="0"/>
      <w:marTop w:val="0"/>
      <w:marBottom w:val="0"/>
      <w:divBdr>
        <w:top w:val="none" w:sz="0" w:space="0" w:color="auto"/>
        <w:left w:val="none" w:sz="0" w:space="0" w:color="auto"/>
        <w:bottom w:val="none" w:sz="0" w:space="0" w:color="auto"/>
        <w:right w:val="none" w:sz="0" w:space="0" w:color="auto"/>
      </w:divBdr>
    </w:div>
    <w:div w:id="393166045">
      <w:bodyDiv w:val="1"/>
      <w:marLeft w:val="0"/>
      <w:marRight w:val="0"/>
      <w:marTop w:val="0"/>
      <w:marBottom w:val="0"/>
      <w:divBdr>
        <w:top w:val="none" w:sz="0" w:space="0" w:color="auto"/>
        <w:left w:val="none" w:sz="0" w:space="0" w:color="auto"/>
        <w:bottom w:val="none" w:sz="0" w:space="0" w:color="auto"/>
        <w:right w:val="none" w:sz="0" w:space="0" w:color="auto"/>
      </w:divBdr>
    </w:div>
    <w:div w:id="394547431">
      <w:bodyDiv w:val="1"/>
      <w:marLeft w:val="0"/>
      <w:marRight w:val="0"/>
      <w:marTop w:val="0"/>
      <w:marBottom w:val="0"/>
      <w:divBdr>
        <w:top w:val="none" w:sz="0" w:space="0" w:color="auto"/>
        <w:left w:val="none" w:sz="0" w:space="0" w:color="auto"/>
        <w:bottom w:val="none" w:sz="0" w:space="0" w:color="auto"/>
        <w:right w:val="none" w:sz="0" w:space="0" w:color="auto"/>
      </w:divBdr>
    </w:div>
    <w:div w:id="406851653">
      <w:bodyDiv w:val="1"/>
      <w:marLeft w:val="0"/>
      <w:marRight w:val="0"/>
      <w:marTop w:val="0"/>
      <w:marBottom w:val="0"/>
      <w:divBdr>
        <w:top w:val="none" w:sz="0" w:space="0" w:color="auto"/>
        <w:left w:val="none" w:sz="0" w:space="0" w:color="auto"/>
        <w:bottom w:val="none" w:sz="0" w:space="0" w:color="auto"/>
        <w:right w:val="none" w:sz="0" w:space="0" w:color="auto"/>
      </w:divBdr>
    </w:div>
    <w:div w:id="452946450">
      <w:bodyDiv w:val="1"/>
      <w:marLeft w:val="0"/>
      <w:marRight w:val="0"/>
      <w:marTop w:val="0"/>
      <w:marBottom w:val="0"/>
      <w:divBdr>
        <w:top w:val="none" w:sz="0" w:space="0" w:color="auto"/>
        <w:left w:val="none" w:sz="0" w:space="0" w:color="auto"/>
        <w:bottom w:val="none" w:sz="0" w:space="0" w:color="auto"/>
        <w:right w:val="none" w:sz="0" w:space="0" w:color="auto"/>
      </w:divBdr>
    </w:div>
    <w:div w:id="458301806">
      <w:bodyDiv w:val="1"/>
      <w:marLeft w:val="0"/>
      <w:marRight w:val="0"/>
      <w:marTop w:val="0"/>
      <w:marBottom w:val="0"/>
      <w:divBdr>
        <w:top w:val="none" w:sz="0" w:space="0" w:color="auto"/>
        <w:left w:val="none" w:sz="0" w:space="0" w:color="auto"/>
        <w:bottom w:val="none" w:sz="0" w:space="0" w:color="auto"/>
        <w:right w:val="none" w:sz="0" w:space="0" w:color="auto"/>
      </w:divBdr>
    </w:div>
    <w:div w:id="468134958">
      <w:bodyDiv w:val="1"/>
      <w:marLeft w:val="0"/>
      <w:marRight w:val="0"/>
      <w:marTop w:val="0"/>
      <w:marBottom w:val="0"/>
      <w:divBdr>
        <w:top w:val="none" w:sz="0" w:space="0" w:color="auto"/>
        <w:left w:val="none" w:sz="0" w:space="0" w:color="auto"/>
        <w:bottom w:val="none" w:sz="0" w:space="0" w:color="auto"/>
        <w:right w:val="none" w:sz="0" w:space="0" w:color="auto"/>
      </w:divBdr>
    </w:div>
    <w:div w:id="507595168">
      <w:bodyDiv w:val="1"/>
      <w:marLeft w:val="0"/>
      <w:marRight w:val="0"/>
      <w:marTop w:val="0"/>
      <w:marBottom w:val="0"/>
      <w:divBdr>
        <w:top w:val="none" w:sz="0" w:space="0" w:color="auto"/>
        <w:left w:val="none" w:sz="0" w:space="0" w:color="auto"/>
        <w:bottom w:val="none" w:sz="0" w:space="0" w:color="auto"/>
        <w:right w:val="none" w:sz="0" w:space="0" w:color="auto"/>
      </w:divBdr>
    </w:div>
    <w:div w:id="559948152">
      <w:bodyDiv w:val="1"/>
      <w:marLeft w:val="0"/>
      <w:marRight w:val="0"/>
      <w:marTop w:val="0"/>
      <w:marBottom w:val="0"/>
      <w:divBdr>
        <w:top w:val="none" w:sz="0" w:space="0" w:color="auto"/>
        <w:left w:val="none" w:sz="0" w:space="0" w:color="auto"/>
        <w:bottom w:val="none" w:sz="0" w:space="0" w:color="auto"/>
        <w:right w:val="none" w:sz="0" w:space="0" w:color="auto"/>
      </w:divBdr>
    </w:div>
    <w:div w:id="586307562">
      <w:bodyDiv w:val="1"/>
      <w:marLeft w:val="0"/>
      <w:marRight w:val="0"/>
      <w:marTop w:val="0"/>
      <w:marBottom w:val="0"/>
      <w:divBdr>
        <w:top w:val="none" w:sz="0" w:space="0" w:color="auto"/>
        <w:left w:val="none" w:sz="0" w:space="0" w:color="auto"/>
        <w:bottom w:val="none" w:sz="0" w:space="0" w:color="auto"/>
        <w:right w:val="none" w:sz="0" w:space="0" w:color="auto"/>
      </w:divBdr>
    </w:div>
    <w:div w:id="586958814">
      <w:bodyDiv w:val="1"/>
      <w:marLeft w:val="0"/>
      <w:marRight w:val="0"/>
      <w:marTop w:val="0"/>
      <w:marBottom w:val="0"/>
      <w:divBdr>
        <w:top w:val="none" w:sz="0" w:space="0" w:color="auto"/>
        <w:left w:val="none" w:sz="0" w:space="0" w:color="auto"/>
        <w:bottom w:val="none" w:sz="0" w:space="0" w:color="auto"/>
        <w:right w:val="none" w:sz="0" w:space="0" w:color="auto"/>
      </w:divBdr>
    </w:div>
    <w:div w:id="650059346">
      <w:bodyDiv w:val="1"/>
      <w:marLeft w:val="0"/>
      <w:marRight w:val="0"/>
      <w:marTop w:val="0"/>
      <w:marBottom w:val="0"/>
      <w:divBdr>
        <w:top w:val="none" w:sz="0" w:space="0" w:color="auto"/>
        <w:left w:val="none" w:sz="0" w:space="0" w:color="auto"/>
        <w:bottom w:val="none" w:sz="0" w:space="0" w:color="auto"/>
        <w:right w:val="none" w:sz="0" w:space="0" w:color="auto"/>
      </w:divBdr>
    </w:div>
    <w:div w:id="665716263">
      <w:bodyDiv w:val="1"/>
      <w:marLeft w:val="0"/>
      <w:marRight w:val="0"/>
      <w:marTop w:val="0"/>
      <w:marBottom w:val="0"/>
      <w:divBdr>
        <w:top w:val="none" w:sz="0" w:space="0" w:color="auto"/>
        <w:left w:val="none" w:sz="0" w:space="0" w:color="auto"/>
        <w:bottom w:val="none" w:sz="0" w:space="0" w:color="auto"/>
        <w:right w:val="none" w:sz="0" w:space="0" w:color="auto"/>
      </w:divBdr>
    </w:div>
    <w:div w:id="669064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5242">
          <w:marLeft w:val="0"/>
          <w:marRight w:val="0"/>
          <w:marTop w:val="0"/>
          <w:marBottom w:val="0"/>
          <w:divBdr>
            <w:top w:val="none" w:sz="0" w:space="0" w:color="auto"/>
            <w:left w:val="none" w:sz="0" w:space="0" w:color="auto"/>
            <w:bottom w:val="none" w:sz="0" w:space="0" w:color="auto"/>
            <w:right w:val="none" w:sz="0" w:space="0" w:color="auto"/>
          </w:divBdr>
          <w:divsChild>
            <w:div w:id="491875546">
              <w:marLeft w:val="0"/>
              <w:marRight w:val="0"/>
              <w:marTop w:val="0"/>
              <w:marBottom w:val="0"/>
              <w:divBdr>
                <w:top w:val="none" w:sz="0" w:space="0" w:color="auto"/>
                <w:left w:val="none" w:sz="0" w:space="0" w:color="auto"/>
                <w:bottom w:val="none" w:sz="0" w:space="0" w:color="auto"/>
                <w:right w:val="none" w:sz="0" w:space="0" w:color="auto"/>
              </w:divBdr>
              <w:divsChild>
                <w:div w:id="14002026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679966217">
      <w:bodyDiv w:val="1"/>
      <w:marLeft w:val="0"/>
      <w:marRight w:val="0"/>
      <w:marTop w:val="0"/>
      <w:marBottom w:val="0"/>
      <w:divBdr>
        <w:top w:val="none" w:sz="0" w:space="0" w:color="auto"/>
        <w:left w:val="none" w:sz="0" w:space="0" w:color="auto"/>
        <w:bottom w:val="none" w:sz="0" w:space="0" w:color="auto"/>
        <w:right w:val="none" w:sz="0" w:space="0" w:color="auto"/>
      </w:divBdr>
    </w:div>
    <w:div w:id="704257446">
      <w:bodyDiv w:val="1"/>
      <w:marLeft w:val="0"/>
      <w:marRight w:val="0"/>
      <w:marTop w:val="0"/>
      <w:marBottom w:val="0"/>
      <w:divBdr>
        <w:top w:val="none" w:sz="0" w:space="0" w:color="auto"/>
        <w:left w:val="none" w:sz="0" w:space="0" w:color="auto"/>
        <w:bottom w:val="none" w:sz="0" w:space="0" w:color="auto"/>
        <w:right w:val="none" w:sz="0" w:space="0" w:color="auto"/>
      </w:divBdr>
      <w:divsChild>
        <w:div w:id="454566548">
          <w:marLeft w:val="0"/>
          <w:marRight w:val="0"/>
          <w:marTop w:val="0"/>
          <w:marBottom w:val="0"/>
          <w:divBdr>
            <w:top w:val="none" w:sz="0" w:space="0" w:color="auto"/>
            <w:left w:val="none" w:sz="0" w:space="0" w:color="auto"/>
            <w:bottom w:val="none" w:sz="0" w:space="0" w:color="auto"/>
            <w:right w:val="none" w:sz="0" w:space="0" w:color="auto"/>
          </w:divBdr>
          <w:divsChild>
            <w:div w:id="1009600781">
              <w:marLeft w:val="0"/>
              <w:marRight w:val="0"/>
              <w:marTop w:val="0"/>
              <w:marBottom w:val="0"/>
              <w:divBdr>
                <w:top w:val="none" w:sz="0" w:space="0" w:color="auto"/>
                <w:left w:val="none" w:sz="0" w:space="0" w:color="auto"/>
                <w:bottom w:val="none" w:sz="0" w:space="0" w:color="auto"/>
                <w:right w:val="none" w:sz="0" w:space="0" w:color="auto"/>
              </w:divBdr>
              <w:divsChild>
                <w:div w:id="17333822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40638966">
      <w:bodyDiv w:val="1"/>
      <w:marLeft w:val="0"/>
      <w:marRight w:val="0"/>
      <w:marTop w:val="0"/>
      <w:marBottom w:val="0"/>
      <w:divBdr>
        <w:top w:val="none" w:sz="0" w:space="0" w:color="auto"/>
        <w:left w:val="none" w:sz="0" w:space="0" w:color="auto"/>
        <w:bottom w:val="none" w:sz="0" w:space="0" w:color="auto"/>
        <w:right w:val="none" w:sz="0" w:space="0" w:color="auto"/>
      </w:divBdr>
    </w:div>
    <w:div w:id="762802912">
      <w:bodyDiv w:val="1"/>
      <w:marLeft w:val="0"/>
      <w:marRight w:val="0"/>
      <w:marTop w:val="0"/>
      <w:marBottom w:val="0"/>
      <w:divBdr>
        <w:top w:val="none" w:sz="0" w:space="0" w:color="auto"/>
        <w:left w:val="none" w:sz="0" w:space="0" w:color="auto"/>
        <w:bottom w:val="none" w:sz="0" w:space="0" w:color="auto"/>
        <w:right w:val="none" w:sz="0" w:space="0" w:color="auto"/>
      </w:divBdr>
    </w:div>
    <w:div w:id="772701042">
      <w:bodyDiv w:val="1"/>
      <w:marLeft w:val="0"/>
      <w:marRight w:val="0"/>
      <w:marTop w:val="0"/>
      <w:marBottom w:val="0"/>
      <w:divBdr>
        <w:top w:val="none" w:sz="0" w:space="0" w:color="auto"/>
        <w:left w:val="none" w:sz="0" w:space="0" w:color="auto"/>
        <w:bottom w:val="none" w:sz="0" w:space="0" w:color="auto"/>
        <w:right w:val="none" w:sz="0" w:space="0" w:color="auto"/>
      </w:divBdr>
    </w:div>
    <w:div w:id="792674620">
      <w:bodyDiv w:val="1"/>
      <w:marLeft w:val="0"/>
      <w:marRight w:val="0"/>
      <w:marTop w:val="0"/>
      <w:marBottom w:val="0"/>
      <w:divBdr>
        <w:top w:val="none" w:sz="0" w:space="0" w:color="auto"/>
        <w:left w:val="none" w:sz="0" w:space="0" w:color="auto"/>
        <w:bottom w:val="none" w:sz="0" w:space="0" w:color="auto"/>
        <w:right w:val="none" w:sz="0" w:space="0" w:color="auto"/>
      </w:divBdr>
    </w:div>
    <w:div w:id="794105978">
      <w:bodyDiv w:val="1"/>
      <w:marLeft w:val="0"/>
      <w:marRight w:val="0"/>
      <w:marTop w:val="0"/>
      <w:marBottom w:val="0"/>
      <w:divBdr>
        <w:top w:val="none" w:sz="0" w:space="0" w:color="auto"/>
        <w:left w:val="none" w:sz="0" w:space="0" w:color="auto"/>
        <w:bottom w:val="none" w:sz="0" w:space="0" w:color="auto"/>
        <w:right w:val="none" w:sz="0" w:space="0" w:color="auto"/>
      </w:divBdr>
    </w:div>
    <w:div w:id="807742861">
      <w:bodyDiv w:val="1"/>
      <w:marLeft w:val="0"/>
      <w:marRight w:val="0"/>
      <w:marTop w:val="0"/>
      <w:marBottom w:val="0"/>
      <w:divBdr>
        <w:top w:val="none" w:sz="0" w:space="0" w:color="auto"/>
        <w:left w:val="none" w:sz="0" w:space="0" w:color="auto"/>
        <w:bottom w:val="none" w:sz="0" w:space="0" w:color="auto"/>
        <w:right w:val="none" w:sz="0" w:space="0" w:color="auto"/>
      </w:divBdr>
    </w:div>
    <w:div w:id="812988853">
      <w:bodyDiv w:val="1"/>
      <w:marLeft w:val="0"/>
      <w:marRight w:val="0"/>
      <w:marTop w:val="0"/>
      <w:marBottom w:val="0"/>
      <w:divBdr>
        <w:top w:val="none" w:sz="0" w:space="0" w:color="auto"/>
        <w:left w:val="none" w:sz="0" w:space="0" w:color="auto"/>
        <w:bottom w:val="none" w:sz="0" w:space="0" w:color="auto"/>
        <w:right w:val="none" w:sz="0" w:space="0" w:color="auto"/>
      </w:divBdr>
    </w:div>
    <w:div w:id="843973848">
      <w:bodyDiv w:val="1"/>
      <w:marLeft w:val="0"/>
      <w:marRight w:val="0"/>
      <w:marTop w:val="0"/>
      <w:marBottom w:val="0"/>
      <w:divBdr>
        <w:top w:val="none" w:sz="0" w:space="0" w:color="auto"/>
        <w:left w:val="none" w:sz="0" w:space="0" w:color="auto"/>
        <w:bottom w:val="none" w:sz="0" w:space="0" w:color="auto"/>
        <w:right w:val="none" w:sz="0" w:space="0" w:color="auto"/>
      </w:divBdr>
    </w:div>
    <w:div w:id="858812776">
      <w:bodyDiv w:val="1"/>
      <w:marLeft w:val="0"/>
      <w:marRight w:val="0"/>
      <w:marTop w:val="0"/>
      <w:marBottom w:val="0"/>
      <w:divBdr>
        <w:top w:val="none" w:sz="0" w:space="0" w:color="auto"/>
        <w:left w:val="none" w:sz="0" w:space="0" w:color="auto"/>
        <w:bottom w:val="none" w:sz="0" w:space="0" w:color="auto"/>
        <w:right w:val="none" w:sz="0" w:space="0" w:color="auto"/>
      </w:divBdr>
    </w:div>
    <w:div w:id="864636058">
      <w:bodyDiv w:val="1"/>
      <w:marLeft w:val="0"/>
      <w:marRight w:val="0"/>
      <w:marTop w:val="0"/>
      <w:marBottom w:val="0"/>
      <w:divBdr>
        <w:top w:val="none" w:sz="0" w:space="0" w:color="auto"/>
        <w:left w:val="none" w:sz="0" w:space="0" w:color="auto"/>
        <w:bottom w:val="none" w:sz="0" w:space="0" w:color="auto"/>
        <w:right w:val="none" w:sz="0" w:space="0" w:color="auto"/>
      </w:divBdr>
    </w:div>
    <w:div w:id="894505910">
      <w:bodyDiv w:val="1"/>
      <w:marLeft w:val="0"/>
      <w:marRight w:val="0"/>
      <w:marTop w:val="0"/>
      <w:marBottom w:val="0"/>
      <w:divBdr>
        <w:top w:val="none" w:sz="0" w:space="0" w:color="auto"/>
        <w:left w:val="none" w:sz="0" w:space="0" w:color="auto"/>
        <w:bottom w:val="none" w:sz="0" w:space="0" w:color="auto"/>
        <w:right w:val="none" w:sz="0" w:space="0" w:color="auto"/>
      </w:divBdr>
    </w:div>
    <w:div w:id="974483552">
      <w:bodyDiv w:val="1"/>
      <w:marLeft w:val="0"/>
      <w:marRight w:val="0"/>
      <w:marTop w:val="0"/>
      <w:marBottom w:val="0"/>
      <w:divBdr>
        <w:top w:val="none" w:sz="0" w:space="0" w:color="auto"/>
        <w:left w:val="none" w:sz="0" w:space="0" w:color="auto"/>
        <w:bottom w:val="none" w:sz="0" w:space="0" w:color="auto"/>
        <w:right w:val="none" w:sz="0" w:space="0" w:color="auto"/>
      </w:divBdr>
    </w:div>
    <w:div w:id="977225348">
      <w:bodyDiv w:val="1"/>
      <w:marLeft w:val="0"/>
      <w:marRight w:val="0"/>
      <w:marTop w:val="0"/>
      <w:marBottom w:val="0"/>
      <w:divBdr>
        <w:top w:val="none" w:sz="0" w:space="0" w:color="auto"/>
        <w:left w:val="none" w:sz="0" w:space="0" w:color="auto"/>
        <w:bottom w:val="none" w:sz="0" w:space="0" w:color="auto"/>
        <w:right w:val="none" w:sz="0" w:space="0" w:color="auto"/>
      </w:divBdr>
    </w:div>
    <w:div w:id="990600789">
      <w:bodyDiv w:val="1"/>
      <w:marLeft w:val="0"/>
      <w:marRight w:val="0"/>
      <w:marTop w:val="0"/>
      <w:marBottom w:val="0"/>
      <w:divBdr>
        <w:top w:val="none" w:sz="0" w:space="0" w:color="auto"/>
        <w:left w:val="none" w:sz="0" w:space="0" w:color="auto"/>
        <w:bottom w:val="none" w:sz="0" w:space="0" w:color="auto"/>
        <w:right w:val="none" w:sz="0" w:space="0" w:color="auto"/>
      </w:divBdr>
      <w:divsChild>
        <w:div w:id="593129666">
          <w:marLeft w:val="0"/>
          <w:marRight w:val="0"/>
          <w:marTop w:val="0"/>
          <w:marBottom w:val="0"/>
          <w:divBdr>
            <w:top w:val="none" w:sz="0" w:space="0" w:color="auto"/>
            <w:left w:val="none" w:sz="0" w:space="0" w:color="auto"/>
            <w:bottom w:val="none" w:sz="0" w:space="0" w:color="auto"/>
            <w:right w:val="none" w:sz="0" w:space="0" w:color="auto"/>
          </w:divBdr>
        </w:div>
        <w:div w:id="1591546986">
          <w:marLeft w:val="0"/>
          <w:marRight w:val="0"/>
          <w:marTop w:val="0"/>
          <w:marBottom w:val="0"/>
          <w:divBdr>
            <w:top w:val="none" w:sz="0" w:space="0" w:color="auto"/>
            <w:left w:val="none" w:sz="0" w:space="0" w:color="auto"/>
            <w:bottom w:val="none" w:sz="0" w:space="0" w:color="auto"/>
            <w:right w:val="none" w:sz="0" w:space="0" w:color="auto"/>
          </w:divBdr>
        </w:div>
        <w:div w:id="1860772018">
          <w:marLeft w:val="0"/>
          <w:marRight w:val="0"/>
          <w:marTop w:val="0"/>
          <w:marBottom w:val="0"/>
          <w:divBdr>
            <w:top w:val="none" w:sz="0" w:space="0" w:color="auto"/>
            <w:left w:val="none" w:sz="0" w:space="0" w:color="auto"/>
            <w:bottom w:val="none" w:sz="0" w:space="0" w:color="auto"/>
            <w:right w:val="none" w:sz="0" w:space="0" w:color="auto"/>
          </w:divBdr>
        </w:div>
      </w:divsChild>
    </w:div>
    <w:div w:id="1007631180">
      <w:bodyDiv w:val="1"/>
      <w:marLeft w:val="0"/>
      <w:marRight w:val="0"/>
      <w:marTop w:val="0"/>
      <w:marBottom w:val="0"/>
      <w:divBdr>
        <w:top w:val="none" w:sz="0" w:space="0" w:color="auto"/>
        <w:left w:val="none" w:sz="0" w:space="0" w:color="auto"/>
        <w:bottom w:val="none" w:sz="0" w:space="0" w:color="auto"/>
        <w:right w:val="none" w:sz="0" w:space="0" w:color="auto"/>
      </w:divBdr>
    </w:div>
    <w:div w:id="1007634945">
      <w:bodyDiv w:val="1"/>
      <w:marLeft w:val="0"/>
      <w:marRight w:val="0"/>
      <w:marTop w:val="0"/>
      <w:marBottom w:val="0"/>
      <w:divBdr>
        <w:top w:val="none" w:sz="0" w:space="0" w:color="auto"/>
        <w:left w:val="none" w:sz="0" w:space="0" w:color="auto"/>
        <w:bottom w:val="none" w:sz="0" w:space="0" w:color="auto"/>
        <w:right w:val="none" w:sz="0" w:space="0" w:color="auto"/>
      </w:divBdr>
    </w:div>
    <w:div w:id="1016469190">
      <w:bodyDiv w:val="1"/>
      <w:marLeft w:val="0"/>
      <w:marRight w:val="0"/>
      <w:marTop w:val="0"/>
      <w:marBottom w:val="0"/>
      <w:divBdr>
        <w:top w:val="none" w:sz="0" w:space="0" w:color="auto"/>
        <w:left w:val="none" w:sz="0" w:space="0" w:color="auto"/>
        <w:bottom w:val="none" w:sz="0" w:space="0" w:color="auto"/>
        <w:right w:val="none" w:sz="0" w:space="0" w:color="auto"/>
      </w:divBdr>
    </w:div>
    <w:div w:id="1040473594">
      <w:bodyDiv w:val="1"/>
      <w:marLeft w:val="0"/>
      <w:marRight w:val="0"/>
      <w:marTop w:val="0"/>
      <w:marBottom w:val="0"/>
      <w:divBdr>
        <w:top w:val="none" w:sz="0" w:space="0" w:color="auto"/>
        <w:left w:val="none" w:sz="0" w:space="0" w:color="auto"/>
        <w:bottom w:val="none" w:sz="0" w:space="0" w:color="auto"/>
        <w:right w:val="none" w:sz="0" w:space="0" w:color="auto"/>
      </w:divBdr>
    </w:div>
    <w:div w:id="1078673680">
      <w:bodyDiv w:val="1"/>
      <w:marLeft w:val="0"/>
      <w:marRight w:val="0"/>
      <w:marTop w:val="0"/>
      <w:marBottom w:val="0"/>
      <w:divBdr>
        <w:top w:val="none" w:sz="0" w:space="0" w:color="auto"/>
        <w:left w:val="none" w:sz="0" w:space="0" w:color="auto"/>
        <w:bottom w:val="none" w:sz="0" w:space="0" w:color="auto"/>
        <w:right w:val="none" w:sz="0" w:space="0" w:color="auto"/>
      </w:divBdr>
    </w:div>
    <w:div w:id="1122309963">
      <w:bodyDiv w:val="1"/>
      <w:marLeft w:val="0"/>
      <w:marRight w:val="0"/>
      <w:marTop w:val="0"/>
      <w:marBottom w:val="0"/>
      <w:divBdr>
        <w:top w:val="none" w:sz="0" w:space="0" w:color="auto"/>
        <w:left w:val="none" w:sz="0" w:space="0" w:color="auto"/>
        <w:bottom w:val="none" w:sz="0" w:space="0" w:color="auto"/>
        <w:right w:val="none" w:sz="0" w:space="0" w:color="auto"/>
      </w:divBdr>
    </w:div>
    <w:div w:id="1139306228">
      <w:bodyDiv w:val="1"/>
      <w:marLeft w:val="0"/>
      <w:marRight w:val="0"/>
      <w:marTop w:val="0"/>
      <w:marBottom w:val="0"/>
      <w:divBdr>
        <w:top w:val="none" w:sz="0" w:space="0" w:color="auto"/>
        <w:left w:val="none" w:sz="0" w:space="0" w:color="auto"/>
        <w:bottom w:val="none" w:sz="0" w:space="0" w:color="auto"/>
        <w:right w:val="none" w:sz="0" w:space="0" w:color="auto"/>
      </w:divBdr>
    </w:div>
    <w:div w:id="1157259507">
      <w:bodyDiv w:val="1"/>
      <w:marLeft w:val="0"/>
      <w:marRight w:val="0"/>
      <w:marTop w:val="0"/>
      <w:marBottom w:val="0"/>
      <w:divBdr>
        <w:top w:val="none" w:sz="0" w:space="0" w:color="auto"/>
        <w:left w:val="none" w:sz="0" w:space="0" w:color="auto"/>
        <w:bottom w:val="none" w:sz="0" w:space="0" w:color="auto"/>
        <w:right w:val="none" w:sz="0" w:space="0" w:color="auto"/>
      </w:divBdr>
    </w:div>
    <w:div w:id="1158032859">
      <w:bodyDiv w:val="1"/>
      <w:marLeft w:val="0"/>
      <w:marRight w:val="0"/>
      <w:marTop w:val="0"/>
      <w:marBottom w:val="0"/>
      <w:divBdr>
        <w:top w:val="none" w:sz="0" w:space="0" w:color="auto"/>
        <w:left w:val="none" w:sz="0" w:space="0" w:color="auto"/>
        <w:bottom w:val="none" w:sz="0" w:space="0" w:color="auto"/>
        <w:right w:val="none" w:sz="0" w:space="0" w:color="auto"/>
      </w:divBdr>
    </w:div>
    <w:div w:id="1183782294">
      <w:bodyDiv w:val="1"/>
      <w:marLeft w:val="0"/>
      <w:marRight w:val="0"/>
      <w:marTop w:val="0"/>
      <w:marBottom w:val="0"/>
      <w:divBdr>
        <w:top w:val="none" w:sz="0" w:space="0" w:color="auto"/>
        <w:left w:val="none" w:sz="0" w:space="0" w:color="auto"/>
        <w:bottom w:val="none" w:sz="0" w:space="0" w:color="auto"/>
        <w:right w:val="none" w:sz="0" w:space="0" w:color="auto"/>
      </w:divBdr>
    </w:div>
    <w:div w:id="1184322200">
      <w:bodyDiv w:val="1"/>
      <w:marLeft w:val="0"/>
      <w:marRight w:val="0"/>
      <w:marTop w:val="0"/>
      <w:marBottom w:val="0"/>
      <w:divBdr>
        <w:top w:val="none" w:sz="0" w:space="0" w:color="auto"/>
        <w:left w:val="none" w:sz="0" w:space="0" w:color="auto"/>
        <w:bottom w:val="none" w:sz="0" w:space="0" w:color="auto"/>
        <w:right w:val="none" w:sz="0" w:space="0" w:color="auto"/>
      </w:divBdr>
    </w:div>
    <w:div w:id="1269973677">
      <w:bodyDiv w:val="1"/>
      <w:marLeft w:val="0"/>
      <w:marRight w:val="0"/>
      <w:marTop w:val="0"/>
      <w:marBottom w:val="0"/>
      <w:divBdr>
        <w:top w:val="none" w:sz="0" w:space="0" w:color="auto"/>
        <w:left w:val="none" w:sz="0" w:space="0" w:color="auto"/>
        <w:bottom w:val="none" w:sz="0" w:space="0" w:color="auto"/>
        <w:right w:val="none" w:sz="0" w:space="0" w:color="auto"/>
      </w:divBdr>
    </w:div>
    <w:div w:id="1314455820">
      <w:bodyDiv w:val="1"/>
      <w:marLeft w:val="0"/>
      <w:marRight w:val="0"/>
      <w:marTop w:val="0"/>
      <w:marBottom w:val="0"/>
      <w:divBdr>
        <w:top w:val="none" w:sz="0" w:space="0" w:color="auto"/>
        <w:left w:val="none" w:sz="0" w:space="0" w:color="auto"/>
        <w:bottom w:val="none" w:sz="0" w:space="0" w:color="auto"/>
        <w:right w:val="none" w:sz="0" w:space="0" w:color="auto"/>
      </w:divBdr>
    </w:div>
    <w:div w:id="1367219601">
      <w:bodyDiv w:val="1"/>
      <w:marLeft w:val="0"/>
      <w:marRight w:val="0"/>
      <w:marTop w:val="0"/>
      <w:marBottom w:val="0"/>
      <w:divBdr>
        <w:top w:val="none" w:sz="0" w:space="0" w:color="auto"/>
        <w:left w:val="none" w:sz="0" w:space="0" w:color="auto"/>
        <w:bottom w:val="none" w:sz="0" w:space="0" w:color="auto"/>
        <w:right w:val="none" w:sz="0" w:space="0" w:color="auto"/>
      </w:divBdr>
    </w:div>
    <w:div w:id="1372923743">
      <w:bodyDiv w:val="1"/>
      <w:marLeft w:val="0"/>
      <w:marRight w:val="0"/>
      <w:marTop w:val="0"/>
      <w:marBottom w:val="0"/>
      <w:divBdr>
        <w:top w:val="none" w:sz="0" w:space="0" w:color="auto"/>
        <w:left w:val="none" w:sz="0" w:space="0" w:color="auto"/>
        <w:bottom w:val="none" w:sz="0" w:space="0" w:color="auto"/>
        <w:right w:val="none" w:sz="0" w:space="0" w:color="auto"/>
      </w:divBdr>
    </w:div>
    <w:div w:id="1384870074">
      <w:bodyDiv w:val="1"/>
      <w:marLeft w:val="0"/>
      <w:marRight w:val="0"/>
      <w:marTop w:val="0"/>
      <w:marBottom w:val="0"/>
      <w:divBdr>
        <w:top w:val="none" w:sz="0" w:space="0" w:color="auto"/>
        <w:left w:val="none" w:sz="0" w:space="0" w:color="auto"/>
        <w:bottom w:val="none" w:sz="0" w:space="0" w:color="auto"/>
        <w:right w:val="none" w:sz="0" w:space="0" w:color="auto"/>
      </w:divBdr>
    </w:div>
    <w:div w:id="1414739778">
      <w:bodyDiv w:val="1"/>
      <w:marLeft w:val="0"/>
      <w:marRight w:val="0"/>
      <w:marTop w:val="0"/>
      <w:marBottom w:val="0"/>
      <w:divBdr>
        <w:top w:val="none" w:sz="0" w:space="0" w:color="auto"/>
        <w:left w:val="none" w:sz="0" w:space="0" w:color="auto"/>
        <w:bottom w:val="none" w:sz="0" w:space="0" w:color="auto"/>
        <w:right w:val="none" w:sz="0" w:space="0" w:color="auto"/>
      </w:divBdr>
    </w:div>
    <w:div w:id="1428580916">
      <w:bodyDiv w:val="1"/>
      <w:marLeft w:val="0"/>
      <w:marRight w:val="0"/>
      <w:marTop w:val="0"/>
      <w:marBottom w:val="0"/>
      <w:divBdr>
        <w:top w:val="none" w:sz="0" w:space="0" w:color="auto"/>
        <w:left w:val="none" w:sz="0" w:space="0" w:color="auto"/>
        <w:bottom w:val="none" w:sz="0" w:space="0" w:color="auto"/>
        <w:right w:val="none" w:sz="0" w:space="0" w:color="auto"/>
      </w:divBdr>
    </w:div>
    <w:div w:id="1441610620">
      <w:bodyDiv w:val="1"/>
      <w:marLeft w:val="0"/>
      <w:marRight w:val="0"/>
      <w:marTop w:val="0"/>
      <w:marBottom w:val="0"/>
      <w:divBdr>
        <w:top w:val="none" w:sz="0" w:space="0" w:color="auto"/>
        <w:left w:val="none" w:sz="0" w:space="0" w:color="auto"/>
        <w:bottom w:val="none" w:sz="0" w:space="0" w:color="auto"/>
        <w:right w:val="none" w:sz="0" w:space="0" w:color="auto"/>
      </w:divBdr>
    </w:div>
    <w:div w:id="1461921787">
      <w:bodyDiv w:val="1"/>
      <w:marLeft w:val="0"/>
      <w:marRight w:val="0"/>
      <w:marTop w:val="0"/>
      <w:marBottom w:val="0"/>
      <w:divBdr>
        <w:top w:val="none" w:sz="0" w:space="0" w:color="auto"/>
        <w:left w:val="none" w:sz="0" w:space="0" w:color="auto"/>
        <w:bottom w:val="none" w:sz="0" w:space="0" w:color="auto"/>
        <w:right w:val="none" w:sz="0" w:space="0" w:color="auto"/>
      </w:divBdr>
    </w:div>
    <w:div w:id="1550258966">
      <w:bodyDiv w:val="1"/>
      <w:marLeft w:val="0"/>
      <w:marRight w:val="0"/>
      <w:marTop w:val="0"/>
      <w:marBottom w:val="0"/>
      <w:divBdr>
        <w:top w:val="none" w:sz="0" w:space="0" w:color="auto"/>
        <w:left w:val="none" w:sz="0" w:space="0" w:color="auto"/>
        <w:bottom w:val="none" w:sz="0" w:space="0" w:color="auto"/>
        <w:right w:val="none" w:sz="0" w:space="0" w:color="auto"/>
      </w:divBdr>
    </w:div>
    <w:div w:id="1619683156">
      <w:bodyDiv w:val="1"/>
      <w:marLeft w:val="0"/>
      <w:marRight w:val="0"/>
      <w:marTop w:val="0"/>
      <w:marBottom w:val="0"/>
      <w:divBdr>
        <w:top w:val="none" w:sz="0" w:space="0" w:color="auto"/>
        <w:left w:val="none" w:sz="0" w:space="0" w:color="auto"/>
        <w:bottom w:val="none" w:sz="0" w:space="0" w:color="auto"/>
        <w:right w:val="none" w:sz="0" w:space="0" w:color="auto"/>
      </w:divBdr>
    </w:div>
    <w:div w:id="1624071606">
      <w:bodyDiv w:val="1"/>
      <w:marLeft w:val="0"/>
      <w:marRight w:val="0"/>
      <w:marTop w:val="0"/>
      <w:marBottom w:val="0"/>
      <w:divBdr>
        <w:top w:val="none" w:sz="0" w:space="0" w:color="auto"/>
        <w:left w:val="none" w:sz="0" w:space="0" w:color="auto"/>
        <w:bottom w:val="none" w:sz="0" w:space="0" w:color="auto"/>
        <w:right w:val="none" w:sz="0" w:space="0" w:color="auto"/>
      </w:divBdr>
    </w:div>
    <w:div w:id="1649817446">
      <w:bodyDiv w:val="1"/>
      <w:marLeft w:val="0"/>
      <w:marRight w:val="0"/>
      <w:marTop w:val="0"/>
      <w:marBottom w:val="0"/>
      <w:divBdr>
        <w:top w:val="none" w:sz="0" w:space="0" w:color="auto"/>
        <w:left w:val="none" w:sz="0" w:space="0" w:color="auto"/>
        <w:bottom w:val="none" w:sz="0" w:space="0" w:color="auto"/>
        <w:right w:val="none" w:sz="0" w:space="0" w:color="auto"/>
      </w:divBdr>
    </w:div>
    <w:div w:id="1702784842">
      <w:bodyDiv w:val="1"/>
      <w:marLeft w:val="0"/>
      <w:marRight w:val="0"/>
      <w:marTop w:val="0"/>
      <w:marBottom w:val="0"/>
      <w:divBdr>
        <w:top w:val="none" w:sz="0" w:space="0" w:color="auto"/>
        <w:left w:val="none" w:sz="0" w:space="0" w:color="auto"/>
        <w:bottom w:val="none" w:sz="0" w:space="0" w:color="auto"/>
        <w:right w:val="none" w:sz="0" w:space="0" w:color="auto"/>
      </w:divBdr>
    </w:div>
    <w:div w:id="1709989103">
      <w:bodyDiv w:val="1"/>
      <w:marLeft w:val="0"/>
      <w:marRight w:val="0"/>
      <w:marTop w:val="0"/>
      <w:marBottom w:val="0"/>
      <w:divBdr>
        <w:top w:val="none" w:sz="0" w:space="0" w:color="auto"/>
        <w:left w:val="none" w:sz="0" w:space="0" w:color="auto"/>
        <w:bottom w:val="none" w:sz="0" w:space="0" w:color="auto"/>
        <w:right w:val="none" w:sz="0" w:space="0" w:color="auto"/>
      </w:divBdr>
    </w:div>
    <w:div w:id="1753891855">
      <w:bodyDiv w:val="1"/>
      <w:marLeft w:val="0"/>
      <w:marRight w:val="0"/>
      <w:marTop w:val="0"/>
      <w:marBottom w:val="0"/>
      <w:divBdr>
        <w:top w:val="none" w:sz="0" w:space="0" w:color="auto"/>
        <w:left w:val="none" w:sz="0" w:space="0" w:color="auto"/>
        <w:bottom w:val="none" w:sz="0" w:space="0" w:color="auto"/>
        <w:right w:val="none" w:sz="0" w:space="0" w:color="auto"/>
      </w:divBdr>
    </w:div>
    <w:div w:id="1771510105">
      <w:bodyDiv w:val="1"/>
      <w:marLeft w:val="0"/>
      <w:marRight w:val="0"/>
      <w:marTop w:val="0"/>
      <w:marBottom w:val="0"/>
      <w:divBdr>
        <w:top w:val="none" w:sz="0" w:space="0" w:color="auto"/>
        <w:left w:val="none" w:sz="0" w:space="0" w:color="auto"/>
        <w:bottom w:val="none" w:sz="0" w:space="0" w:color="auto"/>
        <w:right w:val="none" w:sz="0" w:space="0" w:color="auto"/>
      </w:divBdr>
    </w:div>
    <w:div w:id="1793358390">
      <w:bodyDiv w:val="1"/>
      <w:marLeft w:val="0"/>
      <w:marRight w:val="0"/>
      <w:marTop w:val="0"/>
      <w:marBottom w:val="0"/>
      <w:divBdr>
        <w:top w:val="none" w:sz="0" w:space="0" w:color="auto"/>
        <w:left w:val="none" w:sz="0" w:space="0" w:color="auto"/>
        <w:bottom w:val="none" w:sz="0" w:space="0" w:color="auto"/>
        <w:right w:val="none" w:sz="0" w:space="0" w:color="auto"/>
      </w:divBdr>
    </w:div>
    <w:div w:id="1808620944">
      <w:bodyDiv w:val="1"/>
      <w:marLeft w:val="0"/>
      <w:marRight w:val="0"/>
      <w:marTop w:val="0"/>
      <w:marBottom w:val="0"/>
      <w:divBdr>
        <w:top w:val="none" w:sz="0" w:space="0" w:color="auto"/>
        <w:left w:val="none" w:sz="0" w:space="0" w:color="auto"/>
        <w:bottom w:val="none" w:sz="0" w:space="0" w:color="auto"/>
        <w:right w:val="none" w:sz="0" w:space="0" w:color="auto"/>
      </w:divBdr>
    </w:div>
    <w:div w:id="1832215229">
      <w:bodyDiv w:val="1"/>
      <w:marLeft w:val="0"/>
      <w:marRight w:val="0"/>
      <w:marTop w:val="0"/>
      <w:marBottom w:val="0"/>
      <w:divBdr>
        <w:top w:val="none" w:sz="0" w:space="0" w:color="auto"/>
        <w:left w:val="none" w:sz="0" w:space="0" w:color="auto"/>
        <w:bottom w:val="none" w:sz="0" w:space="0" w:color="auto"/>
        <w:right w:val="none" w:sz="0" w:space="0" w:color="auto"/>
      </w:divBdr>
    </w:div>
    <w:div w:id="1842354729">
      <w:bodyDiv w:val="1"/>
      <w:marLeft w:val="0"/>
      <w:marRight w:val="0"/>
      <w:marTop w:val="0"/>
      <w:marBottom w:val="0"/>
      <w:divBdr>
        <w:top w:val="none" w:sz="0" w:space="0" w:color="auto"/>
        <w:left w:val="none" w:sz="0" w:space="0" w:color="auto"/>
        <w:bottom w:val="none" w:sz="0" w:space="0" w:color="auto"/>
        <w:right w:val="none" w:sz="0" w:space="0" w:color="auto"/>
      </w:divBdr>
    </w:div>
    <w:div w:id="1857035477">
      <w:bodyDiv w:val="1"/>
      <w:marLeft w:val="0"/>
      <w:marRight w:val="0"/>
      <w:marTop w:val="0"/>
      <w:marBottom w:val="0"/>
      <w:divBdr>
        <w:top w:val="none" w:sz="0" w:space="0" w:color="auto"/>
        <w:left w:val="none" w:sz="0" w:space="0" w:color="auto"/>
        <w:bottom w:val="none" w:sz="0" w:space="0" w:color="auto"/>
        <w:right w:val="none" w:sz="0" w:space="0" w:color="auto"/>
      </w:divBdr>
    </w:div>
    <w:div w:id="1907448087">
      <w:bodyDiv w:val="1"/>
      <w:marLeft w:val="0"/>
      <w:marRight w:val="0"/>
      <w:marTop w:val="0"/>
      <w:marBottom w:val="0"/>
      <w:divBdr>
        <w:top w:val="none" w:sz="0" w:space="0" w:color="auto"/>
        <w:left w:val="none" w:sz="0" w:space="0" w:color="auto"/>
        <w:bottom w:val="none" w:sz="0" w:space="0" w:color="auto"/>
        <w:right w:val="none" w:sz="0" w:space="0" w:color="auto"/>
      </w:divBdr>
    </w:div>
    <w:div w:id="1931814789">
      <w:bodyDiv w:val="1"/>
      <w:marLeft w:val="0"/>
      <w:marRight w:val="0"/>
      <w:marTop w:val="0"/>
      <w:marBottom w:val="0"/>
      <w:divBdr>
        <w:top w:val="none" w:sz="0" w:space="0" w:color="auto"/>
        <w:left w:val="none" w:sz="0" w:space="0" w:color="auto"/>
        <w:bottom w:val="none" w:sz="0" w:space="0" w:color="auto"/>
        <w:right w:val="none" w:sz="0" w:space="0" w:color="auto"/>
      </w:divBdr>
    </w:div>
    <w:div w:id="1978411615">
      <w:bodyDiv w:val="1"/>
      <w:marLeft w:val="0"/>
      <w:marRight w:val="0"/>
      <w:marTop w:val="0"/>
      <w:marBottom w:val="0"/>
      <w:divBdr>
        <w:top w:val="none" w:sz="0" w:space="0" w:color="auto"/>
        <w:left w:val="none" w:sz="0" w:space="0" w:color="auto"/>
        <w:bottom w:val="none" w:sz="0" w:space="0" w:color="auto"/>
        <w:right w:val="none" w:sz="0" w:space="0" w:color="auto"/>
      </w:divBdr>
    </w:div>
    <w:div w:id="1991713098">
      <w:bodyDiv w:val="1"/>
      <w:marLeft w:val="0"/>
      <w:marRight w:val="0"/>
      <w:marTop w:val="0"/>
      <w:marBottom w:val="0"/>
      <w:divBdr>
        <w:top w:val="none" w:sz="0" w:space="0" w:color="auto"/>
        <w:left w:val="none" w:sz="0" w:space="0" w:color="auto"/>
        <w:bottom w:val="none" w:sz="0" w:space="0" w:color="auto"/>
        <w:right w:val="none" w:sz="0" w:space="0" w:color="auto"/>
      </w:divBdr>
    </w:div>
    <w:div w:id="2008484871">
      <w:bodyDiv w:val="1"/>
      <w:marLeft w:val="0"/>
      <w:marRight w:val="0"/>
      <w:marTop w:val="0"/>
      <w:marBottom w:val="0"/>
      <w:divBdr>
        <w:top w:val="none" w:sz="0" w:space="0" w:color="auto"/>
        <w:left w:val="none" w:sz="0" w:space="0" w:color="auto"/>
        <w:bottom w:val="none" w:sz="0" w:space="0" w:color="auto"/>
        <w:right w:val="none" w:sz="0" w:space="0" w:color="auto"/>
      </w:divBdr>
    </w:div>
    <w:div w:id="2021007328">
      <w:bodyDiv w:val="1"/>
      <w:marLeft w:val="0"/>
      <w:marRight w:val="0"/>
      <w:marTop w:val="0"/>
      <w:marBottom w:val="0"/>
      <w:divBdr>
        <w:top w:val="none" w:sz="0" w:space="0" w:color="auto"/>
        <w:left w:val="none" w:sz="0" w:space="0" w:color="auto"/>
        <w:bottom w:val="none" w:sz="0" w:space="0" w:color="auto"/>
        <w:right w:val="none" w:sz="0" w:space="0" w:color="auto"/>
      </w:divBdr>
      <w:divsChild>
        <w:div w:id="258611698">
          <w:marLeft w:val="0"/>
          <w:marRight w:val="0"/>
          <w:marTop w:val="0"/>
          <w:marBottom w:val="0"/>
          <w:divBdr>
            <w:top w:val="none" w:sz="0" w:space="0" w:color="auto"/>
            <w:left w:val="none" w:sz="0" w:space="0" w:color="auto"/>
            <w:bottom w:val="none" w:sz="0" w:space="0" w:color="auto"/>
            <w:right w:val="none" w:sz="0" w:space="0" w:color="auto"/>
          </w:divBdr>
          <w:divsChild>
            <w:div w:id="399250430">
              <w:marLeft w:val="0"/>
              <w:marRight w:val="0"/>
              <w:marTop w:val="0"/>
              <w:marBottom w:val="0"/>
              <w:divBdr>
                <w:top w:val="none" w:sz="0" w:space="0" w:color="auto"/>
                <w:left w:val="none" w:sz="0" w:space="0" w:color="auto"/>
                <w:bottom w:val="none" w:sz="0" w:space="0" w:color="auto"/>
                <w:right w:val="none" w:sz="0" w:space="0" w:color="auto"/>
              </w:divBdr>
              <w:divsChild>
                <w:div w:id="94577489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51492709">
      <w:bodyDiv w:val="1"/>
      <w:marLeft w:val="0"/>
      <w:marRight w:val="0"/>
      <w:marTop w:val="0"/>
      <w:marBottom w:val="0"/>
      <w:divBdr>
        <w:top w:val="none" w:sz="0" w:space="0" w:color="auto"/>
        <w:left w:val="none" w:sz="0" w:space="0" w:color="auto"/>
        <w:bottom w:val="none" w:sz="0" w:space="0" w:color="auto"/>
        <w:right w:val="none" w:sz="0" w:space="0" w:color="auto"/>
      </w:divBdr>
    </w:div>
    <w:div w:id="213138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ovdex.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yperlink" Target="http://www.blood.gov.au/sites/default/files/documents/nba-stewardship-stewardship-statement.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227C8-1359-45EE-8EF8-B5DA96210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2471</Words>
  <Characters>14674</Characters>
  <Application>Microsoft Office Word</Application>
  <DocSecurity>4</DocSecurity>
  <Lines>296</Lines>
  <Paragraphs>113</Paragraphs>
  <ScaleCrop>false</ScaleCrop>
  <HeadingPairs>
    <vt:vector size="2" baseType="variant">
      <vt:variant>
        <vt:lpstr>Title</vt:lpstr>
      </vt:variant>
      <vt:variant>
        <vt:i4>1</vt:i4>
      </vt:variant>
    </vt:vector>
  </HeadingPairs>
  <TitlesOfParts>
    <vt:vector size="1" baseType="lpstr">
      <vt:lpstr/>
    </vt:vector>
  </TitlesOfParts>
  <Company>The National Blood Authority, Australia</Company>
  <LinksUpToDate>false</LinksUpToDate>
  <CharactersWithSpaces>17086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Goli, Chanakya</dc:creator>
  <cp:lastModifiedBy>Little, Rennay</cp:lastModifiedBy>
  <cp:revision>2</cp:revision>
  <cp:lastPrinted>2014-01-06T23:09:00Z</cp:lastPrinted>
  <dcterms:created xsi:type="dcterms:W3CDTF">2014-11-25T23:42:00Z</dcterms:created>
  <dcterms:modified xsi:type="dcterms:W3CDTF">2014-11-25T23:42:00Z</dcterms:modified>
</cp:coreProperties>
</file>