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</w:p>
    <w:tbl>
      <w:tblPr>
        <w:tblStyle w:val="TableGrid"/>
        <w:tblW w:w="114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3335"/>
        <w:gridCol w:w="20"/>
        <w:gridCol w:w="8060"/>
      </w:tblGrid>
      <w:tr w:rsidR="0001065E" w:rsidRPr="00227F75" w:rsidTr="00434847">
        <w:trPr>
          <w:cantSplit/>
          <w:trHeight w:hRule="exact" w:val="4427"/>
          <w:jc w:val="center"/>
        </w:trPr>
        <w:tc>
          <w:tcPr>
            <w:tcW w:w="3335" w:type="dxa"/>
            <w:tcMar>
              <w:left w:w="0" w:type="dxa"/>
              <w:right w:w="0" w:type="dxa"/>
            </w:tcMar>
            <w:vAlign w:val="bottom"/>
          </w:tcPr>
          <w:p w:rsidR="0001065E" w:rsidRDefault="00434847">
            <w:pPr>
              <w:pStyle w:val="NoSpacing"/>
            </w:pPr>
            <w:r w:rsidRPr="00434847">
              <w:rPr>
                <w:lang w:val="en-AU" w:eastAsia="en-AU"/>
              </w:rPr>
              <w:drawing>
                <wp:inline distT="0" distB="0" distL="0" distR="0" wp14:anchorId="6705907A" wp14:editId="5B847767">
                  <wp:extent cx="2104846" cy="2896833"/>
                  <wp:effectExtent l="0" t="0" r="0" b="0"/>
                  <wp:docPr id="7" name="Picture 2" descr="\\CBRINTFS01.nba.local\Data\Groups\Stewardship\Projects\Single Unit Policy\Public Consultation\Post public consultation documents\Post pub cons revision\Final Documents\Images\IMAG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\\CBRINTFS01.nba.local\Data\Groups\Stewardship\Projects\Single Unit Policy\Public Consultation\Post public consultation documents\Post pub cons revision\Final Documents\Images\IMAG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9" t="7064" b="16668"/>
                          <a:stretch/>
                        </pic:blipFill>
                        <pic:spPr bwMode="auto">
                          <a:xfrm>
                            <a:off x="0" y="0"/>
                            <a:ext cx="2107832" cy="29009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26544">
              <w:rPr>
                <w:lang w:val="en-AU" w:eastAsia="en-AU"/>
              </w:rPr>
              <w:drawing>
                <wp:inline distT="0" distB="0" distL="0" distR="0" wp14:anchorId="03E59784" wp14:editId="19F2686A">
                  <wp:extent cx="4848447" cy="28043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od unit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61" cy="280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8060" w:type="dxa"/>
            <w:shd w:val="clear" w:color="auto" w:fill="FF5C0B" w:themeFill="accent1"/>
          </w:tcPr>
          <w:tbl>
            <w:tblPr>
              <w:tblW w:w="8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44"/>
            </w:tblGrid>
            <w:tr w:rsidR="00434847" w:rsidTr="00434847">
              <w:trPr>
                <w:trHeight w:val="5268"/>
              </w:trPr>
              <w:tc>
                <w:tcPr>
                  <w:tcW w:w="5000" w:type="pct"/>
                </w:tcPr>
                <w:p w:rsidR="00434847" w:rsidRDefault="00434847" w:rsidP="00434847">
                  <w:pPr>
                    <w:pStyle w:val="Title"/>
                    <w:spacing w:before="600"/>
                    <w:ind w:right="215"/>
                    <w:jc w:val="center"/>
                  </w:pPr>
                  <w:r w:rsidRPr="00434847">
                    <w:rPr>
                      <w:sz w:val="96"/>
                      <w:lang w:val="en-AU"/>
                    </w:rPr>
                    <w:t xml:space="preserve">Single </w:t>
                  </w:r>
                  <w:r w:rsidRPr="00434847">
                    <w:rPr>
                      <w:sz w:val="96"/>
                      <w:lang w:val="en-AU"/>
                    </w:rPr>
                    <w:br/>
                    <w:t xml:space="preserve">Unit </w:t>
                  </w:r>
                  <w:r w:rsidRPr="00434847">
                    <w:rPr>
                      <w:sz w:val="96"/>
                      <w:lang w:val="en-AU"/>
                    </w:rPr>
                    <w:br/>
                    <w:t>Transfusion</w:t>
                  </w:r>
                </w:p>
              </w:tc>
            </w:tr>
            <w:tr w:rsidR="0001065E" w:rsidTr="00434847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01065E" w:rsidRDefault="0001065E" w:rsidP="00177A88">
                  <w:pPr>
                    <w:pStyle w:val="Subtitle"/>
                  </w:pP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 w:rsidTr="00250A46">
        <w:trPr>
          <w:cantSplit/>
          <w:trHeight w:hRule="exact" w:val="97"/>
          <w:jc w:val="center"/>
        </w:trPr>
        <w:tc>
          <w:tcPr>
            <w:tcW w:w="3335" w:type="dxa"/>
          </w:tcPr>
          <w:p w:rsidR="0001065E" w:rsidRDefault="0001065E">
            <w:pPr>
              <w:pStyle w:val="NoSpacing"/>
            </w:pPr>
          </w:p>
        </w:tc>
        <w:tc>
          <w:tcPr>
            <w:tcW w:w="20" w:type="dxa"/>
          </w:tcPr>
          <w:p w:rsidR="0001065E" w:rsidRDefault="0001065E">
            <w:pPr>
              <w:pStyle w:val="NoSpacing"/>
            </w:pPr>
          </w:p>
        </w:tc>
        <w:tc>
          <w:tcPr>
            <w:tcW w:w="8060" w:type="dxa"/>
          </w:tcPr>
          <w:p w:rsidR="0001065E" w:rsidRDefault="0001065E">
            <w:pPr>
              <w:pStyle w:val="NoSpacing"/>
            </w:pPr>
          </w:p>
        </w:tc>
      </w:tr>
      <w:tr w:rsidR="0001065E" w:rsidTr="00250A46">
        <w:trPr>
          <w:cantSplit/>
          <w:trHeight w:val="360"/>
          <w:jc w:val="center"/>
        </w:trPr>
        <w:tc>
          <w:tcPr>
            <w:tcW w:w="3335" w:type="dxa"/>
            <w:shd w:val="clear" w:color="auto" w:fill="F65200"/>
            <w:tcMar>
              <w:left w:w="0" w:type="dxa"/>
              <w:right w:w="115" w:type="dxa"/>
            </w:tcMar>
            <w:vAlign w:val="center"/>
          </w:tcPr>
          <w:p w:rsidR="0001065E" w:rsidRPr="00177A88" w:rsidRDefault="0001065E" w:rsidP="00250A46">
            <w:pPr>
              <w:rPr>
                <w:b/>
                <w:sz w:val="22"/>
              </w:rPr>
            </w:pPr>
          </w:p>
        </w:tc>
        <w:tc>
          <w:tcPr>
            <w:tcW w:w="20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8060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1F45C4" w:rsidP="00434847">
            <w:pPr>
              <w:pStyle w:val="Heading4"/>
              <w:ind w:left="0"/>
              <w:jc w:val="right"/>
              <w:outlineLvl w:val="3"/>
            </w:pPr>
            <w:r>
              <w:t xml:space="preserve">   Patient Blood Management</w:t>
            </w:r>
            <w:r w:rsidR="00177A88">
              <w:t xml:space="preserve"> Guideline</w:t>
            </w:r>
            <w:r w:rsidR="00FF2754">
              <w:t>S</w:t>
            </w:r>
          </w:p>
        </w:tc>
      </w:tr>
    </w:tbl>
    <w:p w:rsidR="0001065E" w:rsidRPr="00382DD2" w:rsidRDefault="0001065E" w:rsidP="00434847">
      <w:pPr>
        <w:ind w:right="173"/>
        <w:rPr>
          <w:color w:val="auto"/>
        </w:rPr>
        <w:sectPr w:rsidR="0001065E" w:rsidRPr="00382DD2" w:rsidSect="00C23EF1">
          <w:headerReference w:type="even" r:id="rId13"/>
          <w:headerReference w:type="default" r:id="rId14"/>
          <w:headerReference w:type="first" r:id="rId15"/>
          <w:pgSz w:w="12240" w:h="15840" w:code="1"/>
          <w:pgMar w:top="720" w:right="576" w:bottom="720" w:left="576" w:header="360" w:footer="397" w:gutter="0"/>
          <w:cols w:space="720"/>
          <w:titlePg/>
          <w:docGrid w:linePitch="360"/>
        </w:sectPr>
      </w:pPr>
    </w:p>
    <w:p w:rsidR="00700272" w:rsidRPr="00E67B5D" w:rsidRDefault="009A4F37" w:rsidP="00700272">
      <w:pPr>
        <w:spacing w:before="120" w:after="120"/>
        <w:rPr>
          <w:rFonts w:ascii="Calibri" w:hAnsi="Calibri" w:cs="Calibri"/>
          <w:color w:val="auto"/>
          <w:sz w:val="21"/>
          <w:szCs w:val="21"/>
        </w:rPr>
      </w:pPr>
      <w:r w:rsidRPr="00E67B5D">
        <w:rPr>
          <w:rFonts w:ascii="Calibri" w:hAnsi="Calibri" w:cs="Calibri"/>
          <w:color w:val="auto"/>
          <w:sz w:val="21"/>
          <w:szCs w:val="21"/>
          <w:lang w:val="en-AU"/>
        </w:rPr>
        <w:t>The single unit transfusion guide is intended for use by all clinicians responsible for prescribing red blood cell transfusion. It can be applied to stable, normovolaemic adult patients</w:t>
      </w:r>
      <w:r w:rsidR="00F610E5" w:rsidRPr="00E67B5D">
        <w:rPr>
          <w:rFonts w:ascii="Calibri" w:hAnsi="Calibri" w:cs="Calibri"/>
          <w:color w:val="auto"/>
          <w:sz w:val="21"/>
          <w:szCs w:val="21"/>
          <w:lang w:val="en-AU"/>
        </w:rPr>
        <w:t xml:space="preserve">, in an inpatient setting, </w:t>
      </w:r>
      <w:r w:rsidRPr="00E67B5D">
        <w:rPr>
          <w:rFonts w:ascii="Calibri" w:hAnsi="Calibri" w:cs="Calibri"/>
          <w:color w:val="auto"/>
          <w:sz w:val="21"/>
          <w:szCs w:val="21"/>
          <w:lang w:val="en-AU"/>
        </w:rPr>
        <w:t>who do not have clinically significant bleeding</w:t>
      </w:r>
      <w:r w:rsidR="00603C21" w:rsidRPr="00E67B5D">
        <w:rPr>
          <w:rFonts w:ascii="Calibri" w:hAnsi="Calibri" w:cs="Calibri"/>
          <w:color w:val="auto"/>
          <w:sz w:val="21"/>
          <w:szCs w:val="21"/>
        </w:rPr>
        <w:t>.</w:t>
      </w:r>
    </w:p>
    <w:p w:rsidR="009A4F37" w:rsidRPr="00E67B5D" w:rsidRDefault="00B67C2D" w:rsidP="00700272">
      <w:pPr>
        <w:rPr>
          <w:rFonts w:ascii="Calibri" w:hAnsi="Calibri" w:cs="Calibri"/>
          <w:b/>
          <w:color w:val="auto"/>
          <w:sz w:val="21"/>
          <w:szCs w:val="21"/>
        </w:rPr>
      </w:pPr>
      <w:r w:rsidRPr="00E67B5D">
        <w:rPr>
          <w:rFonts w:ascii="Calibri" w:hAnsi="Calibri" w:cs="Calibri"/>
          <w:color w:val="auto"/>
          <w:sz w:val="21"/>
          <w:szCs w:val="21"/>
          <w:lang w:val="en-GB"/>
        </w:rPr>
        <w:t>It is important to ensure cu</w:t>
      </w:r>
      <w:r w:rsidR="00C6076D" w:rsidRPr="00E67B5D">
        <w:rPr>
          <w:rFonts w:ascii="Calibri" w:hAnsi="Calibri" w:cs="Calibri"/>
          <w:color w:val="auto"/>
          <w:sz w:val="21"/>
          <w:szCs w:val="21"/>
          <w:lang w:val="en-GB"/>
        </w:rPr>
        <w:t>rrent practice aligns with the n</w:t>
      </w:r>
      <w:r w:rsidRPr="00E67B5D">
        <w:rPr>
          <w:rFonts w:ascii="Calibri" w:hAnsi="Calibri" w:cs="Calibri"/>
          <w:color w:val="auto"/>
          <w:sz w:val="21"/>
          <w:szCs w:val="21"/>
          <w:lang w:val="en-GB"/>
        </w:rPr>
        <w:t xml:space="preserve">ational Patient Blood Management Guidelines. </w:t>
      </w:r>
      <w:r w:rsidR="009C3247" w:rsidRPr="00E67B5D">
        <w:rPr>
          <w:rFonts w:ascii="Calibri" w:hAnsi="Calibri" w:cs="Calibri"/>
          <w:color w:val="auto"/>
          <w:sz w:val="21"/>
          <w:szCs w:val="21"/>
        </w:rPr>
        <w:t xml:space="preserve">Each </w:t>
      </w:r>
      <w:r w:rsidR="009A4F37" w:rsidRPr="00E67B5D">
        <w:rPr>
          <w:rFonts w:ascii="Calibri" w:hAnsi="Calibri" w:cs="Calibri"/>
          <w:color w:val="auto"/>
          <w:sz w:val="21"/>
          <w:szCs w:val="21"/>
        </w:rPr>
        <w:t xml:space="preserve">additional </w:t>
      </w:r>
      <w:r w:rsidR="00700272" w:rsidRPr="00E67B5D">
        <w:rPr>
          <w:rFonts w:ascii="Calibri" w:hAnsi="Calibri" w:cs="Calibri"/>
          <w:color w:val="auto"/>
          <w:sz w:val="21"/>
          <w:szCs w:val="21"/>
        </w:rPr>
        <w:t xml:space="preserve">transfusion exposes patients to increased risk of </w:t>
      </w:r>
      <w:r w:rsidRPr="00E67B5D">
        <w:rPr>
          <w:rFonts w:ascii="Calibri" w:hAnsi="Calibri" w:cs="Calibri"/>
          <w:color w:val="auto"/>
          <w:sz w:val="21"/>
          <w:szCs w:val="21"/>
        </w:rPr>
        <w:t xml:space="preserve">an </w:t>
      </w:r>
      <w:r w:rsidR="00700272" w:rsidRPr="00E67B5D">
        <w:rPr>
          <w:rFonts w:ascii="Calibri" w:hAnsi="Calibri" w:cs="Calibri"/>
          <w:color w:val="auto"/>
          <w:sz w:val="21"/>
          <w:szCs w:val="21"/>
        </w:rPr>
        <w:t>adverse event</w:t>
      </w:r>
      <w:r w:rsidR="007D7333" w:rsidRPr="00E67B5D">
        <w:rPr>
          <w:rFonts w:ascii="Calibri" w:hAnsi="Calibri" w:cs="Calibri"/>
          <w:color w:val="auto"/>
          <w:sz w:val="21"/>
          <w:szCs w:val="21"/>
        </w:rPr>
        <w:t>.</w:t>
      </w:r>
      <w:r w:rsidR="00700272" w:rsidRPr="00E67B5D">
        <w:rPr>
          <w:rFonts w:ascii="Calibri" w:hAnsi="Calibri" w:cs="Calibri"/>
          <w:b/>
          <w:color w:val="auto"/>
          <w:sz w:val="21"/>
          <w:szCs w:val="21"/>
        </w:rPr>
        <w:t xml:space="preserve"> </w:t>
      </w:r>
    </w:p>
    <w:p w:rsidR="00B67C2D" w:rsidRPr="00E67B5D" w:rsidRDefault="007D7333" w:rsidP="00700272">
      <w:pPr>
        <w:rPr>
          <w:rFonts w:ascii="Calibri" w:hAnsi="Calibri" w:cs="Calibri"/>
          <w:color w:val="auto"/>
          <w:sz w:val="21"/>
          <w:szCs w:val="21"/>
        </w:rPr>
      </w:pPr>
      <w:r w:rsidRPr="00E67B5D">
        <w:rPr>
          <w:rFonts w:ascii="Calibri" w:hAnsi="Calibri" w:cs="Calibri"/>
          <w:color w:val="auto"/>
          <w:sz w:val="21"/>
          <w:szCs w:val="21"/>
        </w:rPr>
        <w:t>M</w:t>
      </w:r>
      <w:r w:rsidR="00700272" w:rsidRPr="00E67B5D">
        <w:rPr>
          <w:rFonts w:ascii="Calibri" w:hAnsi="Calibri" w:cs="Calibri"/>
          <w:color w:val="auto"/>
          <w:sz w:val="21"/>
          <w:szCs w:val="21"/>
        </w:rPr>
        <w:t xml:space="preserve">orbidity from transfusion </w:t>
      </w:r>
      <w:r w:rsidR="00E67B5D" w:rsidRPr="00E67B5D">
        <w:rPr>
          <w:rFonts w:ascii="Calibri" w:hAnsi="Calibri" w:cs="Calibri"/>
          <w:color w:val="auto"/>
          <w:sz w:val="21"/>
          <w:szCs w:val="21"/>
        </w:rPr>
        <w:t>may be</w:t>
      </w:r>
      <w:r w:rsidR="00700272" w:rsidRPr="00E67B5D">
        <w:rPr>
          <w:rFonts w:ascii="Calibri" w:hAnsi="Calibri" w:cs="Calibri"/>
          <w:color w:val="auto"/>
          <w:sz w:val="21"/>
          <w:szCs w:val="21"/>
        </w:rPr>
        <w:t xml:space="preserve"> dose dependent. Two units are commonly prescribed when one unit may have met the clinical outcome of the transfusion</w:t>
      </w:r>
      <w:r w:rsidRPr="00E67B5D">
        <w:rPr>
          <w:rFonts w:ascii="Calibri" w:hAnsi="Calibri" w:cs="Calibri"/>
          <w:color w:val="auto"/>
          <w:sz w:val="21"/>
          <w:szCs w:val="21"/>
        </w:rPr>
        <w:t>, for example</w:t>
      </w:r>
      <w:r w:rsidR="00CA29D1" w:rsidRPr="00E67B5D">
        <w:rPr>
          <w:rFonts w:ascii="Calibri" w:hAnsi="Calibri" w:cs="Calibri"/>
          <w:color w:val="auto"/>
          <w:sz w:val="21"/>
          <w:szCs w:val="21"/>
        </w:rPr>
        <w:t xml:space="preserve"> </w:t>
      </w:r>
      <w:r w:rsidR="003E78B2" w:rsidRPr="00E67B5D">
        <w:rPr>
          <w:rFonts w:ascii="Calibri" w:hAnsi="Calibri" w:cs="Calibri"/>
          <w:color w:val="auto"/>
          <w:sz w:val="21"/>
          <w:szCs w:val="21"/>
        </w:rPr>
        <w:t>improvement in symptoms of anaemia</w:t>
      </w:r>
      <w:r w:rsidR="00700272" w:rsidRPr="00E67B5D">
        <w:rPr>
          <w:rFonts w:ascii="Calibri" w:hAnsi="Calibri" w:cs="Calibri"/>
          <w:color w:val="auto"/>
          <w:sz w:val="21"/>
          <w:szCs w:val="21"/>
        </w:rPr>
        <w:t>.</w:t>
      </w:r>
    </w:p>
    <w:p w:rsidR="009C3247" w:rsidRPr="00E67B5D" w:rsidRDefault="007D7333" w:rsidP="00700272">
      <w:pPr>
        <w:rPr>
          <w:rFonts w:ascii="Calibri" w:hAnsi="Calibri" w:cs="Calibri"/>
          <w:color w:val="auto"/>
          <w:sz w:val="21"/>
          <w:szCs w:val="21"/>
          <w:vertAlign w:val="superscript"/>
        </w:rPr>
      </w:pPr>
      <w:r w:rsidRPr="00E67B5D">
        <w:rPr>
          <w:rFonts w:ascii="Calibri" w:hAnsi="Calibri" w:cs="Calibri"/>
          <w:color w:val="auto"/>
          <w:sz w:val="21"/>
          <w:szCs w:val="21"/>
        </w:rPr>
        <w:t xml:space="preserve">Increased morbidity, mortality and increased length of hospital stay </w:t>
      </w:r>
      <w:r w:rsidR="00E67B5D" w:rsidRPr="00E67B5D">
        <w:rPr>
          <w:rFonts w:ascii="Calibri" w:hAnsi="Calibri" w:cs="Calibri"/>
          <w:color w:val="auto"/>
          <w:sz w:val="21"/>
          <w:szCs w:val="21"/>
        </w:rPr>
        <w:t xml:space="preserve">may be </w:t>
      </w:r>
      <w:r w:rsidRPr="00E67B5D">
        <w:rPr>
          <w:rFonts w:ascii="Calibri" w:hAnsi="Calibri" w:cs="Calibri"/>
          <w:color w:val="auto"/>
          <w:sz w:val="21"/>
          <w:szCs w:val="21"/>
        </w:rPr>
        <w:t>directly associated with transfusion and dose related. The risk of transfusion associated circulatory overload (TACO) is as high as 1 in 100 per unit transfused.</w:t>
      </w:r>
      <w:r w:rsidR="00603C21" w:rsidRPr="00E67B5D">
        <w:rPr>
          <w:rFonts w:ascii="Calibri" w:hAnsi="Calibri" w:cs="Calibri"/>
          <w:color w:val="auto"/>
          <w:sz w:val="21"/>
          <w:szCs w:val="21"/>
        </w:rPr>
        <w:br w:type="column"/>
      </w:r>
      <w:r w:rsidR="009F0094" w:rsidRPr="00E67B5D">
        <w:rPr>
          <w:rFonts w:ascii="Calibri" w:hAnsi="Calibri" w:cs="Calibri"/>
          <w:color w:val="auto"/>
          <w:sz w:val="21"/>
          <w:szCs w:val="21"/>
        </w:rPr>
        <w:t>Red b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lood </w:t>
      </w:r>
      <w:r w:rsidR="009F0094" w:rsidRPr="00E67B5D">
        <w:rPr>
          <w:rFonts w:ascii="Calibri" w:hAnsi="Calibri" w:cs="Calibri"/>
          <w:color w:val="auto"/>
          <w:sz w:val="21"/>
          <w:szCs w:val="21"/>
        </w:rPr>
        <w:t xml:space="preserve">cell 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>transfusion is a live tissue transplant.</w:t>
      </w:r>
      <w:r w:rsidR="00B67C2D" w:rsidRPr="00E67B5D">
        <w:rPr>
          <w:rFonts w:ascii="Calibri" w:hAnsi="Calibri" w:cs="Calibri"/>
          <w:b/>
          <w:color w:val="auto"/>
          <w:sz w:val="21"/>
          <w:szCs w:val="21"/>
        </w:rPr>
        <w:t xml:space="preserve"> 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Emerging evidence of harm from transfusion requires a precautionary approach to balance risk with benefit for </w:t>
      </w:r>
      <w:r w:rsidR="00B67C2D" w:rsidRPr="00E67B5D">
        <w:rPr>
          <w:rFonts w:ascii="Calibri" w:hAnsi="Calibri" w:cs="Calibri"/>
          <w:b/>
          <w:color w:val="auto"/>
          <w:sz w:val="21"/>
          <w:szCs w:val="21"/>
        </w:rPr>
        <w:t>each unit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>.</w:t>
      </w:r>
      <w:r w:rsidR="00B67C2D" w:rsidRPr="00E67B5D">
        <w:rPr>
          <w:rFonts w:ascii="Calibri" w:hAnsi="Calibri" w:cs="Calibri"/>
          <w:color w:val="auto"/>
          <w:sz w:val="21"/>
          <w:szCs w:val="21"/>
          <w:vertAlign w:val="superscript"/>
        </w:rPr>
        <w:t xml:space="preserve"> </w:t>
      </w:r>
    </w:p>
    <w:p w:rsidR="00B67C2D" w:rsidRPr="00E67B5D" w:rsidRDefault="00603C21" w:rsidP="00700272">
      <w:pPr>
        <w:rPr>
          <w:rFonts w:ascii="Calibri" w:hAnsi="Calibri" w:cs="Calibri"/>
          <w:color w:val="auto"/>
          <w:sz w:val="21"/>
          <w:szCs w:val="21"/>
        </w:rPr>
      </w:pPr>
      <w:r w:rsidRPr="00E67B5D">
        <w:rPr>
          <w:rFonts w:ascii="Calibri" w:hAnsi="Calibri" w:cs="Calibri"/>
          <w:color w:val="auto"/>
          <w:sz w:val="21"/>
          <w:szCs w:val="21"/>
        </w:rPr>
        <w:t>S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ingle unit transfusions are </w:t>
      </w:r>
      <w:r w:rsidR="009C3247" w:rsidRPr="00E67B5D">
        <w:rPr>
          <w:rFonts w:ascii="Calibri" w:hAnsi="Calibri" w:cs="Calibri"/>
          <w:color w:val="auto"/>
          <w:sz w:val="21"/>
          <w:szCs w:val="21"/>
        </w:rPr>
        <w:t>appropriate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 in patients who </w:t>
      </w:r>
      <w:r w:rsidRPr="00E67B5D">
        <w:rPr>
          <w:rFonts w:ascii="Calibri" w:hAnsi="Calibri" w:cs="Calibri"/>
          <w:color w:val="auto"/>
          <w:sz w:val="21"/>
          <w:szCs w:val="21"/>
        </w:rPr>
        <w:t>do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 not </w:t>
      </w:r>
      <w:r w:rsidRPr="00E67B5D">
        <w:rPr>
          <w:rFonts w:ascii="Calibri" w:hAnsi="Calibri" w:cs="Calibri"/>
          <w:color w:val="auto"/>
          <w:sz w:val="21"/>
          <w:szCs w:val="21"/>
        </w:rPr>
        <w:t xml:space="preserve">have clinically significant 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>bleeding and reduce</w:t>
      </w:r>
      <w:r w:rsidR="00E87664">
        <w:rPr>
          <w:rFonts w:ascii="Calibri" w:hAnsi="Calibri" w:cs="Calibri"/>
          <w:color w:val="auto"/>
          <w:sz w:val="21"/>
          <w:szCs w:val="21"/>
        </w:rPr>
        <w:t>s</w:t>
      </w:r>
      <w:bookmarkStart w:id="0" w:name="_GoBack"/>
      <w:bookmarkEnd w:id="0"/>
      <w:r w:rsidR="00B67C2D" w:rsidRPr="00E67B5D">
        <w:rPr>
          <w:rFonts w:ascii="Calibri" w:hAnsi="Calibri" w:cs="Calibri"/>
          <w:color w:val="auto"/>
          <w:sz w:val="21"/>
          <w:szCs w:val="21"/>
        </w:rPr>
        <w:t xml:space="preserve"> risks</w:t>
      </w:r>
      <w:r w:rsidRPr="00E67B5D">
        <w:rPr>
          <w:rFonts w:ascii="Calibri" w:hAnsi="Calibri" w:cs="Calibri"/>
          <w:color w:val="auto"/>
          <w:sz w:val="21"/>
          <w:szCs w:val="21"/>
        </w:rPr>
        <w:t xml:space="preserve"> associated with transfusion</w:t>
      </w:r>
      <w:r w:rsidR="00B67C2D" w:rsidRPr="00E67B5D">
        <w:rPr>
          <w:rFonts w:ascii="Calibri" w:hAnsi="Calibri" w:cs="Calibri"/>
          <w:color w:val="auto"/>
          <w:sz w:val="21"/>
          <w:szCs w:val="21"/>
        </w:rPr>
        <w:t>.</w:t>
      </w:r>
    </w:p>
    <w:p w:rsidR="00700272" w:rsidRPr="00E67B5D" w:rsidRDefault="00700272" w:rsidP="00700272">
      <w:pPr>
        <w:rPr>
          <w:rFonts w:ascii="Calibri" w:hAnsi="Calibri" w:cs="Calibri"/>
          <w:color w:val="auto"/>
          <w:kern w:val="24"/>
          <w:sz w:val="21"/>
          <w:szCs w:val="21"/>
        </w:rPr>
      </w:pPr>
      <w:r w:rsidRPr="00E67B5D">
        <w:rPr>
          <w:rFonts w:ascii="Calibri" w:hAnsi="Calibri" w:cs="Calibri"/>
          <w:b/>
          <w:color w:val="auto"/>
          <w:sz w:val="21"/>
          <w:szCs w:val="21"/>
        </w:rPr>
        <w:t>RECOMMENDATION:</w:t>
      </w:r>
    </w:p>
    <w:p w:rsidR="00700272" w:rsidRPr="00E67B5D" w:rsidRDefault="00700272" w:rsidP="00700272">
      <w:pPr>
        <w:rPr>
          <w:rFonts w:ascii="Calibri" w:hAnsi="Calibri" w:cs="Calibri"/>
          <w:color w:val="auto"/>
          <w:kern w:val="24"/>
          <w:sz w:val="21"/>
          <w:szCs w:val="21"/>
        </w:rPr>
      </w:pPr>
      <w:r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Transfuse one unit of red blood cells at a time when clinically indicated to </w:t>
      </w:r>
      <w:r w:rsidR="00CA29D1"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improve </w:t>
      </w:r>
      <w:r w:rsidRPr="00E67B5D">
        <w:rPr>
          <w:rFonts w:ascii="Calibri" w:hAnsi="Calibri" w:cs="Calibri"/>
          <w:color w:val="auto"/>
          <w:kern w:val="24"/>
          <w:sz w:val="21"/>
          <w:szCs w:val="21"/>
        </w:rPr>
        <w:t>symptoms</w:t>
      </w:r>
      <w:r w:rsidR="003E78B2"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 of anaemia</w:t>
      </w:r>
      <w:r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. Reassess the patient before prescribing further transfusion. </w:t>
      </w:r>
      <w:r w:rsidR="00603C21"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Align </w:t>
      </w:r>
      <w:r w:rsidR="009C3247"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practice </w:t>
      </w:r>
      <w:r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with </w:t>
      </w:r>
      <w:r w:rsidR="00603C21" w:rsidRPr="00E67B5D">
        <w:rPr>
          <w:rFonts w:ascii="Calibri" w:hAnsi="Calibri" w:cs="Calibri"/>
          <w:color w:val="auto"/>
          <w:kern w:val="24"/>
          <w:sz w:val="21"/>
          <w:szCs w:val="21"/>
        </w:rPr>
        <w:t xml:space="preserve">the national </w:t>
      </w:r>
      <w:r w:rsidRPr="00E67B5D">
        <w:rPr>
          <w:rFonts w:ascii="Calibri" w:hAnsi="Calibri" w:cs="Calibri"/>
          <w:color w:val="auto"/>
          <w:kern w:val="24"/>
          <w:sz w:val="21"/>
          <w:szCs w:val="21"/>
        </w:rPr>
        <w:t>Patient Blood Management Guidelines.</w:t>
      </w:r>
    </w:p>
    <w:p w:rsidR="003E78B2" w:rsidRDefault="003E78B2" w:rsidP="00700272">
      <w:pPr>
        <w:rPr>
          <w:rFonts w:ascii="Calibri" w:hAnsi="Calibri" w:cs="Calibri"/>
          <w:b/>
          <w:color w:val="auto"/>
          <w:sz w:val="21"/>
          <w:szCs w:val="21"/>
        </w:rPr>
      </w:pPr>
      <w:r w:rsidRPr="00E67B5D">
        <w:rPr>
          <w:rFonts w:ascii="Calibri" w:hAnsi="Calibri" w:cs="Calibri"/>
          <w:b/>
          <w:color w:val="auto"/>
          <w:sz w:val="21"/>
          <w:szCs w:val="21"/>
        </w:rPr>
        <w:t>Each unit transfused is an independent clinical decision.</w:t>
      </w:r>
    </w:p>
    <w:p w:rsidR="0001065E" w:rsidRDefault="00797CD0">
      <w:pPr>
        <w:pStyle w:val="Sidebarphoto"/>
      </w:pPr>
      <w:r>
        <w:br w:type="column"/>
      </w:r>
    </w:p>
    <w:p w:rsidR="0001065E" w:rsidRDefault="003E78B2">
      <w:pPr>
        <w:pStyle w:val="SidebarHeading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F955E37" wp14:editId="304C4A56">
                <wp:simplePos x="0" y="0"/>
                <wp:positionH relativeFrom="margin">
                  <wp:posOffset>-4445</wp:posOffset>
                </wp:positionH>
                <wp:positionV relativeFrom="page">
                  <wp:posOffset>3780790</wp:posOffset>
                </wp:positionV>
                <wp:extent cx="4524375" cy="765175"/>
                <wp:effectExtent l="0" t="0" r="952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Pr="00C6076D" w:rsidRDefault="00434847" w:rsidP="00C6076D">
                            <w:pPr>
                              <w:pStyle w:val="Heading1"/>
                              <w:spacing w:befor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Every </w:t>
                            </w:r>
                            <w:r w:rsidRPr="00434847">
                              <w:rPr>
                                <w:b/>
                                <w:sz w:val="72"/>
                                <w:szCs w:val="72"/>
                              </w:rPr>
                              <w:t>ONE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matters</w:t>
                            </w:r>
                          </w:p>
                          <w:p w:rsidR="0001065E" w:rsidRDefault="00177A88">
                            <w:pPr>
                              <w:pStyle w:val="Name"/>
                            </w:pPr>
                            <w:r>
                              <w:rPr>
                                <w:rStyle w:val="Emphasis"/>
                              </w:rPr>
                              <w:t xml:space="preserve">Recommendations from the </w:t>
                            </w:r>
                            <w:r>
                              <w:t>National Blood Authority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35pt;margin-top:297.7pt;width:356.25pt;height:60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" o:allowincell="f" filled="f" stroked="f" strokeweight=".5pt">
                <v:textbox inset="0,0,0,0">
                  <w:txbxContent>
                    <w:p w:rsidR="0001065E" w:rsidRPr="00C6076D" w:rsidRDefault="00434847" w:rsidP="00C6076D">
                      <w:pPr>
                        <w:pStyle w:val="Heading1"/>
                        <w:spacing w:befor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Every </w:t>
                      </w:r>
                      <w:r w:rsidRPr="00434847">
                        <w:rPr>
                          <w:b/>
                          <w:sz w:val="72"/>
                          <w:szCs w:val="72"/>
                        </w:rPr>
                        <w:t>ONE</w:t>
                      </w:r>
                      <w:r>
                        <w:rPr>
                          <w:sz w:val="72"/>
                          <w:szCs w:val="72"/>
                        </w:rPr>
                        <w:t xml:space="preserve"> matters</w:t>
                      </w:r>
                    </w:p>
                    <w:p w:rsidR="0001065E" w:rsidRDefault="00177A88">
                      <w:pPr>
                        <w:pStyle w:val="Name"/>
                      </w:pPr>
                      <w:r>
                        <w:rPr>
                          <w:rStyle w:val="Emphasis"/>
                        </w:rPr>
                        <w:t xml:space="preserve">Recommendations from the </w:t>
                      </w:r>
                      <w:r>
                        <w:t>National Blood Authority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26544">
        <w:t xml:space="preserve"> </w:t>
      </w:r>
      <w:r w:rsidR="00BE0B3F" w:rsidRPr="00C23EF1">
        <w:rPr>
          <w:noProof/>
          <w:sz w:val="20"/>
          <w:szCs w:val="20"/>
          <w:lang w:val="en-AU" w:eastAsia="en-AU"/>
        </w:rPr>
        <w:drawing>
          <wp:inline distT="0" distB="0" distL="0" distR="0" wp14:anchorId="79CC945D" wp14:editId="3864ACCC">
            <wp:extent cx="701376" cy="999461"/>
            <wp:effectExtent l="0" t="0" r="3810" b="0"/>
            <wp:docPr id="10" name="Picture 10" descr="http://www.blood.gov.au/sites/default/files/pbm-mod-2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lood.gov.au/sites/default/files/pbm-mod-2-cov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79" cy="10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544">
        <w:t xml:space="preserve"> </w:t>
      </w:r>
      <w:r w:rsidR="00BE0B3F">
        <w:t xml:space="preserve"> </w:t>
      </w:r>
      <w:r w:rsidR="00BE0B3F" w:rsidRPr="00C23EF1">
        <w:rPr>
          <w:noProof/>
          <w:sz w:val="20"/>
          <w:szCs w:val="20"/>
          <w:lang w:val="en-AU" w:eastAsia="en-AU"/>
        </w:rPr>
        <w:drawing>
          <wp:inline distT="0" distB="0" distL="0" distR="0" wp14:anchorId="0945CF13" wp14:editId="5625D1E2">
            <wp:extent cx="697997" cy="988828"/>
            <wp:effectExtent l="0" t="0" r="6985" b="1905"/>
            <wp:docPr id="11" name="Picture 11" descr="http://www.blood.gov.au/sites/default/files/pbm-mod-3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lood.gov.au/sites/default/files/pbm-mod-3-cov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3" cy="10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544">
        <w:t xml:space="preserve">  </w:t>
      </w:r>
      <w:r w:rsidR="00BE0B3F" w:rsidRPr="00C23EF1">
        <w:rPr>
          <w:noProof/>
          <w:color w:val="C05504"/>
          <w:sz w:val="20"/>
          <w:szCs w:val="20"/>
          <w:lang w:val="en-AU" w:eastAsia="en-AU"/>
        </w:rPr>
        <w:drawing>
          <wp:inline distT="0" distB="0" distL="0" distR="0" wp14:anchorId="03F1BDF8" wp14:editId="6C119807">
            <wp:extent cx="697299" cy="999461"/>
            <wp:effectExtent l="0" t="0" r="7620" b="0"/>
            <wp:docPr id="13" name="Picture 13" descr="http://www.blood.gov.au/sites/default/files/pbm-mod-4-cover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lood.gov.au/sites/default/files/pbm-mod-4-cover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9" cy="10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44" w:rsidRDefault="00726544" w:rsidP="00F92622">
      <w:pPr>
        <w:pStyle w:val="PageReference"/>
        <w:jc w:val="left"/>
        <w:rPr>
          <w:rStyle w:val="PageNumber"/>
          <w:color w:val="000000" w:themeColor="text1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</w:p>
    <w:p w:rsidR="00F610E5" w:rsidRDefault="00250A46" w:rsidP="00F610E5">
      <w:pPr>
        <w:pStyle w:val="PageReference"/>
        <w:jc w:val="left"/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</w:pPr>
      <w:r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Viral transmission </w:t>
      </w:r>
      <w:r w:rsidR="00A07D90"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is </w:t>
      </w:r>
      <w:r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>only part of the risk profile associated with red blood cell transfusion. Other</w:t>
      </w:r>
      <w:r w:rsidR="00A07D90"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</w:t>
      </w:r>
      <w:r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>risks include</w:t>
      </w:r>
      <w:r w:rsidR="00F610E5">
        <w:rPr>
          <w:rFonts w:ascii="Calibri" w:hAnsi="Calibri" w:cs="Calibri"/>
          <w:szCs w:val="20"/>
          <w14:textFill>
            <w14:solidFill>
              <w14:schemeClr w14:val="tx1">
                <w14:lumMod w14:val="95000"/>
                <w14:lumOff w14:val="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effects on the immune system, TACO, and haemolytic reactions. </w:t>
      </w:r>
    </w:p>
    <w:p w:rsidR="00726544" w:rsidRPr="00765DF2" w:rsidRDefault="00726544" w:rsidP="00C23EF1">
      <w:pPr>
        <w:pStyle w:val="PageReference"/>
        <w:spacing w:after="0"/>
        <w:jc w:val="left"/>
        <w:rPr>
          <w:rFonts w:ascii="Calibri" w:hAnsi="Calibri" w:cs="Calibri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  <w:r w:rsidRPr="00765DF2">
        <w:rPr>
          <w:rFonts w:ascii="Calibri" w:hAnsi="Calibri" w:cs="Calibri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For further information refer to:</w:t>
      </w:r>
    </w:p>
    <w:p w:rsidR="00726544" w:rsidRPr="00765DF2" w:rsidRDefault="00726544" w:rsidP="00C23EF1">
      <w:pPr>
        <w:pStyle w:val="PageReference"/>
        <w:numPr>
          <w:ilvl w:val="0"/>
          <w:numId w:val="8"/>
        </w:numPr>
        <w:spacing w:after="0"/>
        <w:jc w:val="left"/>
        <w:rPr>
          <w:rFonts w:ascii="Calibri" w:hAnsi="Calibri" w:cs="Calibri"/>
          <w:sz w:val="18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  <w:r w:rsidRPr="00765DF2">
        <w:rPr>
          <w:rFonts w:ascii="Calibri" w:hAnsi="Calibri" w:cs="Calibri"/>
          <w:sz w:val="18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National Blood Authority Patient Blood Management Guidelines: Modules 2,3,4.</w:t>
      </w:r>
    </w:p>
    <w:p w:rsidR="00726544" w:rsidRPr="00765DF2" w:rsidRDefault="00726544" w:rsidP="00C23EF1">
      <w:pPr>
        <w:pStyle w:val="PageReference"/>
        <w:numPr>
          <w:ilvl w:val="0"/>
          <w:numId w:val="8"/>
        </w:numPr>
        <w:spacing w:after="0"/>
        <w:jc w:val="left"/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Koch CG, Li L, Duncan AI et al. Morbidity and mortality risk associated with red blood cell and blood-component transfusion in isolated coronary artery bypass grafting. </w:t>
      </w:r>
      <w:proofErr w:type="spellStart"/>
      <w:r w:rsidRPr="00765DF2">
        <w:rPr>
          <w:rFonts w:ascii="Calibri" w:hAnsi="Calibri" w:cs="Calibri"/>
          <w:i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Crit</w:t>
      </w:r>
      <w:proofErr w:type="spellEnd"/>
      <w:r w:rsidRPr="00765DF2">
        <w:rPr>
          <w:rFonts w:ascii="Calibri" w:hAnsi="Calibri" w:cs="Calibri"/>
          <w:i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Care Med </w:t>
      </w: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2006, </w:t>
      </w:r>
      <w:r w:rsidRPr="00765DF2">
        <w:rPr>
          <w:rFonts w:ascii="Calibri" w:hAnsi="Calibri" w:cs="Calibri"/>
          <w:b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34</w:t>
      </w: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:1608-1616.</w:t>
      </w:r>
    </w:p>
    <w:p w:rsidR="00726544" w:rsidRPr="00765DF2" w:rsidRDefault="00726544" w:rsidP="00C23EF1">
      <w:pPr>
        <w:pStyle w:val="PageReference"/>
        <w:numPr>
          <w:ilvl w:val="0"/>
          <w:numId w:val="8"/>
        </w:numPr>
        <w:spacing w:after="0"/>
        <w:jc w:val="left"/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Hajjar  LA, Vincent  JL et al. </w:t>
      </w:r>
      <w:r w:rsid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(</w:t>
      </w:r>
      <w:r w:rsidR="00FF2754"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2010</w:t>
      </w:r>
      <w:r w:rsid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).</w:t>
      </w:r>
      <w:r w:rsidR="00FF2754"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</w:t>
      </w: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Transfusion requirements after cardiac surgery: the TRACS randomised controlled trial. </w:t>
      </w:r>
      <w:r w:rsidRPr="00765DF2">
        <w:rPr>
          <w:rFonts w:ascii="Calibri" w:hAnsi="Calibri" w:cs="Calibri"/>
          <w:i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JAMA, </w:t>
      </w:r>
      <w:r w:rsidRPr="00765DF2">
        <w:rPr>
          <w:rFonts w:ascii="Calibri" w:hAnsi="Calibri" w:cs="Calibri"/>
          <w:b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304</w:t>
      </w: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:1559-1567.</w:t>
      </w:r>
    </w:p>
    <w:p w:rsidR="00726544" w:rsidRPr="00765DF2" w:rsidRDefault="00726544" w:rsidP="00C23EF1">
      <w:pPr>
        <w:pStyle w:val="PageReference"/>
        <w:numPr>
          <w:ilvl w:val="0"/>
          <w:numId w:val="8"/>
        </w:numPr>
        <w:spacing w:after="0"/>
        <w:jc w:val="left"/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</w:pP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Hofmann A, Farmer S, Shander A (2011). Five Drivers Shifting the paradigm from Product-focused Transfusion Practice to Patient Blood Management” </w:t>
      </w:r>
      <w:r w:rsidRPr="00765DF2">
        <w:rPr>
          <w:rFonts w:ascii="Calibri" w:hAnsi="Calibri" w:cs="Calibri"/>
          <w:i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The Oncologist</w:t>
      </w: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;16(</w:t>
      </w:r>
      <w:proofErr w:type="spellStart"/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suppl</w:t>
      </w:r>
      <w:proofErr w:type="spellEnd"/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3):3-11</w:t>
      </w:r>
    </w:p>
    <w:p w:rsidR="0087089D" w:rsidRPr="00765DF2" w:rsidRDefault="00726544" w:rsidP="00707C62">
      <w:pPr>
        <w:pStyle w:val="PageReference"/>
        <w:numPr>
          <w:ilvl w:val="0"/>
          <w:numId w:val="8"/>
        </w:numPr>
        <w:spacing w:after="0"/>
        <w:jc w:val="left"/>
        <w:rPr>
          <w:rStyle w:val="PageNumber"/>
          <w:rFonts w:ascii="Calibri" w:hAnsi="Calibri" w:cs="Calibri"/>
          <w:color w:val="000000" w:themeColor="text1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sectPr w:rsidR="0087089D" w:rsidRPr="00765DF2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Hofmann, A et al. (2012). Strategies to </w:t>
      </w:r>
      <w:proofErr w:type="spellStart"/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preempt</w:t>
      </w:r>
      <w:proofErr w:type="spellEnd"/>
      <w:r w:rsidRPr="00765DF2">
        <w:rPr>
          <w:rFonts w:ascii="Calibri" w:hAnsi="Calibri" w:cs="Calibri"/>
          <w:sz w:val="18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and reduce the use of blood </w:t>
      </w:r>
      <w:r w:rsidRPr="00F35A53">
        <w:rPr>
          <w:rFonts w:ascii="Calibri" w:hAnsi="Calibri" w:cs="Calibri"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products: an Australian perspective. </w:t>
      </w:r>
      <w:proofErr w:type="spellStart"/>
      <w:r w:rsidRPr="00F35A53">
        <w:rPr>
          <w:rFonts w:ascii="Calibri" w:hAnsi="Calibri" w:cs="Calibri"/>
          <w:i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Curr</w:t>
      </w:r>
      <w:proofErr w:type="spellEnd"/>
      <w:r w:rsidRPr="00F35A53">
        <w:rPr>
          <w:rFonts w:ascii="Calibri" w:hAnsi="Calibri" w:cs="Calibri"/>
          <w:i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</w:t>
      </w:r>
      <w:proofErr w:type="spellStart"/>
      <w:r w:rsidRPr="00F35A53">
        <w:rPr>
          <w:rFonts w:ascii="Calibri" w:hAnsi="Calibri" w:cs="Calibri"/>
          <w:i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Opin</w:t>
      </w:r>
      <w:proofErr w:type="spellEnd"/>
      <w:r w:rsidRPr="00F35A53">
        <w:rPr>
          <w:rFonts w:ascii="Calibri" w:hAnsi="Calibri" w:cs="Calibri"/>
          <w:i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</w:t>
      </w:r>
      <w:proofErr w:type="spellStart"/>
      <w:r w:rsidRPr="00F35A53">
        <w:rPr>
          <w:rFonts w:ascii="Calibri" w:hAnsi="Calibri" w:cs="Calibri"/>
          <w:i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>Anesthesiol</w:t>
      </w:r>
      <w:proofErr w:type="spellEnd"/>
      <w:r w:rsidRPr="00F35A53">
        <w:rPr>
          <w:rFonts w:ascii="Calibri" w:hAnsi="Calibri" w:cs="Calibri"/>
          <w:sz w:val="18"/>
          <w:szCs w:val="20"/>
          <w:lang w:val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t xml:space="preserve"> , 25:66-73</w:t>
      </w:r>
    </w:p>
    <w:p w:rsidR="0001065E" w:rsidRDefault="00726544">
      <w:r w:rsidRPr="00C23EF1">
        <w:rPr>
          <w:rStyle w:val="PageNumber"/>
          <w:noProof/>
          <w:color w:val="000000" w:themeColor="text1"/>
          <w:lang w:val="en-AU" w:eastAsia="en-AU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  <w14:lumMod w14:val="65000"/>
              </w14:schemeClr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22293" wp14:editId="3EF5601B">
                <wp:simplePos x="0" y="0"/>
                <wp:positionH relativeFrom="column">
                  <wp:posOffset>-175895</wp:posOffset>
                </wp:positionH>
                <wp:positionV relativeFrom="paragraph">
                  <wp:posOffset>256420</wp:posOffset>
                </wp:positionV>
                <wp:extent cx="7495540" cy="224287"/>
                <wp:effectExtent l="0" t="0" r="1016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5540" cy="224287"/>
                        </a:xfrm>
                        <a:prstGeom prst="rect">
                          <a:avLst/>
                        </a:prstGeom>
                        <a:solidFill>
                          <a:srgbClr val="FF4519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C4" w:rsidRDefault="001F45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3.85pt;margin-top:20.2pt;width:590.2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" fillcolor="#ff4519" strokecolor="#f60">
                <v:textbox>
                  <w:txbxContent>
                    <w:p w:rsidR="001F45C4" w:rsidRDefault="001F45C4"/>
                  </w:txbxContent>
                </v:textbox>
              </v:shape>
            </w:pict>
          </mc:Fallback>
        </mc:AlternateContent>
      </w:r>
    </w:p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88" w:rsidRDefault="00177A88">
      <w:pPr>
        <w:spacing w:after="0"/>
      </w:pPr>
      <w:r>
        <w:separator/>
      </w:r>
    </w:p>
    <w:p w:rsidR="00177A88" w:rsidRDefault="00177A88"/>
    <w:p w:rsidR="00177A88" w:rsidRDefault="00177A88"/>
  </w:endnote>
  <w:endnote w:type="continuationSeparator" w:id="0">
    <w:p w:rsidR="00177A88" w:rsidRDefault="00177A88">
      <w:pPr>
        <w:spacing w:after="0"/>
      </w:pPr>
      <w:r>
        <w:continuationSeparator/>
      </w:r>
    </w:p>
    <w:p w:rsidR="00177A88" w:rsidRDefault="00177A88"/>
    <w:p w:rsidR="00177A88" w:rsidRDefault="00177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88" w:rsidRDefault="00177A88">
      <w:pPr>
        <w:spacing w:after="0"/>
      </w:pPr>
      <w:r>
        <w:separator/>
      </w:r>
    </w:p>
    <w:p w:rsidR="00177A88" w:rsidRDefault="00177A88"/>
    <w:p w:rsidR="00177A88" w:rsidRDefault="00177A88"/>
  </w:footnote>
  <w:footnote w:type="continuationSeparator" w:id="0">
    <w:p w:rsidR="00177A88" w:rsidRDefault="00177A88">
      <w:pPr>
        <w:spacing w:after="0"/>
      </w:pPr>
      <w:r>
        <w:continuationSeparator/>
      </w:r>
    </w:p>
    <w:p w:rsidR="00177A88" w:rsidRDefault="00177A88"/>
    <w:p w:rsidR="00177A88" w:rsidRDefault="00177A8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4A4" w:rsidRDefault="002354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E87664">
          <w:pPr>
            <w:pStyle w:val="Header"/>
          </w:pPr>
          <w:sdt>
            <w:sdtPr>
              <w:alias w:val="Title"/>
              <w:tag w:val="Title"/>
              <w:id w:val="-529026648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9F0094">
                <w:rPr>
                  <w:lang w:val="en-AU"/>
                </w:rPr>
                <w:t>APPENDIX 5: Example Newsletter - Single Unit TRANSFUSION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742249918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434847">
                <w:t xml:space="preserve">     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872023959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797CD0">
                <w:rPr>
                  <w:rStyle w:val="IssueNumberChar"/>
                </w:rPr>
                <w:t>#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E67B5D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w:rPr>
        <w:lang w:val="en-AU" w:eastAsia="en-AU"/>
      </w:rPr>
      <mc:AlternateContent>
        <mc:Choice Requires="wps">
          <w:drawing>
            <wp:inline distT="0" distB="0" distL="0" distR="0" wp14:anchorId="25B2F99E" wp14:editId="5E1EF63E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9841"/>
      <w:gridCol w:w="1650"/>
    </w:tblGrid>
    <w:tr w:rsidR="0001065E" w:rsidTr="00DF4754">
      <w:trPr>
        <w:cantSplit/>
      </w:trPr>
      <w:tc>
        <w:tcPr>
          <w:tcW w:w="9841" w:type="dxa"/>
          <w:vAlign w:val="bottom"/>
        </w:tcPr>
        <w:p w:rsidR="0001065E" w:rsidRDefault="00E87664">
          <w:pPr>
            <w:pStyle w:val="Header"/>
          </w:pPr>
          <w:sdt>
            <w:sdtPr>
              <w:alias w:val="Title"/>
              <w:tag w:val="Title"/>
              <w:id w:val="-135497428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9A4F37">
                <w:rPr>
                  <w:lang w:val="en-AU"/>
                </w:rPr>
                <w:t>APPENDIX</w:t>
              </w:r>
              <w:r w:rsidR="00222D2F">
                <w:rPr>
                  <w:lang w:val="en-AU"/>
                </w:rPr>
                <w:t xml:space="preserve"> </w:t>
              </w:r>
              <w:r w:rsidR="00250A46">
                <w:rPr>
                  <w:lang w:val="en-AU"/>
                </w:rPr>
                <w:t>5: Ex</w:t>
              </w:r>
              <w:r w:rsidR="009A4F37">
                <w:rPr>
                  <w:lang w:val="en-AU"/>
                </w:rPr>
                <w:t>ample Newsletter - Single Unit</w:t>
              </w:r>
              <w:r w:rsidR="009F0094">
                <w:rPr>
                  <w:lang w:val="en-AU"/>
                </w:rPr>
                <w:t xml:space="preserve"> TRANSFUSION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17681312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434847">
                <w:t xml:space="preserve">     </w:t>
              </w:r>
            </w:sdtContent>
          </w:sdt>
        </w:p>
      </w:tc>
      <w:tc>
        <w:tcPr>
          <w:tcW w:w="1650" w:type="dxa"/>
          <w:vAlign w:val="bottom"/>
        </w:tcPr>
        <w:p w:rsidR="0001065E" w:rsidRDefault="00797CD0">
          <w:pPr>
            <w:pStyle w:val="IssueNumber"/>
          </w:pPr>
          <w:r>
            <w:t xml:space="preserve">Issue </w:t>
          </w:r>
          <w:sdt>
            <w:sdtPr>
              <w:alias w:val="Issue No"/>
              <w:tag w:val="Issue No"/>
              <w:id w:val="-761907786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t>#</w:t>
              </w:r>
            </w:sdtContent>
          </w:sdt>
          <w:r>
            <w:t xml:space="preserve"> </w:t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2550BE"/>
    <w:multiLevelType w:val="hybridMultilevel"/>
    <w:tmpl w:val="93C21B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20"/>
  <w:characterSpacingControl w:val="doNotCompress"/>
  <w:hdrShapeDefaults>
    <o:shapedefaults v:ext="edit" spidmax="307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88"/>
    <w:rsid w:val="0001065E"/>
    <w:rsid w:val="001168FB"/>
    <w:rsid w:val="00130846"/>
    <w:rsid w:val="00177A88"/>
    <w:rsid w:val="001A05D1"/>
    <w:rsid w:val="001F45C4"/>
    <w:rsid w:val="00222D2F"/>
    <w:rsid w:val="00227F75"/>
    <w:rsid w:val="002354A4"/>
    <w:rsid w:val="00250A46"/>
    <w:rsid w:val="002859E5"/>
    <w:rsid w:val="00371430"/>
    <w:rsid w:val="00382DD2"/>
    <w:rsid w:val="003E78B2"/>
    <w:rsid w:val="004307EE"/>
    <w:rsid w:val="00434847"/>
    <w:rsid w:val="00477680"/>
    <w:rsid w:val="004B4CFB"/>
    <w:rsid w:val="004E6E24"/>
    <w:rsid w:val="00603C21"/>
    <w:rsid w:val="00643243"/>
    <w:rsid w:val="006B1CCB"/>
    <w:rsid w:val="006B451A"/>
    <w:rsid w:val="00700272"/>
    <w:rsid w:val="00707C62"/>
    <w:rsid w:val="00726544"/>
    <w:rsid w:val="00734D23"/>
    <w:rsid w:val="00765DF2"/>
    <w:rsid w:val="00797CD0"/>
    <w:rsid w:val="007D7333"/>
    <w:rsid w:val="0087089D"/>
    <w:rsid w:val="008C0495"/>
    <w:rsid w:val="00910DA5"/>
    <w:rsid w:val="009A4F37"/>
    <w:rsid w:val="009C3247"/>
    <w:rsid w:val="009F0094"/>
    <w:rsid w:val="00A07D90"/>
    <w:rsid w:val="00AC43D5"/>
    <w:rsid w:val="00AC4B96"/>
    <w:rsid w:val="00B67C2D"/>
    <w:rsid w:val="00BE0B3F"/>
    <w:rsid w:val="00C23EF1"/>
    <w:rsid w:val="00C6076D"/>
    <w:rsid w:val="00CA29D1"/>
    <w:rsid w:val="00DE085E"/>
    <w:rsid w:val="00DF4754"/>
    <w:rsid w:val="00E360AA"/>
    <w:rsid w:val="00E40273"/>
    <w:rsid w:val="00E67B5D"/>
    <w:rsid w:val="00E87664"/>
    <w:rsid w:val="00EC5382"/>
    <w:rsid w:val="00F21F13"/>
    <w:rsid w:val="00F35A53"/>
    <w:rsid w:val="00F610E5"/>
    <w:rsid w:val="00F92622"/>
    <w:rsid w:val="00FF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blood.gov.au/pbm-module-4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0005278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93E16A-CB3E-4E65-B663-DB8DC37A1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48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HNEAHS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APPENDIX 5: Example Newsletter - Single Unit TRANSFUSION</dc:subject>
  <dc:creator>Vicki Martens</dc:creator>
  <cp:lastModifiedBy>Wall, Lyndsay</cp:lastModifiedBy>
  <cp:revision>12</cp:revision>
  <cp:lastPrinted>2013-09-17T22:10:00Z</cp:lastPrinted>
  <dcterms:created xsi:type="dcterms:W3CDTF">2013-09-11T04:48:00Z</dcterms:created>
  <dcterms:modified xsi:type="dcterms:W3CDTF">2013-09-17T22:10:00Z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