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0F" w:rsidRPr="00804B33" w:rsidRDefault="00E8628A" w:rsidP="009F7D0F">
      <w:bookmarkStart w:id="0" w:name="_Toc275414986"/>
      <w:bookmarkStart w:id="1" w:name="_GoBack"/>
      <w:bookmarkEnd w:id="0"/>
      <w:bookmarkEnd w:id="1"/>
      <w:r>
        <w:rPr>
          <w:noProof/>
          <w:lang w:eastAsia="en-AU"/>
        </w:rPr>
        <w:drawing>
          <wp:anchor distT="0" distB="0" distL="114300" distR="114300" simplePos="0" relativeHeight="251658241" behindDoc="1" locked="0" layoutInCell="1" allowOverlap="1" wp14:anchorId="3FE32E09" wp14:editId="0969E8AA">
            <wp:simplePos x="0" y="0"/>
            <wp:positionH relativeFrom="column">
              <wp:posOffset>-732790</wp:posOffset>
            </wp:positionH>
            <wp:positionV relativeFrom="paragraph">
              <wp:posOffset>-920750</wp:posOffset>
            </wp:positionV>
            <wp:extent cx="7370891" cy="10417811"/>
            <wp:effectExtent l="0" t="0" r="1905" b="2540"/>
            <wp:wrapNone/>
            <wp:docPr id="39" name="Picture 3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2">
                      <a:extLst>
                        <a:ext uri="{28A0092B-C50C-407E-A947-70E740481C1C}">
                          <a14:useLocalDpi xmlns:a14="http://schemas.microsoft.com/office/drawing/2010/main" val="0"/>
                        </a:ext>
                      </a:extLst>
                    </a:blip>
                    <a:stretch>
                      <a:fillRect/>
                    </a:stretch>
                  </pic:blipFill>
                  <pic:spPr>
                    <a:xfrm>
                      <a:off x="0" y="0"/>
                      <a:ext cx="7370891" cy="10417811"/>
                    </a:xfrm>
                    <a:prstGeom prst="rect">
                      <a:avLst/>
                    </a:prstGeom>
                  </pic:spPr>
                </pic:pic>
              </a:graphicData>
            </a:graphic>
            <wp14:sizeRelH relativeFrom="page">
              <wp14:pctWidth>0</wp14:pctWidth>
            </wp14:sizeRelH>
            <wp14:sizeRelV relativeFrom="page">
              <wp14:pctHeight>0</wp14:pctHeight>
            </wp14:sizeRelV>
          </wp:anchor>
        </w:drawing>
      </w:r>
    </w:p>
    <w:p w:rsidR="009F7D0F" w:rsidRPr="00804B33" w:rsidRDefault="009F7D0F" w:rsidP="009F7D0F"/>
    <w:p w:rsidR="009F7D0F" w:rsidRPr="00804B33" w:rsidRDefault="009F7D0F" w:rsidP="009F7D0F"/>
    <w:p w:rsidR="009F7D0F" w:rsidRDefault="009F7D0F" w:rsidP="009F7D0F"/>
    <w:p w:rsidR="009F7D0F" w:rsidRDefault="009F7D0F" w:rsidP="009F7D0F"/>
    <w:p w:rsidR="009F7D0F" w:rsidRDefault="009F7D0F" w:rsidP="009F7D0F"/>
    <w:p w:rsidR="009F7D0F" w:rsidRDefault="009F7D0F" w:rsidP="009F7D0F"/>
    <w:p w:rsidR="009F7D0F" w:rsidRPr="00804B33" w:rsidRDefault="00242C9F" w:rsidP="009F7D0F">
      <w:r w:rsidRPr="00804B33">
        <w:rPr>
          <w:rFonts w:cstheme="minorHAnsi"/>
          <w:noProof/>
          <w:szCs w:val="20"/>
          <w:lang w:eastAsia="en-AU"/>
        </w:rPr>
        <w:drawing>
          <wp:anchor distT="0" distB="0" distL="114300" distR="114300" simplePos="0" relativeHeight="251658240" behindDoc="0" locked="0" layoutInCell="1" allowOverlap="1" wp14:anchorId="3F0F699F" wp14:editId="4D53C484">
            <wp:simplePos x="0" y="0"/>
            <wp:positionH relativeFrom="column">
              <wp:posOffset>586105</wp:posOffset>
            </wp:positionH>
            <wp:positionV relativeFrom="paragraph">
              <wp:posOffset>15875</wp:posOffset>
            </wp:positionV>
            <wp:extent cx="4754880" cy="775970"/>
            <wp:effectExtent l="0" t="0" r="7620" b="5080"/>
            <wp:wrapNone/>
            <wp:docPr id="45" name="Picture 45" descr="BLOODNET_GRADIE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ODNET_GRADIENT_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D0F" w:rsidRDefault="009F7D0F" w:rsidP="009F7D0F"/>
    <w:p w:rsidR="00633444" w:rsidRDefault="00633444" w:rsidP="009F7D0F"/>
    <w:p w:rsidR="00633444" w:rsidRDefault="00633444" w:rsidP="009F7D0F"/>
    <w:p w:rsidR="00633444" w:rsidRDefault="00633444" w:rsidP="00063B05"/>
    <w:p w:rsidR="009F7D0F" w:rsidRDefault="009F7D0F" w:rsidP="00063B05">
      <w:pPr>
        <w:rPr>
          <w:rFonts w:cstheme="minorHAnsi"/>
          <w:szCs w:val="20"/>
        </w:rPr>
      </w:pPr>
    </w:p>
    <w:p w:rsidR="00551448" w:rsidRDefault="00F476EE" w:rsidP="00551448">
      <w:pPr>
        <w:jc w:val="center"/>
        <w:rPr>
          <w:sz w:val="48"/>
        </w:rPr>
      </w:pPr>
      <w:r>
        <w:rPr>
          <w:sz w:val="48"/>
        </w:rPr>
        <w:fldChar w:fldCharType="begin"/>
      </w:r>
      <w:r>
        <w:rPr>
          <w:sz w:val="48"/>
        </w:rPr>
        <w:instrText xml:space="preserve"> DOCPROPERTY  "Report Title"  \* MERGEFORMAT </w:instrText>
      </w:r>
      <w:r>
        <w:rPr>
          <w:sz w:val="48"/>
        </w:rPr>
        <w:fldChar w:fldCharType="separate"/>
      </w:r>
      <w:r w:rsidR="00FE0257">
        <w:rPr>
          <w:sz w:val="48"/>
        </w:rPr>
        <w:t xml:space="preserve">Fresh </w:t>
      </w:r>
      <w:r w:rsidR="00551448">
        <w:rPr>
          <w:sz w:val="48"/>
        </w:rPr>
        <w:t>Component Health Provider</w:t>
      </w:r>
    </w:p>
    <w:p w:rsidR="008E4C79" w:rsidRDefault="00FE0257" w:rsidP="00063B05">
      <w:pPr>
        <w:jc w:val="center"/>
        <w:rPr>
          <w:sz w:val="48"/>
        </w:rPr>
      </w:pPr>
      <w:r>
        <w:rPr>
          <w:sz w:val="48"/>
        </w:rPr>
        <w:t>Discard</w:t>
      </w:r>
      <w:r w:rsidR="003470D6">
        <w:rPr>
          <w:sz w:val="48"/>
        </w:rPr>
        <w:t>s</w:t>
      </w:r>
      <w:r w:rsidR="00F476EE">
        <w:rPr>
          <w:sz w:val="48"/>
        </w:rPr>
        <w:fldChar w:fldCharType="end"/>
      </w:r>
      <w:r w:rsidR="008E4C79">
        <w:rPr>
          <w:sz w:val="48"/>
        </w:rPr>
        <w:br/>
      </w:r>
      <w:r w:rsidR="00F476EE">
        <w:rPr>
          <w:sz w:val="48"/>
        </w:rPr>
        <w:fldChar w:fldCharType="begin"/>
      </w:r>
      <w:r w:rsidR="00F476EE">
        <w:rPr>
          <w:sz w:val="48"/>
        </w:rPr>
        <w:instrText xml:space="preserve"> DOCPROPERTY  ReportID  \* MERGEFORMAT </w:instrText>
      </w:r>
      <w:r w:rsidR="00F476EE">
        <w:rPr>
          <w:sz w:val="48"/>
        </w:rPr>
        <w:fldChar w:fldCharType="separate"/>
      </w:r>
      <w:r>
        <w:rPr>
          <w:sz w:val="48"/>
        </w:rPr>
        <w:t>FATE</w:t>
      </w:r>
      <w:r w:rsidR="00325EDF">
        <w:rPr>
          <w:sz w:val="48"/>
        </w:rPr>
        <w:t>0</w:t>
      </w:r>
      <w:r w:rsidR="00F476EE">
        <w:rPr>
          <w:sz w:val="48"/>
        </w:rPr>
        <w:t>0</w:t>
      </w:r>
      <w:r>
        <w:rPr>
          <w:sz w:val="48"/>
        </w:rPr>
        <w:t>7</w:t>
      </w:r>
      <w:r w:rsidR="00F476EE">
        <w:rPr>
          <w:sz w:val="48"/>
        </w:rPr>
        <w:fldChar w:fldCharType="end"/>
      </w:r>
    </w:p>
    <w:p w:rsidR="009F7D0F" w:rsidRPr="00063B05" w:rsidRDefault="008E4C79" w:rsidP="00063B05">
      <w:pPr>
        <w:jc w:val="center"/>
        <w:rPr>
          <w:rFonts w:cstheme="minorHAnsi"/>
          <w:sz w:val="48"/>
          <w:szCs w:val="20"/>
        </w:rPr>
      </w:pPr>
      <w:r>
        <w:rPr>
          <w:sz w:val="48"/>
        </w:rPr>
        <w:br/>
        <w:t xml:space="preserve">Report </w:t>
      </w:r>
      <w:r w:rsidR="009F7D0F" w:rsidRPr="00063B05">
        <w:rPr>
          <w:sz w:val="48"/>
        </w:rPr>
        <w:t>Specification</w:t>
      </w:r>
    </w:p>
    <w:p w:rsidR="009F7D0F" w:rsidRPr="00063B05" w:rsidRDefault="009F7D0F" w:rsidP="00063B05">
      <w:pPr>
        <w:jc w:val="center"/>
        <w:rPr>
          <w:sz w:val="36"/>
        </w:rPr>
        <w:sectPr w:rsidR="009F7D0F" w:rsidRPr="00063B05" w:rsidSect="00F036A8">
          <w:headerReference w:type="first" r:id="rId14"/>
          <w:footerReference w:type="first" r:id="rId15"/>
          <w:pgSz w:w="11906" w:h="16838"/>
          <w:pgMar w:top="1440" w:right="1440" w:bottom="1440" w:left="1440" w:header="708" w:footer="708" w:gutter="0"/>
          <w:cols w:space="708"/>
          <w:docGrid w:linePitch="360"/>
        </w:sectPr>
      </w:pPr>
    </w:p>
    <w:p w:rsidR="003D3167" w:rsidRPr="00063B05" w:rsidRDefault="003D3167" w:rsidP="003D3167">
      <w:pPr>
        <w:rPr>
          <w:sz w:val="36"/>
          <w:lang w:val="en-GB"/>
        </w:rPr>
      </w:pPr>
      <w:r w:rsidRPr="00063B05">
        <w:rPr>
          <w:sz w:val="36"/>
          <w:lang w:val="en-GB"/>
        </w:rPr>
        <w:lastRenderedPageBreak/>
        <w:t>Version Control</w:t>
      </w:r>
    </w:p>
    <w:tbl>
      <w:tblPr>
        <w:tblW w:w="0" w:type="auto"/>
        <w:jc w:val="center"/>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31"/>
        <w:gridCol w:w="1559"/>
        <w:gridCol w:w="6513"/>
      </w:tblGrid>
      <w:tr w:rsidR="003D3167" w:rsidRPr="003E36EB" w:rsidTr="00B041ED">
        <w:trPr>
          <w:tblHeader/>
          <w:jc w:val="center"/>
        </w:trPr>
        <w:tc>
          <w:tcPr>
            <w:tcW w:w="1031" w:type="dxa"/>
            <w:shd w:val="clear" w:color="auto" w:fill="C6D9F1" w:themeFill="text2" w:themeFillTint="33"/>
          </w:tcPr>
          <w:p w:rsidR="003D3167" w:rsidRPr="00217A48" w:rsidRDefault="003D3167" w:rsidP="00D768FE">
            <w:pPr>
              <w:rPr>
                <w:rFonts w:cstheme="minorHAnsi"/>
                <w:b/>
                <w:bCs/>
                <w:sz w:val="18"/>
                <w:szCs w:val="18"/>
              </w:rPr>
            </w:pPr>
            <w:r w:rsidRPr="00217A48">
              <w:rPr>
                <w:rFonts w:cstheme="minorHAnsi"/>
                <w:b/>
                <w:bCs/>
                <w:sz w:val="18"/>
                <w:szCs w:val="18"/>
              </w:rPr>
              <w:t>Version</w:t>
            </w:r>
          </w:p>
        </w:tc>
        <w:tc>
          <w:tcPr>
            <w:tcW w:w="1559" w:type="dxa"/>
            <w:shd w:val="clear" w:color="auto" w:fill="C6D9F1" w:themeFill="text2" w:themeFillTint="33"/>
          </w:tcPr>
          <w:p w:rsidR="003D3167" w:rsidRPr="00217A48" w:rsidRDefault="003D3167" w:rsidP="00D768FE">
            <w:pPr>
              <w:rPr>
                <w:rFonts w:cstheme="minorHAnsi"/>
                <w:b/>
                <w:bCs/>
                <w:sz w:val="18"/>
                <w:szCs w:val="18"/>
              </w:rPr>
            </w:pPr>
            <w:r>
              <w:rPr>
                <w:rFonts w:cstheme="minorHAnsi"/>
                <w:b/>
                <w:bCs/>
                <w:sz w:val="18"/>
                <w:szCs w:val="18"/>
              </w:rPr>
              <w:t>Revision Date</w:t>
            </w:r>
          </w:p>
        </w:tc>
        <w:tc>
          <w:tcPr>
            <w:tcW w:w="6513" w:type="dxa"/>
            <w:shd w:val="clear" w:color="auto" w:fill="C6D9F1" w:themeFill="text2" w:themeFillTint="33"/>
          </w:tcPr>
          <w:p w:rsidR="003D3167" w:rsidRPr="00217A48" w:rsidRDefault="003D3167" w:rsidP="00D768FE">
            <w:pPr>
              <w:rPr>
                <w:rFonts w:cstheme="minorHAnsi"/>
                <w:b/>
                <w:bCs/>
                <w:sz w:val="18"/>
                <w:szCs w:val="18"/>
              </w:rPr>
            </w:pPr>
            <w:r w:rsidRPr="00217A48">
              <w:rPr>
                <w:rFonts w:cstheme="minorHAnsi"/>
                <w:b/>
                <w:bCs/>
                <w:sz w:val="18"/>
                <w:szCs w:val="18"/>
              </w:rPr>
              <w:t>Revision Description</w:t>
            </w:r>
          </w:p>
        </w:tc>
      </w:tr>
      <w:tr w:rsidR="003D3167" w:rsidRPr="003E36EB" w:rsidTr="00B041ED">
        <w:trPr>
          <w:jc w:val="center"/>
        </w:trPr>
        <w:tc>
          <w:tcPr>
            <w:tcW w:w="1031" w:type="dxa"/>
            <w:shd w:val="clear" w:color="auto" w:fill="auto"/>
          </w:tcPr>
          <w:p w:rsidR="003D3167" w:rsidRPr="00411650" w:rsidRDefault="003D3167" w:rsidP="00D768FE">
            <w:pPr>
              <w:rPr>
                <w:sz w:val="18"/>
                <w:szCs w:val="18"/>
              </w:rPr>
            </w:pPr>
            <w:r w:rsidRPr="00411650">
              <w:rPr>
                <w:color w:val="000000"/>
                <w:sz w:val="18"/>
                <w:szCs w:val="18"/>
                <w:lang w:val="en-US"/>
              </w:rPr>
              <w:t>0.1</w:t>
            </w:r>
          </w:p>
        </w:tc>
        <w:tc>
          <w:tcPr>
            <w:tcW w:w="1559" w:type="dxa"/>
            <w:shd w:val="clear" w:color="auto" w:fill="auto"/>
          </w:tcPr>
          <w:p w:rsidR="003D3167" w:rsidRPr="00411650" w:rsidRDefault="003D3167" w:rsidP="00D768FE">
            <w:pPr>
              <w:rPr>
                <w:sz w:val="18"/>
                <w:szCs w:val="18"/>
              </w:rPr>
            </w:pPr>
            <w:r>
              <w:rPr>
                <w:sz w:val="18"/>
                <w:szCs w:val="18"/>
                <w:lang w:val="en-US"/>
              </w:rPr>
              <w:t>08 July</w:t>
            </w:r>
            <w:r w:rsidRPr="00411650">
              <w:rPr>
                <w:sz w:val="18"/>
                <w:szCs w:val="18"/>
                <w:lang w:val="en-US"/>
              </w:rPr>
              <w:t xml:space="preserve"> 2013</w:t>
            </w:r>
          </w:p>
        </w:tc>
        <w:tc>
          <w:tcPr>
            <w:tcW w:w="6513" w:type="dxa"/>
          </w:tcPr>
          <w:p w:rsidR="003D3167" w:rsidRPr="00411650" w:rsidRDefault="003D3167" w:rsidP="00D768FE">
            <w:pPr>
              <w:rPr>
                <w:sz w:val="18"/>
                <w:szCs w:val="18"/>
              </w:rPr>
            </w:pPr>
            <w:r>
              <w:rPr>
                <w:color w:val="000000"/>
                <w:sz w:val="18"/>
                <w:szCs w:val="18"/>
                <w:lang w:val="en-US"/>
              </w:rPr>
              <w:t>Initial</w:t>
            </w:r>
            <w:r w:rsidRPr="00411650">
              <w:rPr>
                <w:color w:val="000000"/>
                <w:sz w:val="18"/>
                <w:szCs w:val="18"/>
                <w:lang w:val="en-US"/>
              </w:rPr>
              <w:t xml:space="preserve"> Draft</w:t>
            </w:r>
            <w:r>
              <w:rPr>
                <w:color w:val="000000"/>
                <w:sz w:val="18"/>
                <w:szCs w:val="18"/>
                <w:lang w:val="en-US"/>
              </w:rPr>
              <w:t>.</w:t>
            </w:r>
          </w:p>
        </w:tc>
      </w:tr>
      <w:tr w:rsidR="003D3167" w:rsidRPr="003E36EB" w:rsidTr="00B041ED">
        <w:trPr>
          <w:jc w:val="center"/>
        </w:trPr>
        <w:tc>
          <w:tcPr>
            <w:tcW w:w="1031" w:type="dxa"/>
            <w:shd w:val="clear" w:color="auto" w:fill="auto"/>
          </w:tcPr>
          <w:p w:rsidR="003D3167" w:rsidRPr="00411650" w:rsidRDefault="003D3167" w:rsidP="00D768FE">
            <w:pPr>
              <w:rPr>
                <w:sz w:val="18"/>
                <w:szCs w:val="18"/>
              </w:rPr>
            </w:pPr>
            <w:r>
              <w:rPr>
                <w:sz w:val="18"/>
                <w:szCs w:val="18"/>
              </w:rPr>
              <w:t>0.2</w:t>
            </w:r>
          </w:p>
        </w:tc>
        <w:tc>
          <w:tcPr>
            <w:tcW w:w="1559" w:type="dxa"/>
            <w:shd w:val="clear" w:color="auto" w:fill="auto"/>
          </w:tcPr>
          <w:p w:rsidR="003D3167" w:rsidRPr="00411650" w:rsidRDefault="003D3167" w:rsidP="00D768FE">
            <w:pPr>
              <w:rPr>
                <w:sz w:val="18"/>
                <w:szCs w:val="18"/>
              </w:rPr>
            </w:pPr>
            <w:r>
              <w:rPr>
                <w:sz w:val="18"/>
                <w:szCs w:val="18"/>
              </w:rPr>
              <w:t>18 July 2013</w:t>
            </w:r>
          </w:p>
        </w:tc>
        <w:tc>
          <w:tcPr>
            <w:tcW w:w="6513" w:type="dxa"/>
          </w:tcPr>
          <w:p w:rsidR="003D3167" w:rsidRPr="00411650" w:rsidRDefault="003D3167" w:rsidP="00D768FE">
            <w:pPr>
              <w:rPr>
                <w:sz w:val="18"/>
                <w:szCs w:val="18"/>
              </w:rPr>
            </w:pPr>
            <w:r>
              <w:rPr>
                <w:sz w:val="18"/>
                <w:szCs w:val="18"/>
              </w:rPr>
              <w:t>Updates after feedback from Pete Trubshaw.</w:t>
            </w:r>
          </w:p>
        </w:tc>
      </w:tr>
      <w:tr w:rsidR="003D3167" w:rsidRPr="003E36EB" w:rsidTr="00B041ED">
        <w:trPr>
          <w:jc w:val="center"/>
        </w:trPr>
        <w:tc>
          <w:tcPr>
            <w:tcW w:w="1031" w:type="dxa"/>
            <w:shd w:val="clear" w:color="auto" w:fill="auto"/>
          </w:tcPr>
          <w:p w:rsidR="003D3167" w:rsidRPr="003E36EB" w:rsidRDefault="003D3167" w:rsidP="00D768FE">
            <w:pPr>
              <w:rPr>
                <w:sz w:val="18"/>
                <w:szCs w:val="18"/>
              </w:rPr>
            </w:pPr>
            <w:r>
              <w:rPr>
                <w:sz w:val="18"/>
                <w:szCs w:val="18"/>
              </w:rPr>
              <w:t>0.3</w:t>
            </w:r>
          </w:p>
        </w:tc>
        <w:tc>
          <w:tcPr>
            <w:tcW w:w="1559" w:type="dxa"/>
            <w:shd w:val="clear" w:color="auto" w:fill="auto"/>
          </w:tcPr>
          <w:p w:rsidR="003D3167" w:rsidRPr="003E36EB" w:rsidRDefault="003D3167" w:rsidP="00D768FE">
            <w:pPr>
              <w:rPr>
                <w:sz w:val="18"/>
                <w:szCs w:val="18"/>
              </w:rPr>
            </w:pPr>
            <w:r>
              <w:rPr>
                <w:sz w:val="18"/>
                <w:szCs w:val="18"/>
              </w:rPr>
              <w:t>27 July 2013</w:t>
            </w:r>
          </w:p>
        </w:tc>
        <w:tc>
          <w:tcPr>
            <w:tcW w:w="6513" w:type="dxa"/>
          </w:tcPr>
          <w:p w:rsidR="003D3167" w:rsidRPr="003E36EB" w:rsidRDefault="003D3167" w:rsidP="00D768FE">
            <w:pPr>
              <w:rPr>
                <w:sz w:val="18"/>
                <w:szCs w:val="18"/>
              </w:rPr>
            </w:pPr>
            <w:r>
              <w:rPr>
                <w:sz w:val="18"/>
                <w:szCs w:val="18"/>
              </w:rPr>
              <w:t>Incorporate Pete’s assumptions into BR 9 and 10.</w:t>
            </w:r>
          </w:p>
        </w:tc>
      </w:tr>
      <w:tr w:rsidR="003D3167" w:rsidRPr="003E36EB" w:rsidTr="00B041ED">
        <w:trPr>
          <w:jc w:val="center"/>
        </w:trPr>
        <w:tc>
          <w:tcPr>
            <w:tcW w:w="1031" w:type="dxa"/>
            <w:shd w:val="clear" w:color="auto" w:fill="auto"/>
          </w:tcPr>
          <w:p w:rsidR="003D3167" w:rsidRDefault="003D3167" w:rsidP="00D768FE">
            <w:pPr>
              <w:rPr>
                <w:sz w:val="18"/>
                <w:szCs w:val="18"/>
              </w:rPr>
            </w:pPr>
            <w:r>
              <w:rPr>
                <w:sz w:val="18"/>
                <w:szCs w:val="18"/>
              </w:rPr>
              <w:t>0.4</w:t>
            </w:r>
          </w:p>
        </w:tc>
        <w:tc>
          <w:tcPr>
            <w:tcW w:w="1559" w:type="dxa"/>
            <w:shd w:val="clear" w:color="auto" w:fill="auto"/>
          </w:tcPr>
          <w:p w:rsidR="003D3167" w:rsidRDefault="003D3167" w:rsidP="00D768FE">
            <w:pPr>
              <w:rPr>
                <w:sz w:val="18"/>
                <w:szCs w:val="18"/>
              </w:rPr>
            </w:pPr>
            <w:r>
              <w:rPr>
                <w:sz w:val="18"/>
                <w:szCs w:val="18"/>
              </w:rPr>
              <w:t>29 July 2013</w:t>
            </w:r>
          </w:p>
        </w:tc>
        <w:tc>
          <w:tcPr>
            <w:tcW w:w="6513" w:type="dxa"/>
          </w:tcPr>
          <w:p w:rsidR="003D3167" w:rsidRDefault="003D3167" w:rsidP="00D768FE">
            <w:pPr>
              <w:spacing w:after="0" w:line="240" w:lineRule="auto"/>
              <w:rPr>
                <w:sz w:val="18"/>
                <w:szCs w:val="18"/>
              </w:rPr>
            </w:pPr>
            <w:r>
              <w:rPr>
                <w:sz w:val="18"/>
                <w:szCs w:val="18"/>
              </w:rPr>
              <w:t>Incorporate the following from review with Sandra Cochrane:</w:t>
            </w:r>
          </w:p>
          <w:p w:rsidR="003D3167" w:rsidRDefault="003D3167" w:rsidP="00D768FE">
            <w:pPr>
              <w:pStyle w:val="ListParagraph"/>
              <w:numPr>
                <w:ilvl w:val="0"/>
                <w:numId w:val="13"/>
              </w:numPr>
              <w:ind w:left="317" w:hanging="283"/>
              <w:rPr>
                <w:sz w:val="18"/>
                <w:szCs w:val="18"/>
              </w:rPr>
            </w:pPr>
            <w:r>
              <w:rPr>
                <w:sz w:val="18"/>
                <w:szCs w:val="18"/>
              </w:rPr>
              <w:t xml:space="preserve">Section 1.1 - Amended matrix table; </w:t>
            </w:r>
          </w:p>
          <w:p w:rsidR="003D3167" w:rsidRDefault="003D3167" w:rsidP="00D768FE">
            <w:pPr>
              <w:pStyle w:val="ListParagraph"/>
              <w:numPr>
                <w:ilvl w:val="0"/>
                <w:numId w:val="13"/>
              </w:numPr>
              <w:ind w:left="317" w:hanging="283"/>
              <w:rPr>
                <w:sz w:val="18"/>
                <w:szCs w:val="18"/>
              </w:rPr>
            </w:pPr>
            <w:r>
              <w:rPr>
                <w:sz w:val="18"/>
                <w:szCs w:val="18"/>
              </w:rPr>
              <w:t xml:space="preserve">Section 2.2 – BR5d – If issued quantity is blank (ie. zero) and the discarded quantity is &gt; issued quantity, then </w:t>
            </w:r>
            <w:proofErr w:type="spellStart"/>
            <w:r>
              <w:rPr>
                <w:sz w:val="18"/>
                <w:szCs w:val="18"/>
              </w:rPr>
              <w:t>DAPI</w:t>
            </w:r>
            <w:proofErr w:type="spellEnd"/>
            <w:r>
              <w:rPr>
                <w:sz w:val="18"/>
                <w:szCs w:val="18"/>
              </w:rPr>
              <w:t xml:space="preserve"> will be Not Applicable;</w:t>
            </w:r>
          </w:p>
          <w:p w:rsidR="003D3167" w:rsidRDefault="003D3167" w:rsidP="00D768FE">
            <w:pPr>
              <w:pStyle w:val="ListParagraph"/>
              <w:numPr>
                <w:ilvl w:val="0"/>
                <w:numId w:val="13"/>
              </w:numPr>
              <w:ind w:left="317" w:hanging="283"/>
              <w:rPr>
                <w:sz w:val="18"/>
                <w:szCs w:val="18"/>
              </w:rPr>
            </w:pPr>
            <w:r>
              <w:rPr>
                <w:sz w:val="18"/>
                <w:szCs w:val="18"/>
              </w:rPr>
              <w:t>Section 2.2 – BR6 – Remove “</w:t>
            </w:r>
            <w:proofErr w:type="spellStart"/>
            <w:r>
              <w:rPr>
                <w:sz w:val="18"/>
                <w:szCs w:val="18"/>
              </w:rPr>
              <w:t>Unreceipted</w:t>
            </w:r>
            <w:proofErr w:type="spellEnd"/>
            <w:r>
              <w:rPr>
                <w:sz w:val="18"/>
                <w:szCs w:val="18"/>
              </w:rPr>
              <w:t>” status;</w:t>
            </w:r>
          </w:p>
          <w:p w:rsidR="003D3167" w:rsidRDefault="003D3167" w:rsidP="00D768FE">
            <w:pPr>
              <w:pStyle w:val="ListParagraph"/>
              <w:numPr>
                <w:ilvl w:val="0"/>
                <w:numId w:val="13"/>
              </w:numPr>
              <w:ind w:left="317" w:hanging="283"/>
              <w:rPr>
                <w:sz w:val="18"/>
                <w:szCs w:val="18"/>
              </w:rPr>
            </w:pPr>
            <w:r>
              <w:rPr>
                <w:sz w:val="18"/>
                <w:szCs w:val="18"/>
              </w:rPr>
              <w:t>Section 2.2 – BR8 – Expand more how the issue, transfer in, transfer out and discard dates are considered within reporting period;</w:t>
            </w:r>
          </w:p>
          <w:p w:rsidR="003D3167" w:rsidRDefault="003D3167" w:rsidP="00D768FE">
            <w:pPr>
              <w:pStyle w:val="ListParagraph"/>
              <w:numPr>
                <w:ilvl w:val="0"/>
                <w:numId w:val="13"/>
              </w:numPr>
              <w:ind w:left="317" w:hanging="283"/>
              <w:rPr>
                <w:sz w:val="18"/>
                <w:szCs w:val="18"/>
              </w:rPr>
            </w:pPr>
            <w:r>
              <w:rPr>
                <w:sz w:val="18"/>
                <w:szCs w:val="18"/>
              </w:rPr>
              <w:t>Section 2.3 – Include new mock-up of Section 1 table.</w:t>
            </w:r>
          </w:p>
          <w:p w:rsidR="003D3167" w:rsidRDefault="003D3167" w:rsidP="00D768FE">
            <w:pPr>
              <w:pStyle w:val="ListParagraph"/>
              <w:numPr>
                <w:ilvl w:val="0"/>
                <w:numId w:val="13"/>
              </w:numPr>
              <w:ind w:left="317" w:hanging="283"/>
              <w:rPr>
                <w:sz w:val="18"/>
                <w:szCs w:val="18"/>
              </w:rPr>
            </w:pPr>
            <w:r>
              <w:rPr>
                <w:sz w:val="18"/>
                <w:szCs w:val="18"/>
              </w:rPr>
              <w:t>Section 3.3 – Remove Neutral Threshold Indicator as a parameter. Global change.</w:t>
            </w:r>
          </w:p>
          <w:p w:rsidR="003D3167" w:rsidRDefault="003D3167" w:rsidP="00D768FE">
            <w:pPr>
              <w:pStyle w:val="ListParagraph"/>
              <w:numPr>
                <w:ilvl w:val="0"/>
                <w:numId w:val="13"/>
              </w:numPr>
              <w:ind w:left="317" w:hanging="283"/>
              <w:rPr>
                <w:sz w:val="18"/>
                <w:szCs w:val="18"/>
              </w:rPr>
            </w:pPr>
            <w:r>
              <w:rPr>
                <w:sz w:val="18"/>
                <w:szCs w:val="18"/>
              </w:rPr>
              <w:t>Section 3.4 – For Health Provider, added point that need to consider issue notes that are partially receipted;</w:t>
            </w:r>
          </w:p>
          <w:p w:rsidR="003D3167" w:rsidRDefault="003D3167" w:rsidP="00D768FE">
            <w:pPr>
              <w:pStyle w:val="ListParagraph"/>
              <w:numPr>
                <w:ilvl w:val="0"/>
                <w:numId w:val="13"/>
              </w:numPr>
              <w:ind w:left="317" w:hanging="283"/>
              <w:rPr>
                <w:sz w:val="18"/>
                <w:szCs w:val="18"/>
              </w:rPr>
            </w:pPr>
            <w:r>
              <w:rPr>
                <w:sz w:val="18"/>
                <w:szCs w:val="18"/>
              </w:rPr>
              <w:t>Section 3.4 – Remove the Neutral Indicator Threshold;</w:t>
            </w:r>
          </w:p>
          <w:p w:rsidR="003D3167" w:rsidRDefault="003D3167" w:rsidP="00D768FE">
            <w:pPr>
              <w:pStyle w:val="ListParagraph"/>
              <w:numPr>
                <w:ilvl w:val="0"/>
                <w:numId w:val="13"/>
              </w:numPr>
              <w:ind w:left="317" w:hanging="283"/>
              <w:rPr>
                <w:sz w:val="18"/>
                <w:szCs w:val="18"/>
              </w:rPr>
            </w:pPr>
            <w:r>
              <w:rPr>
                <w:sz w:val="18"/>
                <w:szCs w:val="18"/>
              </w:rPr>
              <w:t xml:space="preserve">Section 3.4 – Point 6 – added the new extra columns (transfer in </w:t>
            </w:r>
            <w:proofErr w:type="spellStart"/>
            <w:r>
              <w:rPr>
                <w:sz w:val="18"/>
                <w:szCs w:val="18"/>
              </w:rPr>
              <w:t>qty</w:t>
            </w:r>
            <w:proofErr w:type="spellEnd"/>
            <w:r>
              <w:rPr>
                <w:sz w:val="18"/>
                <w:szCs w:val="18"/>
              </w:rPr>
              <w:t xml:space="preserve">, transfer out </w:t>
            </w:r>
            <w:proofErr w:type="spellStart"/>
            <w:r>
              <w:rPr>
                <w:sz w:val="18"/>
                <w:szCs w:val="18"/>
              </w:rPr>
              <w:t>qty</w:t>
            </w:r>
            <w:proofErr w:type="spellEnd"/>
            <w:r>
              <w:rPr>
                <w:sz w:val="18"/>
                <w:szCs w:val="18"/>
              </w:rPr>
              <w:t>, net issued), and amended “Your peer group” to “Group”. Global change;</w:t>
            </w:r>
          </w:p>
          <w:p w:rsidR="003D3167" w:rsidRDefault="003D3167" w:rsidP="00D768FE">
            <w:pPr>
              <w:pStyle w:val="ListParagraph"/>
              <w:numPr>
                <w:ilvl w:val="0"/>
                <w:numId w:val="13"/>
              </w:numPr>
              <w:ind w:left="317" w:hanging="283"/>
              <w:rPr>
                <w:sz w:val="18"/>
                <w:szCs w:val="18"/>
              </w:rPr>
            </w:pPr>
            <w:r>
              <w:rPr>
                <w:sz w:val="18"/>
                <w:szCs w:val="18"/>
              </w:rPr>
              <w:t>Section 3.5 – Added the new extra columns and their corresponding totals as additional report items;</w:t>
            </w:r>
          </w:p>
          <w:p w:rsidR="003D3167" w:rsidRPr="00FA2FC7" w:rsidRDefault="003D3167" w:rsidP="00D768FE">
            <w:pPr>
              <w:pStyle w:val="ListParagraph"/>
              <w:numPr>
                <w:ilvl w:val="0"/>
                <w:numId w:val="13"/>
              </w:numPr>
              <w:ind w:left="317" w:hanging="283"/>
              <w:rPr>
                <w:sz w:val="18"/>
                <w:szCs w:val="18"/>
              </w:rPr>
            </w:pPr>
            <w:r>
              <w:rPr>
                <w:sz w:val="18"/>
                <w:szCs w:val="18"/>
              </w:rPr>
              <w:t>Section 3.5 - Key indicator icons to have green or red. Remove yellow indicator icons. Global change.</w:t>
            </w:r>
          </w:p>
        </w:tc>
      </w:tr>
      <w:tr w:rsidR="003D3167" w:rsidRPr="003E36EB" w:rsidTr="00B041ED">
        <w:trPr>
          <w:jc w:val="center"/>
        </w:trPr>
        <w:tc>
          <w:tcPr>
            <w:tcW w:w="1031" w:type="dxa"/>
            <w:shd w:val="clear" w:color="auto" w:fill="auto"/>
          </w:tcPr>
          <w:p w:rsidR="003D3167" w:rsidRDefault="003D3167" w:rsidP="00D768FE">
            <w:pPr>
              <w:rPr>
                <w:sz w:val="18"/>
                <w:szCs w:val="18"/>
              </w:rPr>
            </w:pPr>
            <w:r>
              <w:rPr>
                <w:sz w:val="18"/>
                <w:szCs w:val="18"/>
              </w:rPr>
              <w:t>0.5</w:t>
            </w:r>
          </w:p>
        </w:tc>
        <w:tc>
          <w:tcPr>
            <w:tcW w:w="1559" w:type="dxa"/>
            <w:shd w:val="clear" w:color="auto" w:fill="auto"/>
          </w:tcPr>
          <w:p w:rsidR="003D3167" w:rsidRDefault="003D3167" w:rsidP="00D768FE">
            <w:pPr>
              <w:rPr>
                <w:sz w:val="18"/>
                <w:szCs w:val="18"/>
              </w:rPr>
            </w:pPr>
            <w:r>
              <w:rPr>
                <w:sz w:val="18"/>
                <w:szCs w:val="18"/>
              </w:rPr>
              <w:t>01 August 2013</w:t>
            </w:r>
          </w:p>
        </w:tc>
        <w:tc>
          <w:tcPr>
            <w:tcW w:w="6513" w:type="dxa"/>
          </w:tcPr>
          <w:p w:rsidR="003D3167" w:rsidRDefault="003D3167" w:rsidP="00D768FE">
            <w:pPr>
              <w:spacing w:after="0" w:line="240" w:lineRule="auto"/>
              <w:rPr>
                <w:sz w:val="18"/>
                <w:szCs w:val="18"/>
              </w:rPr>
            </w:pPr>
            <w:r>
              <w:rPr>
                <w:sz w:val="18"/>
                <w:szCs w:val="18"/>
              </w:rPr>
              <w:t xml:space="preserve">Incorporate Pete’s and </w:t>
            </w:r>
            <w:proofErr w:type="spellStart"/>
            <w:r>
              <w:rPr>
                <w:sz w:val="18"/>
                <w:szCs w:val="18"/>
              </w:rPr>
              <w:t>Amit’s</w:t>
            </w:r>
            <w:proofErr w:type="spellEnd"/>
            <w:r>
              <w:rPr>
                <w:sz w:val="18"/>
                <w:szCs w:val="18"/>
              </w:rPr>
              <w:t xml:space="preserve"> feedback:</w:t>
            </w:r>
          </w:p>
          <w:p w:rsidR="003D3167" w:rsidRDefault="003D3167" w:rsidP="00D768FE">
            <w:pPr>
              <w:pStyle w:val="ListParagraph"/>
              <w:numPr>
                <w:ilvl w:val="0"/>
                <w:numId w:val="13"/>
              </w:numPr>
              <w:ind w:left="317" w:hanging="283"/>
              <w:rPr>
                <w:sz w:val="18"/>
                <w:szCs w:val="18"/>
              </w:rPr>
            </w:pPr>
            <w:r>
              <w:rPr>
                <w:sz w:val="18"/>
                <w:szCs w:val="18"/>
              </w:rPr>
              <w:t>Section 2.2 - Added BR11 on averages rule;</w:t>
            </w:r>
          </w:p>
          <w:p w:rsidR="003D3167" w:rsidRDefault="003D3167" w:rsidP="00D768FE">
            <w:pPr>
              <w:pStyle w:val="ListParagraph"/>
              <w:numPr>
                <w:ilvl w:val="0"/>
                <w:numId w:val="13"/>
              </w:numPr>
              <w:ind w:left="317" w:hanging="283"/>
              <w:rPr>
                <w:sz w:val="18"/>
                <w:szCs w:val="18"/>
              </w:rPr>
            </w:pPr>
            <w:r>
              <w:rPr>
                <w:sz w:val="18"/>
                <w:szCs w:val="18"/>
              </w:rPr>
              <w:t>Section 3.3 – Remove default for Start and End date;</w:t>
            </w:r>
          </w:p>
          <w:p w:rsidR="003D3167" w:rsidRDefault="003D3167" w:rsidP="00D768FE">
            <w:pPr>
              <w:pStyle w:val="ListParagraph"/>
              <w:numPr>
                <w:ilvl w:val="0"/>
                <w:numId w:val="13"/>
              </w:numPr>
              <w:ind w:left="317" w:hanging="283"/>
              <w:rPr>
                <w:sz w:val="18"/>
                <w:szCs w:val="18"/>
              </w:rPr>
            </w:pPr>
            <w:r>
              <w:rPr>
                <w:sz w:val="18"/>
                <w:szCs w:val="18"/>
              </w:rPr>
              <w:t>Section 3.5 – Reword the calculations for Group, Group Average, State Average and National Average.</w:t>
            </w:r>
          </w:p>
          <w:p w:rsidR="003D3167" w:rsidRDefault="003D3167" w:rsidP="00D768FE">
            <w:pPr>
              <w:pStyle w:val="ListParagraph"/>
              <w:numPr>
                <w:ilvl w:val="0"/>
                <w:numId w:val="13"/>
              </w:numPr>
              <w:ind w:left="317" w:hanging="283"/>
              <w:rPr>
                <w:sz w:val="18"/>
                <w:szCs w:val="18"/>
              </w:rPr>
            </w:pPr>
            <w:r w:rsidRPr="00FA2FC7">
              <w:rPr>
                <w:sz w:val="18"/>
                <w:szCs w:val="18"/>
              </w:rPr>
              <w:t>Updated glossary.</w:t>
            </w:r>
          </w:p>
          <w:p w:rsidR="003D3167" w:rsidRPr="00FA2FC7" w:rsidRDefault="003D3167" w:rsidP="00D768FE">
            <w:pPr>
              <w:ind w:left="34"/>
              <w:rPr>
                <w:sz w:val="18"/>
                <w:szCs w:val="18"/>
              </w:rPr>
            </w:pPr>
            <w:r>
              <w:rPr>
                <w:sz w:val="18"/>
                <w:szCs w:val="18"/>
              </w:rPr>
              <w:t>Peter reviewed and ensure</w:t>
            </w:r>
            <w:r w:rsidR="000D4228">
              <w:rPr>
                <w:sz w:val="18"/>
                <w:szCs w:val="18"/>
              </w:rPr>
              <w:t>d</w:t>
            </w:r>
            <w:r>
              <w:rPr>
                <w:sz w:val="18"/>
                <w:szCs w:val="18"/>
              </w:rPr>
              <w:t xml:space="preserve"> his comments are incorporated.</w:t>
            </w:r>
          </w:p>
        </w:tc>
      </w:tr>
      <w:tr w:rsidR="003D3167" w:rsidRPr="003E36EB" w:rsidTr="00B041ED">
        <w:trPr>
          <w:jc w:val="center"/>
        </w:trPr>
        <w:tc>
          <w:tcPr>
            <w:tcW w:w="1031" w:type="dxa"/>
            <w:shd w:val="clear" w:color="auto" w:fill="auto"/>
          </w:tcPr>
          <w:p w:rsidR="003D3167" w:rsidRDefault="003D3167" w:rsidP="00D768FE">
            <w:pPr>
              <w:rPr>
                <w:sz w:val="18"/>
                <w:szCs w:val="18"/>
              </w:rPr>
            </w:pPr>
            <w:r>
              <w:rPr>
                <w:sz w:val="18"/>
                <w:szCs w:val="18"/>
              </w:rPr>
              <w:t>0.6</w:t>
            </w:r>
          </w:p>
        </w:tc>
        <w:tc>
          <w:tcPr>
            <w:tcW w:w="1559" w:type="dxa"/>
            <w:shd w:val="clear" w:color="auto" w:fill="auto"/>
          </w:tcPr>
          <w:p w:rsidR="003D3167" w:rsidRDefault="003D3167" w:rsidP="00D768FE">
            <w:pPr>
              <w:rPr>
                <w:sz w:val="18"/>
                <w:szCs w:val="18"/>
              </w:rPr>
            </w:pPr>
            <w:r>
              <w:rPr>
                <w:sz w:val="18"/>
                <w:szCs w:val="18"/>
              </w:rPr>
              <w:t>06 August 2013</w:t>
            </w:r>
          </w:p>
        </w:tc>
        <w:tc>
          <w:tcPr>
            <w:tcW w:w="6513" w:type="dxa"/>
          </w:tcPr>
          <w:p w:rsidR="003D3167" w:rsidRDefault="003D3167" w:rsidP="00D768FE">
            <w:pPr>
              <w:spacing w:after="0" w:line="240" w:lineRule="auto"/>
              <w:rPr>
                <w:sz w:val="18"/>
                <w:szCs w:val="18"/>
              </w:rPr>
            </w:pPr>
            <w:r>
              <w:rPr>
                <w:sz w:val="18"/>
                <w:szCs w:val="18"/>
              </w:rPr>
              <w:t>Incorporate Pete’s feedback:</w:t>
            </w:r>
          </w:p>
          <w:p w:rsidR="003D3167" w:rsidRDefault="003D3167" w:rsidP="00D768FE">
            <w:pPr>
              <w:pStyle w:val="ListParagraph"/>
              <w:numPr>
                <w:ilvl w:val="0"/>
                <w:numId w:val="13"/>
              </w:numPr>
              <w:ind w:left="317" w:hanging="283"/>
              <w:rPr>
                <w:sz w:val="18"/>
                <w:szCs w:val="18"/>
              </w:rPr>
            </w:pPr>
            <w:r>
              <w:rPr>
                <w:sz w:val="18"/>
                <w:szCs w:val="18"/>
              </w:rPr>
              <w:t xml:space="preserve">Section 2.2 – Removed original BR5c and 6c in regards to if discard </w:t>
            </w:r>
            <w:proofErr w:type="spellStart"/>
            <w:r>
              <w:rPr>
                <w:sz w:val="18"/>
                <w:szCs w:val="18"/>
              </w:rPr>
              <w:t>qty</w:t>
            </w:r>
            <w:proofErr w:type="spellEnd"/>
            <w:r>
              <w:rPr>
                <w:sz w:val="18"/>
                <w:szCs w:val="18"/>
              </w:rPr>
              <w:t xml:space="preserve"> is blank, the cost and </w:t>
            </w:r>
            <w:proofErr w:type="spellStart"/>
            <w:r>
              <w:rPr>
                <w:sz w:val="18"/>
                <w:szCs w:val="18"/>
              </w:rPr>
              <w:t>DAPI</w:t>
            </w:r>
            <w:proofErr w:type="spellEnd"/>
            <w:r>
              <w:rPr>
                <w:sz w:val="18"/>
                <w:szCs w:val="18"/>
              </w:rPr>
              <w:t xml:space="preserve"> will also be blank;</w:t>
            </w:r>
          </w:p>
          <w:p w:rsidR="003D3167" w:rsidRDefault="003D3167" w:rsidP="00D768FE">
            <w:pPr>
              <w:pStyle w:val="ListParagraph"/>
              <w:numPr>
                <w:ilvl w:val="0"/>
                <w:numId w:val="13"/>
              </w:numPr>
              <w:ind w:left="317" w:hanging="283"/>
              <w:rPr>
                <w:sz w:val="18"/>
                <w:szCs w:val="18"/>
              </w:rPr>
            </w:pPr>
            <w:r>
              <w:rPr>
                <w:sz w:val="18"/>
                <w:szCs w:val="18"/>
              </w:rPr>
              <w:t>Section 2.2 - BR7 – Added “</w:t>
            </w:r>
            <w:proofErr w:type="spellStart"/>
            <w:r>
              <w:rPr>
                <w:sz w:val="18"/>
                <w:szCs w:val="18"/>
              </w:rPr>
              <w:t>unreceipted</w:t>
            </w:r>
            <w:proofErr w:type="spellEnd"/>
            <w:r>
              <w:rPr>
                <w:sz w:val="18"/>
                <w:szCs w:val="18"/>
              </w:rPr>
              <w:t>”;</w:t>
            </w:r>
          </w:p>
          <w:p w:rsidR="003D3167" w:rsidRDefault="003D3167" w:rsidP="00D768FE">
            <w:pPr>
              <w:pStyle w:val="ListParagraph"/>
              <w:numPr>
                <w:ilvl w:val="0"/>
                <w:numId w:val="13"/>
              </w:numPr>
              <w:ind w:left="317" w:hanging="283"/>
              <w:rPr>
                <w:sz w:val="18"/>
                <w:szCs w:val="18"/>
              </w:rPr>
            </w:pPr>
            <w:r>
              <w:rPr>
                <w:sz w:val="18"/>
                <w:szCs w:val="18"/>
              </w:rPr>
              <w:t>Section 2.2 – BR9 – Change “take into account” to “include”;</w:t>
            </w:r>
          </w:p>
          <w:p w:rsidR="003D3167" w:rsidRDefault="003D3167" w:rsidP="00D768FE">
            <w:pPr>
              <w:pStyle w:val="ListParagraph"/>
              <w:numPr>
                <w:ilvl w:val="0"/>
                <w:numId w:val="13"/>
              </w:numPr>
              <w:ind w:left="317" w:hanging="283"/>
              <w:rPr>
                <w:sz w:val="18"/>
                <w:szCs w:val="18"/>
              </w:rPr>
            </w:pPr>
            <w:r>
              <w:rPr>
                <w:sz w:val="18"/>
                <w:szCs w:val="18"/>
              </w:rPr>
              <w:t>Section 2.2 – BR10a – Replace “effect” with “reduce”;</w:t>
            </w:r>
          </w:p>
          <w:p w:rsidR="003D3167" w:rsidRDefault="003D3167" w:rsidP="00D768FE">
            <w:pPr>
              <w:pStyle w:val="ListParagraph"/>
              <w:numPr>
                <w:ilvl w:val="0"/>
                <w:numId w:val="13"/>
              </w:numPr>
              <w:ind w:left="317" w:hanging="283"/>
              <w:rPr>
                <w:sz w:val="18"/>
                <w:szCs w:val="18"/>
              </w:rPr>
            </w:pPr>
            <w:r>
              <w:rPr>
                <w:sz w:val="18"/>
                <w:szCs w:val="18"/>
              </w:rPr>
              <w:t>Section 2.2 – BR10 – Incorporate “custom location” in the diagram;</w:t>
            </w:r>
          </w:p>
          <w:p w:rsidR="003D3167" w:rsidRDefault="003D3167" w:rsidP="00D768FE">
            <w:pPr>
              <w:pStyle w:val="ListParagraph"/>
              <w:numPr>
                <w:ilvl w:val="0"/>
                <w:numId w:val="13"/>
              </w:numPr>
              <w:ind w:left="317" w:hanging="283"/>
              <w:rPr>
                <w:sz w:val="18"/>
                <w:szCs w:val="18"/>
              </w:rPr>
            </w:pPr>
            <w:r>
              <w:rPr>
                <w:sz w:val="18"/>
                <w:szCs w:val="18"/>
              </w:rPr>
              <w:t>Glossary – Explain definition of custom location;</w:t>
            </w:r>
          </w:p>
          <w:p w:rsidR="003D3167" w:rsidRDefault="003D3167" w:rsidP="00D768FE">
            <w:pPr>
              <w:pStyle w:val="ListParagraph"/>
              <w:numPr>
                <w:ilvl w:val="0"/>
                <w:numId w:val="13"/>
              </w:numPr>
              <w:ind w:left="317" w:hanging="283"/>
              <w:rPr>
                <w:sz w:val="18"/>
                <w:szCs w:val="18"/>
              </w:rPr>
            </w:pPr>
            <w:r>
              <w:rPr>
                <w:sz w:val="18"/>
                <w:szCs w:val="18"/>
              </w:rPr>
              <w:t>Section 2.3 – Amended Table 2 diagram to incorporate the new layout of Net issues, Issues, Transfer In and Transfer Out Qty.</w:t>
            </w:r>
          </w:p>
          <w:p w:rsidR="003D3167" w:rsidRDefault="003D3167" w:rsidP="00D768FE">
            <w:pPr>
              <w:pStyle w:val="ListParagraph"/>
              <w:numPr>
                <w:ilvl w:val="0"/>
                <w:numId w:val="13"/>
              </w:numPr>
              <w:ind w:left="317" w:hanging="283"/>
              <w:rPr>
                <w:sz w:val="18"/>
                <w:szCs w:val="18"/>
              </w:rPr>
            </w:pPr>
            <w:r>
              <w:rPr>
                <w:sz w:val="18"/>
                <w:szCs w:val="18"/>
              </w:rPr>
              <w:t>Section 3.4 – Remove the “state” report output as the state average will be determined by the state of the selected health provider, not the selected state (ie. the state parameter could say All States);</w:t>
            </w:r>
          </w:p>
          <w:p w:rsidR="003D3167" w:rsidRDefault="003D3167" w:rsidP="00D768FE">
            <w:pPr>
              <w:pStyle w:val="ListParagraph"/>
              <w:numPr>
                <w:ilvl w:val="0"/>
                <w:numId w:val="13"/>
              </w:numPr>
              <w:ind w:left="317" w:hanging="283"/>
              <w:rPr>
                <w:sz w:val="18"/>
                <w:szCs w:val="18"/>
              </w:rPr>
            </w:pPr>
            <w:r>
              <w:rPr>
                <w:sz w:val="18"/>
                <w:szCs w:val="18"/>
              </w:rPr>
              <w:t>Section 3.4 – Point 3 – Change message to “There are no discards for this health provider for the period selected.”;</w:t>
            </w:r>
          </w:p>
          <w:p w:rsidR="003D3167" w:rsidRPr="00A659DB" w:rsidRDefault="003D3167" w:rsidP="00D768FE">
            <w:pPr>
              <w:pStyle w:val="ListParagraph"/>
              <w:numPr>
                <w:ilvl w:val="0"/>
                <w:numId w:val="13"/>
              </w:numPr>
              <w:ind w:left="317" w:hanging="283"/>
              <w:rPr>
                <w:sz w:val="18"/>
                <w:szCs w:val="18"/>
              </w:rPr>
            </w:pPr>
            <w:r>
              <w:rPr>
                <w:sz w:val="18"/>
                <w:szCs w:val="18"/>
              </w:rPr>
              <w:t xml:space="preserve">Section 3.4 - Amended Table 2 diagram to incorporate the new layout of Net </w:t>
            </w:r>
            <w:r>
              <w:rPr>
                <w:sz w:val="18"/>
                <w:szCs w:val="18"/>
              </w:rPr>
              <w:lastRenderedPageBreak/>
              <w:t>issues, Issues, T</w:t>
            </w:r>
            <w:r w:rsidR="00737783">
              <w:rPr>
                <w:sz w:val="18"/>
                <w:szCs w:val="18"/>
              </w:rPr>
              <w:t xml:space="preserve">ransfer In and Transfer Out </w:t>
            </w:r>
            <w:proofErr w:type="spellStart"/>
            <w:r w:rsidR="00737783">
              <w:rPr>
                <w:sz w:val="18"/>
                <w:szCs w:val="18"/>
              </w:rPr>
              <w:t>Qty</w:t>
            </w:r>
            <w:proofErr w:type="spellEnd"/>
            <w:r w:rsidR="00737783">
              <w:rPr>
                <w:sz w:val="18"/>
                <w:szCs w:val="18"/>
              </w:rPr>
              <w:t>;</w:t>
            </w:r>
          </w:p>
          <w:p w:rsidR="003D3167" w:rsidRDefault="003D3167" w:rsidP="00D768FE">
            <w:pPr>
              <w:pStyle w:val="ListParagraph"/>
              <w:numPr>
                <w:ilvl w:val="0"/>
                <w:numId w:val="13"/>
              </w:numPr>
              <w:ind w:left="317" w:hanging="283"/>
              <w:rPr>
                <w:sz w:val="18"/>
                <w:szCs w:val="18"/>
              </w:rPr>
            </w:pPr>
            <w:r>
              <w:rPr>
                <w:sz w:val="18"/>
                <w:szCs w:val="18"/>
              </w:rPr>
              <w:t>Section 3.4 – Point 5a.ii – Change the rule to say “net issued” and not “issued”</w:t>
            </w:r>
            <w:r>
              <w:t>;</w:t>
            </w:r>
          </w:p>
          <w:p w:rsidR="003D3167" w:rsidRDefault="003D3167" w:rsidP="00D768FE">
            <w:pPr>
              <w:pStyle w:val="ListParagraph"/>
              <w:numPr>
                <w:ilvl w:val="0"/>
                <w:numId w:val="13"/>
              </w:numPr>
              <w:ind w:left="317" w:hanging="283"/>
              <w:rPr>
                <w:sz w:val="18"/>
                <w:szCs w:val="18"/>
              </w:rPr>
            </w:pPr>
            <w:r>
              <w:rPr>
                <w:sz w:val="18"/>
                <w:szCs w:val="18"/>
              </w:rPr>
              <w:t xml:space="preserve"> Section 3.4 – Point 5b.iii – Change to a list of discard groups, and not discard reasons;</w:t>
            </w:r>
          </w:p>
          <w:p w:rsidR="003D3167" w:rsidRDefault="003D3167" w:rsidP="00D768FE">
            <w:pPr>
              <w:pStyle w:val="ListParagraph"/>
              <w:numPr>
                <w:ilvl w:val="0"/>
                <w:numId w:val="13"/>
              </w:numPr>
              <w:ind w:left="317" w:hanging="283"/>
              <w:rPr>
                <w:sz w:val="18"/>
                <w:szCs w:val="18"/>
              </w:rPr>
            </w:pPr>
            <w:r>
              <w:rPr>
                <w:sz w:val="18"/>
                <w:szCs w:val="18"/>
              </w:rPr>
              <w:t>Section 3.4 – Point 5b.vi – Remove the first sentence as repeated in ii; and</w:t>
            </w:r>
          </w:p>
          <w:p w:rsidR="003D3167" w:rsidRPr="00940983" w:rsidRDefault="003D3167" w:rsidP="00D768FE">
            <w:pPr>
              <w:pStyle w:val="ListParagraph"/>
              <w:numPr>
                <w:ilvl w:val="0"/>
                <w:numId w:val="13"/>
              </w:numPr>
              <w:ind w:left="317" w:hanging="283"/>
              <w:rPr>
                <w:sz w:val="18"/>
                <w:szCs w:val="18"/>
              </w:rPr>
            </w:pPr>
            <w:r>
              <w:rPr>
                <w:sz w:val="18"/>
                <w:szCs w:val="18"/>
              </w:rPr>
              <w:t>Section 3.5 – Provided a lower discard amount example, rather than a high discard amount example.</w:t>
            </w:r>
          </w:p>
        </w:tc>
      </w:tr>
      <w:tr w:rsidR="003D3167" w:rsidRPr="003E36EB" w:rsidTr="00B041ED">
        <w:trPr>
          <w:jc w:val="center"/>
        </w:trPr>
        <w:tc>
          <w:tcPr>
            <w:tcW w:w="1031" w:type="dxa"/>
            <w:shd w:val="clear" w:color="auto" w:fill="auto"/>
          </w:tcPr>
          <w:p w:rsidR="003D3167" w:rsidRDefault="003D3167" w:rsidP="00D768FE">
            <w:pPr>
              <w:rPr>
                <w:sz w:val="18"/>
                <w:szCs w:val="18"/>
              </w:rPr>
            </w:pPr>
            <w:r>
              <w:rPr>
                <w:sz w:val="18"/>
                <w:szCs w:val="18"/>
              </w:rPr>
              <w:lastRenderedPageBreak/>
              <w:t>0.7</w:t>
            </w:r>
          </w:p>
        </w:tc>
        <w:tc>
          <w:tcPr>
            <w:tcW w:w="1559" w:type="dxa"/>
            <w:shd w:val="clear" w:color="auto" w:fill="auto"/>
          </w:tcPr>
          <w:p w:rsidR="003D3167" w:rsidRDefault="003D3167" w:rsidP="00D768FE">
            <w:pPr>
              <w:rPr>
                <w:sz w:val="18"/>
                <w:szCs w:val="18"/>
              </w:rPr>
            </w:pPr>
            <w:r>
              <w:rPr>
                <w:sz w:val="18"/>
                <w:szCs w:val="18"/>
              </w:rPr>
              <w:t>08 August 2013</w:t>
            </w:r>
          </w:p>
        </w:tc>
        <w:tc>
          <w:tcPr>
            <w:tcW w:w="6513" w:type="dxa"/>
          </w:tcPr>
          <w:p w:rsidR="003D3167" w:rsidRDefault="003D3167" w:rsidP="00D768FE">
            <w:pPr>
              <w:spacing w:afterLines="200" w:after="480"/>
              <w:contextualSpacing/>
              <w:rPr>
                <w:sz w:val="18"/>
                <w:szCs w:val="18"/>
              </w:rPr>
            </w:pPr>
            <w:r>
              <w:rPr>
                <w:sz w:val="18"/>
                <w:szCs w:val="18"/>
              </w:rPr>
              <w:t xml:space="preserve">Pete advised to explicitly state that the </w:t>
            </w:r>
            <w:proofErr w:type="spellStart"/>
            <w:r>
              <w:rPr>
                <w:sz w:val="18"/>
                <w:szCs w:val="18"/>
              </w:rPr>
              <w:t>DAPI</w:t>
            </w:r>
            <w:proofErr w:type="spellEnd"/>
            <w:r>
              <w:rPr>
                <w:sz w:val="18"/>
                <w:szCs w:val="18"/>
              </w:rPr>
              <w:t xml:space="preserve"> is based on the reporting period selected, whereas the Group, National and State averages are based on the last 12 months (for Table 1 – Summary).  For Table 2, all report items’ values will be based on the reporting period.</w:t>
            </w:r>
          </w:p>
          <w:p w:rsidR="003D3167" w:rsidRDefault="003D3167" w:rsidP="00D768FE">
            <w:pPr>
              <w:rPr>
                <w:sz w:val="18"/>
                <w:szCs w:val="18"/>
              </w:rPr>
            </w:pPr>
            <w:r>
              <w:rPr>
                <w:sz w:val="18"/>
                <w:szCs w:val="18"/>
              </w:rPr>
              <w:t xml:space="preserve">This has been now stated explicitly in Section 3.5 (in the description section and also within the table for the applicable report item’s description), and the glossary. </w:t>
            </w:r>
          </w:p>
        </w:tc>
      </w:tr>
      <w:tr w:rsidR="003D3167" w:rsidRPr="003E36EB" w:rsidTr="00B041ED">
        <w:trPr>
          <w:jc w:val="center"/>
        </w:trPr>
        <w:tc>
          <w:tcPr>
            <w:tcW w:w="1031" w:type="dxa"/>
            <w:shd w:val="clear" w:color="auto" w:fill="auto"/>
          </w:tcPr>
          <w:p w:rsidR="003D3167" w:rsidRDefault="003D3167" w:rsidP="00D768FE">
            <w:pPr>
              <w:rPr>
                <w:sz w:val="18"/>
                <w:szCs w:val="18"/>
              </w:rPr>
            </w:pPr>
            <w:r>
              <w:rPr>
                <w:sz w:val="18"/>
                <w:szCs w:val="18"/>
              </w:rPr>
              <w:t>0.8</w:t>
            </w:r>
          </w:p>
        </w:tc>
        <w:tc>
          <w:tcPr>
            <w:tcW w:w="1559" w:type="dxa"/>
            <w:shd w:val="clear" w:color="auto" w:fill="auto"/>
          </w:tcPr>
          <w:p w:rsidR="003D3167" w:rsidRDefault="003D3167" w:rsidP="00D768FE">
            <w:pPr>
              <w:rPr>
                <w:sz w:val="18"/>
                <w:szCs w:val="18"/>
              </w:rPr>
            </w:pPr>
            <w:r>
              <w:rPr>
                <w:sz w:val="18"/>
                <w:szCs w:val="18"/>
              </w:rPr>
              <w:t>13 August 2013</w:t>
            </w:r>
          </w:p>
        </w:tc>
        <w:tc>
          <w:tcPr>
            <w:tcW w:w="6513" w:type="dxa"/>
          </w:tcPr>
          <w:p w:rsidR="003D3167" w:rsidRDefault="003D3167" w:rsidP="00D768FE">
            <w:pPr>
              <w:spacing w:after="0" w:line="240" w:lineRule="auto"/>
              <w:rPr>
                <w:sz w:val="18"/>
                <w:szCs w:val="18"/>
              </w:rPr>
            </w:pPr>
            <w:r>
              <w:rPr>
                <w:sz w:val="18"/>
                <w:szCs w:val="18"/>
              </w:rPr>
              <w:t>Incorporate Sandra’s feedback:</w:t>
            </w:r>
          </w:p>
          <w:p w:rsidR="003D3167" w:rsidRPr="008C2F3D" w:rsidRDefault="003D3167" w:rsidP="00D768FE">
            <w:pPr>
              <w:pStyle w:val="ListParagraph"/>
              <w:numPr>
                <w:ilvl w:val="0"/>
                <w:numId w:val="13"/>
              </w:numPr>
              <w:ind w:left="317" w:hanging="283"/>
              <w:rPr>
                <w:sz w:val="18"/>
                <w:szCs w:val="18"/>
              </w:rPr>
            </w:pPr>
            <w:r>
              <w:rPr>
                <w:sz w:val="18"/>
                <w:szCs w:val="18"/>
              </w:rPr>
              <w:t>Section 2.2 –</w:t>
            </w:r>
            <w:r w:rsidRPr="008C2F3D">
              <w:rPr>
                <w:sz w:val="18"/>
                <w:szCs w:val="18"/>
              </w:rPr>
              <w:t xml:space="preserve"> BR4 – Added Component Group column and change name of “Fresh Component Group description” to “Fresh Component Cost Group”.  As a result of this change, did global updates where applicable to refer to Fresh Component Cost Group;</w:t>
            </w:r>
          </w:p>
          <w:p w:rsidR="003D3167" w:rsidRDefault="003D3167" w:rsidP="00D768FE">
            <w:pPr>
              <w:pStyle w:val="ListParagraph"/>
              <w:numPr>
                <w:ilvl w:val="0"/>
                <w:numId w:val="13"/>
              </w:numPr>
              <w:ind w:left="317" w:hanging="283"/>
              <w:rPr>
                <w:sz w:val="18"/>
                <w:szCs w:val="18"/>
              </w:rPr>
            </w:pPr>
            <w:r>
              <w:rPr>
                <w:sz w:val="18"/>
                <w:szCs w:val="18"/>
              </w:rPr>
              <w:t>Section 2.2 – BR9 – Provide example using Financial year dates;</w:t>
            </w:r>
          </w:p>
          <w:p w:rsidR="003D3167" w:rsidRDefault="003D3167" w:rsidP="00D768FE">
            <w:pPr>
              <w:pStyle w:val="ListParagraph"/>
              <w:numPr>
                <w:ilvl w:val="0"/>
                <w:numId w:val="13"/>
              </w:numPr>
              <w:ind w:left="317" w:hanging="283"/>
              <w:rPr>
                <w:sz w:val="18"/>
                <w:szCs w:val="18"/>
              </w:rPr>
            </w:pPr>
            <w:r>
              <w:rPr>
                <w:sz w:val="18"/>
                <w:szCs w:val="18"/>
              </w:rPr>
              <w:t>Section 2.2 – BR11 – Amend the rule on how average is calculated from using the last 12 whole months’ worth of data to the average calculated from the reporting period;</w:t>
            </w:r>
          </w:p>
          <w:p w:rsidR="003D3167" w:rsidRDefault="003D3167" w:rsidP="00D768FE">
            <w:pPr>
              <w:pStyle w:val="ListParagraph"/>
              <w:numPr>
                <w:ilvl w:val="0"/>
                <w:numId w:val="13"/>
              </w:numPr>
              <w:ind w:left="317" w:hanging="283"/>
              <w:rPr>
                <w:sz w:val="18"/>
                <w:szCs w:val="18"/>
              </w:rPr>
            </w:pPr>
            <w:r>
              <w:rPr>
                <w:sz w:val="18"/>
                <w:szCs w:val="18"/>
              </w:rPr>
              <w:t>Section 2.2 – Added new BR5a about how the Summary table will have an expand/collapse function to reveal/hide the fresh component groups/cost groups;</w:t>
            </w:r>
          </w:p>
          <w:p w:rsidR="003D3167" w:rsidRDefault="003D3167" w:rsidP="00D768FE">
            <w:pPr>
              <w:pStyle w:val="ListParagraph"/>
              <w:numPr>
                <w:ilvl w:val="0"/>
                <w:numId w:val="13"/>
              </w:numPr>
              <w:ind w:left="317" w:hanging="283"/>
              <w:rPr>
                <w:sz w:val="18"/>
                <w:szCs w:val="18"/>
              </w:rPr>
            </w:pPr>
            <w:r>
              <w:rPr>
                <w:sz w:val="18"/>
                <w:szCs w:val="18"/>
              </w:rPr>
              <w:t>Section 2.2 – Added BR5f – how certain counts for each group of fresh component cost group will be rolled up to produce a total count for its corresponding component group;</w:t>
            </w:r>
          </w:p>
          <w:p w:rsidR="003D3167" w:rsidRDefault="003D3167" w:rsidP="00D768FE">
            <w:pPr>
              <w:pStyle w:val="ListParagraph"/>
              <w:numPr>
                <w:ilvl w:val="0"/>
                <w:numId w:val="13"/>
              </w:numPr>
              <w:ind w:left="317" w:hanging="283"/>
              <w:rPr>
                <w:sz w:val="18"/>
                <w:szCs w:val="18"/>
              </w:rPr>
            </w:pPr>
            <w:r>
              <w:rPr>
                <w:sz w:val="18"/>
                <w:szCs w:val="18"/>
              </w:rPr>
              <w:t xml:space="preserve">Section 2.2 – BR12 – Added </w:t>
            </w:r>
            <w:proofErr w:type="spellStart"/>
            <w:r>
              <w:rPr>
                <w:sz w:val="18"/>
                <w:szCs w:val="18"/>
              </w:rPr>
              <w:t>BRs</w:t>
            </w:r>
            <w:proofErr w:type="spellEnd"/>
            <w:r>
              <w:rPr>
                <w:sz w:val="18"/>
                <w:szCs w:val="18"/>
              </w:rPr>
              <w:t xml:space="preserve"> to explain the Benchmark table;</w:t>
            </w:r>
          </w:p>
          <w:p w:rsidR="003D3167" w:rsidRDefault="003D3167" w:rsidP="00D768FE">
            <w:pPr>
              <w:pStyle w:val="ListParagraph"/>
              <w:numPr>
                <w:ilvl w:val="0"/>
                <w:numId w:val="13"/>
              </w:numPr>
              <w:ind w:left="317" w:hanging="283"/>
              <w:rPr>
                <w:sz w:val="18"/>
                <w:szCs w:val="18"/>
              </w:rPr>
            </w:pPr>
            <w:r>
              <w:rPr>
                <w:sz w:val="18"/>
                <w:szCs w:val="18"/>
              </w:rPr>
              <w:t>Section 3.2 – Update description for Summary table to describe the component groups can be expanded to reveal fresh component groups/cost groups.  Added a note to be displayed as report content, that if the user wants to generate a financial year report, they will need to select 1</w:t>
            </w:r>
            <w:r w:rsidRPr="00AA657C">
              <w:rPr>
                <w:sz w:val="18"/>
                <w:szCs w:val="18"/>
                <w:vertAlign w:val="superscript"/>
              </w:rPr>
              <w:t>st</w:t>
            </w:r>
            <w:r>
              <w:rPr>
                <w:sz w:val="18"/>
                <w:szCs w:val="18"/>
              </w:rPr>
              <w:t xml:space="preserve"> July to 30</w:t>
            </w:r>
            <w:r w:rsidRPr="00AA657C">
              <w:rPr>
                <w:sz w:val="18"/>
                <w:szCs w:val="18"/>
                <w:vertAlign w:val="superscript"/>
              </w:rPr>
              <w:t>th</w:t>
            </w:r>
            <w:r>
              <w:rPr>
                <w:sz w:val="18"/>
                <w:szCs w:val="18"/>
              </w:rPr>
              <w:t xml:space="preserve"> June;</w:t>
            </w:r>
          </w:p>
          <w:p w:rsidR="003D3167" w:rsidRDefault="003D3167" w:rsidP="00D768FE">
            <w:pPr>
              <w:pStyle w:val="ListParagraph"/>
              <w:numPr>
                <w:ilvl w:val="0"/>
                <w:numId w:val="13"/>
              </w:numPr>
              <w:ind w:left="317" w:hanging="283"/>
              <w:rPr>
                <w:sz w:val="18"/>
                <w:szCs w:val="18"/>
              </w:rPr>
            </w:pPr>
            <w:r>
              <w:rPr>
                <w:sz w:val="18"/>
                <w:szCs w:val="18"/>
              </w:rPr>
              <w:t>Section 3.4 – 5ai – Added Fresh Component Group/Cost Groups to the list;</w:t>
            </w:r>
          </w:p>
          <w:p w:rsidR="003D3167" w:rsidRDefault="003D3167" w:rsidP="00D768FE">
            <w:pPr>
              <w:pStyle w:val="ListParagraph"/>
              <w:numPr>
                <w:ilvl w:val="0"/>
                <w:numId w:val="13"/>
              </w:numPr>
              <w:ind w:left="317" w:hanging="283"/>
              <w:rPr>
                <w:sz w:val="18"/>
                <w:szCs w:val="18"/>
              </w:rPr>
            </w:pPr>
            <w:r>
              <w:rPr>
                <w:sz w:val="18"/>
                <w:szCs w:val="18"/>
              </w:rPr>
              <w:t>Section 3.4 – 5aii – Added logic that if the fresh component group/cost group (child) is blank, then the component group (parent) will also be blank;</w:t>
            </w:r>
          </w:p>
          <w:p w:rsidR="003D3167" w:rsidRDefault="003D3167" w:rsidP="00D768FE">
            <w:pPr>
              <w:pStyle w:val="ListParagraph"/>
              <w:numPr>
                <w:ilvl w:val="0"/>
                <w:numId w:val="13"/>
              </w:numPr>
              <w:ind w:left="317" w:hanging="283"/>
              <w:rPr>
                <w:sz w:val="18"/>
                <w:szCs w:val="18"/>
              </w:rPr>
            </w:pPr>
            <w:r>
              <w:rPr>
                <w:sz w:val="18"/>
                <w:szCs w:val="18"/>
              </w:rPr>
              <w:t>Section 3.5 – Added component group and its description to the table;</w:t>
            </w:r>
          </w:p>
          <w:p w:rsidR="003D3167" w:rsidRDefault="003D3167" w:rsidP="00D768FE">
            <w:pPr>
              <w:pStyle w:val="ListParagraph"/>
              <w:numPr>
                <w:ilvl w:val="0"/>
                <w:numId w:val="13"/>
              </w:numPr>
              <w:ind w:left="317" w:hanging="283"/>
              <w:rPr>
                <w:sz w:val="18"/>
                <w:szCs w:val="18"/>
              </w:rPr>
            </w:pPr>
            <w:r>
              <w:rPr>
                <w:sz w:val="18"/>
                <w:szCs w:val="18"/>
              </w:rPr>
              <w:t>Section 3.5 – Amend fresh component to fresh component group/cost group and include description;</w:t>
            </w:r>
          </w:p>
          <w:p w:rsidR="003D3167" w:rsidRDefault="003D3167" w:rsidP="00D768FE">
            <w:pPr>
              <w:pStyle w:val="ListParagraph"/>
              <w:numPr>
                <w:ilvl w:val="0"/>
                <w:numId w:val="13"/>
              </w:numPr>
              <w:ind w:left="317" w:hanging="283"/>
              <w:rPr>
                <w:sz w:val="18"/>
                <w:szCs w:val="18"/>
              </w:rPr>
            </w:pPr>
            <w:r>
              <w:rPr>
                <w:sz w:val="18"/>
                <w:szCs w:val="18"/>
              </w:rPr>
              <w:t>Section 3.5 – Update description and calculations for Group, State and National Average;</w:t>
            </w:r>
          </w:p>
          <w:p w:rsidR="003D3167" w:rsidRDefault="003D3167" w:rsidP="00D768FE">
            <w:pPr>
              <w:pStyle w:val="ListParagraph"/>
              <w:numPr>
                <w:ilvl w:val="0"/>
                <w:numId w:val="13"/>
              </w:numPr>
              <w:ind w:left="317" w:hanging="283"/>
              <w:rPr>
                <w:sz w:val="18"/>
                <w:szCs w:val="18"/>
              </w:rPr>
            </w:pPr>
            <w:r>
              <w:rPr>
                <w:sz w:val="18"/>
                <w:szCs w:val="18"/>
              </w:rPr>
              <w:t>Section 3.5 – Add benchmark to “key indicator icon” report item;</w:t>
            </w:r>
          </w:p>
          <w:p w:rsidR="003D3167" w:rsidRDefault="003D3167" w:rsidP="00D768FE">
            <w:pPr>
              <w:pStyle w:val="ListParagraph"/>
              <w:numPr>
                <w:ilvl w:val="0"/>
                <w:numId w:val="13"/>
              </w:numPr>
              <w:ind w:left="317" w:hanging="283"/>
              <w:rPr>
                <w:sz w:val="18"/>
                <w:szCs w:val="18"/>
              </w:rPr>
            </w:pPr>
            <w:r>
              <w:rPr>
                <w:sz w:val="18"/>
                <w:szCs w:val="18"/>
              </w:rPr>
              <w:t xml:space="preserve">Section 3.6 – Amend the sort </w:t>
            </w:r>
            <w:r w:rsidR="00737783">
              <w:rPr>
                <w:sz w:val="18"/>
                <w:szCs w:val="18"/>
              </w:rPr>
              <w:t>to “Fresh Component Cost Group”;</w:t>
            </w:r>
          </w:p>
          <w:p w:rsidR="003D3167" w:rsidRDefault="003D3167" w:rsidP="00D768FE">
            <w:pPr>
              <w:pStyle w:val="ListParagraph"/>
              <w:numPr>
                <w:ilvl w:val="0"/>
                <w:numId w:val="13"/>
              </w:numPr>
              <w:ind w:left="317" w:hanging="283"/>
              <w:rPr>
                <w:sz w:val="18"/>
                <w:szCs w:val="18"/>
              </w:rPr>
            </w:pPr>
            <w:r>
              <w:rPr>
                <w:sz w:val="18"/>
                <w:szCs w:val="18"/>
              </w:rPr>
              <w:t>Glossary – Added “component group</w:t>
            </w:r>
            <w:r w:rsidR="00737783">
              <w:rPr>
                <w:sz w:val="18"/>
                <w:szCs w:val="18"/>
              </w:rPr>
              <w:t>”, “fresh component cost group”; and</w:t>
            </w:r>
          </w:p>
          <w:p w:rsidR="003D3167" w:rsidRDefault="003D3167" w:rsidP="00D768FE">
            <w:pPr>
              <w:pStyle w:val="ListParagraph"/>
              <w:numPr>
                <w:ilvl w:val="0"/>
                <w:numId w:val="13"/>
              </w:numPr>
              <w:ind w:left="317" w:hanging="283"/>
              <w:rPr>
                <w:sz w:val="18"/>
                <w:szCs w:val="18"/>
              </w:rPr>
            </w:pPr>
            <w:r>
              <w:rPr>
                <w:sz w:val="18"/>
                <w:szCs w:val="18"/>
              </w:rPr>
              <w:t xml:space="preserve">Glossary – Amend that the group, national and state average is based on the reporting period, and not the last 12 months.   </w:t>
            </w:r>
          </w:p>
        </w:tc>
      </w:tr>
      <w:tr w:rsidR="00224C49" w:rsidRPr="003E36EB" w:rsidTr="00B041ED">
        <w:trPr>
          <w:jc w:val="center"/>
        </w:trPr>
        <w:tc>
          <w:tcPr>
            <w:tcW w:w="1031" w:type="dxa"/>
            <w:shd w:val="clear" w:color="auto" w:fill="auto"/>
          </w:tcPr>
          <w:p w:rsidR="00224C49" w:rsidRDefault="00224C49" w:rsidP="00D768FE">
            <w:pPr>
              <w:rPr>
                <w:sz w:val="18"/>
                <w:szCs w:val="18"/>
              </w:rPr>
            </w:pPr>
            <w:r>
              <w:rPr>
                <w:sz w:val="18"/>
                <w:szCs w:val="18"/>
              </w:rPr>
              <w:t>0.9</w:t>
            </w:r>
          </w:p>
        </w:tc>
        <w:tc>
          <w:tcPr>
            <w:tcW w:w="1559" w:type="dxa"/>
            <w:shd w:val="clear" w:color="auto" w:fill="auto"/>
          </w:tcPr>
          <w:p w:rsidR="00224C49" w:rsidRDefault="00CF759C" w:rsidP="00D768FE">
            <w:pPr>
              <w:rPr>
                <w:sz w:val="18"/>
                <w:szCs w:val="18"/>
              </w:rPr>
            </w:pPr>
            <w:r>
              <w:rPr>
                <w:sz w:val="18"/>
                <w:szCs w:val="18"/>
              </w:rPr>
              <w:t>14</w:t>
            </w:r>
            <w:r w:rsidR="00224C49">
              <w:rPr>
                <w:sz w:val="18"/>
                <w:szCs w:val="18"/>
              </w:rPr>
              <w:t xml:space="preserve"> August 2013</w:t>
            </w:r>
          </w:p>
        </w:tc>
        <w:tc>
          <w:tcPr>
            <w:tcW w:w="6513" w:type="dxa"/>
          </w:tcPr>
          <w:p w:rsidR="00224C49" w:rsidRDefault="00224C49" w:rsidP="00D768FE">
            <w:pPr>
              <w:spacing w:after="0" w:line="240" w:lineRule="auto"/>
              <w:rPr>
                <w:sz w:val="18"/>
                <w:szCs w:val="18"/>
              </w:rPr>
            </w:pPr>
            <w:r>
              <w:rPr>
                <w:sz w:val="18"/>
                <w:szCs w:val="18"/>
              </w:rPr>
              <w:t>Incorporate Pete’s feedback.</w:t>
            </w:r>
          </w:p>
          <w:p w:rsidR="003F1F61" w:rsidRDefault="003F1F61" w:rsidP="00737783">
            <w:pPr>
              <w:pStyle w:val="ListParagraph"/>
              <w:numPr>
                <w:ilvl w:val="0"/>
                <w:numId w:val="13"/>
              </w:numPr>
              <w:ind w:left="317" w:hanging="283"/>
              <w:rPr>
                <w:sz w:val="18"/>
                <w:szCs w:val="18"/>
              </w:rPr>
            </w:pPr>
            <w:r>
              <w:rPr>
                <w:sz w:val="18"/>
                <w:szCs w:val="18"/>
              </w:rPr>
              <w:t>Section 2.2 –</w:t>
            </w:r>
            <w:r w:rsidRPr="008C2F3D">
              <w:rPr>
                <w:sz w:val="18"/>
                <w:szCs w:val="18"/>
              </w:rPr>
              <w:t xml:space="preserve"> BR4</w:t>
            </w:r>
            <w:r>
              <w:rPr>
                <w:sz w:val="18"/>
                <w:szCs w:val="18"/>
              </w:rPr>
              <w:t>ai</w:t>
            </w:r>
            <w:r w:rsidRPr="008C2F3D">
              <w:rPr>
                <w:sz w:val="18"/>
                <w:szCs w:val="18"/>
              </w:rPr>
              <w:t xml:space="preserve"> –</w:t>
            </w:r>
            <w:r>
              <w:rPr>
                <w:sz w:val="18"/>
                <w:szCs w:val="18"/>
              </w:rPr>
              <w:t xml:space="preserve"> Removed the Fresh Component Cost Group Code </w:t>
            </w:r>
            <w:r w:rsidR="00737783">
              <w:rPr>
                <w:sz w:val="18"/>
                <w:szCs w:val="18"/>
              </w:rPr>
              <w:t xml:space="preserve">of 7a, b, c, d and e from the table, as these ‘Other’ component group never appear in the </w:t>
            </w:r>
            <w:r w:rsidR="00737783">
              <w:rPr>
                <w:sz w:val="18"/>
                <w:szCs w:val="18"/>
              </w:rPr>
              <w:lastRenderedPageBreak/>
              <w:t>fate reports due to no link between supplier component and fresh products, and there is no way to order these items in BloodNet;</w:t>
            </w:r>
          </w:p>
          <w:p w:rsidR="003F1F61" w:rsidRPr="00DD7785" w:rsidRDefault="00737783" w:rsidP="00DD7785">
            <w:pPr>
              <w:pStyle w:val="ListParagraph"/>
              <w:numPr>
                <w:ilvl w:val="0"/>
                <w:numId w:val="13"/>
              </w:numPr>
              <w:ind w:left="317" w:hanging="283"/>
              <w:rPr>
                <w:sz w:val="18"/>
                <w:szCs w:val="18"/>
              </w:rPr>
            </w:pPr>
            <w:r>
              <w:rPr>
                <w:sz w:val="18"/>
                <w:szCs w:val="18"/>
              </w:rPr>
              <w:t>Section 2.2 – Removed BR5c.</w:t>
            </w:r>
          </w:p>
        </w:tc>
      </w:tr>
      <w:tr w:rsidR="006D3DF7" w:rsidRPr="003E36EB" w:rsidTr="00B041ED">
        <w:trPr>
          <w:jc w:val="center"/>
        </w:trPr>
        <w:tc>
          <w:tcPr>
            <w:tcW w:w="1031" w:type="dxa"/>
            <w:shd w:val="clear" w:color="auto" w:fill="auto"/>
          </w:tcPr>
          <w:p w:rsidR="006D3DF7" w:rsidRDefault="006D3DF7" w:rsidP="00D768FE">
            <w:pPr>
              <w:rPr>
                <w:sz w:val="18"/>
                <w:szCs w:val="18"/>
              </w:rPr>
            </w:pPr>
            <w:r>
              <w:rPr>
                <w:sz w:val="18"/>
                <w:szCs w:val="18"/>
              </w:rPr>
              <w:lastRenderedPageBreak/>
              <w:t>0.10</w:t>
            </w:r>
          </w:p>
        </w:tc>
        <w:tc>
          <w:tcPr>
            <w:tcW w:w="1559" w:type="dxa"/>
            <w:shd w:val="clear" w:color="auto" w:fill="auto"/>
          </w:tcPr>
          <w:p w:rsidR="006D3DF7" w:rsidRDefault="006D3DF7" w:rsidP="00D768FE">
            <w:pPr>
              <w:rPr>
                <w:sz w:val="18"/>
                <w:szCs w:val="18"/>
              </w:rPr>
            </w:pPr>
            <w:r>
              <w:rPr>
                <w:sz w:val="18"/>
                <w:szCs w:val="18"/>
              </w:rPr>
              <w:t>16 August 2013</w:t>
            </w:r>
          </w:p>
        </w:tc>
        <w:tc>
          <w:tcPr>
            <w:tcW w:w="6513" w:type="dxa"/>
          </w:tcPr>
          <w:p w:rsidR="00F375BD" w:rsidRDefault="00F375BD" w:rsidP="00D768FE">
            <w:pPr>
              <w:spacing w:after="0" w:line="240" w:lineRule="auto"/>
              <w:rPr>
                <w:sz w:val="18"/>
                <w:szCs w:val="18"/>
              </w:rPr>
            </w:pPr>
            <w:r>
              <w:rPr>
                <w:sz w:val="18"/>
                <w:szCs w:val="18"/>
              </w:rPr>
              <w:t>Section 2.3 - Mocked up new screen shot for Section 1 – Summary Table;</w:t>
            </w:r>
          </w:p>
          <w:p w:rsidR="00F375BD" w:rsidRDefault="00F375BD" w:rsidP="00D768FE">
            <w:pPr>
              <w:spacing w:after="0" w:line="240" w:lineRule="auto"/>
              <w:rPr>
                <w:sz w:val="18"/>
                <w:szCs w:val="18"/>
              </w:rPr>
            </w:pPr>
            <w:r>
              <w:rPr>
                <w:sz w:val="18"/>
                <w:szCs w:val="18"/>
              </w:rPr>
              <w:t>Section 3.4, point 5a – Put new mocked up screen shot.</w:t>
            </w:r>
          </w:p>
          <w:p w:rsidR="00DD7785" w:rsidRDefault="00DD7785" w:rsidP="00D768FE">
            <w:pPr>
              <w:spacing w:after="0" w:line="240" w:lineRule="auto"/>
              <w:rPr>
                <w:sz w:val="18"/>
                <w:szCs w:val="18"/>
              </w:rPr>
            </w:pPr>
            <w:r>
              <w:rPr>
                <w:sz w:val="18"/>
                <w:szCs w:val="18"/>
              </w:rPr>
              <w:t>Section 3.5 – For key indicator report item, in the calculation and source data column, rename “peer group” to “group average”.</w:t>
            </w:r>
          </w:p>
          <w:p w:rsidR="003F1F61" w:rsidRPr="00DD7785" w:rsidRDefault="006D3DF7" w:rsidP="003B5C5F">
            <w:pPr>
              <w:rPr>
                <w:sz w:val="18"/>
                <w:szCs w:val="18"/>
              </w:rPr>
            </w:pPr>
            <w:r>
              <w:rPr>
                <w:sz w:val="18"/>
                <w:szCs w:val="18"/>
              </w:rPr>
              <w:t>Incorporate Peter’s feedback.</w:t>
            </w:r>
          </w:p>
        </w:tc>
      </w:tr>
      <w:tr w:rsidR="008C63B7" w:rsidRPr="003E36EB" w:rsidTr="00B041ED">
        <w:trPr>
          <w:jc w:val="center"/>
        </w:trPr>
        <w:tc>
          <w:tcPr>
            <w:tcW w:w="1031" w:type="dxa"/>
            <w:shd w:val="clear" w:color="auto" w:fill="auto"/>
          </w:tcPr>
          <w:p w:rsidR="008C63B7" w:rsidRDefault="008C63B7" w:rsidP="00D768FE">
            <w:pPr>
              <w:rPr>
                <w:sz w:val="18"/>
                <w:szCs w:val="18"/>
              </w:rPr>
            </w:pPr>
            <w:r>
              <w:rPr>
                <w:sz w:val="18"/>
                <w:szCs w:val="18"/>
              </w:rPr>
              <w:t>0.11</w:t>
            </w:r>
          </w:p>
        </w:tc>
        <w:tc>
          <w:tcPr>
            <w:tcW w:w="1559" w:type="dxa"/>
            <w:shd w:val="clear" w:color="auto" w:fill="auto"/>
          </w:tcPr>
          <w:p w:rsidR="008C63B7" w:rsidRDefault="008C63B7" w:rsidP="00D768FE">
            <w:pPr>
              <w:rPr>
                <w:sz w:val="18"/>
                <w:szCs w:val="18"/>
              </w:rPr>
            </w:pPr>
            <w:r>
              <w:rPr>
                <w:sz w:val="18"/>
                <w:szCs w:val="18"/>
              </w:rPr>
              <w:t>22 August 2013</w:t>
            </w:r>
          </w:p>
        </w:tc>
        <w:tc>
          <w:tcPr>
            <w:tcW w:w="6513" w:type="dxa"/>
          </w:tcPr>
          <w:p w:rsidR="008C63B7" w:rsidRDefault="008C63B7" w:rsidP="00D768FE">
            <w:pPr>
              <w:spacing w:after="0" w:line="240" w:lineRule="auto"/>
              <w:rPr>
                <w:sz w:val="18"/>
                <w:szCs w:val="18"/>
              </w:rPr>
            </w:pPr>
            <w:r>
              <w:rPr>
                <w:sz w:val="18"/>
                <w:szCs w:val="18"/>
              </w:rPr>
              <w:t>As requested by Sandra:</w:t>
            </w:r>
          </w:p>
          <w:p w:rsidR="008C63B7" w:rsidRDefault="008C63B7" w:rsidP="008C63B7">
            <w:pPr>
              <w:pStyle w:val="ListParagraph"/>
              <w:numPr>
                <w:ilvl w:val="0"/>
                <w:numId w:val="13"/>
              </w:numPr>
              <w:ind w:left="317" w:hanging="283"/>
              <w:rPr>
                <w:sz w:val="18"/>
                <w:szCs w:val="18"/>
              </w:rPr>
            </w:pPr>
            <w:r>
              <w:rPr>
                <w:sz w:val="18"/>
                <w:szCs w:val="18"/>
              </w:rPr>
              <w:t>Section 2.3 and 3.5 (5a) – Incorporate new report mock to show the new column “Discard Cost”;</w:t>
            </w:r>
          </w:p>
          <w:p w:rsidR="008C63B7" w:rsidRDefault="008C63B7" w:rsidP="008C63B7">
            <w:pPr>
              <w:pStyle w:val="ListParagraph"/>
              <w:numPr>
                <w:ilvl w:val="0"/>
                <w:numId w:val="13"/>
              </w:numPr>
              <w:ind w:left="317" w:hanging="283"/>
              <w:rPr>
                <w:sz w:val="18"/>
                <w:szCs w:val="18"/>
              </w:rPr>
            </w:pPr>
            <w:r>
              <w:rPr>
                <w:sz w:val="18"/>
                <w:szCs w:val="18"/>
              </w:rPr>
              <w:t>Section 3.5 (5ai) – Add Discard Cost in the list;</w:t>
            </w:r>
          </w:p>
          <w:p w:rsidR="008C63B7" w:rsidRDefault="008C63B7" w:rsidP="008C63B7">
            <w:pPr>
              <w:pStyle w:val="ListParagraph"/>
              <w:numPr>
                <w:ilvl w:val="0"/>
                <w:numId w:val="13"/>
              </w:numPr>
              <w:ind w:left="317" w:hanging="283"/>
              <w:rPr>
                <w:sz w:val="18"/>
                <w:szCs w:val="18"/>
              </w:rPr>
            </w:pPr>
            <w:r>
              <w:rPr>
                <w:sz w:val="18"/>
                <w:szCs w:val="18"/>
              </w:rPr>
              <w:t>Section 3.5 – Table 1 Summary – Added report item Discard Cost with its description and calculation; and</w:t>
            </w:r>
          </w:p>
          <w:p w:rsidR="008C63B7" w:rsidRPr="008C63B7" w:rsidRDefault="008C63B7" w:rsidP="008C63B7">
            <w:pPr>
              <w:pStyle w:val="ListParagraph"/>
              <w:numPr>
                <w:ilvl w:val="0"/>
                <w:numId w:val="13"/>
              </w:numPr>
              <w:ind w:left="317" w:hanging="283"/>
              <w:rPr>
                <w:sz w:val="18"/>
                <w:szCs w:val="18"/>
              </w:rPr>
            </w:pPr>
            <w:r>
              <w:rPr>
                <w:sz w:val="18"/>
                <w:szCs w:val="18"/>
              </w:rPr>
              <w:t>Added Discard Cost in the Glossary.</w:t>
            </w:r>
          </w:p>
        </w:tc>
      </w:tr>
      <w:tr w:rsidR="0000497F" w:rsidRPr="003E36EB" w:rsidTr="00B041ED">
        <w:trPr>
          <w:jc w:val="center"/>
        </w:trPr>
        <w:tc>
          <w:tcPr>
            <w:tcW w:w="1031" w:type="dxa"/>
            <w:shd w:val="clear" w:color="auto" w:fill="auto"/>
          </w:tcPr>
          <w:p w:rsidR="0000497F" w:rsidRDefault="0000497F" w:rsidP="00D768FE">
            <w:pPr>
              <w:rPr>
                <w:sz w:val="18"/>
                <w:szCs w:val="18"/>
              </w:rPr>
            </w:pPr>
            <w:r>
              <w:rPr>
                <w:sz w:val="18"/>
                <w:szCs w:val="18"/>
              </w:rPr>
              <w:t>0.12</w:t>
            </w:r>
          </w:p>
        </w:tc>
        <w:tc>
          <w:tcPr>
            <w:tcW w:w="1559" w:type="dxa"/>
            <w:shd w:val="clear" w:color="auto" w:fill="auto"/>
          </w:tcPr>
          <w:p w:rsidR="0000497F" w:rsidRDefault="0000497F" w:rsidP="00D768FE">
            <w:pPr>
              <w:rPr>
                <w:sz w:val="18"/>
                <w:szCs w:val="18"/>
              </w:rPr>
            </w:pPr>
            <w:r>
              <w:rPr>
                <w:sz w:val="18"/>
                <w:szCs w:val="18"/>
              </w:rPr>
              <w:t>23 August 2013</w:t>
            </w:r>
          </w:p>
        </w:tc>
        <w:tc>
          <w:tcPr>
            <w:tcW w:w="6513" w:type="dxa"/>
          </w:tcPr>
          <w:p w:rsidR="0000497F" w:rsidRDefault="0000497F" w:rsidP="00D768FE">
            <w:pPr>
              <w:spacing w:after="0" w:line="240" w:lineRule="auto"/>
              <w:rPr>
                <w:sz w:val="18"/>
                <w:szCs w:val="18"/>
              </w:rPr>
            </w:pPr>
            <w:r>
              <w:rPr>
                <w:sz w:val="18"/>
                <w:szCs w:val="18"/>
              </w:rPr>
              <w:t>After meeting between Sandra, Peter, Pete and Ricky, agreed with the following changes:</w:t>
            </w:r>
          </w:p>
          <w:p w:rsidR="0000497F" w:rsidRDefault="0000497F" w:rsidP="0000497F">
            <w:pPr>
              <w:pStyle w:val="ListParagraph"/>
              <w:numPr>
                <w:ilvl w:val="0"/>
                <w:numId w:val="13"/>
              </w:numPr>
              <w:ind w:left="317" w:hanging="283"/>
              <w:rPr>
                <w:sz w:val="18"/>
                <w:szCs w:val="18"/>
              </w:rPr>
            </w:pPr>
            <w:r>
              <w:rPr>
                <w:sz w:val="18"/>
                <w:szCs w:val="18"/>
              </w:rPr>
              <w:t>Section</w:t>
            </w:r>
            <w:r w:rsidR="007A44B0">
              <w:rPr>
                <w:sz w:val="18"/>
                <w:szCs w:val="18"/>
              </w:rPr>
              <w:t xml:space="preserve"> 2</w:t>
            </w:r>
            <w:r w:rsidR="00B43406">
              <w:rPr>
                <w:sz w:val="18"/>
                <w:szCs w:val="18"/>
              </w:rPr>
              <w:t>.2</w:t>
            </w:r>
            <w:r w:rsidR="007A44B0">
              <w:rPr>
                <w:sz w:val="18"/>
                <w:szCs w:val="18"/>
              </w:rPr>
              <w:t xml:space="preserve"> – Remove </w:t>
            </w:r>
            <w:r w:rsidR="00B43406">
              <w:rPr>
                <w:sz w:val="18"/>
                <w:szCs w:val="18"/>
              </w:rPr>
              <w:t xml:space="preserve">BR4b (and the </w:t>
            </w:r>
            <w:r w:rsidR="007A44B0">
              <w:rPr>
                <w:sz w:val="18"/>
                <w:szCs w:val="18"/>
              </w:rPr>
              <w:t>Detail Table</w:t>
            </w:r>
            <w:r w:rsidR="00B43406">
              <w:rPr>
                <w:sz w:val="18"/>
                <w:szCs w:val="18"/>
              </w:rPr>
              <w:t>)</w:t>
            </w:r>
            <w:r w:rsidR="007A44B0">
              <w:rPr>
                <w:sz w:val="18"/>
                <w:szCs w:val="18"/>
              </w:rPr>
              <w:t>;</w:t>
            </w:r>
          </w:p>
          <w:p w:rsidR="00B43406" w:rsidRDefault="00B43406" w:rsidP="0000497F">
            <w:pPr>
              <w:pStyle w:val="ListParagraph"/>
              <w:numPr>
                <w:ilvl w:val="0"/>
                <w:numId w:val="13"/>
              </w:numPr>
              <w:ind w:left="317" w:hanging="283"/>
              <w:rPr>
                <w:sz w:val="18"/>
                <w:szCs w:val="18"/>
              </w:rPr>
            </w:pPr>
            <w:r>
              <w:rPr>
                <w:sz w:val="18"/>
                <w:szCs w:val="18"/>
              </w:rPr>
              <w:t>Section 2.2 – Remove BR6 in regards to detail table;</w:t>
            </w:r>
          </w:p>
          <w:p w:rsidR="00B43406" w:rsidRDefault="00B43406" w:rsidP="0000497F">
            <w:pPr>
              <w:pStyle w:val="ListParagraph"/>
              <w:numPr>
                <w:ilvl w:val="0"/>
                <w:numId w:val="13"/>
              </w:numPr>
              <w:ind w:left="317" w:hanging="283"/>
              <w:rPr>
                <w:sz w:val="18"/>
                <w:szCs w:val="18"/>
              </w:rPr>
            </w:pPr>
            <w:r>
              <w:rPr>
                <w:sz w:val="18"/>
                <w:szCs w:val="18"/>
              </w:rPr>
              <w:t>Section 2.3 – Update report sample with new icons and replace reference of hospital name and state with generic names;</w:t>
            </w:r>
          </w:p>
          <w:p w:rsidR="00B43406" w:rsidRDefault="00B43406" w:rsidP="0000497F">
            <w:pPr>
              <w:pStyle w:val="ListParagraph"/>
              <w:numPr>
                <w:ilvl w:val="0"/>
                <w:numId w:val="13"/>
              </w:numPr>
              <w:ind w:left="317" w:hanging="283"/>
              <w:rPr>
                <w:sz w:val="18"/>
                <w:szCs w:val="18"/>
              </w:rPr>
            </w:pPr>
            <w:r>
              <w:rPr>
                <w:sz w:val="18"/>
                <w:szCs w:val="18"/>
              </w:rPr>
              <w:t>Section 3.4 – Update report sample;</w:t>
            </w:r>
          </w:p>
          <w:p w:rsidR="00B43406" w:rsidRDefault="00B43406" w:rsidP="0000497F">
            <w:pPr>
              <w:pStyle w:val="ListParagraph"/>
              <w:numPr>
                <w:ilvl w:val="0"/>
                <w:numId w:val="13"/>
              </w:numPr>
              <w:ind w:left="317" w:hanging="283"/>
              <w:rPr>
                <w:sz w:val="18"/>
                <w:szCs w:val="18"/>
              </w:rPr>
            </w:pPr>
            <w:r>
              <w:rPr>
                <w:sz w:val="18"/>
                <w:szCs w:val="18"/>
              </w:rPr>
              <w:t>Section 3.4 – Remove detailed table;</w:t>
            </w:r>
          </w:p>
          <w:p w:rsidR="00B43406" w:rsidRDefault="00B43406" w:rsidP="0000497F">
            <w:pPr>
              <w:pStyle w:val="ListParagraph"/>
              <w:numPr>
                <w:ilvl w:val="0"/>
                <w:numId w:val="13"/>
              </w:numPr>
              <w:ind w:left="317" w:hanging="283"/>
              <w:rPr>
                <w:sz w:val="18"/>
                <w:szCs w:val="18"/>
              </w:rPr>
            </w:pPr>
            <w:r>
              <w:rPr>
                <w:sz w:val="18"/>
                <w:szCs w:val="18"/>
              </w:rPr>
              <w:t>Section 3.5 – Remove detailed table;</w:t>
            </w:r>
          </w:p>
          <w:p w:rsidR="00B43406" w:rsidRDefault="00B43406" w:rsidP="0000497F">
            <w:pPr>
              <w:pStyle w:val="ListParagraph"/>
              <w:numPr>
                <w:ilvl w:val="0"/>
                <w:numId w:val="13"/>
              </w:numPr>
              <w:ind w:left="317" w:hanging="283"/>
              <w:rPr>
                <w:sz w:val="18"/>
                <w:szCs w:val="18"/>
              </w:rPr>
            </w:pPr>
            <w:r>
              <w:rPr>
                <w:sz w:val="18"/>
                <w:szCs w:val="18"/>
              </w:rPr>
              <w:t>Section 3.5 – Replaced the indicator icons for the key indicator icon report item;</w:t>
            </w:r>
          </w:p>
          <w:p w:rsidR="0000497F" w:rsidRDefault="00B43406" w:rsidP="00B43406">
            <w:pPr>
              <w:pStyle w:val="ListParagraph"/>
              <w:numPr>
                <w:ilvl w:val="0"/>
                <w:numId w:val="13"/>
              </w:numPr>
              <w:ind w:left="317" w:hanging="283"/>
              <w:rPr>
                <w:sz w:val="18"/>
                <w:szCs w:val="18"/>
              </w:rPr>
            </w:pPr>
            <w:r>
              <w:rPr>
                <w:sz w:val="18"/>
                <w:szCs w:val="18"/>
              </w:rPr>
              <w:t>Section 3.6 – Remove Detail Sort Table</w:t>
            </w:r>
            <w:r w:rsidR="00637749">
              <w:rPr>
                <w:sz w:val="18"/>
                <w:szCs w:val="18"/>
              </w:rPr>
              <w:t>; and</w:t>
            </w:r>
          </w:p>
          <w:p w:rsidR="004359C9" w:rsidRPr="00637749" w:rsidRDefault="00B43406" w:rsidP="00637749">
            <w:pPr>
              <w:pStyle w:val="ListParagraph"/>
              <w:numPr>
                <w:ilvl w:val="0"/>
                <w:numId w:val="13"/>
              </w:numPr>
              <w:ind w:left="317" w:hanging="283"/>
              <w:rPr>
                <w:sz w:val="18"/>
                <w:szCs w:val="18"/>
              </w:rPr>
            </w:pPr>
            <w:r>
              <w:rPr>
                <w:sz w:val="18"/>
                <w:szCs w:val="18"/>
              </w:rPr>
              <w:t>Glossary – Update the key indicator icons</w:t>
            </w:r>
            <w:r w:rsidR="00637749">
              <w:rPr>
                <w:sz w:val="18"/>
                <w:szCs w:val="18"/>
              </w:rPr>
              <w:t>.</w:t>
            </w:r>
          </w:p>
        </w:tc>
      </w:tr>
      <w:tr w:rsidR="00637749" w:rsidRPr="003E36EB" w:rsidTr="00B041ED">
        <w:trPr>
          <w:jc w:val="center"/>
        </w:trPr>
        <w:tc>
          <w:tcPr>
            <w:tcW w:w="1031" w:type="dxa"/>
            <w:shd w:val="clear" w:color="auto" w:fill="auto"/>
          </w:tcPr>
          <w:p w:rsidR="00637749" w:rsidRDefault="00637749" w:rsidP="00D768FE">
            <w:pPr>
              <w:rPr>
                <w:sz w:val="18"/>
                <w:szCs w:val="18"/>
              </w:rPr>
            </w:pPr>
            <w:r>
              <w:rPr>
                <w:sz w:val="18"/>
                <w:szCs w:val="18"/>
              </w:rPr>
              <w:t>0.13</w:t>
            </w:r>
          </w:p>
        </w:tc>
        <w:tc>
          <w:tcPr>
            <w:tcW w:w="1559" w:type="dxa"/>
            <w:shd w:val="clear" w:color="auto" w:fill="auto"/>
          </w:tcPr>
          <w:p w:rsidR="00637749" w:rsidRDefault="00637749" w:rsidP="00D768FE">
            <w:pPr>
              <w:rPr>
                <w:sz w:val="18"/>
                <w:szCs w:val="18"/>
              </w:rPr>
            </w:pPr>
            <w:r>
              <w:rPr>
                <w:sz w:val="18"/>
                <w:szCs w:val="18"/>
              </w:rPr>
              <w:t>23 August 2013</w:t>
            </w:r>
          </w:p>
        </w:tc>
        <w:tc>
          <w:tcPr>
            <w:tcW w:w="6513" w:type="dxa"/>
          </w:tcPr>
          <w:p w:rsidR="00637749" w:rsidRDefault="00637749" w:rsidP="00D768FE">
            <w:pPr>
              <w:spacing w:after="0" w:line="240" w:lineRule="auto"/>
              <w:rPr>
                <w:sz w:val="18"/>
                <w:szCs w:val="18"/>
              </w:rPr>
            </w:pPr>
            <w:r>
              <w:rPr>
                <w:sz w:val="18"/>
                <w:szCs w:val="18"/>
              </w:rPr>
              <w:t>Pete incorporate source table in Section 3.5.</w:t>
            </w:r>
          </w:p>
          <w:p w:rsidR="00637749" w:rsidRDefault="00637749" w:rsidP="00D768FE">
            <w:pPr>
              <w:spacing w:after="0" w:line="240" w:lineRule="auto"/>
              <w:rPr>
                <w:sz w:val="18"/>
                <w:szCs w:val="18"/>
              </w:rPr>
            </w:pPr>
          </w:p>
          <w:p w:rsidR="00637749" w:rsidRDefault="00637749" w:rsidP="00D768FE">
            <w:pPr>
              <w:spacing w:after="0" w:line="240" w:lineRule="auto"/>
              <w:rPr>
                <w:sz w:val="18"/>
                <w:szCs w:val="18"/>
              </w:rPr>
            </w:pPr>
            <w:r>
              <w:rPr>
                <w:sz w:val="18"/>
                <w:szCs w:val="18"/>
              </w:rPr>
              <w:t>Ricky made the following amendments:</w:t>
            </w:r>
          </w:p>
          <w:p w:rsidR="00637749" w:rsidRDefault="00637749" w:rsidP="00637749">
            <w:pPr>
              <w:pStyle w:val="ListParagraph"/>
              <w:numPr>
                <w:ilvl w:val="0"/>
                <w:numId w:val="13"/>
              </w:numPr>
              <w:ind w:left="317" w:hanging="283"/>
              <w:rPr>
                <w:sz w:val="18"/>
                <w:szCs w:val="18"/>
              </w:rPr>
            </w:pPr>
            <w:r>
              <w:rPr>
                <w:sz w:val="18"/>
                <w:szCs w:val="18"/>
              </w:rPr>
              <w:t xml:space="preserve">Section 3.5 – Reword the calculations for </w:t>
            </w:r>
            <w:proofErr w:type="spellStart"/>
            <w:r>
              <w:rPr>
                <w:sz w:val="18"/>
                <w:szCs w:val="18"/>
              </w:rPr>
              <w:t>DAPI</w:t>
            </w:r>
            <w:proofErr w:type="spellEnd"/>
            <w:r>
              <w:rPr>
                <w:sz w:val="18"/>
                <w:szCs w:val="18"/>
              </w:rPr>
              <w:t>, Group and Group Average; provide updated calculation example for Group Average; and make reference to the Benchmark table;</w:t>
            </w:r>
          </w:p>
          <w:p w:rsidR="00637749" w:rsidRDefault="00637749" w:rsidP="00637749">
            <w:pPr>
              <w:pStyle w:val="ListParagraph"/>
              <w:numPr>
                <w:ilvl w:val="0"/>
                <w:numId w:val="13"/>
              </w:numPr>
              <w:ind w:left="317" w:hanging="283"/>
              <w:rPr>
                <w:sz w:val="18"/>
                <w:szCs w:val="18"/>
              </w:rPr>
            </w:pPr>
            <w:r>
              <w:rPr>
                <w:sz w:val="18"/>
                <w:szCs w:val="18"/>
              </w:rPr>
              <w:t>Global change to refer to correctly term Component Group and Cost Group (instead of referring as Fresh Component); and</w:t>
            </w:r>
          </w:p>
          <w:p w:rsidR="00637749" w:rsidRPr="00637749" w:rsidRDefault="00637749" w:rsidP="00637749">
            <w:pPr>
              <w:pStyle w:val="ListParagraph"/>
              <w:numPr>
                <w:ilvl w:val="0"/>
                <w:numId w:val="13"/>
              </w:numPr>
              <w:ind w:left="317" w:hanging="283"/>
              <w:rPr>
                <w:sz w:val="18"/>
                <w:szCs w:val="18"/>
              </w:rPr>
            </w:pPr>
            <w:r w:rsidRPr="00637749">
              <w:rPr>
                <w:sz w:val="18"/>
                <w:szCs w:val="18"/>
              </w:rPr>
              <w:t>Global change to refer to Group and not Peer Group, where applicable.</w:t>
            </w:r>
          </w:p>
        </w:tc>
      </w:tr>
      <w:tr w:rsidR="00151BCC" w:rsidRPr="003E36EB" w:rsidTr="00B041ED">
        <w:trPr>
          <w:jc w:val="center"/>
        </w:trPr>
        <w:tc>
          <w:tcPr>
            <w:tcW w:w="1031" w:type="dxa"/>
            <w:shd w:val="clear" w:color="auto" w:fill="auto"/>
          </w:tcPr>
          <w:p w:rsidR="00151BCC" w:rsidRDefault="00151BCC" w:rsidP="00D768FE">
            <w:pPr>
              <w:rPr>
                <w:sz w:val="18"/>
                <w:szCs w:val="18"/>
              </w:rPr>
            </w:pPr>
            <w:r>
              <w:rPr>
                <w:sz w:val="18"/>
                <w:szCs w:val="18"/>
              </w:rPr>
              <w:t>1.0</w:t>
            </w:r>
          </w:p>
        </w:tc>
        <w:tc>
          <w:tcPr>
            <w:tcW w:w="1559" w:type="dxa"/>
            <w:shd w:val="clear" w:color="auto" w:fill="auto"/>
          </w:tcPr>
          <w:p w:rsidR="00151BCC" w:rsidRDefault="00151BCC" w:rsidP="00D768FE">
            <w:pPr>
              <w:rPr>
                <w:sz w:val="18"/>
                <w:szCs w:val="18"/>
              </w:rPr>
            </w:pPr>
            <w:r>
              <w:rPr>
                <w:sz w:val="18"/>
                <w:szCs w:val="18"/>
              </w:rPr>
              <w:t>28 August 2013</w:t>
            </w:r>
          </w:p>
        </w:tc>
        <w:tc>
          <w:tcPr>
            <w:tcW w:w="6513" w:type="dxa"/>
          </w:tcPr>
          <w:p w:rsidR="00151BCC" w:rsidRDefault="00151BCC" w:rsidP="00D768FE">
            <w:pPr>
              <w:spacing w:after="0" w:line="240" w:lineRule="auto"/>
              <w:rPr>
                <w:sz w:val="18"/>
                <w:szCs w:val="18"/>
              </w:rPr>
            </w:pPr>
            <w:r>
              <w:rPr>
                <w:sz w:val="18"/>
                <w:szCs w:val="18"/>
              </w:rPr>
              <w:t>Peter approves report specification.</w:t>
            </w:r>
          </w:p>
        </w:tc>
      </w:tr>
      <w:tr w:rsidR="00BE6EDA" w:rsidRPr="003E36EB" w:rsidTr="00B041ED">
        <w:trPr>
          <w:jc w:val="center"/>
        </w:trPr>
        <w:tc>
          <w:tcPr>
            <w:tcW w:w="1031" w:type="dxa"/>
            <w:shd w:val="clear" w:color="auto" w:fill="auto"/>
          </w:tcPr>
          <w:p w:rsidR="00BE6EDA" w:rsidRDefault="00BE6EDA" w:rsidP="00D768FE">
            <w:pPr>
              <w:rPr>
                <w:sz w:val="18"/>
                <w:szCs w:val="18"/>
              </w:rPr>
            </w:pPr>
            <w:r>
              <w:rPr>
                <w:sz w:val="18"/>
                <w:szCs w:val="18"/>
              </w:rPr>
              <w:t>1.1</w:t>
            </w:r>
          </w:p>
        </w:tc>
        <w:tc>
          <w:tcPr>
            <w:tcW w:w="1559" w:type="dxa"/>
            <w:shd w:val="clear" w:color="auto" w:fill="auto"/>
          </w:tcPr>
          <w:p w:rsidR="00BE6EDA" w:rsidRDefault="00BE6EDA" w:rsidP="00D768FE">
            <w:pPr>
              <w:rPr>
                <w:sz w:val="18"/>
                <w:szCs w:val="18"/>
              </w:rPr>
            </w:pPr>
            <w:r>
              <w:rPr>
                <w:sz w:val="18"/>
                <w:szCs w:val="18"/>
              </w:rPr>
              <w:t>01 October 2013</w:t>
            </w:r>
          </w:p>
        </w:tc>
        <w:tc>
          <w:tcPr>
            <w:tcW w:w="6513" w:type="dxa"/>
          </w:tcPr>
          <w:p w:rsidR="00BE6EDA" w:rsidRDefault="00BE6EDA" w:rsidP="00202A3D">
            <w:pPr>
              <w:spacing w:after="0" w:line="240" w:lineRule="auto"/>
              <w:rPr>
                <w:sz w:val="18"/>
                <w:szCs w:val="18"/>
              </w:rPr>
            </w:pPr>
            <w:r>
              <w:rPr>
                <w:sz w:val="18"/>
                <w:szCs w:val="18"/>
              </w:rPr>
              <w:t xml:space="preserve">Global change of </w:t>
            </w:r>
            <w:r w:rsidR="00202A3D">
              <w:rPr>
                <w:sz w:val="18"/>
                <w:szCs w:val="18"/>
              </w:rPr>
              <w:t xml:space="preserve">Group average, State average, and National average to </w:t>
            </w:r>
            <w:r>
              <w:rPr>
                <w:sz w:val="18"/>
                <w:szCs w:val="18"/>
              </w:rPr>
              <w:t xml:space="preserve">Group </w:t>
            </w:r>
            <w:proofErr w:type="spellStart"/>
            <w:r>
              <w:rPr>
                <w:sz w:val="18"/>
                <w:szCs w:val="18"/>
              </w:rPr>
              <w:t>DAPI</w:t>
            </w:r>
            <w:proofErr w:type="spellEnd"/>
            <w:r>
              <w:rPr>
                <w:sz w:val="18"/>
                <w:szCs w:val="18"/>
              </w:rPr>
              <w:t xml:space="preserve">, State </w:t>
            </w:r>
            <w:proofErr w:type="spellStart"/>
            <w:r>
              <w:rPr>
                <w:sz w:val="18"/>
                <w:szCs w:val="18"/>
              </w:rPr>
              <w:t>DAPI</w:t>
            </w:r>
            <w:proofErr w:type="spellEnd"/>
            <w:r>
              <w:rPr>
                <w:sz w:val="18"/>
                <w:szCs w:val="18"/>
              </w:rPr>
              <w:t xml:space="preserve"> and National </w:t>
            </w:r>
            <w:proofErr w:type="spellStart"/>
            <w:r>
              <w:rPr>
                <w:sz w:val="18"/>
                <w:szCs w:val="18"/>
              </w:rPr>
              <w:t>DAPI</w:t>
            </w:r>
            <w:proofErr w:type="spellEnd"/>
            <w:r w:rsidR="00202A3D">
              <w:rPr>
                <w:sz w:val="18"/>
                <w:szCs w:val="18"/>
              </w:rPr>
              <w:t>.</w:t>
            </w:r>
            <w:r>
              <w:rPr>
                <w:sz w:val="18"/>
                <w:szCs w:val="18"/>
              </w:rPr>
              <w:t xml:space="preserve"> </w:t>
            </w:r>
          </w:p>
        </w:tc>
      </w:tr>
    </w:tbl>
    <w:p w:rsidR="003D3167" w:rsidRDefault="003D3167" w:rsidP="003D3167">
      <w:pPr>
        <w:sectPr w:rsidR="003D3167" w:rsidSect="00F036A8">
          <w:headerReference w:type="default" r:id="rId16"/>
          <w:footerReference w:type="default" r:id="rId17"/>
          <w:pgSz w:w="11907" w:h="16840" w:code="9"/>
          <w:pgMar w:top="1440" w:right="1440" w:bottom="1440" w:left="1440" w:header="0" w:footer="0" w:gutter="0"/>
          <w:cols w:space="720"/>
          <w:docGrid w:linePitch="299"/>
        </w:sectPr>
      </w:pPr>
      <w:bookmarkStart w:id="2" w:name="_Toc265478246"/>
    </w:p>
    <w:p w:rsidR="003D3167" w:rsidRPr="00063B05" w:rsidRDefault="003D3167" w:rsidP="003D3167">
      <w:pPr>
        <w:rPr>
          <w:sz w:val="36"/>
          <w:lang w:val="en-GB"/>
        </w:rPr>
      </w:pPr>
      <w:r>
        <w:rPr>
          <w:sz w:val="36"/>
          <w:lang w:val="en-GB"/>
        </w:rPr>
        <w:lastRenderedPageBreak/>
        <w:t>Document Review and Approval</w:t>
      </w:r>
    </w:p>
    <w:tbl>
      <w:tblPr>
        <w:tblW w:w="9132" w:type="dxa"/>
        <w:jc w:val="center"/>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46"/>
        <w:gridCol w:w="1417"/>
        <w:gridCol w:w="2410"/>
        <w:gridCol w:w="4259"/>
      </w:tblGrid>
      <w:tr w:rsidR="003D3167" w:rsidRPr="003E36EB" w:rsidTr="00E813C8">
        <w:trPr>
          <w:tblHeader/>
          <w:jc w:val="center"/>
        </w:trPr>
        <w:tc>
          <w:tcPr>
            <w:tcW w:w="1046" w:type="dxa"/>
            <w:shd w:val="clear" w:color="auto" w:fill="C6D9F1" w:themeFill="text2" w:themeFillTint="33"/>
          </w:tcPr>
          <w:p w:rsidR="003D3167" w:rsidRPr="00217A48" w:rsidRDefault="003D3167" w:rsidP="00D768FE">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rsidR="003D3167" w:rsidRDefault="003D3167" w:rsidP="00D768FE">
            <w:pPr>
              <w:rPr>
                <w:rFonts w:cstheme="minorHAnsi"/>
                <w:b/>
                <w:bCs/>
                <w:sz w:val="18"/>
                <w:szCs w:val="18"/>
              </w:rPr>
            </w:pPr>
            <w:r>
              <w:rPr>
                <w:rFonts w:cstheme="minorHAnsi"/>
                <w:b/>
                <w:bCs/>
                <w:sz w:val="18"/>
                <w:szCs w:val="18"/>
              </w:rPr>
              <w:t>Approval Date</w:t>
            </w:r>
          </w:p>
        </w:tc>
        <w:tc>
          <w:tcPr>
            <w:tcW w:w="2410" w:type="dxa"/>
            <w:shd w:val="clear" w:color="auto" w:fill="C6D9F1" w:themeFill="text2" w:themeFillTint="33"/>
          </w:tcPr>
          <w:p w:rsidR="003D3167" w:rsidRPr="00217A48" w:rsidRDefault="003D3167" w:rsidP="00D768FE">
            <w:pPr>
              <w:rPr>
                <w:rFonts w:cstheme="minorHAnsi"/>
                <w:b/>
                <w:bCs/>
                <w:sz w:val="18"/>
                <w:szCs w:val="18"/>
              </w:rPr>
            </w:pPr>
            <w:r>
              <w:rPr>
                <w:rFonts w:cstheme="minorHAnsi"/>
                <w:b/>
                <w:bCs/>
                <w:sz w:val="18"/>
                <w:szCs w:val="18"/>
              </w:rPr>
              <w:t>Name and Position</w:t>
            </w:r>
          </w:p>
        </w:tc>
        <w:tc>
          <w:tcPr>
            <w:tcW w:w="4259" w:type="dxa"/>
            <w:shd w:val="clear" w:color="auto" w:fill="C6D9F1" w:themeFill="text2" w:themeFillTint="33"/>
          </w:tcPr>
          <w:p w:rsidR="003D3167" w:rsidRPr="00217A48" w:rsidRDefault="003D3167" w:rsidP="00D768FE">
            <w:pPr>
              <w:rPr>
                <w:rFonts w:cstheme="minorHAnsi"/>
                <w:b/>
                <w:bCs/>
                <w:sz w:val="18"/>
                <w:szCs w:val="18"/>
              </w:rPr>
            </w:pPr>
            <w:r>
              <w:rPr>
                <w:rFonts w:cstheme="minorHAnsi"/>
                <w:b/>
                <w:bCs/>
                <w:sz w:val="18"/>
                <w:szCs w:val="18"/>
              </w:rPr>
              <w:t>Comments</w:t>
            </w:r>
          </w:p>
        </w:tc>
      </w:tr>
      <w:tr w:rsidR="003D3167" w:rsidRPr="003E36EB" w:rsidTr="00E813C8">
        <w:trPr>
          <w:jc w:val="center"/>
        </w:trPr>
        <w:tc>
          <w:tcPr>
            <w:tcW w:w="1046" w:type="dxa"/>
            <w:shd w:val="clear" w:color="auto" w:fill="auto"/>
          </w:tcPr>
          <w:p w:rsidR="003D3167" w:rsidRPr="00411650" w:rsidRDefault="003D3167" w:rsidP="00D768FE">
            <w:pPr>
              <w:rPr>
                <w:sz w:val="18"/>
                <w:szCs w:val="18"/>
              </w:rPr>
            </w:pPr>
            <w:r>
              <w:rPr>
                <w:color w:val="000000"/>
                <w:sz w:val="18"/>
                <w:szCs w:val="18"/>
                <w:lang w:val="en-US"/>
              </w:rPr>
              <w:t>1.0</w:t>
            </w:r>
          </w:p>
        </w:tc>
        <w:tc>
          <w:tcPr>
            <w:tcW w:w="1417" w:type="dxa"/>
          </w:tcPr>
          <w:p w:rsidR="003D3167" w:rsidRPr="00411650" w:rsidRDefault="00151BCC" w:rsidP="00D768FE">
            <w:pPr>
              <w:rPr>
                <w:sz w:val="18"/>
                <w:szCs w:val="18"/>
              </w:rPr>
            </w:pPr>
            <w:r>
              <w:rPr>
                <w:sz w:val="18"/>
                <w:szCs w:val="18"/>
              </w:rPr>
              <w:t>28 August 2013</w:t>
            </w:r>
          </w:p>
        </w:tc>
        <w:tc>
          <w:tcPr>
            <w:tcW w:w="2410" w:type="dxa"/>
            <w:shd w:val="clear" w:color="auto" w:fill="auto"/>
          </w:tcPr>
          <w:p w:rsidR="003D3167" w:rsidRPr="00411650" w:rsidRDefault="003D3167" w:rsidP="00D768FE">
            <w:pPr>
              <w:rPr>
                <w:sz w:val="18"/>
                <w:szCs w:val="18"/>
              </w:rPr>
            </w:pPr>
            <w:r>
              <w:rPr>
                <w:sz w:val="18"/>
                <w:szCs w:val="18"/>
              </w:rPr>
              <w:t>Peter O’Halloran</w:t>
            </w:r>
            <w:r>
              <w:rPr>
                <w:sz w:val="18"/>
                <w:szCs w:val="18"/>
              </w:rPr>
              <w:br/>
              <w:t>Executive Director, Health Provider Engagement</w:t>
            </w:r>
          </w:p>
        </w:tc>
        <w:tc>
          <w:tcPr>
            <w:tcW w:w="4259" w:type="dxa"/>
          </w:tcPr>
          <w:p w:rsidR="00151BCC" w:rsidRPr="00411650" w:rsidRDefault="00151BCC" w:rsidP="00D768FE">
            <w:pPr>
              <w:rPr>
                <w:sz w:val="18"/>
                <w:szCs w:val="18"/>
              </w:rPr>
            </w:pPr>
            <w:r>
              <w:rPr>
                <w:sz w:val="18"/>
                <w:szCs w:val="18"/>
              </w:rPr>
              <w:t>Approved after Sandra Cochrane’s final review.</w:t>
            </w:r>
          </w:p>
        </w:tc>
      </w:tr>
    </w:tbl>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Default="003D3167" w:rsidP="003D3167"/>
    <w:p w:rsidR="003D3167" w:rsidRPr="00276E7A" w:rsidRDefault="003D3167" w:rsidP="003D3167">
      <w:pPr>
        <w:rPr>
          <w:rFonts w:cstheme="minorHAnsi"/>
          <w:b/>
          <w:color w:val="808080" w:themeColor="background1" w:themeShade="80"/>
          <w:sz w:val="20"/>
          <w:szCs w:val="20"/>
        </w:rPr>
      </w:pPr>
      <w:r w:rsidRPr="00276E7A">
        <w:rPr>
          <w:rFonts w:cstheme="minorHAnsi"/>
          <w:b/>
          <w:color w:val="808080" w:themeColor="background1" w:themeShade="80"/>
          <w:sz w:val="20"/>
          <w:szCs w:val="20"/>
          <w:lang w:val="en-GB"/>
        </w:rPr>
        <w:t>Creative Commons</w:t>
      </w:r>
    </w:p>
    <w:p w:rsidR="003D3167" w:rsidRPr="00276E7A" w:rsidRDefault="003D3167" w:rsidP="003D3167">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noProof/>
          <w:color w:val="808080" w:themeColor="background1" w:themeShade="80"/>
          <w:sz w:val="20"/>
          <w:szCs w:val="20"/>
        </w:rPr>
        <w:drawing>
          <wp:inline distT="0" distB="0" distL="0" distR="0" wp14:anchorId="21A6C7EF" wp14:editId="1650D659">
            <wp:extent cx="1362075" cy="466725"/>
            <wp:effectExtent l="0" t="0" r="9525" b="9525"/>
            <wp:docPr id="7" name="Picture 7"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rsidR="003D3167" w:rsidRPr="00276E7A" w:rsidRDefault="003D3167" w:rsidP="003D3167">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color w:val="808080" w:themeColor="background1" w:themeShade="80"/>
          <w:sz w:val="20"/>
          <w:szCs w:val="20"/>
        </w:rPr>
        <w:t>With the exception of any logos and registered trademarks, and where otherwise noted, all material presented in this document is licensed by the NBA under a Creative Commons Attribution 3.0 Australia (</w:t>
      </w:r>
      <w:hyperlink r:id="rId20" w:history="1">
        <w:r w:rsidRPr="00276E7A">
          <w:rPr>
            <w:rStyle w:val="Hyperlink"/>
            <w:rFonts w:asciiTheme="minorHAnsi" w:eastAsia="Dotum" w:hAnsiTheme="minorHAnsi" w:cstheme="minorHAnsi"/>
            <w:color w:val="808080" w:themeColor="background1" w:themeShade="80"/>
            <w:sz w:val="20"/>
            <w:szCs w:val="20"/>
          </w:rPr>
          <w:t>http://creativecommons.org/licenses/by/3.0/au/</w:t>
        </w:r>
      </w:hyperlink>
      <w:r w:rsidRPr="00276E7A">
        <w:rPr>
          <w:rFonts w:asciiTheme="minorHAnsi" w:hAnsiTheme="minorHAnsi" w:cstheme="minorHAnsi"/>
          <w:color w:val="808080" w:themeColor="background1" w:themeShade="80"/>
          <w:sz w:val="20"/>
          <w:szCs w:val="20"/>
        </w:rPr>
        <w:t xml:space="preserve">) licence. In essence this licence allows you to copy, communicate and adapt the work, as long as you attribute the work to the National Blood Authority and abide by the other licence terms. </w:t>
      </w:r>
    </w:p>
    <w:p w:rsidR="003D3167" w:rsidRPr="00276E7A" w:rsidRDefault="003D3167" w:rsidP="003D3167">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color w:val="808080" w:themeColor="background1" w:themeShade="80"/>
          <w:sz w:val="20"/>
          <w:szCs w:val="20"/>
        </w:rPr>
        <w:t>The details of the relevant licence conditions are available on the Creative Commons website (accessible using the links provided) as is the full legal code for the CC BY 3.0 AU licence (</w:t>
      </w:r>
      <w:hyperlink r:id="rId21" w:history="1">
        <w:r w:rsidRPr="00276E7A">
          <w:rPr>
            <w:rStyle w:val="Hyperlink"/>
            <w:rFonts w:asciiTheme="minorHAnsi" w:eastAsia="Dotum" w:hAnsiTheme="minorHAnsi" w:cstheme="minorHAnsi"/>
            <w:color w:val="808080" w:themeColor="background1" w:themeShade="80"/>
            <w:sz w:val="20"/>
            <w:szCs w:val="20"/>
          </w:rPr>
          <w:t>http://creativecommons.org/licenses/by/3.0/au/legalcode</w:t>
        </w:r>
      </w:hyperlink>
      <w:r w:rsidRPr="00276E7A">
        <w:rPr>
          <w:rFonts w:asciiTheme="minorHAnsi" w:hAnsiTheme="minorHAnsi" w:cstheme="minorHAnsi"/>
          <w:color w:val="808080" w:themeColor="background1" w:themeShade="80"/>
          <w:sz w:val="20"/>
          <w:szCs w:val="20"/>
        </w:rPr>
        <w:t>).</w:t>
      </w:r>
    </w:p>
    <w:p w:rsidR="003D3167" w:rsidRDefault="003D3167" w:rsidP="003D3167">
      <w:pPr>
        <w:pStyle w:val="NormalWeb"/>
        <w:rPr>
          <w:rFonts w:asciiTheme="minorHAnsi" w:hAnsiTheme="minorHAnsi" w:cstheme="minorHAnsi"/>
          <w:color w:val="808080" w:themeColor="background1" w:themeShade="80"/>
          <w:sz w:val="20"/>
          <w:szCs w:val="20"/>
        </w:rPr>
        <w:sectPr w:rsidR="003D3167" w:rsidSect="00F036A8">
          <w:pgSz w:w="11907" w:h="16840" w:code="9"/>
          <w:pgMar w:top="1440" w:right="1440" w:bottom="1440" w:left="1440" w:header="0" w:footer="0" w:gutter="0"/>
          <w:cols w:space="720"/>
          <w:docGrid w:linePitch="299"/>
        </w:sectPr>
      </w:pPr>
      <w:r w:rsidRPr="00276E7A">
        <w:rPr>
          <w:rFonts w:asciiTheme="minorHAnsi" w:hAnsiTheme="minorHAnsi" w:cstheme="minorHAnsi"/>
          <w:color w:val="808080" w:themeColor="background1" w:themeShade="80"/>
          <w:sz w:val="20"/>
          <w:szCs w:val="20"/>
        </w:rPr>
        <w:t xml:space="preserve">The content obtained from this document or derivative of this work must be attributed as the </w:t>
      </w:r>
      <w:r w:rsidRPr="00276E7A">
        <w:rPr>
          <w:rFonts w:asciiTheme="minorHAnsi" w:hAnsiTheme="minorHAnsi" w:cstheme="minorHAnsi"/>
          <w:i/>
          <w:iCs/>
          <w:color w:val="808080" w:themeColor="background1" w:themeShade="80"/>
          <w:sz w:val="20"/>
          <w:szCs w:val="20"/>
        </w:rPr>
        <w:t>National Blood Authority BloodNet</w:t>
      </w:r>
      <w:r>
        <w:rPr>
          <w:rFonts w:asciiTheme="minorHAnsi" w:hAnsiTheme="minorHAnsi" w:cstheme="minorHAnsi"/>
          <w:i/>
          <w:iCs/>
          <w:color w:val="808080" w:themeColor="background1" w:themeShade="80"/>
          <w:sz w:val="20"/>
          <w:szCs w:val="20"/>
        </w:rPr>
        <w:t xml:space="preserve"> Fresh Component Health Provider Discard Report Specification</w:t>
      </w:r>
      <w:r w:rsidRPr="00276E7A">
        <w:rPr>
          <w:rFonts w:asciiTheme="minorHAnsi" w:hAnsiTheme="minorHAnsi" w:cstheme="minorHAnsi"/>
          <w:color w:val="808080" w:themeColor="background1" w:themeShade="80"/>
          <w:sz w:val="20"/>
          <w:szCs w:val="20"/>
        </w:rPr>
        <w:t>.</w:t>
      </w:r>
    </w:p>
    <w:p w:rsidR="003D3167" w:rsidRDefault="003D3167" w:rsidP="003D3167">
      <w:pPr>
        <w:rPr>
          <w:sz w:val="36"/>
          <w:lang w:val="en-GB"/>
        </w:rPr>
      </w:pPr>
      <w:r w:rsidRPr="000151D7">
        <w:rPr>
          <w:sz w:val="36"/>
          <w:lang w:val="en-GB"/>
        </w:rPr>
        <w:lastRenderedPageBreak/>
        <w:t>Contents</w:t>
      </w:r>
    </w:p>
    <w:sdt>
      <w:sdtPr>
        <w:id w:val="1562217132"/>
        <w:docPartObj>
          <w:docPartGallery w:val="Table of Contents"/>
          <w:docPartUnique/>
        </w:docPartObj>
      </w:sdtPr>
      <w:sdtEndPr>
        <w:rPr>
          <w:b/>
          <w:bCs/>
          <w:noProof/>
        </w:rPr>
      </w:sdtEndPr>
      <w:sdtContent>
        <w:p w:rsidR="000D4228" w:rsidRDefault="003D3167">
          <w:pPr>
            <w:pStyle w:val="TOC1"/>
            <w:tabs>
              <w:tab w:val="left" w:pos="440"/>
              <w:tab w:val="right" w:leader="dot" w:pos="9017"/>
            </w:tabs>
            <w:rPr>
              <w:rFonts w:eastAsiaTheme="minorEastAsia"/>
              <w:noProof/>
              <w:lang w:eastAsia="en-AU"/>
            </w:rPr>
          </w:pPr>
          <w:r>
            <w:fldChar w:fldCharType="begin"/>
          </w:r>
          <w:r>
            <w:instrText xml:space="preserve"> TOC \o "1-3" \h \z \u </w:instrText>
          </w:r>
          <w:r>
            <w:fldChar w:fldCharType="separate"/>
          </w:r>
          <w:hyperlink w:anchor="_Toc365030856" w:history="1">
            <w:r w:rsidR="000D4228" w:rsidRPr="001E143A">
              <w:rPr>
                <w:rStyle w:val="Hyperlink"/>
                <w:noProof/>
              </w:rPr>
              <w:t>1</w:t>
            </w:r>
            <w:r w:rsidR="000D4228">
              <w:rPr>
                <w:rFonts w:eastAsiaTheme="minorEastAsia"/>
                <w:noProof/>
                <w:lang w:eastAsia="en-AU"/>
              </w:rPr>
              <w:tab/>
            </w:r>
            <w:r w:rsidR="000D4228" w:rsidRPr="001E143A">
              <w:rPr>
                <w:rStyle w:val="Hyperlink"/>
                <w:noProof/>
              </w:rPr>
              <w:t>Introduction</w:t>
            </w:r>
            <w:r w:rsidR="000D4228">
              <w:rPr>
                <w:noProof/>
                <w:webHidden/>
              </w:rPr>
              <w:tab/>
            </w:r>
            <w:r w:rsidR="000D4228">
              <w:rPr>
                <w:noProof/>
                <w:webHidden/>
              </w:rPr>
              <w:fldChar w:fldCharType="begin"/>
            </w:r>
            <w:r w:rsidR="000D4228">
              <w:rPr>
                <w:noProof/>
                <w:webHidden/>
              </w:rPr>
              <w:instrText xml:space="preserve"> PAGEREF _Toc365030856 \h </w:instrText>
            </w:r>
            <w:r w:rsidR="000D4228">
              <w:rPr>
                <w:noProof/>
                <w:webHidden/>
              </w:rPr>
            </w:r>
            <w:r w:rsidR="000D4228">
              <w:rPr>
                <w:noProof/>
                <w:webHidden/>
              </w:rPr>
              <w:fldChar w:fldCharType="separate"/>
            </w:r>
            <w:r w:rsidR="000D4228">
              <w:rPr>
                <w:noProof/>
                <w:webHidden/>
              </w:rPr>
              <w:t>7</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57" w:history="1">
            <w:r w:rsidR="000D4228" w:rsidRPr="001E143A">
              <w:rPr>
                <w:rStyle w:val="Hyperlink"/>
                <w:noProof/>
              </w:rPr>
              <w:t>1.1</w:t>
            </w:r>
            <w:r w:rsidR="000D4228">
              <w:rPr>
                <w:rFonts w:eastAsiaTheme="minorEastAsia"/>
                <w:noProof/>
                <w:lang w:eastAsia="en-AU"/>
              </w:rPr>
              <w:tab/>
            </w:r>
            <w:r w:rsidR="000D4228" w:rsidRPr="001E143A">
              <w:rPr>
                <w:rStyle w:val="Hyperlink"/>
                <w:noProof/>
              </w:rPr>
              <w:t>Purpose</w:t>
            </w:r>
            <w:r w:rsidR="000D4228">
              <w:rPr>
                <w:noProof/>
                <w:webHidden/>
              </w:rPr>
              <w:tab/>
            </w:r>
            <w:r w:rsidR="000D4228">
              <w:rPr>
                <w:noProof/>
                <w:webHidden/>
              </w:rPr>
              <w:fldChar w:fldCharType="begin"/>
            </w:r>
            <w:r w:rsidR="000D4228">
              <w:rPr>
                <w:noProof/>
                <w:webHidden/>
              </w:rPr>
              <w:instrText xml:space="preserve"> PAGEREF _Toc365030857 \h </w:instrText>
            </w:r>
            <w:r w:rsidR="000D4228">
              <w:rPr>
                <w:noProof/>
                <w:webHidden/>
              </w:rPr>
            </w:r>
            <w:r w:rsidR="000D4228">
              <w:rPr>
                <w:noProof/>
                <w:webHidden/>
              </w:rPr>
              <w:fldChar w:fldCharType="separate"/>
            </w:r>
            <w:r w:rsidR="000D4228">
              <w:rPr>
                <w:noProof/>
                <w:webHidden/>
              </w:rPr>
              <w:t>7</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58" w:history="1">
            <w:r w:rsidR="000D4228" w:rsidRPr="001E143A">
              <w:rPr>
                <w:rStyle w:val="Hyperlink"/>
                <w:noProof/>
              </w:rPr>
              <w:t>1.2</w:t>
            </w:r>
            <w:r w:rsidR="000D4228">
              <w:rPr>
                <w:rFonts w:eastAsiaTheme="minorEastAsia"/>
                <w:noProof/>
                <w:lang w:eastAsia="en-AU"/>
              </w:rPr>
              <w:tab/>
            </w:r>
            <w:r w:rsidR="000D4228" w:rsidRPr="001E143A">
              <w:rPr>
                <w:rStyle w:val="Hyperlink"/>
                <w:noProof/>
              </w:rPr>
              <w:t>Document Audience</w:t>
            </w:r>
            <w:r w:rsidR="000D4228">
              <w:rPr>
                <w:noProof/>
                <w:webHidden/>
              </w:rPr>
              <w:tab/>
            </w:r>
            <w:r w:rsidR="000D4228">
              <w:rPr>
                <w:noProof/>
                <w:webHidden/>
              </w:rPr>
              <w:fldChar w:fldCharType="begin"/>
            </w:r>
            <w:r w:rsidR="000D4228">
              <w:rPr>
                <w:noProof/>
                <w:webHidden/>
              </w:rPr>
              <w:instrText xml:space="preserve"> PAGEREF _Toc365030858 \h </w:instrText>
            </w:r>
            <w:r w:rsidR="000D4228">
              <w:rPr>
                <w:noProof/>
                <w:webHidden/>
              </w:rPr>
            </w:r>
            <w:r w:rsidR="000D4228">
              <w:rPr>
                <w:noProof/>
                <w:webHidden/>
              </w:rPr>
              <w:fldChar w:fldCharType="separate"/>
            </w:r>
            <w:r w:rsidR="000D4228">
              <w:rPr>
                <w:noProof/>
                <w:webHidden/>
              </w:rPr>
              <w:t>7</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59" w:history="1">
            <w:r w:rsidR="000D4228" w:rsidRPr="001E143A">
              <w:rPr>
                <w:rStyle w:val="Hyperlink"/>
                <w:noProof/>
              </w:rPr>
              <w:t>1.3</w:t>
            </w:r>
            <w:r w:rsidR="000D4228">
              <w:rPr>
                <w:rFonts w:eastAsiaTheme="minorEastAsia"/>
                <w:noProof/>
                <w:lang w:eastAsia="en-AU"/>
              </w:rPr>
              <w:tab/>
            </w:r>
            <w:r w:rsidR="000D4228" w:rsidRPr="001E143A">
              <w:rPr>
                <w:rStyle w:val="Hyperlink"/>
                <w:noProof/>
              </w:rPr>
              <w:t>Related Documents</w:t>
            </w:r>
            <w:r w:rsidR="000D4228">
              <w:rPr>
                <w:noProof/>
                <w:webHidden/>
              </w:rPr>
              <w:tab/>
            </w:r>
            <w:r w:rsidR="000D4228">
              <w:rPr>
                <w:noProof/>
                <w:webHidden/>
              </w:rPr>
              <w:fldChar w:fldCharType="begin"/>
            </w:r>
            <w:r w:rsidR="000D4228">
              <w:rPr>
                <w:noProof/>
                <w:webHidden/>
              </w:rPr>
              <w:instrText xml:space="preserve"> PAGEREF _Toc365030859 \h </w:instrText>
            </w:r>
            <w:r w:rsidR="000D4228">
              <w:rPr>
                <w:noProof/>
                <w:webHidden/>
              </w:rPr>
            </w:r>
            <w:r w:rsidR="000D4228">
              <w:rPr>
                <w:noProof/>
                <w:webHidden/>
              </w:rPr>
              <w:fldChar w:fldCharType="separate"/>
            </w:r>
            <w:r w:rsidR="000D4228">
              <w:rPr>
                <w:noProof/>
                <w:webHidden/>
              </w:rPr>
              <w:t>8</w:t>
            </w:r>
            <w:r w:rsidR="000D4228">
              <w:rPr>
                <w:noProof/>
                <w:webHidden/>
              </w:rPr>
              <w:fldChar w:fldCharType="end"/>
            </w:r>
          </w:hyperlink>
        </w:p>
        <w:p w:rsidR="000D4228" w:rsidRDefault="00946661">
          <w:pPr>
            <w:pStyle w:val="TOC1"/>
            <w:tabs>
              <w:tab w:val="left" w:pos="440"/>
              <w:tab w:val="right" w:leader="dot" w:pos="9017"/>
            </w:tabs>
            <w:rPr>
              <w:rFonts w:eastAsiaTheme="minorEastAsia"/>
              <w:noProof/>
              <w:lang w:eastAsia="en-AU"/>
            </w:rPr>
          </w:pPr>
          <w:hyperlink w:anchor="_Toc365030860" w:history="1">
            <w:r w:rsidR="000D4228" w:rsidRPr="001E143A">
              <w:rPr>
                <w:rStyle w:val="Hyperlink"/>
                <w:noProof/>
              </w:rPr>
              <w:t>2</w:t>
            </w:r>
            <w:r w:rsidR="000D4228">
              <w:rPr>
                <w:rFonts w:eastAsiaTheme="minorEastAsia"/>
                <w:noProof/>
                <w:lang w:eastAsia="en-AU"/>
              </w:rPr>
              <w:tab/>
            </w:r>
            <w:r w:rsidR="000D4228" w:rsidRPr="001E143A">
              <w:rPr>
                <w:rStyle w:val="Hyperlink"/>
                <w:noProof/>
              </w:rPr>
              <w:t>Report Details</w:t>
            </w:r>
            <w:r w:rsidR="000D4228">
              <w:rPr>
                <w:noProof/>
                <w:webHidden/>
              </w:rPr>
              <w:tab/>
            </w:r>
            <w:r w:rsidR="000D4228">
              <w:rPr>
                <w:noProof/>
                <w:webHidden/>
              </w:rPr>
              <w:fldChar w:fldCharType="begin"/>
            </w:r>
            <w:r w:rsidR="000D4228">
              <w:rPr>
                <w:noProof/>
                <w:webHidden/>
              </w:rPr>
              <w:instrText xml:space="preserve"> PAGEREF _Toc365030860 \h </w:instrText>
            </w:r>
            <w:r w:rsidR="000D4228">
              <w:rPr>
                <w:noProof/>
                <w:webHidden/>
              </w:rPr>
            </w:r>
            <w:r w:rsidR="000D4228">
              <w:rPr>
                <w:noProof/>
                <w:webHidden/>
              </w:rPr>
              <w:fldChar w:fldCharType="separate"/>
            </w:r>
            <w:r w:rsidR="000D4228">
              <w:rPr>
                <w:noProof/>
                <w:webHidden/>
              </w:rPr>
              <w:t>9</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61" w:history="1">
            <w:r w:rsidR="000D4228" w:rsidRPr="001E143A">
              <w:rPr>
                <w:rStyle w:val="Hyperlink"/>
                <w:noProof/>
              </w:rPr>
              <w:t>2.1</w:t>
            </w:r>
            <w:r w:rsidR="000D4228">
              <w:rPr>
                <w:rFonts w:eastAsiaTheme="minorEastAsia"/>
                <w:noProof/>
                <w:lang w:eastAsia="en-AU"/>
              </w:rPr>
              <w:tab/>
            </w:r>
            <w:r w:rsidR="000D4228" w:rsidRPr="001E143A">
              <w:rPr>
                <w:rStyle w:val="Hyperlink"/>
                <w:noProof/>
              </w:rPr>
              <w:t>Description</w:t>
            </w:r>
            <w:r w:rsidR="000D4228">
              <w:rPr>
                <w:noProof/>
                <w:webHidden/>
              </w:rPr>
              <w:tab/>
            </w:r>
            <w:r w:rsidR="000D4228">
              <w:rPr>
                <w:noProof/>
                <w:webHidden/>
              </w:rPr>
              <w:fldChar w:fldCharType="begin"/>
            </w:r>
            <w:r w:rsidR="000D4228">
              <w:rPr>
                <w:noProof/>
                <w:webHidden/>
              </w:rPr>
              <w:instrText xml:space="preserve"> PAGEREF _Toc365030861 \h </w:instrText>
            </w:r>
            <w:r w:rsidR="000D4228">
              <w:rPr>
                <w:noProof/>
                <w:webHidden/>
              </w:rPr>
            </w:r>
            <w:r w:rsidR="000D4228">
              <w:rPr>
                <w:noProof/>
                <w:webHidden/>
              </w:rPr>
              <w:fldChar w:fldCharType="separate"/>
            </w:r>
            <w:r w:rsidR="000D4228">
              <w:rPr>
                <w:noProof/>
                <w:webHidden/>
              </w:rPr>
              <w:t>9</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62" w:history="1">
            <w:r w:rsidR="000D4228" w:rsidRPr="001E143A">
              <w:rPr>
                <w:rStyle w:val="Hyperlink"/>
                <w:noProof/>
              </w:rPr>
              <w:t>2.2</w:t>
            </w:r>
            <w:r w:rsidR="000D4228">
              <w:rPr>
                <w:rFonts w:eastAsiaTheme="minorEastAsia"/>
                <w:noProof/>
                <w:lang w:eastAsia="en-AU"/>
              </w:rPr>
              <w:tab/>
            </w:r>
            <w:r w:rsidR="000D4228" w:rsidRPr="001E143A">
              <w:rPr>
                <w:rStyle w:val="Hyperlink"/>
                <w:noProof/>
              </w:rPr>
              <w:t>Business Rules</w:t>
            </w:r>
            <w:r w:rsidR="000D4228">
              <w:rPr>
                <w:noProof/>
                <w:webHidden/>
              </w:rPr>
              <w:tab/>
            </w:r>
            <w:r w:rsidR="000D4228">
              <w:rPr>
                <w:noProof/>
                <w:webHidden/>
              </w:rPr>
              <w:fldChar w:fldCharType="begin"/>
            </w:r>
            <w:r w:rsidR="000D4228">
              <w:rPr>
                <w:noProof/>
                <w:webHidden/>
              </w:rPr>
              <w:instrText xml:space="preserve"> PAGEREF _Toc365030862 \h </w:instrText>
            </w:r>
            <w:r w:rsidR="000D4228">
              <w:rPr>
                <w:noProof/>
                <w:webHidden/>
              </w:rPr>
            </w:r>
            <w:r w:rsidR="000D4228">
              <w:rPr>
                <w:noProof/>
                <w:webHidden/>
              </w:rPr>
              <w:fldChar w:fldCharType="separate"/>
            </w:r>
            <w:r w:rsidR="000D4228">
              <w:rPr>
                <w:noProof/>
                <w:webHidden/>
              </w:rPr>
              <w:t>9</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63" w:history="1">
            <w:r w:rsidR="000D4228" w:rsidRPr="001E143A">
              <w:rPr>
                <w:rStyle w:val="Hyperlink"/>
                <w:noProof/>
              </w:rPr>
              <w:t>2.3</w:t>
            </w:r>
            <w:r w:rsidR="000D4228">
              <w:rPr>
                <w:rFonts w:eastAsiaTheme="minorEastAsia"/>
                <w:noProof/>
                <w:lang w:eastAsia="en-AU"/>
              </w:rPr>
              <w:tab/>
            </w:r>
            <w:r w:rsidR="000D4228" w:rsidRPr="001E143A">
              <w:rPr>
                <w:rStyle w:val="Hyperlink"/>
                <w:noProof/>
              </w:rPr>
              <w:t>Report Sample</w:t>
            </w:r>
            <w:r w:rsidR="000D4228">
              <w:rPr>
                <w:noProof/>
                <w:webHidden/>
              </w:rPr>
              <w:tab/>
            </w:r>
            <w:r w:rsidR="000D4228">
              <w:rPr>
                <w:noProof/>
                <w:webHidden/>
              </w:rPr>
              <w:fldChar w:fldCharType="begin"/>
            </w:r>
            <w:r w:rsidR="000D4228">
              <w:rPr>
                <w:noProof/>
                <w:webHidden/>
              </w:rPr>
              <w:instrText xml:space="preserve"> PAGEREF _Toc365030863 \h </w:instrText>
            </w:r>
            <w:r w:rsidR="000D4228">
              <w:rPr>
                <w:noProof/>
                <w:webHidden/>
              </w:rPr>
            </w:r>
            <w:r w:rsidR="000D4228">
              <w:rPr>
                <w:noProof/>
                <w:webHidden/>
              </w:rPr>
              <w:fldChar w:fldCharType="separate"/>
            </w:r>
            <w:r w:rsidR="000D4228">
              <w:rPr>
                <w:noProof/>
                <w:webHidden/>
              </w:rPr>
              <w:t>14</w:t>
            </w:r>
            <w:r w:rsidR="000D4228">
              <w:rPr>
                <w:noProof/>
                <w:webHidden/>
              </w:rPr>
              <w:fldChar w:fldCharType="end"/>
            </w:r>
          </w:hyperlink>
        </w:p>
        <w:p w:rsidR="000D4228" w:rsidRDefault="00946661">
          <w:pPr>
            <w:pStyle w:val="TOC1"/>
            <w:tabs>
              <w:tab w:val="left" w:pos="440"/>
              <w:tab w:val="right" w:leader="dot" w:pos="9017"/>
            </w:tabs>
            <w:rPr>
              <w:rFonts w:eastAsiaTheme="minorEastAsia"/>
              <w:noProof/>
              <w:lang w:eastAsia="en-AU"/>
            </w:rPr>
          </w:pPr>
          <w:hyperlink w:anchor="_Toc365030864" w:history="1">
            <w:r w:rsidR="000D4228" w:rsidRPr="001E143A">
              <w:rPr>
                <w:rStyle w:val="Hyperlink"/>
                <w:noProof/>
              </w:rPr>
              <w:t>3</w:t>
            </w:r>
            <w:r w:rsidR="000D4228">
              <w:rPr>
                <w:rFonts w:eastAsiaTheme="minorEastAsia"/>
                <w:noProof/>
                <w:lang w:eastAsia="en-AU"/>
              </w:rPr>
              <w:tab/>
            </w:r>
            <w:r w:rsidR="000D4228" w:rsidRPr="001E143A">
              <w:rPr>
                <w:rStyle w:val="Hyperlink"/>
                <w:noProof/>
              </w:rPr>
              <w:t>Report Content</w:t>
            </w:r>
            <w:r w:rsidR="000D4228">
              <w:rPr>
                <w:noProof/>
                <w:webHidden/>
              </w:rPr>
              <w:tab/>
            </w:r>
            <w:r w:rsidR="000D4228">
              <w:rPr>
                <w:noProof/>
                <w:webHidden/>
              </w:rPr>
              <w:fldChar w:fldCharType="begin"/>
            </w:r>
            <w:r w:rsidR="000D4228">
              <w:rPr>
                <w:noProof/>
                <w:webHidden/>
              </w:rPr>
              <w:instrText xml:space="preserve"> PAGEREF _Toc365030864 \h </w:instrText>
            </w:r>
            <w:r w:rsidR="000D4228">
              <w:rPr>
                <w:noProof/>
                <w:webHidden/>
              </w:rPr>
            </w:r>
            <w:r w:rsidR="000D4228">
              <w:rPr>
                <w:noProof/>
                <w:webHidden/>
              </w:rPr>
              <w:fldChar w:fldCharType="separate"/>
            </w:r>
            <w:r w:rsidR="000D4228">
              <w:rPr>
                <w:noProof/>
                <w:webHidden/>
              </w:rPr>
              <w:t>15</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65" w:history="1">
            <w:r w:rsidR="000D4228" w:rsidRPr="001E143A">
              <w:rPr>
                <w:rStyle w:val="Hyperlink"/>
                <w:noProof/>
              </w:rPr>
              <w:t>3.1</w:t>
            </w:r>
            <w:r w:rsidR="000D4228">
              <w:rPr>
                <w:rFonts w:eastAsiaTheme="minorEastAsia"/>
                <w:noProof/>
                <w:lang w:eastAsia="en-AU"/>
              </w:rPr>
              <w:tab/>
            </w:r>
            <w:r w:rsidR="000D4228" w:rsidRPr="001E143A">
              <w:rPr>
                <w:rStyle w:val="Hyperlink"/>
                <w:noProof/>
              </w:rPr>
              <w:t>Title</w:t>
            </w:r>
            <w:r w:rsidR="000D4228">
              <w:rPr>
                <w:noProof/>
                <w:webHidden/>
              </w:rPr>
              <w:tab/>
            </w:r>
            <w:r w:rsidR="000D4228">
              <w:rPr>
                <w:noProof/>
                <w:webHidden/>
              </w:rPr>
              <w:fldChar w:fldCharType="begin"/>
            </w:r>
            <w:r w:rsidR="000D4228">
              <w:rPr>
                <w:noProof/>
                <w:webHidden/>
              </w:rPr>
              <w:instrText xml:space="preserve"> PAGEREF _Toc365030865 \h </w:instrText>
            </w:r>
            <w:r w:rsidR="000D4228">
              <w:rPr>
                <w:noProof/>
                <w:webHidden/>
              </w:rPr>
            </w:r>
            <w:r w:rsidR="000D4228">
              <w:rPr>
                <w:noProof/>
                <w:webHidden/>
              </w:rPr>
              <w:fldChar w:fldCharType="separate"/>
            </w:r>
            <w:r w:rsidR="000D4228">
              <w:rPr>
                <w:noProof/>
                <w:webHidden/>
              </w:rPr>
              <w:t>15</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66" w:history="1">
            <w:r w:rsidR="000D4228" w:rsidRPr="001E143A">
              <w:rPr>
                <w:rStyle w:val="Hyperlink"/>
                <w:noProof/>
              </w:rPr>
              <w:t>3.2</w:t>
            </w:r>
            <w:r w:rsidR="000D4228">
              <w:rPr>
                <w:rFonts w:eastAsiaTheme="minorEastAsia"/>
                <w:noProof/>
                <w:lang w:eastAsia="en-AU"/>
              </w:rPr>
              <w:tab/>
            </w:r>
            <w:r w:rsidR="000D4228" w:rsidRPr="001E143A">
              <w:rPr>
                <w:rStyle w:val="Hyperlink"/>
                <w:noProof/>
              </w:rPr>
              <w:t>Description</w:t>
            </w:r>
            <w:r w:rsidR="000D4228">
              <w:rPr>
                <w:noProof/>
                <w:webHidden/>
              </w:rPr>
              <w:tab/>
            </w:r>
            <w:r w:rsidR="000D4228">
              <w:rPr>
                <w:noProof/>
                <w:webHidden/>
              </w:rPr>
              <w:fldChar w:fldCharType="begin"/>
            </w:r>
            <w:r w:rsidR="000D4228">
              <w:rPr>
                <w:noProof/>
                <w:webHidden/>
              </w:rPr>
              <w:instrText xml:space="preserve"> PAGEREF _Toc365030866 \h </w:instrText>
            </w:r>
            <w:r w:rsidR="000D4228">
              <w:rPr>
                <w:noProof/>
                <w:webHidden/>
              </w:rPr>
            </w:r>
            <w:r w:rsidR="000D4228">
              <w:rPr>
                <w:noProof/>
                <w:webHidden/>
              </w:rPr>
              <w:fldChar w:fldCharType="separate"/>
            </w:r>
            <w:r w:rsidR="000D4228">
              <w:rPr>
                <w:noProof/>
                <w:webHidden/>
              </w:rPr>
              <w:t>15</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67" w:history="1">
            <w:r w:rsidR="000D4228" w:rsidRPr="001E143A">
              <w:rPr>
                <w:rStyle w:val="Hyperlink"/>
                <w:noProof/>
              </w:rPr>
              <w:t>3.3</w:t>
            </w:r>
            <w:r w:rsidR="000D4228">
              <w:rPr>
                <w:rFonts w:eastAsiaTheme="minorEastAsia"/>
                <w:noProof/>
                <w:lang w:eastAsia="en-AU"/>
              </w:rPr>
              <w:tab/>
            </w:r>
            <w:r w:rsidR="000D4228" w:rsidRPr="001E143A">
              <w:rPr>
                <w:rStyle w:val="Hyperlink"/>
                <w:noProof/>
              </w:rPr>
              <w:t>Parameter</w:t>
            </w:r>
            <w:r w:rsidR="000D4228">
              <w:rPr>
                <w:noProof/>
                <w:webHidden/>
              </w:rPr>
              <w:tab/>
            </w:r>
            <w:r w:rsidR="000D4228">
              <w:rPr>
                <w:noProof/>
                <w:webHidden/>
              </w:rPr>
              <w:fldChar w:fldCharType="begin"/>
            </w:r>
            <w:r w:rsidR="000D4228">
              <w:rPr>
                <w:noProof/>
                <w:webHidden/>
              </w:rPr>
              <w:instrText xml:space="preserve"> PAGEREF _Toc365030867 \h </w:instrText>
            </w:r>
            <w:r w:rsidR="000D4228">
              <w:rPr>
                <w:noProof/>
                <w:webHidden/>
              </w:rPr>
            </w:r>
            <w:r w:rsidR="000D4228">
              <w:rPr>
                <w:noProof/>
                <w:webHidden/>
              </w:rPr>
              <w:fldChar w:fldCharType="separate"/>
            </w:r>
            <w:r w:rsidR="000D4228">
              <w:rPr>
                <w:noProof/>
                <w:webHidden/>
              </w:rPr>
              <w:t>16</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68" w:history="1">
            <w:r w:rsidR="000D4228" w:rsidRPr="001E143A">
              <w:rPr>
                <w:rStyle w:val="Hyperlink"/>
                <w:noProof/>
              </w:rPr>
              <w:t>3.4</w:t>
            </w:r>
            <w:r w:rsidR="000D4228">
              <w:rPr>
                <w:rFonts w:eastAsiaTheme="minorEastAsia"/>
                <w:noProof/>
                <w:lang w:eastAsia="en-AU"/>
              </w:rPr>
              <w:tab/>
            </w:r>
            <w:r w:rsidR="000D4228" w:rsidRPr="001E143A">
              <w:rPr>
                <w:rStyle w:val="Hyperlink"/>
                <w:noProof/>
              </w:rPr>
              <w:t>Report Output Filter Criteria</w:t>
            </w:r>
            <w:r w:rsidR="000D4228">
              <w:rPr>
                <w:noProof/>
                <w:webHidden/>
              </w:rPr>
              <w:tab/>
            </w:r>
            <w:r w:rsidR="000D4228">
              <w:rPr>
                <w:noProof/>
                <w:webHidden/>
              </w:rPr>
              <w:fldChar w:fldCharType="begin"/>
            </w:r>
            <w:r w:rsidR="000D4228">
              <w:rPr>
                <w:noProof/>
                <w:webHidden/>
              </w:rPr>
              <w:instrText xml:space="preserve"> PAGEREF _Toc365030868 \h </w:instrText>
            </w:r>
            <w:r w:rsidR="000D4228">
              <w:rPr>
                <w:noProof/>
                <w:webHidden/>
              </w:rPr>
            </w:r>
            <w:r w:rsidR="000D4228">
              <w:rPr>
                <w:noProof/>
                <w:webHidden/>
              </w:rPr>
              <w:fldChar w:fldCharType="separate"/>
            </w:r>
            <w:r w:rsidR="000D4228">
              <w:rPr>
                <w:noProof/>
                <w:webHidden/>
              </w:rPr>
              <w:t>17</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69" w:history="1">
            <w:r w:rsidR="000D4228" w:rsidRPr="001E143A">
              <w:rPr>
                <w:rStyle w:val="Hyperlink"/>
                <w:noProof/>
              </w:rPr>
              <w:t>3.5</w:t>
            </w:r>
            <w:r w:rsidR="000D4228">
              <w:rPr>
                <w:rFonts w:eastAsiaTheme="minorEastAsia"/>
                <w:noProof/>
                <w:lang w:eastAsia="en-AU"/>
              </w:rPr>
              <w:tab/>
            </w:r>
            <w:r w:rsidR="000D4228" w:rsidRPr="001E143A">
              <w:rPr>
                <w:rStyle w:val="Hyperlink"/>
                <w:noProof/>
              </w:rPr>
              <w:t>Report Field Description/Calculations</w:t>
            </w:r>
            <w:r w:rsidR="000D4228">
              <w:rPr>
                <w:noProof/>
                <w:webHidden/>
              </w:rPr>
              <w:tab/>
            </w:r>
            <w:r w:rsidR="000D4228">
              <w:rPr>
                <w:noProof/>
                <w:webHidden/>
              </w:rPr>
              <w:fldChar w:fldCharType="begin"/>
            </w:r>
            <w:r w:rsidR="000D4228">
              <w:rPr>
                <w:noProof/>
                <w:webHidden/>
              </w:rPr>
              <w:instrText xml:space="preserve"> PAGEREF _Toc365030869 \h </w:instrText>
            </w:r>
            <w:r w:rsidR="000D4228">
              <w:rPr>
                <w:noProof/>
                <w:webHidden/>
              </w:rPr>
            </w:r>
            <w:r w:rsidR="000D4228">
              <w:rPr>
                <w:noProof/>
                <w:webHidden/>
              </w:rPr>
              <w:fldChar w:fldCharType="separate"/>
            </w:r>
            <w:r w:rsidR="000D4228">
              <w:rPr>
                <w:noProof/>
                <w:webHidden/>
              </w:rPr>
              <w:t>19</w:t>
            </w:r>
            <w:r w:rsidR="000D4228">
              <w:rPr>
                <w:noProof/>
                <w:webHidden/>
              </w:rPr>
              <w:fldChar w:fldCharType="end"/>
            </w:r>
          </w:hyperlink>
        </w:p>
        <w:p w:rsidR="000D4228" w:rsidRDefault="00946661">
          <w:pPr>
            <w:pStyle w:val="TOC2"/>
            <w:tabs>
              <w:tab w:val="left" w:pos="880"/>
              <w:tab w:val="right" w:leader="dot" w:pos="9017"/>
            </w:tabs>
            <w:rPr>
              <w:rFonts w:eastAsiaTheme="minorEastAsia"/>
              <w:noProof/>
              <w:lang w:eastAsia="en-AU"/>
            </w:rPr>
          </w:pPr>
          <w:hyperlink w:anchor="_Toc365030870" w:history="1">
            <w:r w:rsidR="000D4228" w:rsidRPr="001E143A">
              <w:rPr>
                <w:rStyle w:val="Hyperlink"/>
                <w:noProof/>
              </w:rPr>
              <w:t>3.6</w:t>
            </w:r>
            <w:r w:rsidR="000D4228">
              <w:rPr>
                <w:rFonts w:eastAsiaTheme="minorEastAsia"/>
                <w:noProof/>
                <w:lang w:eastAsia="en-AU"/>
              </w:rPr>
              <w:tab/>
            </w:r>
            <w:r w:rsidR="000D4228" w:rsidRPr="001E143A">
              <w:rPr>
                <w:rStyle w:val="Hyperlink"/>
                <w:noProof/>
              </w:rPr>
              <w:t>Report Output Fields Sorting</w:t>
            </w:r>
            <w:r w:rsidR="000D4228">
              <w:rPr>
                <w:noProof/>
                <w:webHidden/>
              </w:rPr>
              <w:tab/>
            </w:r>
            <w:r w:rsidR="000D4228">
              <w:rPr>
                <w:noProof/>
                <w:webHidden/>
              </w:rPr>
              <w:fldChar w:fldCharType="begin"/>
            </w:r>
            <w:r w:rsidR="000D4228">
              <w:rPr>
                <w:noProof/>
                <w:webHidden/>
              </w:rPr>
              <w:instrText xml:space="preserve"> PAGEREF _Toc365030870 \h </w:instrText>
            </w:r>
            <w:r w:rsidR="000D4228">
              <w:rPr>
                <w:noProof/>
                <w:webHidden/>
              </w:rPr>
            </w:r>
            <w:r w:rsidR="000D4228">
              <w:rPr>
                <w:noProof/>
                <w:webHidden/>
              </w:rPr>
              <w:fldChar w:fldCharType="separate"/>
            </w:r>
            <w:r w:rsidR="000D4228">
              <w:rPr>
                <w:noProof/>
                <w:webHidden/>
              </w:rPr>
              <w:t>24</w:t>
            </w:r>
            <w:r w:rsidR="000D4228">
              <w:rPr>
                <w:noProof/>
                <w:webHidden/>
              </w:rPr>
              <w:fldChar w:fldCharType="end"/>
            </w:r>
          </w:hyperlink>
        </w:p>
        <w:p w:rsidR="000D4228" w:rsidRDefault="00946661">
          <w:pPr>
            <w:pStyle w:val="TOC1"/>
            <w:tabs>
              <w:tab w:val="left" w:pos="440"/>
              <w:tab w:val="right" w:leader="dot" w:pos="9017"/>
            </w:tabs>
            <w:rPr>
              <w:rFonts w:eastAsiaTheme="minorEastAsia"/>
              <w:noProof/>
              <w:lang w:eastAsia="en-AU"/>
            </w:rPr>
          </w:pPr>
          <w:hyperlink w:anchor="_Toc365030871" w:history="1">
            <w:r w:rsidR="000D4228" w:rsidRPr="001E143A">
              <w:rPr>
                <w:rStyle w:val="Hyperlink"/>
                <w:noProof/>
              </w:rPr>
              <w:t>4</w:t>
            </w:r>
            <w:r w:rsidR="000D4228">
              <w:rPr>
                <w:rFonts w:eastAsiaTheme="minorEastAsia"/>
                <w:noProof/>
                <w:lang w:eastAsia="en-AU"/>
              </w:rPr>
              <w:tab/>
            </w:r>
            <w:r w:rsidR="000D4228" w:rsidRPr="001E143A">
              <w:rPr>
                <w:rStyle w:val="Hyperlink"/>
                <w:noProof/>
              </w:rPr>
              <w:t>Glossary</w:t>
            </w:r>
            <w:r w:rsidR="000D4228">
              <w:rPr>
                <w:noProof/>
                <w:webHidden/>
              </w:rPr>
              <w:tab/>
            </w:r>
            <w:r w:rsidR="000D4228">
              <w:rPr>
                <w:noProof/>
                <w:webHidden/>
              </w:rPr>
              <w:fldChar w:fldCharType="begin"/>
            </w:r>
            <w:r w:rsidR="000D4228">
              <w:rPr>
                <w:noProof/>
                <w:webHidden/>
              </w:rPr>
              <w:instrText xml:space="preserve"> PAGEREF _Toc365030871 \h </w:instrText>
            </w:r>
            <w:r w:rsidR="000D4228">
              <w:rPr>
                <w:noProof/>
                <w:webHidden/>
              </w:rPr>
            </w:r>
            <w:r w:rsidR="000D4228">
              <w:rPr>
                <w:noProof/>
                <w:webHidden/>
              </w:rPr>
              <w:fldChar w:fldCharType="separate"/>
            </w:r>
            <w:r w:rsidR="000D4228">
              <w:rPr>
                <w:noProof/>
                <w:webHidden/>
              </w:rPr>
              <w:t>25</w:t>
            </w:r>
            <w:r w:rsidR="000D4228">
              <w:rPr>
                <w:noProof/>
                <w:webHidden/>
              </w:rPr>
              <w:fldChar w:fldCharType="end"/>
            </w:r>
          </w:hyperlink>
        </w:p>
        <w:p w:rsidR="003D3167" w:rsidRDefault="003D3167" w:rsidP="003D3167">
          <w:r>
            <w:rPr>
              <w:b/>
              <w:bCs/>
              <w:noProof/>
            </w:rPr>
            <w:fldChar w:fldCharType="end"/>
          </w:r>
        </w:p>
      </w:sdtContent>
    </w:sdt>
    <w:p w:rsidR="003D3167" w:rsidRDefault="003D3167" w:rsidP="003D3167">
      <w:r>
        <w:br w:type="page"/>
      </w:r>
    </w:p>
    <w:p w:rsidR="003D3167" w:rsidRPr="00B2382B" w:rsidRDefault="003D3167" w:rsidP="003D3167">
      <w:pPr>
        <w:pStyle w:val="Heading1"/>
        <w:numPr>
          <w:ilvl w:val="0"/>
          <w:numId w:val="2"/>
        </w:numPr>
        <w:ind w:left="431" w:hanging="431"/>
      </w:pPr>
      <w:bookmarkStart w:id="3" w:name="_Toc356312940"/>
      <w:bookmarkStart w:id="4" w:name="_Toc356571048"/>
      <w:r w:rsidRPr="00B548CD">
        <w:lastRenderedPageBreak/>
        <w:tab/>
      </w:r>
      <w:bookmarkStart w:id="5" w:name="_Toc316478296"/>
      <w:bookmarkStart w:id="6" w:name="_Toc348217250"/>
      <w:bookmarkStart w:id="7" w:name="_Toc356571049"/>
      <w:bookmarkStart w:id="8" w:name="_Toc365030856"/>
      <w:bookmarkEnd w:id="3"/>
      <w:bookmarkEnd w:id="4"/>
      <w:r w:rsidRPr="00B2382B">
        <w:t>Introduction</w:t>
      </w:r>
      <w:bookmarkEnd w:id="5"/>
      <w:bookmarkEnd w:id="6"/>
      <w:bookmarkEnd w:id="7"/>
      <w:bookmarkEnd w:id="8"/>
    </w:p>
    <w:p w:rsidR="003D3167" w:rsidRDefault="003D3167" w:rsidP="003D3167">
      <w:pPr>
        <w:pStyle w:val="Heading2"/>
        <w:ind w:left="567" w:right="39" w:hanging="567"/>
      </w:pPr>
      <w:bookmarkStart w:id="9" w:name="_Toc242769141"/>
      <w:bookmarkStart w:id="10" w:name="_Toc251827469"/>
      <w:bookmarkStart w:id="11" w:name="_Toc316478297"/>
      <w:bookmarkStart w:id="12" w:name="_Toc348217251"/>
      <w:r>
        <w:tab/>
      </w:r>
      <w:bookmarkStart w:id="13" w:name="_Toc365030857"/>
      <w:r>
        <w:t>Purpose</w:t>
      </w:r>
      <w:bookmarkEnd w:id="9"/>
      <w:bookmarkEnd w:id="10"/>
      <w:bookmarkEnd w:id="11"/>
      <w:bookmarkEnd w:id="12"/>
      <w:bookmarkEnd w:id="13"/>
    </w:p>
    <w:p w:rsidR="003D3167" w:rsidRDefault="003D3167" w:rsidP="003D3167">
      <w:r w:rsidRPr="00E935BF">
        <w:t>The purpose of this document is to describ</w:t>
      </w:r>
      <w:r>
        <w:t>e the functional specification for the Fresh Component Health Provider Discard</w:t>
      </w:r>
      <w:r w:rsidR="003470D6">
        <w:t>s</w:t>
      </w:r>
      <w:r>
        <w:t xml:space="preserve"> Report.</w:t>
      </w:r>
    </w:p>
    <w:p w:rsidR="003D3167" w:rsidRDefault="003D3167" w:rsidP="003D3167">
      <w:r>
        <w:t>The purpose of the Report is to provide discard values (cost and unit quantities) for fresh components over a given time period for a specific health provider.</w:t>
      </w:r>
    </w:p>
    <w:p w:rsidR="003D3167" w:rsidRPr="008E67C8" w:rsidRDefault="003D3167" w:rsidP="003D3167">
      <w:r w:rsidRPr="008E67C8">
        <w:t>B</w:t>
      </w:r>
      <w:r>
        <w:t>elow is a matrix which identifies which reporting system and by which audiences, the report can be generated.</w:t>
      </w:r>
    </w:p>
    <w:tbl>
      <w:tblPr>
        <w:tblStyle w:val="TableGrid"/>
        <w:tblW w:w="0" w:type="auto"/>
        <w:tblLook w:val="04A0" w:firstRow="1" w:lastRow="0" w:firstColumn="1" w:lastColumn="0" w:noHBand="0" w:noVBand="1"/>
        <w:tblCaption w:val="User and system reporting matrix"/>
        <w:tblDescription w:val="A matrix which identifies which reporting system and by which audiences, the report can be generated."/>
      </w:tblPr>
      <w:tblGrid>
        <w:gridCol w:w="2093"/>
        <w:gridCol w:w="1559"/>
        <w:gridCol w:w="1701"/>
        <w:gridCol w:w="1701"/>
        <w:gridCol w:w="1701"/>
      </w:tblGrid>
      <w:tr w:rsidR="003D3167" w:rsidTr="00D768FE">
        <w:trPr>
          <w:tblHeader/>
        </w:trPr>
        <w:tc>
          <w:tcPr>
            <w:tcW w:w="2093" w:type="dxa"/>
            <w:shd w:val="clear" w:color="auto" w:fill="DBE5F1" w:themeFill="accent1" w:themeFillTint="33"/>
          </w:tcPr>
          <w:p w:rsidR="003D3167" w:rsidRPr="00217171" w:rsidRDefault="003D3167" w:rsidP="00D768FE">
            <w:pPr>
              <w:rPr>
                <w:rFonts w:cstheme="minorHAnsi"/>
                <w:color w:val="FF0000"/>
                <w:sz w:val="18"/>
                <w:szCs w:val="18"/>
              </w:rPr>
            </w:pPr>
            <w:r w:rsidRPr="00217171">
              <w:rPr>
                <w:rFonts w:cstheme="minorHAnsi"/>
                <w:b/>
                <w:sz w:val="18"/>
                <w:szCs w:val="18"/>
              </w:rPr>
              <w:t>Reports Generated By</w:t>
            </w:r>
          </w:p>
        </w:tc>
        <w:tc>
          <w:tcPr>
            <w:tcW w:w="1559" w:type="dxa"/>
            <w:shd w:val="clear" w:color="auto" w:fill="DBE5F1" w:themeFill="accent1" w:themeFillTint="33"/>
          </w:tcPr>
          <w:p w:rsidR="003D3167" w:rsidRPr="00217171" w:rsidRDefault="003D3167" w:rsidP="00D768FE">
            <w:pPr>
              <w:jc w:val="center"/>
              <w:rPr>
                <w:rFonts w:cstheme="minorHAnsi"/>
                <w:color w:val="FF0000"/>
                <w:sz w:val="18"/>
                <w:szCs w:val="18"/>
              </w:rPr>
            </w:pPr>
            <w:r w:rsidRPr="00217171">
              <w:rPr>
                <w:rFonts w:cstheme="minorHAnsi"/>
                <w:b/>
                <w:sz w:val="18"/>
                <w:szCs w:val="18"/>
              </w:rPr>
              <w:t>BloodNet Reports</w:t>
            </w:r>
          </w:p>
        </w:tc>
        <w:tc>
          <w:tcPr>
            <w:tcW w:w="1701" w:type="dxa"/>
            <w:shd w:val="clear" w:color="auto" w:fill="DBE5F1" w:themeFill="accent1" w:themeFillTint="33"/>
          </w:tcPr>
          <w:p w:rsidR="003D3167" w:rsidRPr="00217171" w:rsidRDefault="003D3167" w:rsidP="00D768FE">
            <w:pPr>
              <w:jc w:val="center"/>
              <w:rPr>
                <w:rFonts w:cstheme="minorHAnsi"/>
                <w:color w:val="FF0000"/>
                <w:sz w:val="18"/>
                <w:szCs w:val="18"/>
              </w:rPr>
            </w:pPr>
            <w:r w:rsidRPr="00217171">
              <w:rPr>
                <w:rFonts w:cstheme="minorHAnsi"/>
                <w:b/>
                <w:sz w:val="18"/>
                <w:szCs w:val="18"/>
              </w:rPr>
              <w:t>Jurisdictional Reporting</w:t>
            </w:r>
          </w:p>
        </w:tc>
        <w:tc>
          <w:tcPr>
            <w:tcW w:w="1701" w:type="dxa"/>
            <w:shd w:val="clear" w:color="auto" w:fill="DBE5F1" w:themeFill="accent1" w:themeFillTint="33"/>
          </w:tcPr>
          <w:p w:rsidR="003D3167" w:rsidRPr="00217171" w:rsidRDefault="003D3167" w:rsidP="00D768FE">
            <w:pPr>
              <w:jc w:val="center"/>
              <w:rPr>
                <w:rFonts w:cstheme="minorHAnsi"/>
                <w:color w:val="FF0000"/>
                <w:sz w:val="18"/>
                <w:szCs w:val="18"/>
              </w:rPr>
            </w:pPr>
            <w:r w:rsidRPr="00217171">
              <w:rPr>
                <w:rFonts w:cstheme="minorHAnsi"/>
                <w:b/>
                <w:sz w:val="18"/>
                <w:szCs w:val="18"/>
              </w:rPr>
              <w:t>NBA Internal Reports</w:t>
            </w:r>
          </w:p>
        </w:tc>
        <w:tc>
          <w:tcPr>
            <w:tcW w:w="1701" w:type="dxa"/>
            <w:shd w:val="clear" w:color="auto" w:fill="DBE5F1" w:themeFill="accent1" w:themeFillTint="33"/>
          </w:tcPr>
          <w:p w:rsidR="003D3167" w:rsidRPr="00217171" w:rsidRDefault="003D3167" w:rsidP="00D768FE">
            <w:pPr>
              <w:jc w:val="center"/>
              <w:rPr>
                <w:rFonts w:cstheme="minorHAnsi"/>
                <w:color w:val="FF0000"/>
                <w:sz w:val="18"/>
                <w:szCs w:val="18"/>
              </w:rPr>
            </w:pPr>
            <w:r w:rsidRPr="00217171">
              <w:rPr>
                <w:rFonts w:cstheme="minorHAnsi"/>
                <w:b/>
                <w:sz w:val="18"/>
                <w:szCs w:val="18"/>
              </w:rPr>
              <w:t>Report Subscriptions</w:t>
            </w:r>
          </w:p>
        </w:tc>
      </w:tr>
      <w:tr w:rsidR="003D3167" w:rsidTr="00D768FE">
        <w:tc>
          <w:tcPr>
            <w:tcW w:w="2093" w:type="dxa"/>
          </w:tcPr>
          <w:p w:rsidR="003D3167" w:rsidRPr="00217171" w:rsidRDefault="003D3167" w:rsidP="00D768FE">
            <w:pPr>
              <w:rPr>
                <w:rFonts w:cstheme="minorHAnsi"/>
                <w:color w:val="FF0000"/>
                <w:sz w:val="18"/>
                <w:szCs w:val="18"/>
              </w:rPr>
            </w:pPr>
            <w:r w:rsidRPr="00217171">
              <w:rPr>
                <w:rFonts w:cstheme="minorHAnsi"/>
                <w:sz w:val="18"/>
                <w:szCs w:val="18"/>
              </w:rPr>
              <w:t>Facility Administrators</w:t>
            </w:r>
            <w:r w:rsidRPr="00217171">
              <w:rPr>
                <w:rFonts w:cstheme="minorHAnsi"/>
                <w:sz w:val="18"/>
                <w:szCs w:val="18"/>
              </w:rPr>
              <w:br/>
            </w:r>
          </w:p>
        </w:tc>
        <w:tc>
          <w:tcPr>
            <w:tcW w:w="1559"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r>
      <w:tr w:rsidR="003D3167" w:rsidTr="00D768FE">
        <w:tc>
          <w:tcPr>
            <w:tcW w:w="2093" w:type="dxa"/>
          </w:tcPr>
          <w:p w:rsidR="003D3167" w:rsidRPr="00217171" w:rsidRDefault="003D3167" w:rsidP="00D768FE">
            <w:pPr>
              <w:rPr>
                <w:rFonts w:cstheme="minorHAnsi"/>
                <w:color w:val="FF0000"/>
                <w:sz w:val="18"/>
                <w:szCs w:val="18"/>
              </w:rPr>
            </w:pPr>
            <w:r w:rsidRPr="00217171">
              <w:rPr>
                <w:rFonts w:cstheme="minorHAnsi"/>
                <w:sz w:val="18"/>
                <w:szCs w:val="18"/>
              </w:rPr>
              <w:t>Facility User</w:t>
            </w:r>
            <w:r w:rsidRPr="00217171">
              <w:rPr>
                <w:rFonts w:cstheme="minorHAnsi"/>
                <w:sz w:val="18"/>
                <w:szCs w:val="18"/>
              </w:rPr>
              <w:br/>
            </w:r>
          </w:p>
        </w:tc>
        <w:tc>
          <w:tcPr>
            <w:tcW w:w="1559"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r>
      <w:tr w:rsidR="003D3167" w:rsidTr="00D768FE">
        <w:tc>
          <w:tcPr>
            <w:tcW w:w="2093" w:type="dxa"/>
          </w:tcPr>
          <w:p w:rsidR="003D3167" w:rsidRPr="00217171" w:rsidRDefault="003D3167" w:rsidP="00D768FE">
            <w:pPr>
              <w:rPr>
                <w:rFonts w:cstheme="minorHAnsi"/>
                <w:color w:val="FF0000"/>
                <w:sz w:val="18"/>
                <w:szCs w:val="18"/>
              </w:rPr>
            </w:pPr>
            <w:r w:rsidRPr="00217171">
              <w:rPr>
                <w:rFonts w:cstheme="minorHAnsi"/>
                <w:sz w:val="18"/>
                <w:szCs w:val="18"/>
              </w:rPr>
              <w:t>Jurisdictional Blood Committee Members</w:t>
            </w:r>
          </w:p>
        </w:tc>
        <w:tc>
          <w:tcPr>
            <w:tcW w:w="1559"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r>
      <w:tr w:rsidR="003D3167" w:rsidTr="00D768FE">
        <w:tc>
          <w:tcPr>
            <w:tcW w:w="2093" w:type="dxa"/>
          </w:tcPr>
          <w:p w:rsidR="003D3167" w:rsidRPr="00217171" w:rsidRDefault="003D3167" w:rsidP="00D768FE">
            <w:pPr>
              <w:rPr>
                <w:rFonts w:cstheme="minorHAnsi"/>
                <w:color w:val="FF0000"/>
                <w:sz w:val="18"/>
                <w:szCs w:val="18"/>
              </w:rPr>
            </w:pPr>
            <w:r w:rsidRPr="00217171">
              <w:rPr>
                <w:rFonts w:cstheme="minorHAnsi"/>
                <w:sz w:val="18"/>
                <w:szCs w:val="18"/>
              </w:rPr>
              <w:t>Jurisd</w:t>
            </w:r>
            <w:r>
              <w:rPr>
                <w:rFonts w:cstheme="minorHAnsi"/>
                <w:sz w:val="18"/>
                <w:szCs w:val="18"/>
              </w:rPr>
              <w:t>ictional Blood Committee Proxies</w:t>
            </w:r>
          </w:p>
        </w:tc>
        <w:tc>
          <w:tcPr>
            <w:tcW w:w="1559"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r>
      <w:tr w:rsidR="003D3167" w:rsidTr="00D768FE">
        <w:tc>
          <w:tcPr>
            <w:tcW w:w="2093" w:type="dxa"/>
          </w:tcPr>
          <w:p w:rsidR="003D3167" w:rsidRPr="00217171" w:rsidRDefault="003D3167" w:rsidP="00D768FE">
            <w:pPr>
              <w:rPr>
                <w:rFonts w:cstheme="minorHAnsi"/>
                <w:color w:val="FF0000"/>
                <w:sz w:val="18"/>
                <w:szCs w:val="18"/>
              </w:rPr>
            </w:pPr>
            <w:r w:rsidRPr="00217171">
              <w:rPr>
                <w:rFonts w:cstheme="minorHAnsi"/>
                <w:sz w:val="18"/>
                <w:szCs w:val="18"/>
              </w:rPr>
              <w:t>NBA Staff</w:t>
            </w:r>
            <w:r w:rsidRPr="00217171">
              <w:rPr>
                <w:rFonts w:cstheme="minorHAnsi"/>
                <w:sz w:val="18"/>
                <w:szCs w:val="18"/>
              </w:rPr>
              <w:br/>
            </w:r>
          </w:p>
        </w:tc>
        <w:tc>
          <w:tcPr>
            <w:tcW w:w="1559"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r>
      <w:tr w:rsidR="003D3167" w:rsidTr="00D768FE">
        <w:tc>
          <w:tcPr>
            <w:tcW w:w="2093" w:type="dxa"/>
          </w:tcPr>
          <w:p w:rsidR="003D3167" w:rsidRPr="00217171" w:rsidRDefault="003D3167" w:rsidP="00D768FE">
            <w:pPr>
              <w:rPr>
                <w:rFonts w:cstheme="minorHAnsi"/>
                <w:color w:val="FF0000"/>
                <w:sz w:val="18"/>
                <w:szCs w:val="18"/>
              </w:rPr>
            </w:pPr>
            <w:r w:rsidRPr="00217171">
              <w:rPr>
                <w:rFonts w:cstheme="minorHAnsi"/>
                <w:sz w:val="18"/>
                <w:szCs w:val="18"/>
              </w:rPr>
              <w:t>Blood Service Staff</w:t>
            </w:r>
            <w:r w:rsidRPr="00217171">
              <w:rPr>
                <w:rFonts w:cstheme="minorHAnsi"/>
                <w:sz w:val="18"/>
                <w:szCs w:val="18"/>
              </w:rPr>
              <w:br/>
            </w:r>
          </w:p>
        </w:tc>
        <w:tc>
          <w:tcPr>
            <w:tcW w:w="1559"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p>
        </w:tc>
      </w:tr>
      <w:tr w:rsidR="003D3167" w:rsidTr="00D768FE">
        <w:tc>
          <w:tcPr>
            <w:tcW w:w="2093" w:type="dxa"/>
          </w:tcPr>
          <w:p w:rsidR="003D3167" w:rsidRPr="00217171" w:rsidRDefault="003D3167" w:rsidP="00D768FE">
            <w:pPr>
              <w:rPr>
                <w:rFonts w:cstheme="minorHAnsi"/>
                <w:color w:val="FF0000"/>
                <w:sz w:val="18"/>
                <w:szCs w:val="18"/>
              </w:rPr>
            </w:pPr>
            <w:r w:rsidRPr="00217171">
              <w:rPr>
                <w:rFonts w:cstheme="minorHAnsi"/>
                <w:sz w:val="18"/>
                <w:szCs w:val="18"/>
              </w:rPr>
              <w:t>State/Territory Government Staff</w:t>
            </w:r>
          </w:p>
        </w:tc>
        <w:tc>
          <w:tcPr>
            <w:tcW w:w="1559"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c>
          <w:tcPr>
            <w:tcW w:w="1701" w:type="dxa"/>
          </w:tcPr>
          <w:p w:rsidR="003D3167" w:rsidRPr="00217171" w:rsidRDefault="003D3167" w:rsidP="00D768FE">
            <w:pPr>
              <w:jc w:val="center"/>
              <w:rPr>
                <w:rFonts w:cstheme="minorHAnsi"/>
                <w:color w:val="FF0000"/>
                <w:sz w:val="18"/>
                <w:szCs w:val="18"/>
              </w:rPr>
            </w:pPr>
          </w:p>
        </w:tc>
        <w:tc>
          <w:tcPr>
            <w:tcW w:w="1701" w:type="dxa"/>
          </w:tcPr>
          <w:p w:rsidR="003D3167" w:rsidRPr="00217171" w:rsidRDefault="003D3167" w:rsidP="00D768FE">
            <w:pPr>
              <w:jc w:val="center"/>
              <w:rPr>
                <w:rFonts w:cstheme="minorHAnsi"/>
                <w:color w:val="FF0000"/>
                <w:sz w:val="18"/>
                <w:szCs w:val="18"/>
              </w:rPr>
            </w:pPr>
            <w:r>
              <w:rPr>
                <w:rFonts w:ascii="Wingdings" w:hAnsi="Wingdings"/>
                <w:sz w:val="18"/>
                <w:szCs w:val="18"/>
              </w:rPr>
              <w:sym w:font="Wingdings" w:char="F0FC"/>
            </w:r>
          </w:p>
        </w:tc>
      </w:tr>
    </w:tbl>
    <w:p w:rsidR="003D3167" w:rsidRDefault="003D3167" w:rsidP="003D3167">
      <w:pPr>
        <w:rPr>
          <w:color w:val="FF0000"/>
        </w:rPr>
      </w:pPr>
    </w:p>
    <w:p w:rsidR="003D3167" w:rsidRDefault="003D3167" w:rsidP="003D3167">
      <w:pPr>
        <w:pStyle w:val="Heading2"/>
        <w:ind w:left="567" w:right="39" w:hanging="567"/>
      </w:pPr>
      <w:bookmarkStart w:id="14" w:name="_Toc365030858"/>
      <w:bookmarkStart w:id="15" w:name="_Toc242008136"/>
      <w:r>
        <w:t>Document Audience</w:t>
      </w:r>
      <w:bookmarkEnd w:id="14"/>
    </w:p>
    <w:p w:rsidR="003D3167" w:rsidRPr="008002E1" w:rsidRDefault="003D3167" w:rsidP="003D3167">
      <w:r w:rsidRPr="008002E1">
        <w:t>This document should be used by:</w:t>
      </w:r>
    </w:p>
    <w:p w:rsidR="003D3167" w:rsidRPr="002E286D" w:rsidRDefault="003D3167" w:rsidP="003D3167">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Architect - to </w:t>
      </w:r>
      <w:r>
        <w:rPr>
          <w:rFonts w:ascii="Calibri" w:hAnsi="Calibri" w:cs="Calibri"/>
          <w:sz w:val="22"/>
          <w:szCs w:val="22"/>
        </w:rPr>
        <w:t>ensure this report fit into the NBA framework and meets all the essential core design features and elements of NBA systems.</w:t>
      </w:r>
    </w:p>
    <w:p w:rsidR="003D3167" w:rsidRPr="002E286D" w:rsidRDefault="003D3167" w:rsidP="003D3167">
      <w:pPr>
        <w:pStyle w:val="BodyText"/>
        <w:numPr>
          <w:ilvl w:val="0"/>
          <w:numId w:val="7"/>
        </w:numPr>
        <w:tabs>
          <w:tab w:val="clear" w:pos="1560"/>
        </w:tabs>
        <w:ind w:right="0"/>
        <w:jc w:val="both"/>
        <w:rPr>
          <w:rFonts w:ascii="Calibri" w:hAnsi="Calibri" w:cs="Calibri"/>
          <w:sz w:val="22"/>
          <w:szCs w:val="22"/>
        </w:rPr>
      </w:pPr>
      <w:r>
        <w:rPr>
          <w:rFonts w:ascii="Calibri" w:hAnsi="Calibri" w:cs="Calibri"/>
          <w:sz w:val="22"/>
          <w:szCs w:val="22"/>
        </w:rPr>
        <w:t>The Database Administrator</w:t>
      </w:r>
      <w:r w:rsidRPr="002E286D">
        <w:rPr>
          <w:rFonts w:ascii="Calibri" w:hAnsi="Calibri" w:cs="Calibri"/>
          <w:sz w:val="22"/>
          <w:szCs w:val="22"/>
        </w:rPr>
        <w:t xml:space="preserve"> – to form the design of the BloodNet reports database.</w:t>
      </w:r>
    </w:p>
    <w:p w:rsidR="003D3167" w:rsidRPr="002E286D" w:rsidRDefault="003D3167" w:rsidP="003D3167">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Developers - to form the basis of the development of BloodNet reports. </w:t>
      </w:r>
    </w:p>
    <w:p w:rsidR="003D3167" w:rsidRPr="002E286D" w:rsidRDefault="003D3167" w:rsidP="003D3167">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The System Tester - to create the system test plan and system test cases.</w:t>
      </w:r>
    </w:p>
    <w:p w:rsidR="003D3167" w:rsidRPr="002E286D" w:rsidRDefault="003D3167" w:rsidP="003D3167">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The Systems Support Team – to develop an understanding of the BloodNet reports to support users.</w:t>
      </w:r>
    </w:p>
    <w:p w:rsidR="003D3167" w:rsidRPr="002E286D" w:rsidRDefault="003D3167" w:rsidP="003D3167">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The Business Stakeholders - to confirm that their requirements have been properly understood</w:t>
      </w:r>
      <w:r>
        <w:rPr>
          <w:rFonts w:ascii="Calibri" w:hAnsi="Calibri" w:cs="Calibri"/>
          <w:sz w:val="22"/>
          <w:szCs w:val="22"/>
        </w:rPr>
        <w:t xml:space="preserve"> and approve the report specification</w:t>
      </w:r>
      <w:r w:rsidRPr="002E286D">
        <w:rPr>
          <w:rFonts w:ascii="Calibri" w:hAnsi="Calibri" w:cs="Calibri"/>
          <w:sz w:val="22"/>
          <w:szCs w:val="22"/>
        </w:rPr>
        <w:t>.</w:t>
      </w:r>
    </w:p>
    <w:p w:rsidR="003D3167" w:rsidRPr="003E36EB" w:rsidRDefault="003D3167" w:rsidP="003D3167">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The Project Manager - to obtain project requirements/design signoff from the stakeholders and to assist in detailed task estimation and refinement of the project schedule and milestones.</w:t>
      </w:r>
      <w:bookmarkStart w:id="16" w:name="_Toc242008137"/>
      <w:bookmarkEnd w:id="15"/>
    </w:p>
    <w:p w:rsidR="003D3167" w:rsidRDefault="003D3167" w:rsidP="003D3167">
      <w:pPr>
        <w:pStyle w:val="Heading2"/>
        <w:ind w:left="567" w:right="39" w:hanging="567"/>
      </w:pPr>
      <w:bookmarkStart w:id="17" w:name="_Toc365030859"/>
      <w:r>
        <w:lastRenderedPageBreak/>
        <w:t>Related Documents</w:t>
      </w:r>
      <w:bookmarkEnd w:id="17"/>
    </w:p>
    <w:bookmarkEnd w:id="16"/>
    <w:p w:rsidR="003D3167" w:rsidRPr="002E286D" w:rsidRDefault="003D3167" w:rsidP="003D3167">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BloodNet Reporting Requirements;</w:t>
      </w:r>
    </w:p>
    <w:p w:rsidR="003D3167" w:rsidRPr="002E286D" w:rsidRDefault="003D3167" w:rsidP="003D3167">
      <w:pPr>
        <w:pStyle w:val="BodyText"/>
        <w:numPr>
          <w:ilvl w:val="0"/>
          <w:numId w:val="7"/>
        </w:numPr>
        <w:tabs>
          <w:tab w:val="clear" w:pos="1560"/>
        </w:tabs>
        <w:ind w:right="0"/>
        <w:jc w:val="both"/>
        <w:rPr>
          <w:rFonts w:ascii="Calibri" w:hAnsi="Calibri" w:cs="Calibri"/>
          <w:sz w:val="22"/>
          <w:szCs w:val="22"/>
        </w:rPr>
      </w:pPr>
      <w:r w:rsidRPr="002E286D">
        <w:rPr>
          <w:rFonts w:ascii="Calibri" w:hAnsi="Calibri" w:cs="Calibri"/>
          <w:sz w:val="22"/>
          <w:szCs w:val="22"/>
        </w:rPr>
        <w:t>BloodNet In</w:t>
      </w:r>
      <w:r>
        <w:rPr>
          <w:rFonts w:ascii="Calibri" w:hAnsi="Calibri" w:cs="Calibri"/>
          <w:sz w:val="22"/>
          <w:szCs w:val="22"/>
        </w:rPr>
        <w:t>ternal and External Reports;</w:t>
      </w:r>
    </w:p>
    <w:p w:rsidR="003D3167" w:rsidRDefault="003D3167" w:rsidP="003D3167">
      <w:pPr>
        <w:pStyle w:val="BodyText"/>
        <w:numPr>
          <w:ilvl w:val="0"/>
          <w:numId w:val="7"/>
        </w:numPr>
        <w:tabs>
          <w:tab w:val="clear" w:pos="1560"/>
        </w:tabs>
        <w:ind w:right="0"/>
        <w:jc w:val="both"/>
        <w:rPr>
          <w:rFonts w:ascii="Calibri" w:hAnsi="Calibri" w:cs="Calibri"/>
          <w:sz w:val="22"/>
          <w:szCs w:val="22"/>
        </w:rPr>
      </w:pPr>
      <w:r>
        <w:rPr>
          <w:rFonts w:ascii="Calibri" w:hAnsi="Calibri" w:cs="Calibri"/>
          <w:sz w:val="22"/>
          <w:szCs w:val="22"/>
        </w:rPr>
        <w:t>Report Register;</w:t>
      </w:r>
    </w:p>
    <w:p w:rsidR="003D3167" w:rsidRDefault="003D3167" w:rsidP="003D3167">
      <w:pPr>
        <w:pStyle w:val="BodyText"/>
        <w:numPr>
          <w:ilvl w:val="0"/>
          <w:numId w:val="7"/>
        </w:numPr>
        <w:tabs>
          <w:tab w:val="clear" w:pos="1560"/>
        </w:tabs>
        <w:ind w:right="0"/>
        <w:jc w:val="both"/>
        <w:rPr>
          <w:rFonts w:ascii="Calibri" w:hAnsi="Calibri" w:cs="Calibri"/>
          <w:sz w:val="22"/>
          <w:szCs w:val="22"/>
        </w:rPr>
      </w:pPr>
      <w:r>
        <w:rPr>
          <w:rFonts w:ascii="Calibri" w:hAnsi="Calibri" w:cs="Calibri"/>
          <w:sz w:val="22"/>
          <w:szCs w:val="22"/>
        </w:rPr>
        <w:t>BloodNet User Manual; and</w:t>
      </w:r>
    </w:p>
    <w:p w:rsidR="003D3167" w:rsidRDefault="003D3167" w:rsidP="003D3167">
      <w:pPr>
        <w:pStyle w:val="BodyText"/>
        <w:numPr>
          <w:ilvl w:val="0"/>
          <w:numId w:val="7"/>
        </w:numPr>
        <w:tabs>
          <w:tab w:val="clear" w:pos="1560"/>
        </w:tabs>
        <w:ind w:right="0"/>
        <w:jc w:val="both"/>
        <w:rPr>
          <w:rFonts w:ascii="Calibri" w:hAnsi="Calibri" w:cs="Calibri"/>
          <w:sz w:val="22"/>
          <w:szCs w:val="22"/>
        </w:rPr>
      </w:pPr>
      <w:r>
        <w:rPr>
          <w:rFonts w:ascii="Calibri" w:hAnsi="Calibri" w:cs="Calibri"/>
          <w:sz w:val="22"/>
          <w:szCs w:val="22"/>
        </w:rPr>
        <w:t>Jurisdictional Reports – Security Matrix SM.01 Functional Specification</w:t>
      </w:r>
    </w:p>
    <w:p w:rsidR="003D3167" w:rsidRPr="00411650" w:rsidRDefault="003D3167" w:rsidP="003D3167">
      <w:pPr>
        <w:pStyle w:val="BodyText"/>
        <w:numPr>
          <w:ilvl w:val="0"/>
          <w:numId w:val="7"/>
        </w:numPr>
        <w:tabs>
          <w:tab w:val="clear" w:pos="1560"/>
        </w:tabs>
        <w:ind w:right="0"/>
        <w:jc w:val="both"/>
        <w:rPr>
          <w:rFonts w:ascii="Calibri" w:hAnsi="Calibri" w:cs="Calibri"/>
          <w:sz w:val="22"/>
          <w:szCs w:val="22"/>
        </w:rPr>
        <w:sectPr w:rsidR="003D3167" w:rsidRPr="00411650" w:rsidSect="00F036A8">
          <w:pgSz w:w="11907" w:h="16840" w:code="9"/>
          <w:pgMar w:top="1440" w:right="1440" w:bottom="1440" w:left="1440" w:header="0" w:footer="0" w:gutter="0"/>
          <w:cols w:space="720"/>
          <w:docGrid w:linePitch="299"/>
        </w:sectPr>
      </w:pPr>
    </w:p>
    <w:p w:rsidR="003D3167" w:rsidRDefault="003D3167" w:rsidP="003D3167">
      <w:pPr>
        <w:pStyle w:val="Heading1"/>
        <w:numPr>
          <w:ilvl w:val="0"/>
          <w:numId w:val="2"/>
        </w:numPr>
        <w:ind w:left="431" w:hanging="431"/>
      </w:pPr>
      <w:bookmarkStart w:id="18" w:name="_Toc348217255"/>
      <w:bookmarkStart w:id="19" w:name="_Toc356571050"/>
      <w:bookmarkStart w:id="20" w:name="_Toc365030860"/>
      <w:r>
        <w:lastRenderedPageBreak/>
        <w:t xml:space="preserve">Report </w:t>
      </w:r>
      <w:bookmarkEnd w:id="18"/>
      <w:bookmarkEnd w:id="19"/>
      <w:r>
        <w:t>Details</w:t>
      </w:r>
      <w:bookmarkEnd w:id="20"/>
    </w:p>
    <w:p w:rsidR="003D3167" w:rsidRDefault="003D3167" w:rsidP="003D3167">
      <w:pPr>
        <w:pStyle w:val="Heading2"/>
        <w:ind w:left="567" w:right="39" w:hanging="567"/>
      </w:pPr>
      <w:bookmarkStart w:id="21" w:name="_Toc365030861"/>
      <w:r>
        <w:t>Description</w:t>
      </w:r>
      <w:bookmarkEnd w:id="21"/>
    </w:p>
    <w:p w:rsidR="003D3167" w:rsidRDefault="003D3167" w:rsidP="003D3167">
      <w:r>
        <w:t>This report shows discard values (cost and unit quantities) for fresh components over a given time period for a specific Health Provider.  The discard figures presented are also used to create the “Discard as a Percentage of Issue” (</w:t>
      </w:r>
      <w:proofErr w:type="spellStart"/>
      <w:r>
        <w:t>DAPI</w:t>
      </w:r>
      <w:proofErr w:type="spellEnd"/>
      <w:r>
        <w:t xml:space="preserve">) so that health provider’s </w:t>
      </w:r>
      <w:proofErr w:type="spellStart"/>
      <w:r>
        <w:t>DAPI</w:t>
      </w:r>
      <w:proofErr w:type="spellEnd"/>
      <w:r>
        <w:t xml:space="preserve"> can be compared against the benchmark, group average, state average and national average.</w:t>
      </w:r>
    </w:p>
    <w:p w:rsidR="003D3167" w:rsidRDefault="003D3167" w:rsidP="003D3167">
      <w:pPr>
        <w:pStyle w:val="Heading2"/>
        <w:ind w:left="567" w:right="39" w:hanging="567"/>
      </w:pPr>
      <w:bookmarkStart w:id="22" w:name="_Toc365030862"/>
      <w:r>
        <w:t>Business Rules</w:t>
      </w:r>
      <w:bookmarkEnd w:id="22"/>
    </w:p>
    <w:p w:rsidR="003D3167" w:rsidRDefault="003D3167" w:rsidP="003D3167">
      <w:r>
        <w:t>This report is based on the following rules:</w:t>
      </w:r>
    </w:p>
    <w:p w:rsidR="003D3167" w:rsidRDefault="003D3167" w:rsidP="003D3167">
      <w:pPr>
        <w:pStyle w:val="ListParagraph"/>
        <w:numPr>
          <w:ilvl w:val="0"/>
          <w:numId w:val="8"/>
        </w:numPr>
        <w:spacing w:before="200" w:after="240"/>
        <w:ind w:left="714" w:hanging="357"/>
        <w:contextualSpacing w:val="0"/>
      </w:pPr>
      <w:bookmarkStart w:id="23" w:name="_Toc348217257"/>
      <w:r>
        <w:t>The report is based on issues, transfers and discards recorded in BloodNet;</w:t>
      </w:r>
    </w:p>
    <w:p w:rsidR="003D3167" w:rsidRDefault="003D3167" w:rsidP="003D3167">
      <w:pPr>
        <w:pStyle w:val="ListParagraph"/>
        <w:numPr>
          <w:ilvl w:val="0"/>
          <w:numId w:val="8"/>
        </w:numPr>
        <w:spacing w:before="200"/>
      </w:pPr>
      <w:r>
        <w:t>The report can be generated by the following users:</w:t>
      </w:r>
    </w:p>
    <w:p w:rsidR="003D3167" w:rsidRDefault="003D3167" w:rsidP="003D3167">
      <w:pPr>
        <w:pStyle w:val="ListParagraph"/>
        <w:numPr>
          <w:ilvl w:val="1"/>
          <w:numId w:val="8"/>
        </w:numPr>
        <w:spacing w:before="200"/>
        <w:ind w:left="1134" w:hanging="425"/>
      </w:pPr>
      <w:r>
        <w:t>Facility user using BloodNet;</w:t>
      </w:r>
    </w:p>
    <w:p w:rsidR="003D3167" w:rsidRDefault="003D3167" w:rsidP="003D3167">
      <w:pPr>
        <w:pStyle w:val="ListParagraph"/>
        <w:numPr>
          <w:ilvl w:val="1"/>
          <w:numId w:val="8"/>
        </w:numPr>
        <w:spacing w:before="200"/>
        <w:ind w:left="1134" w:hanging="425"/>
      </w:pPr>
      <w:r>
        <w:t>Facility administrator using BloodNet;</w:t>
      </w:r>
    </w:p>
    <w:p w:rsidR="003D3167" w:rsidRDefault="003D3167" w:rsidP="003D3167">
      <w:pPr>
        <w:pStyle w:val="ListParagraph"/>
        <w:numPr>
          <w:ilvl w:val="1"/>
          <w:numId w:val="8"/>
        </w:numPr>
        <w:spacing w:before="200" w:after="240"/>
        <w:ind w:left="1134" w:hanging="425"/>
      </w:pPr>
      <w:r>
        <w:t>JBC members and their proxies in Jurisdictional Reporting;</w:t>
      </w:r>
    </w:p>
    <w:p w:rsidR="003D3167" w:rsidRDefault="003D3167" w:rsidP="003D3167">
      <w:pPr>
        <w:pStyle w:val="ListParagraph"/>
        <w:numPr>
          <w:ilvl w:val="1"/>
          <w:numId w:val="8"/>
        </w:numPr>
        <w:spacing w:before="200" w:after="240"/>
        <w:ind w:left="1134" w:hanging="425"/>
      </w:pPr>
      <w:r>
        <w:t>NBA staff in the internal reporting; and</w:t>
      </w:r>
    </w:p>
    <w:p w:rsidR="003D3167" w:rsidRDefault="003D3167" w:rsidP="003D3167">
      <w:pPr>
        <w:pStyle w:val="ListParagraph"/>
        <w:numPr>
          <w:ilvl w:val="1"/>
          <w:numId w:val="8"/>
        </w:numPr>
        <w:spacing w:before="200" w:after="240"/>
        <w:ind w:left="1134" w:hanging="425"/>
        <w:contextualSpacing w:val="0"/>
      </w:pPr>
      <w:r>
        <w:t>Support team in managing subscription reports.</w:t>
      </w:r>
    </w:p>
    <w:p w:rsidR="003D3167" w:rsidRDefault="003D3167" w:rsidP="003D3167">
      <w:pPr>
        <w:pStyle w:val="ListParagraph"/>
        <w:numPr>
          <w:ilvl w:val="0"/>
          <w:numId w:val="8"/>
        </w:numPr>
        <w:spacing w:before="200" w:after="240"/>
        <w:ind w:left="714" w:hanging="357"/>
      </w:pPr>
      <w:r>
        <w:t>If this report is:</w:t>
      </w:r>
    </w:p>
    <w:p w:rsidR="003D3167" w:rsidRDefault="003D3167" w:rsidP="003D3167">
      <w:pPr>
        <w:pStyle w:val="ListParagraph"/>
        <w:numPr>
          <w:ilvl w:val="1"/>
          <w:numId w:val="8"/>
        </w:numPr>
        <w:spacing w:before="200" w:after="240"/>
        <w:ind w:left="1134" w:hanging="425"/>
        <w:contextualSpacing w:val="0"/>
      </w:pPr>
      <w:r>
        <w:t xml:space="preserve">Accessed through the BloodNet, there will be no state and health provider parameters available to the user.  The state/health provider is set by BloodNet as the health provider that the user is logged in as/belongs to.  This would be applicable to the listed users in BR2a and 2b. </w:t>
      </w:r>
    </w:p>
    <w:p w:rsidR="003D3167" w:rsidRDefault="003D3167" w:rsidP="003D3167">
      <w:pPr>
        <w:pStyle w:val="ListParagraph"/>
        <w:numPr>
          <w:ilvl w:val="1"/>
          <w:numId w:val="8"/>
        </w:numPr>
        <w:spacing w:before="200" w:after="240"/>
        <w:ind w:left="1134" w:hanging="425"/>
        <w:contextualSpacing w:val="0"/>
      </w:pPr>
      <w:r>
        <w:t>Accessed through the jurisdictional reporting tool, then all parameters will be available.  However, the ‘State’ values available to the jurisdictional users will be limited to their permissions on the jurisdictional application.  Hence, the state will be pre-populated into the state parameter based on the permissions of the user.  This would be applicable to the listed users in BR2c.</w:t>
      </w:r>
    </w:p>
    <w:p w:rsidR="003D3167" w:rsidRDefault="003D3167" w:rsidP="003D3167">
      <w:pPr>
        <w:pStyle w:val="ListParagraph"/>
        <w:numPr>
          <w:ilvl w:val="1"/>
          <w:numId w:val="8"/>
        </w:numPr>
        <w:spacing w:before="200" w:after="240"/>
        <w:ind w:left="1134" w:hanging="425"/>
        <w:sectPr w:rsidR="003D3167" w:rsidSect="00BF1C90">
          <w:pgSz w:w="11907" w:h="16840" w:code="9"/>
          <w:pgMar w:top="1440" w:right="1440" w:bottom="1440" w:left="1440" w:header="0" w:footer="0" w:gutter="0"/>
          <w:cols w:space="720"/>
          <w:docGrid w:linePitch="272"/>
        </w:sectPr>
      </w:pPr>
      <w:r>
        <w:t>Accessed as an NBA internal reporting or subscription report, then all parameters will be available.  This would be applicable to the listed users in BR2d and 2e.</w:t>
      </w:r>
    </w:p>
    <w:p w:rsidR="003D3167" w:rsidRDefault="00C65F4D" w:rsidP="00C65F4D">
      <w:pPr>
        <w:pStyle w:val="ListParagraph"/>
        <w:numPr>
          <w:ilvl w:val="0"/>
          <w:numId w:val="8"/>
        </w:numPr>
        <w:spacing w:before="200"/>
      </w:pPr>
      <w:r>
        <w:lastRenderedPageBreak/>
        <w:t xml:space="preserve">The Summary Table </w:t>
      </w:r>
      <w:r w:rsidR="003D3167">
        <w:t xml:space="preserve">provides information regarding fresh component discards of the health provider.  The user can compare their health provider’s </w:t>
      </w:r>
      <w:proofErr w:type="spellStart"/>
      <w:r w:rsidR="003D3167">
        <w:t>DAPI</w:t>
      </w:r>
      <w:proofErr w:type="spellEnd"/>
      <w:r w:rsidR="003D3167">
        <w:t xml:space="preserve">  to the state, national, group averages, and benchmark, and its relative performance is displayed by the indicator icons;</w:t>
      </w:r>
    </w:p>
    <w:p w:rsidR="003D3167" w:rsidRDefault="003D3167" w:rsidP="003D3167">
      <w:pPr>
        <w:pStyle w:val="ListParagraph"/>
        <w:numPr>
          <w:ilvl w:val="2"/>
          <w:numId w:val="8"/>
        </w:numPr>
        <w:spacing w:before="200" w:after="240"/>
        <w:ind w:left="1560" w:hanging="284"/>
      </w:pPr>
      <w:r>
        <w:t>The table below shows the relationship between the component group, fresh component group</w:t>
      </w:r>
      <w:r w:rsidR="00C2761D">
        <w:t xml:space="preserve"> cost group code</w:t>
      </w:r>
      <w:r>
        <w:t xml:space="preserve"> and the fresh component cost group</w:t>
      </w:r>
      <w:r w:rsidR="00C2761D">
        <w:t xml:space="preserve"> description</w:t>
      </w:r>
      <w:r>
        <w:t xml:space="preserve">: </w:t>
      </w:r>
    </w:p>
    <w:tbl>
      <w:tblPr>
        <w:tblW w:w="4097" w:type="pct"/>
        <w:tblInd w:w="1669"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492"/>
        <w:gridCol w:w="1492"/>
        <w:gridCol w:w="4590"/>
      </w:tblGrid>
      <w:tr w:rsidR="003D3167" w:rsidRPr="00B51C06" w:rsidTr="00D768FE">
        <w:trPr>
          <w:tblHeader/>
        </w:trPr>
        <w:tc>
          <w:tcPr>
            <w:tcW w:w="985" w:type="pct"/>
            <w:tcBorders>
              <w:bottom w:val="single" w:sz="4" w:space="0" w:color="365F91"/>
            </w:tcBorders>
            <w:shd w:val="clear" w:color="auto" w:fill="DBE5F1"/>
          </w:tcPr>
          <w:p w:rsidR="003D3167" w:rsidRDefault="003D3167" w:rsidP="00D768FE">
            <w:pPr>
              <w:rPr>
                <w:rFonts w:cstheme="minorHAnsi"/>
                <w:b/>
                <w:bCs/>
                <w:color w:val="000000"/>
                <w:sz w:val="18"/>
              </w:rPr>
            </w:pPr>
            <w:r>
              <w:rPr>
                <w:rFonts w:cstheme="minorHAnsi"/>
                <w:b/>
                <w:bCs/>
                <w:color w:val="000000"/>
                <w:sz w:val="18"/>
              </w:rPr>
              <w:t>Component Group</w:t>
            </w:r>
          </w:p>
        </w:tc>
        <w:tc>
          <w:tcPr>
            <w:tcW w:w="985" w:type="pct"/>
            <w:tcBorders>
              <w:bottom w:val="single" w:sz="4" w:space="0" w:color="365F91"/>
            </w:tcBorders>
            <w:shd w:val="clear" w:color="auto" w:fill="DBE5F1"/>
          </w:tcPr>
          <w:p w:rsidR="003D3167" w:rsidRPr="00B51C06" w:rsidRDefault="003D3167" w:rsidP="00DF6DC7">
            <w:pPr>
              <w:rPr>
                <w:rFonts w:cstheme="minorHAnsi"/>
                <w:b/>
                <w:bCs/>
                <w:color w:val="000000"/>
                <w:sz w:val="18"/>
              </w:rPr>
            </w:pPr>
            <w:r>
              <w:rPr>
                <w:rFonts w:cstheme="minorHAnsi"/>
                <w:b/>
                <w:bCs/>
                <w:color w:val="000000"/>
                <w:sz w:val="18"/>
              </w:rPr>
              <w:t xml:space="preserve">Fresh Component </w:t>
            </w:r>
            <w:r w:rsidR="00DF6DC7">
              <w:rPr>
                <w:rFonts w:cstheme="minorHAnsi"/>
                <w:b/>
                <w:bCs/>
                <w:color w:val="000000"/>
                <w:sz w:val="18"/>
              </w:rPr>
              <w:t xml:space="preserve">Cost </w:t>
            </w:r>
            <w:r>
              <w:rPr>
                <w:rFonts w:cstheme="minorHAnsi"/>
                <w:b/>
                <w:bCs/>
                <w:color w:val="000000"/>
                <w:sz w:val="18"/>
              </w:rPr>
              <w:t>Group</w:t>
            </w:r>
            <w:r w:rsidR="00DF6DC7">
              <w:rPr>
                <w:rFonts w:cstheme="minorHAnsi"/>
                <w:b/>
                <w:bCs/>
                <w:color w:val="000000"/>
                <w:sz w:val="18"/>
              </w:rPr>
              <w:t xml:space="preserve"> </w:t>
            </w:r>
            <w:r w:rsidR="00C2761D">
              <w:rPr>
                <w:rFonts w:cstheme="minorHAnsi"/>
                <w:b/>
                <w:bCs/>
                <w:color w:val="000000"/>
                <w:sz w:val="18"/>
              </w:rPr>
              <w:t>C</w:t>
            </w:r>
            <w:r w:rsidR="00DF6DC7">
              <w:rPr>
                <w:rFonts w:cstheme="minorHAnsi"/>
                <w:b/>
                <w:bCs/>
                <w:color w:val="000000"/>
                <w:sz w:val="18"/>
              </w:rPr>
              <w:t>ode</w:t>
            </w:r>
          </w:p>
        </w:tc>
        <w:tc>
          <w:tcPr>
            <w:tcW w:w="3030" w:type="pct"/>
            <w:shd w:val="clear" w:color="auto" w:fill="DBE5F1"/>
          </w:tcPr>
          <w:p w:rsidR="003D3167" w:rsidRPr="00B51C06" w:rsidRDefault="003D3167" w:rsidP="00D768FE">
            <w:pPr>
              <w:rPr>
                <w:rFonts w:cstheme="minorHAnsi"/>
                <w:b/>
                <w:bCs/>
                <w:color w:val="000000"/>
                <w:sz w:val="18"/>
              </w:rPr>
            </w:pPr>
            <w:r>
              <w:rPr>
                <w:rFonts w:cstheme="minorHAnsi"/>
                <w:b/>
                <w:bCs/>
                <w:color w:val="000000"/>
                <w:sz w:val="18"/>
              </w:rPr>
              <w:t>Fresh Component Cost Group</w:t>
            </w:r>
            <w:r w:rsidR="00C2761D">
              <w:rPr>
                <w:rFonts w:cstheme="minorHAnsi"/>
                <w:b/>
                <w:bCs/>
                <w:color w:val="000000"/>
                <w:sz w:val="18"/>
              </w:rPr>
              <w:t xml:space="preserve"> D</w:t>
            </w:r>
            <w:r w:rsidR="00DF6DC7">
              <w:rPr>
                <w:rFonts w:cstheme="minorHAnsi"/>
                <w:b/>
                <w:bCs/>
                <w:color w:val="000000"/>
                <w:sz w:val="18"/>
              </w:rPr>
              <w:t>escription</w:t>
            </w:r>
          </w:p>
        </w:tc>
      </w:tr>
      <w:tr w:rsidR="003D3167" w:rsidTr="00D768FE">
        <w:tc>
          <w:tcPr>
            <w:tcW w:w="985" w:type="pct"/>
          </w:tcPr>
          <w:p w:rsidR="003D3167" w:rsidRPr="00F660C5" w:rsidRDefault="003D3167" w:rsidP="00D768FE">
            <w:pPr>
              <w:pStyle w:val="CommentText"/>
              <w:rPr>
                <w:sz w:val="18"/>
                <w:szCs w:val="18"/>
              </w:rPr>
            </w:pPr>
            <w:r>
              <w:rPr>
                <w:sz w:val="18"/>
                <w:szCs w:val="18"/>
              </w:rPr>
              <w:t>Whole Blood</w:t>
            </w:r>
          </w:p>
        </w:tc>
        <w:tc>
          <w:tcPr>
            <w:tcW w:w="985" w:type="pct"/>
            <w:shd w:val="clear" w:color="auto" w:fill="auto"/>
          </w:tcPr>
          <w:p w:rsidR="003D3167" w:rsidRPr="00C37CB0" w:rsidRDefault="003D3167" w:rsidP="00D768FE">
            <w:pPr>
              <w:pStyle w:val="CommentText"/>
              <w:rPr>
                <w:sz w:val="18"/>
                <w:szCs w:val="18"/>
              </w:rPr>
            </w:pPr>
            <w:r w:rsidRPr="00F660C5">
              <w:rPr>
                <w:sz w:val="18"/>
                <w:szCs w:val="18"/>
              </w:rPr>
              <w:t>1a</w:t>
            </w:r>
            <w:r w:rsidRPr="00F660C5">
              <w:rPr>
                <w:sz w:val="18"/>
                <w:szCs w:val="18"/>
              </w:rPr>
              <w:tab/>
            </w:r>
          </w:p>
        </w:tc>
        <w:tc>
          <w:tcPr>
            <w:tcW w:w="3030" w:type="pct"/>
          </w:tcPr>
          <w:p w:rsidR="003D3167" w:rsidRDefault="003D3167" w:rsidP="00D768FE">
            <w:pPr>
              <w:rPr>
                <w:rFonts w:cstheme="minorHAnsi"/>
                <w:sz w:val="18"/>
                <w:szCs w:val="18"/>
              </w:rPr>
            </w:pPr>
            <w:r w:rsidRPr="00F660C5">
              <w:rPr>
                <w:sz w:val="18"/>
                <w:szCs w:val="18"/>
              </w:rPr>
              <w:t>Whole Blood</w:t>
            </w:r>
          </w:p>
        </w:tc>
      </w:tr>
      <w:tr w:rsidR="003D3167" w:rsidTr="00D768FE">
        <w:tc>
          <w:tcPr>
            <w:tcW w:w="985" w:type="pct"/>
          </w:tcPr>
          <w:p w:rsidR="003D3167" w:rsidRPr="00C37CB0" w:rsidRDefault="003D3167" w:rsidP="00D768FE">
            <w:pPr>
              <w:rPr>
                <w:rFonts w:cstheme="minorHAnsi"/>
                <w:bCs/>
                <w:color w:val="000000"/>
                <w:sz w:val="18"/>
                <w:szCs w:val="18"/>
              </w:rPr>
            </w:pPr>
            <w:r>
              <w:rPr>
                <w:rFonts w:cstheme="minorHAnsi"/>
                <w:bCs/>
                <w:color w:val="000000"/>
                <w:sz w:val="18"/>
                <w:szCs w:val="18"/>
              </w:rPr>
              <w:t>Whole Blood</w:t>
            </w:r>
          </w:p>
        </w:tc>
        <w:tc>
          <w:tcPr>
            <w:tcW w:w="985" w:type="pct"/>
            <w:shd w:val="clear" w:color="auto" w:fill="auto"/>
          </w:tcPr>
          <w:p w:rsidR="003D3167" w:rsidRPr="00C37CB0" w:rsidRDefault="003D3167" w:rsidP="00D768FE">
            <w:pPr>
              <w:rPr>
                <w:rFonts w:cstheme="minorHAnsi"/>
                <w:bCs/>
                <w:color w:val="000000"/>
                <w:sz w:val="18"/>
                <w:szCs w:val="18"/>
              </w:rPr>
            </w:pPr>
            <w:r w:rsidRPr="00C37CB0">
              <w:rPr>
                <w:rFonts w:cstheme="minorHAnsi"/>
                <w:bCs/>
                <w:color w:val="000000"/>
                <w:sz w:val="18"/>
                <w:szCs w:val="18"/>
              </w:rPr>
              <w:t>1b</w:t>
            </w:r>
          </w:p>
        </w:tc>
        <w:tc>
          <w:tcPr>
            <w:tcW w:w="3030" w:type="pct"/>
          </w:tcPr>
          <w:p w:rsidR="003D3167" w:rsidRDefault="003D3167" w:rsidP="00D768FE">
            <w:pPr>
              <w:rPr>
                <w:rFonts w:cstheme="minorHAnsi"/>
                <w:sz w:val="18"/>
                <w:szCs w:val="18"/>
              </w:rPr>
            </w:pPr>
            <w:r w:rsidRPr="00F660C5">
              <w:rPr>
                <w:sz w:val="18"/>
                <w:szCs w:val="18"/>
              </w:rPr>
              <w:t xml:space="preserve">Whole Blood - </w:t>
            </w:r>
            <w:proofErr w:type="spellStart"/>
            <w:r w:rsidRPr="00F660C5">
              <w:rPr>
                <w:sz w:val="18"/>
                <w:szCs w:val="18"/>
              </w:rPr>
              <w:t>Leucodepleted</w:t>
            </w:r>
            <w:proofErr w:type="spellEnd"/>
          </w:p>
        </w:tc>
      </w:tr>
      <w:tr w:rsidR="003D3167" w:rsidRPr="00B51C06" w:rsidTr="00D768FE">
        <w:tc>
          <w:tcPr>
            <w:tcW w:w="985" w:type="pct"/>
          </w:tcPr>
          <w:p w:rsidR="003D3167" w:rsidRDefault="003D3167" w:rsidP="00D768FE">
            <w:pPr>
              <w:rPr>
                <w:rFonts w:cstheme="minorHAnsi"/>
                <w:bCs/>
                <w:color w:val="000000"/>
                <w:sz w:val="18"/>
              </w:rPr>
            </w:pPr>
            <w:r>
              <w:rPr>
                <w:sz w:val="18"/>
                <w:szCs w:val="18"/>
              </w:rPr>
              <w:t>Red Cell</w:t>
            </w:r>
            <w:r w:rsidR="00D768FE">
              <w:rPr>
                <w:sz w:val="18"/>
                <w:szCs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2a</w:t>
            </w:r>
          </w:p>
        </w:tc>
        <w:tc>
          <w:tcPr>
            <w:tcW w:w="3030" w:type="pct"/>
          </w:tcPr>
          <w:p w:rsidR="003D3167" w:rsidRPr="00B51C06" w:rsidRDefault="003D3167" w:rsidP="00D768FE">
            <w:pPr>
              <w:rPr>
                <w:rFonts w:cstheme="minorHAnsi"/>
                <w:sz w:val="18"/>
                <w:szCs w:val="18"/>
              </w:rPr>
            </w:pPr>
            <w:r w:rsidRPr="00F660C5">
              <w:rPr>
                <w:sz w:val="18"/>
                <w:szCs w:val="18"/>
              </w:rPr>
              <w:t>WB Red Cell</w:t>
            </w:r>
          </w:p>
        </w:tc>
      </w:tr>
      <w:tr w:rsidR="003D3167" w:rsidRPr="00B51C06" w:rsidTr="00D768FE">
        <w:tc>
          <w:tcPr>
            <w:tcW w:w="985" w:type="pct"/>
          </w:tcPr>
          <w:p w:rsidR="003D3167" w:rsidRDefault="003D3167" w:rsidP="00D768FE">
            <w:pPr>
              <w:rPr>
                <w:rFonts w:cstheme="minorHAnsi"/>
                <w:bCs/>
                <w:color w:val="000000"/>
                <w:sz w:val="18"/>
              </w:rPr>
            </w:pPr>
            <w:r>
              <w:rPr>
                <w:sz w:val="18"/>
                <w:szCs w:val="18"/>
              </w:rPr>
              <w:t>Red Cell</w:t>
            </w:r>
            <w:r w:rsidR="00D768FE">
              <w:rPr>
                <w:sz w:val="18"/>
                <w:szCs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2b</w:t>
            </w:r>
          </w:p>
        </w:tc>
        <w:tc>
          <w:tcPr>
            <w:tcW w:w="3030" w:type="pct"/>
          </w:tcPr>
          <w:p w:rsidR="003D3167" w:rsidRPr="00B51C06" w:rsidRDefault="003D3167" w:rsidP="00D768FE">
            <w:pPr>
              <w:rPr>
                <w:rFonts w:cstheme="minorHAnsi"/>
                <w:sz w:val="18"/>
                <w:szCs w:val="18"/>
              </w:rPr>
            </w:pPr>
            <w:r w:rsidRPr="00F660C5">
              <w:rPr>
                <w:sz w:val="18"/>
                <w:szCs w:val="18"/>
              </w:rPr>
              <w:t xml:space="preserve">WB Red Cell - </w:t>
            </w:r>
            <w:proofErr w:type="spellStart"/>
            <w:r w:rsidRPr="00F660C5">
              <w:rPr>
                <w:sz w:val="18"/>
                <w:szCs w:val="18"/>
              </w:rPr>
              <w:t>Leucodepleted</w:t>
            </w:r>
            <w:proofErr w:type="spellEnd"/>
          </w:p>
        </w:tc>
      </w:tr>
      <w:tr w:rsidR="003D3167" w:rsidRPr="00B51C06" w:rsidTr="00D768FE">
        <w:tc>
          <w:tcPr>
            <w:tcW w:w="985" w:type="pct"/>
          </w:tcPr>
          <w:p w:rsidR="003D3167" w:rsidRDefault="003D3167" w:rsidP="00D768FE">
            <w:pPr>
              <w:rPr>
                <w:rFonts w:cstheme="minorHAnsi"/>
                <w:bCs/>
                <w:color w:val="000000"/>
                <w:sz w:val="18"/>
              </w:rPr>
            </w:pPr>
            <w:r>
              <w:rPr>
                <w:sz w:val="18"/>
                <w:szCs w:val="18"/>
              </w:rPr>
              <w:t>Red Cell</w:t>
            </w:r>
            <w:r w:rsidR="00D768FE">
              <w:rPr>
                <w:sz w:val="18"/>
                <w:szCs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2c</w:t>
            </w:r>
          </w:p>
        </w:tc>
        <w:tc>
          <w:tcPr>
            <w:tcW w:w="3030" w:type="pct"/>
          </w:tcPr>
          <w:p w:rsidR="003D3167" w:rsidRPr="00B51C06" w:rsidRDefault="003D3167" w:rsidP="00D768FE">
            <w:pPr>
              <w:rPr>
                <w:rFonts w:cstheme="minorHAnsi"/>
                <w:sz w:val="18"/>
                <w:szCs w:val="18"/>
              </w:rPr>
            </w:pPr>
            <w:r w:rsidRPr="00F660C5">
              <w:rPr>
                <w:sz w:val="18"/>
                <w:szCs w:val="18"/>
              </w:rPr>
              <w:t>WB Red Cell - Buffy Coat Poor</w:t>
            </w:r>
          </w:p>
        </w:tc>
      </w:tr>
      <w:tr w:rsidR="003D3167" w:rsidRPr="00B51C06" w:rsidTr="00D768FE">
        <w:tc>
          <w:tcPr>
            <w:tcW w:w="985" w:type="pct"/>
          </w:tcPr>
          <w:p w:rsidR="003D3167" w:rsidRDefault="003D3167" w:rsidP="00D768FE">
            <w:pPr>
              <w:rPr>
                <w:rFonts w:cstheme="minorHAnsi"/>
                <w:bCs/>
                <w:color w:val="000000"/>
                <w:sz w:val="18"/>
              </w:rPr>
            </w:pPr>
            <w:r>
              <w:rPr>
                <w:sz w:val="18"/>
                <w:szCs w:val="18"/>
              </w:rPr>
              <w:t>Red Cell</w:t>
            </w:r>
            <w:r w:rsidR="00D768FE">
              <w:rPr>
                <w:sz w:val="18"/>
                <w:szCs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2d</w:t>
            </w:r>
          </w:p>
        </w:tc>
        <w:tc>
          <w:tcPr>
            <w:tcW w:w="3030" w:type="pct"/>
          </w:tcPr>
          <w:p w:rsidR="003D3167" w:rsidRPr="00B51C06" w:rsidRDefault="003D3167" w:rsidP="00D768FE">
            <w:pPr>
              <w:rPr>
                <w:rFonts w:cstheme="minorHAnsi"/>
                <w:sz w:val="18"/>
                <w:szCs w:val="18"/>
              </w:rPr>
            </w:pPr>
            <w:r w:rsidRPr="00F660C5">
              <w:rPr>
                <w:sz w:val="18"/>
                <w:szCs w:val="18"/>
              </w:rPr>
              <w:t xml:space="preserve">WB Paediatric Red Cell - </w:t>
            </w:r>
            <w:proofErr w:type="spellStart"/>
            <w:r w:rsidRPr="00F660C5">
              <w:rPr>
                <w:sz w:val="18"/>
                <w:szCs w:val="18"/>
              </w:rPr>
              <w:t>Leucodepleted</w:t>
            </w:r>
            <w:proofErr w:type="spellEnd"/>
            <w:r w:rsidRPr="00F660C5">
              <w:rPr>
                <w:sz w:val="18"/>
                <w:szCs w:val="18"/>
              </w:rPr>
              <w:t xml:space="preserve"> (1 of 4)</w:t>
            </w:r>
          </w:p>
        </w:tc>
      </w:tr>
      <w:tr w:rsidR="003D3167" w:rsidRPr="00B51C06" w:rsidTr="00D768FE">
        <w:tc>
          <w:tcPr>
            <w:tcW w:w="985" w:type="pct"/>
          </w:tcPr>
          <w:p w:rsidR="003D3167" w:rsidRDefault="003D3167" w:rsidP="00D768FE">
            <w:pPr>
              <w:rPr>
                <w:rFonts w:cstheme="minorHAnsi"/>
                <w:bCs/>
                <w:color w:val="000000"/>
                <w:sz w:val="18"/>
              </w:rPr>
            </w:pPr>
            <w:r>
              <w:rPr>
                <w:sz w:val="18"/>
                <w:szCs w:val="18"/>
              </w:rPr>
              <w:t>Red Cell</w:t>
            </w:r>
            <w:r w:rsidR="00D768FE">
              <w:rPr>
                <w:sz w:val="18"/>
                <w:szCs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2e</w:t>
            </w:r>
          </w:p>
        </w:tc>
        <w:tc>
          <w:tcPr>
            <w:tcW w:w="3030" w:type="pct"/>
          </w:tcPr>
          <w:p w:rsidR="003D3167" w:rsidRPr="00B51C06" w:rsidRDefault="003D3167" w:rsidP="00D768FE">
            <w:pPr>
              <w:rPr>
                <w:rFonts w:cstheme="minorHAnsi"/>
                <w:sz w:val="18"/>
                <w:szCs w:val="18"/>
              </w:rPr>
            </w:pPr>
            <w:r w:rsidRPr="00F660C5">
              <w:rPr>
                <w:sz w:val="18"/>
                <w:szCs w:val="18"/>
              </w:rPr>
              <w:t>WB Washed Red Cell</w:t>
            </w:r>
          </w:p>
        </w:tc>
      </w:tr>
      <w:tr w:rsidR="003D3167" w:rsidRPr="00B51C06" w:rsidTr="00D768FE">
        <w:tc>
          <w:tcPr>
            <w:tcW w:w="985" w:type="pct"/>
          </w:tcPr>
          <w:p w:rsidR="003D3167" w:rsidRDefault="003D3167" w:rsidP="00D768FE">
            <w:pPr>
              <w:rPr>
                <w:rFonts w:cstheme="minorHAnsi"/>
                <w:bCs/>
                <w:color w:val="000000"/>
                <w:sz w:val="18"/>
              </w:rPr>
            </w:pPr>
            <w:r>
              <w:rPr>
                <w:sz w:val="18"/>
                <w:szCs w:val="18"/>
              </w:rPr>
              <w:t>Red Cell</w:t>
            </w:r>
            <w:r w:rsidR="00D768FE">
              <w:rPr>
                <w:sz w:val="18"/>
                <w:szCs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2f</w:t>
            </w:r>
          </w:p>
        </w:tc>
        <w:tc>
          <w:tcPr>
            <w:tcW w:w="3030" w:type="pct"/>
          </w:tcPr>
          <w:p w:rsidR="003D3167" w:rsidRPr="00B51C06" w:rsidRDefault="003D3167" w:rsidP="00D768FE">
            <w:pPr>
              <w:rPr>
                <w:rFonts w:cstheme="minorHAnsi"/>
                <w:sz w:val="18"/>
                <w:szCs w:val="18"/>
              </w:rPr>
            </w:pPr>
            <w:r w:rsidRPr="00F660C5">
              <w:rPr>
                <w:sz w:val="18"/>
                <w:szCs w:val="18"/>
              </w:rPr>
              <w:t xml:space="preserve">WB Washed Red Cell - </w:t>
            </w:r>
            <w:proofErr w:type="spellStart"/>
            <w:r w:rsidRPr="00F660C5">
              <w:rPr>
                <w:sz w:val="18"/>
                <w:szCs w:val="18"/>
              </w:rPr>
              <w:t>Leucodepleted</w:t>
            </w:r>
            <w:proofErr w:type="spellEnd"/>
          </w:p>
        </w:tc>
      </w:tr>
      <w:tr w:rsidR="003D3167" w:rsidRPr="00B51C06" w:rsidTr="00D768FE">
        <w:tc>
          <w:tcPr>
            <w:tcW w:w="985" w:type="pct"/>
          </w:tcPr>
          <w:p w:rsidR="003D3167" w:rsidRDefault="003D3167" w:rsidP="00D768FE">
            <w:pPr>
              <w:rPr>
                <w:rFonts w:cstheme="minorHAnsi"/>
                <w:bCs/>
                <w:color w:val="000000"/>
                <w:sz w:val="18"/>
              </w:rPr>
            </w:pPr>
            <w:r>
              <w:rPr>
                <w:sz w:val="18"/>
                <w:szCs w:val="18"/>
              </w:rPr>
              <w:t>Red Cell</w:t>
            </w:r>
            <w:r w:rsidR="00D768FE">
              <w:rPr>
                <w:sz w:val="18"/>
                <w:szCs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2g</w:t>
            </w:r>
          </w:p>
        </w:tc>
        <w:tc>
          <w:tcPr>
            <w:tcW w:w="3030" w:type="pct"/>
          </w:tcPr>
          <w:p w:rsidR="003D3167" w:rsidRPr="00B51C06" w:rsidRDefault="003D3167" w:rsidP="00D768FE">
            <w:pPr>
              <w:rPr>
                <w:rFonts w:cstheme="minorHAnsi"/>
                <w:sz w:val="18"/>
                <w:szCs w:val="18"/>
              </w:rPr>
            </w:pPr>
            <w:r w:rsidRPr="00F660C5">
              <w:rPr>
                <w:sz w:val="18"/>
                <w:szCs w:val="18"/>
              </w:rPr>
              <w:t xml:space="preserve">Apheresis Red Cell - </w:t>
            </w:r>
            <w:proofErr w:type="spellStart"/>
            <w:r w:rsidRPr="00F660C5">
              <w:rPr>
                <w:sz w:val="18"/>
                <w:szCs w:val="18"/>
              </w:rPr>
              <w:t>Leucodepleted</w:t>
            </w:r>
            <w:proofErr w:type="spellEnd"/>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Platelet</w:t>
            </w:r>
            <w:r w:rsidR="00D768FE">
              <w:rPr>
                <w:rFonts w:cstheme="minorHAnsi"/>
                <w:bCs/>
                <w:color w:val="000000"/>
                <w:sz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3a</w:t>
            </w:r>
          </w:p>
        </w:tc>
        <w:tc>
          <w:tcPr>
            <w:tcW w:w="3030" w:type="pct"/>
          </w:tcPr>
          <w:p w:rsidR="003D3167" w:rsidRPr="00B51C06" w:rsidRDefault="003D3167" w:rsidP="00D768FE">
            <w:pPr>
              <w:rPr>
                <w:rFonts w:cstheme="minorHAnsi"/>
                <w:sz w:val="18"/>
                <w:szCs w:val="18"/>
              </w:rPr>
            </w:pPr>
            <w:r w:rsidRPr="00F660C5">
              <w:rPr>
                <w:sz w:val="18"/>
                <w:szCs w:val="18"/>
              </w:rPr>
              <w:t>WB Platelet</w:t>
            </w:r>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Platelet</w:t>
            </w:r>
            <w:r w:rsidR="00D768FE">
              <w:rPr>
                <w:rFonts w:cstheme="minorHAnsi"/>
                <w:bCs/>
                <w:color w:val="000000"/>
                <w:sz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3b</w:t>
            </w:r>
          </w:p>
        </w:tc>
        <w:tc>
          <w:tcPr>
            <w:tcW w:w="3030" w:type="pct"/>
          </w:tcPr>
          <w:p w:rsidR="003D3167" w:rsidRPr="00B51C06" w:rsidRDefault="003D3167" w:rsidP="00D768FE">
            <w:pPr>
              <w:rPr>
                <w:rFonts w:cstheme="minorHAnsi"/>
                <w:sz w:val="18"/>
                <w:szCs w:val="18"/>
              </w:rPr>
            </w:pPr>
            <w:r w:rsidRPr="00F660C5">
              <w:rPr>
                <w:sz w:val="18"/>
                <w:szCs w:val="18"/>
              </w:rPr>
              <w:t xml:space="preserve">WB Platelet - </w:t>
            </w:r>
            <w:proofErr w:type="spellStart"/>
            <w:r w:rsidRPr="00F660C5">
              <w:rPr>
                <w:sz w:val="18"/>
                <w:szCs w:val="18"/>
              </w:rPr>
              <w:t>Leucodepleted</w:t>
            </w:r>
            <w:proofErr w:type="spellEnd"/>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Platelet</w:t>
            </w:r>
            <w:r w:rsidR="00D768FE">
              <w:rPr>
                <w:rFonts w:cstheme="minorHAnsi"/>
                <w:bCs/>
                <w:color w:val="000000"/>
                <w:sz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3c</w:t>
            </w:r>
          </w:p>
        </w:tc>
        <w:tc>
          <w:tcPr>
            <w:tcW w:w="3030" w:type="pct"/>
          </w:tcPr>
          <w:p w:rsidR="003D3167" w:rsidRPr="00B51C06" w:rsidRDefault="003D3167" w:rsidP="00D768FE">
            <w:pPr>
              <w:rPr>
                <w:rFonts w:cstheme="minorHAnsi"/>
                <w:sz w:val="18"/>
                <w:szCs w:val="18"/>
              </w:rPr>
            </w:pPr>
            <w:r w:rsidRPr="00F660C5">
              <w:rPr>
                <w:sz w:val="18"/>
                <w:szCs w:val="18"/>
              </w:rPr>
              <w:t>WB Platelet - Buffy Coat Poor</w:t>
            </w:r>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Platelet</w:t>
            </w:r>
            <w:r w:rsidR="00D768FE">
              <w:rPr>
                <w:rFonts w:cstheme="minorHAnsi"/>
                <w:bCs/>
                <w:color w:val="000000"/>
                <w:sz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3d</w:t>
            </w:r>
          </w:p>
        </w:tc>
        <w:tc>
          <w:tcPr>
            <w:tcW w:w="3030" w:type="pct"/>
          </w:tcPr>
          <w:p w:rsidR="003D3167" w:rsidRPr="00B51C06" w:rsidRDefault="003D3167" w:rsidP="00D768FE">
            <w:pPr>
              <w:rPr>
                <w:rFonts w:cstheme="minorHAnsi"/>
                <w:sz w:val="18"/>
                <w:szCs w:val="18"/>
              </w:rPr>
            </w:pPr>
            <w:r w:rsidRPr="00F660C5">
              <w:rPr>
                <w:sz w:val="18"/>
                <w:szCs w:val="18"/>
              </w:rPr>
              <w:t xml:space="preserve">Apheresis Platelet - </w:t>
            </w:r>
            <w:proofErr w:type="spellStart"/>
            <w:r w:rsidRPr="00F660C5">
              <w:rPr>
                <w:sz w:val="18"/>
                <w:szCs w:val="18"/>
              </w:rPr>
              <w:t>Leucodepleted</w:t>
            </w:r>
            <w:proofErr w:type="spellEnd"/>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Platelet</w:t>
            </w:r>
            <w:r w:rsidR="00D768FE">
              <w:rPr>
                <w:rFonts w:cstheme="minorHAnsi"/>
                <w:bCs/>
                <w:color w:val="000000"/>
                <w:sz w:val="18"/>
              </w:rPr>
              <w:t>s</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3e</w:t>
            </w:r>
          </w:p>
        </w:tc>
        <w:tc>
          <w:tcPr>
            <w:tcW w:w="3030" w:type="pct"/>
          </w:tcPr>
          <w:p w:rsidR="003D3167" w:rsidRPr="00B51C06" w:rsidRDefault="003D3167" w:rsidP="00D768FE">
            <w:pPr>
              <w:rPr>
                <w:rFonts w:cstheme="minorHAnsi"/>
                <w:sz w:val="18"/>
                <w:szCs w:val="18"/>
              </w:rPr>
            </w:pPr>
            <w:r w:rsidRPr="00F660C5">
              <w:rPr>
                <w:sz w:val="18"/>
                <w:szCs w:val="18"/>
              </w:rPr>
              <w:t xml:space="preserve">Paediatric Apheresis Platelet - </w:t>
            </w:r>
            <w:proofErr w:type="spellStart"/>
            <w:r w:rsidRPr="00F660C5">
              <w:rPr>
                <w:sz w:val="18"/>
                <w:szCs w:val="18"/>
              </w:rPr>
              <w:t>Leucodepleted</w:t>
            </w:r>
            <w:proofErr w:type="spellEnd"/>
            <w:r w:rsidRPr="00F660C5">
              <w:rPr>
                <w:sz w:val="18"/>
                <w:szCs w:val="18"/>
              </w:rPr>
              <w:t xml:space="preserve"> (1 of 4)</w:t>
            </w:r>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Clinical Fresh Frozen Plasma</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4a</w:t>
            </w:r>
          </w:p>
        </w:tc>
        <w:tc>
          <w:tcPr>
            <w:tcW w:w="3030" w:type="pct"/>
          </w:tcPr>
          <w:p w:rsidR="003D3167" w:rsidRPr="00B51C06" w:rsidRDefault="003D3167" w:rsidP="00D768FE">
            <w:pPr>
              <w:rPr>
                <w:rFonts w:cstheme="minorHAnsi"/>
                <w:sz w:val="18"/>
                <w:szCs w:val="18"/>
              </w:rPr>
            </w:pPr>
            <w:r w:rsidRPr="00F660C5">
              <w:rPr>
                <w:sz w:val="18"/>
                <w:szCs w:val="18"/>
              </w:rPr>
              <w:t xml:space="preserve">WB Clinical </w:t>
            </w:r>
            <w:proofErr w:type="spellStart"/>
            <w:r w:rsidRPr="00F660C5">
              <w:rPr>
                <w:sz w:val="18"/>
                <w:szCs w:val="18"/>
              </w:rPr>
              <w:t>FFP</w:t>
            </w:r>
            <w:proofErr w:type="spellEnd"/>
            <w:r w:rsidRPr="00F660C5">
              <w:rPr>
                <w:sz w:val="18"/>
                <w:szCs w:val="18"/>
              </w:rPr>
              <w:t xml:space="preserve"> - Standard</w:t>
            </w:r>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Clinical Fresh Frozen Plasma</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4b</w:t>
            </w:r>
          </w:p>
        </w:tc>
        <w:tc>
          <w:tcPr>
            <w:tcW w:w="3030" w:type="pct"/>
          </w:tcPr>
          <w:p w:rsidR="003D3167" w:rsidRPr="00B51C06" w:rsidRDefault="003D3167" w:rsidP="00D768FE">
            <w:pPr>
              <w:rPr>
                <w:rFonts w:cstheme="minorHAnsi"/>
                <w:sz w:val="18"/>
                <w:szCs w:val="18"/>
              </w:rPr>
            </w:pPr>
            <w:r w:rsidRPr="00F660C5">
              <w:rPr>
                <w:sz w:val="18"/>
                <w:szCs w:val="18"/>
              </w:rPr>
              <w:t xml:space="preserve">WB Clinical </w:t>
            </w:r>
            <w:proofErr w:type="spellStart"/>
            <w:r w:rsidRPr="00F660C5">
              <w:rPr>
                <w:sz w:val="18"/>
                <w:szCs w:val="18"/>
              </w:rPr>
              <w:t>FFP</w:t>
            </w:r>
            <w:proofErr w:type="spellEnd"/>
            <w:r w:rsidRPr="00F660C5">
              <w:rPr>
                <w:sz w:val="18"/>
                <w:szCs w:val="18"/>
              </w:rPr>
              <w:t xml:space="preserve"> - Buffy Coat Poor</w:t>
            </w:r>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Clinical Fresh Frozen Plasma</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4c</w:t>
            </w:r>
          </w:p>
        </w:tc>
        <w:tc>
          <w:tcPr>
            <w:tcW w:w="3030" w:type="pct"/>
          </w:tcPr>
          <w:p w:rsidR="003D3167" w:rsidRPr="00B51C06" w:rsidRDefault="003D3167" w:rsidP="00D768FE">
            <w:pPr>
              <w:rPr>
                <w:rFonts w:cstheme="minorHAnsi"/>
                <w:sz w:val="18"/>
                <w:szCs w:val="18"/>
              </w:rPr>
            </w:pPr>
            <w:r w:rsidRPr="00F660C5">
              <w:rPr>
                <w:sz w:val="18"/>
                <w:szCs w:val="18"/>
              </w:rPr>
              <w:t xml:space="preserve">Paediatric WB Clinical </w:t>
            </w:r>
            <w:proofErr w:type="spellStart"/>
            <w:r w:rsidRPr="00F660C5">
              <w:rPr>
                <w:sz w:val="18"/>
                <w:szCs w:val="18"/>
              </w:rPr>
              <w:t>FFP</w:t>
            </w:r>
            <w:proofErr w:type="spellEnd"/>
            <w:r w:rsidRPr="00F660C5">
              <w:rPr>
                <w:sz w:val="18"/>
                <w:szCs w:val="18"/>
              </w:rPr>
              <w:t xml:space="preserve"> (1 of 4)</w:t>
            </w:r>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Clinical Fresh Frozen Plasma</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4d</w:t>
            </w:r>
          </w:p>
        </w:tc>
        <w:tc>
          <w:tcPr>
            <w:tcW w:w="3030" w:type="pct"/>
          </w:tcPr>
          <w:p w:rsidR="003D3167" w:rsidRPr="00B51C06" w:rsidRDefault="003D3167" w:rsidP="00D768FE">
            <w:pPr>
              <w:rPr>
                <w:rFonts w:cstheme="minorHAnsi"/>
                <w:sz w:val="18"/>
                <w:szCs w:val="18"/>
              </w:rPr>
            </w:pPr>
            <w:r w:rsidRPr="00F660C5">
              <w:rPr>
                <w:sz w:val="18"/>
                <w:szCs w:val="18"/>
              </w:rPr>
              <w:t xml:space="preserve">Apheresis Clinical </w:t>
            </w:r>
            <w:proofErr w:type="spellStart"/>
            <w:r w:rsidRPr="00F660C5">
              <w:rPr>
                <w:sz w:val="18"/>
                <w:szCs w:val="18"/>
              </w:rPr>
              <w:t>FFP</w:t>
            </w:r>
            <w:proofErr w:type="spellEnd"/>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Cryoprecipitate</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5a</w:t>
            </w:r>
          </w:p>
        </w:tc>
        <w:tc>
          <w:tcPr>
            <w:tcW w:w="3030" w:type="pct"/>
          </w:tcPr>
          <w:p w:rsidR="003D3167" w:rsidRPr="00B51C06" w:rsidRDefault="003D3167" w:rsidP="00D768FE">
            <w:pPr>
              <w:rPr>
                <w:rFonts w:cstheme="minorHAnsi"/>
                <w:sz w:val="18"/>
                <w:szCs w:val="18"/>
              </w:rPr>
            </w:pPr>
            <w:r w:rsidRPr="00F660C5">
              <w:rPr>
                <w:sz w:val="18"/>
                <w:szCs w:val="18"/>
              </w:rPr>
              <w:t>WB Cryoprecipitate</w:t>
            </w:r>
          </w:p>
        </w:tc>
      </w:tr>
      <w:tr w:rsidR="003D3167" w:rsidRPr="00B51C06" w:rsidTr="00D768FE">
        <w:tc>
          <w:tcPr>
            <w:tcW w:w="985" w:type="pct"/>
          </w:tcPr>
          <w:p w:rsidR="003D3167" w:rsidRDefault="003D3167" w:rsidP="00D768FE">
            <w:pPr>
              <w:rPr>
                <w:rFonts w:cstheme="minorHAnsi"/>
                <w:bCs/>
                <w:color w:val="000000"/>
                <w:sz w:val="18"/>
              </w:rPr>
            </w:pPr>
            <w:r>
              <w:rPr>
                <w:rFonts w:cstheme="minorHAnsi"/>
                <w:bCs/>
                <w:color w:val="000000"/>
                <w:sz w:val="18"/>
              </w:rPr>
              <w:t>Cryoprecipitate</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5b</w:t>
            </w:r>
          </w:p>
        </w:tc>
        <w:tc>
          <w:tcPr>
            <w:tcW w:w="3030" w:type="pct"/>
          </w:tcPr>
          <w:p w:rsidR="003D3167" w:rsidRPr="00B51C06" w:rsidRDefault="003D3167" w:rsidP="00D768FE">
            <w:pPr>
              <w:rPr>
                <w:rFonts w:cstheme="minorHAnsi"/>
                <w:sz w:val="18"/>
                <w:szCs w:val="18"/>
              </w:rPr>
            </w:pPr>
            <w:r w:rsidRPr="00F660C5">
              <w:rPr>
                <w:sz w:val="18"/>
                <w:szCs w:val="18"/>
              </w:rPr>
              <w:t>Apheresis Cryoprecipitate</w:t>
            </w:r>
          </w:p>
        </w:tc>
      </w:tr>
      <w:tr w:rsidR="003D3167" w:rsidRPr="00B51C06" w:rsidTr="00D768FE">
        <w:tc>
          <w:tcPr>
            <w:tcW w:w="985" w:type="pct"/>
          </w:tcPr>
          <w:p w:rsidR="003D3167" w:rsidRDefault="003D3167" w:rsidP="00D768FE">
            <w:pPr>
              <w:rPr>
                <w:rFonts w:cstheme="minorHAnsi"/>
                <w:bCs/>
                <w:color w:val="000000"/>
                <w:sz w:val="18"/>
              </w:rPr>
            </w:pPr>
            <w:proofErr w:type="spellStart"/>
            <w:r>
              <w:rPr>
                <w:rFonts w:cstheme="minorHAnsi"/>
                <w:bCs/>
                <w:color w:val="000000"/>
                <w:sz w:val="18"/>
              </w:rPr>
              <w:lastRenderedPageBreak/>
              <w:t>Cryo</w:t>
            </w:r>
            <w:proofErr w:type="spellEnd"/>
            <w:r>
              <w:rPr>
                <w:rFonts w:cstheme="minorHAnsi"/>
                <w:bCs/>
                <w:color w:val="000000"/>
                <w:sz w:val="18"/>
              </w:rPr>
              <w:t>-depleted Plasma</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6a</w:t>
            </w:r>
          </w:p>
        </w:tc>
        <w:tc>
          <w:tcPr>
            <w:tcW w:w="3030" w:type="pct"/>
          </w:tcPr>
          <w:p w:rsidR="003D3167" w:rsidRPr="00B51C06" w:rsidRDefault="003D3167" w:rsidP="00D768FE">
            <w:pPr>
              <w:rPr>
                <w:rFonts w:cstheme="minorHAnsi"/>
                <w:sz w:val="18"/>
                <w:szCs w:val="18"/>
              </w:rPr>
            </w:pPr>
            <w:r w:rsidRPr="00F660C5">
              <w:rPr>
                <w:sz w:val="18"/>
                <w:szCs w:val="18"/>
              </w:rPr>
              <w:t xml:space="preserve">WB </w:t>
            </w:r>
            <w:proofErr w:type="spellStart"/>
            <w:r w:rsidRPr="00F660C5">
              <w:rPr>
                <w:sz w:val="18"/>
                <w:szCs w:val="18"/>
              </w:rPr>
              <w:t>Cryo</w:t>
            </w:r>
            <w:proofErr w:type="spellEnd"/>
            <w:r w:rsidRPr="00F660C5">
              <w:rPr>
                <w:sz w:val="18"/>
                <w:szCs w:val="18"/>
              </w:rPr>
              <w:t>-depleted Plasma</w:t>
            </w:r>
          </w:p>
        </w:tc>
      </w:tr>
      <w:tr w:rsidR="003D3167" w:rsidRPr="00B51C06" w:rsidTr="00D768FE">
        <w:tc>
          <w:tcPr>
            <w:tcW w:w="985" w:type="pct"/>
          </w:tcPr>
          <w:p w:rsidR="003D3167" w:rsidRDefault="003D3167" w:rsidP="00D768FE">
            <w:pPr>
              <w:rPr>
                <w:rFonts w:cstheme="minorHAnsi"/>
                <w:bCs/>
                <w:color w:val="000000"/>
                <w:sz w:val="18"/>
              </w:rPr>
            </w:pPr>
            <w:proofErr w:type="spellStart"/>
            <w:r>
              <w:rPr>
                <w:rFonts w:cstheme="minorHAnsi"/>
                <w:bCs/>
                <w:color w:val="000000"/>
                <w:sz w:val="18"/>
              </w:rPr>
              <w:t>Cryo</w:t>
            </w:r>
            <w:proofErr w:type="spellEnd"/>
            <w:r>
              <w:rPr>
                <w:rFonts w:cstheme="minorHAnsi"/>
                <w:bCs/>
                <w:color w:val="000000"/>
                <w:sz w:val="18"/>
              </w:rPr>
              <w:t>-depleted Plasma</w:t>
            </w:r>
          </w:p>
        </w:tc>
        <w:tc>
          <w:tcPr>
            <w:tcW w:w="985" w:type="pct"/>
            <w:shd w:val="clear" w:color="auto" w:fill="auto"/>
          </w:tcPr>
          <w:p w:rsidR="003D3167" w:rsidRPr="00C37CB0" w:rsidRDefault="003D3167" w:rsidP="00D768FE">
            <w:pPr>
              <w:rPr>
                <w:rFonts w:cstheme="minorHAnsi"/>
                <w:bCs/>
                <w:color w:val="000000"/>
                <w:sz w:val="18"/>
              </w:rPr>
            </w:pPr>
            <w:r>
              <w:rPr>
                <w:rFonts w:cstheme="minorHAnsi"/>
                <w:bCs/>
                <w:color w:val="000000"/>
                <w:sz w:val="18"/>
              </w:rPr>
              <w:t>6b</w:t>
            </w:r>
          </w:p>
        </w:tc>
        <w:tc>
          <w:tcPr>
            <w:tcW w:w="3030" w:type="pct"/>
          </w:tcPr>
          <w:p w:rsidR="003D3167" w:rsidRPr="00B51C06" w:rsidRDefault="003D3167" w:rsidP="00D768FE">
            <w:pPr>
              <w:rPr>
                <w:rFonts w:cstheme="minorHAnsi"/>
                <w:sz w:val="18"/>
                <w:szCs w:val="18"/>
              </w:rPr>
            </w:pPr>
            <w:r w:rsidRPr="00F660C5">
              <w:rPr>
                <w:sz w:val="18"/>
                <w:szCs w:val="18"/>
              </w:rPr>
              <w:t xml:space="preserve">Apheresis </w:t>
            </w:r>
            <w:proofErr w:type="spellStart"/>
            <w:r w:rsidRPr="00F660C5">
              <w:rPr>
                <w:sz w:val="18"/>
                <w:szCs w:val="18"/>
              </w:rPr>
              <w:t>Cryo</w:t>
            </w:r>
            <w:proofErr w:type="spellEnd"/>
            <w:r w:rsidRPr="00F660C5">
              <w:rPr>
                <w:sz w:val="18"/>
                <w:szCs w:val="18"/>
              </w:rPr>
              <w:t>-depleted Plasma</w:t>
            </w:r>
          </w:p>
        </w:tc>
      </w:tr>
    </w:tbl>
    <w:p w:rsidR="003D3167" w:rsidRDefault="003D3167" w:rsidP="00C65F4D">
      <w:pPr>
        <w:spacing w:before="200" w:after="240"/>
        <w:contextualSpacing/>
      </w:pPr>
    </w:p>
    <w:p w:rsidR="003D3167" w:rsidRDefault="003D3167" w:rsidP="003D3167">
      <w:pPr>
        <w:pStyle w:val="ListParagraph"/>
        <w:numPr>
          <w:ilvl w:val="0"/>
          <w:numId w:val="8"/>
        </w:numPr>
        <w:spacing w:after="240"/>
        <w:ind w:left="714" w:hanging="357"/>
      </w:pPr>
      <w:r>
        <w:t xml:space="preserve">For </w:t>
      </w:r>
      <w:r w:rsidRPr="00F036A8">
        <w:rPr>
          <w:b/>
        </w:rPr>
        <w:t>Sum</w:t>
      </w:r>
      <w:r>
        <w:rPr>
          <w:b/>
        </w:rPr>
        <w:t>mary</w:t>
      </w:r>
      <w:r w:rsidR="00C65F4D">
        <w:rPr>
          <w:b/>
        </w:rPr>
        <w:t xml:space="preserve"> Table</w:t>
      </w:r>
      <w:r>
        <w:rPr>
          <w:b/>
        </w:rPr>
        <w:t xml:space="preserve">, </w:t>
      </w:r>
    </w:p>
    <w:p w:rsidR="003D3167" w:rsidRDefault="003D3167" w:rsidP="003D3167">
      <w:pPr>
        <w:pStyle w:val="ListParagraph"/>
        <w:numPr>
          <w:ilvl w:val="1"/>
          <w:numId w:val="8"/>
        </w:numPr>
        <w:spacing w:after="240"/>
        <w:ind w:left="1134" w:hanging="425"/>
      </w:pPr>
      <w:r>
        <w:t>This report will display the component groups, and the user is able to expand/collapse each component group to reveal/hide its corresponding</w:t>
      </w:r>
      <w:r w:rsidR="00C2761D">
        <w:t xml:space="preserve"> Cost Group</w:t>
      </w:r>
      <w:r w:rsidR="00C2761D">
        <w:rPr>
          <w:rStyle w:val="FootnoteReference"/>
        </w:rPr>
        <w:footnoteReference w:id="2"/>
      </w:r>
      <w:r>
        <w:t>.</w:t>
      </w:r>
      <w:r w:rsidR="002A7238">
        <w:t xml:space="preserve">  Issues/Transfers/Discards</w:t>
      </w:r>
      <w:r w:rsidR="00457EB4">
        <w:t>/Discard Cost</w:t>
      </w:r>
      <w:r w:rsidR="00DA1A3F">
        <w:t xml:space="preserve"> for all the Cost Groups are</w:t>
      </w:r>
      <w:r w:rsidR="002A7238">
        <w:t xml:space="preserve"> totalled</w:t>
      </w:r>
      <w:r w:rsidR="00DA1A3F">
        <w:t xml:space="preserve"> for its corresponding Component Group.  </w:t>
      </w:r>
      <w:r w:rsidR="002A7238">
        <w:t>Benchmark is ex</w:t>
      </w:r>
      <w:r w:rsidR="00DA1A3F">
        <w:t>plicitly tied to Component Group, while the G</w:t>
      </w:r>
      <w:r w:rsidR="002A7238">
        <w:t xml:space="preserve">roup, </w:t>
      </w:r>
      <w:r w:rsidR="00DA1A3F">
        <w:t>State and N</w:t>
      </w:r>
      <w:r w:rsidR="002A7238">
        <w:t>ational</w:t>
      </w:r>
      <w:r w:rsidR="00DA1A3F">
        <w:t xml:space="preserve"> Averages are applicable to both the Component Group and the Fresh Component Cost Group.</w:t>
      </w:r>
    </w:p>
    <w:p w:rsidR="003D3167" w:rsidRDefault="003D3167" w:rsidP="003D3167">
      <w:pPr>
        <w:pStyle w:val="ListParagraph"/>
        <w:numPr>
          <w:ilvl w:val="1"/>
          <w:numId w:val="8"/>
        </w:numPr>
        <w:spacing w:after="240"/>
        <w:ind w:left="1134" w:hanging="425"/>
      </w:pPr>
      <w:r>
        <w:t>The report</w:t>
      </w:r>
      <w:r w:rsidRPr="004C7383">
        <w:t xml:space="preserve"> </w:t>
      </w:r>
      <w:r>
        <w:t xml:space="preserve">will only display Cost Group, if there are any </w:t>
      </w:r>
      <w:r w:rsidR="00C2761D">
        <w:t>i</w:t>
      </w:r>
      <w:r w:rsidR="00D768FE">
        <w:t>ssues, transfers or discards</w:t>
      </w:r>
      <w:r>
        <w:t xml:space="preserve"> within the reporting period.</w:t>
      </w:r>
      <w:r w:rsidR="002A7238">
        <w:t xml:space="preserve">  If they are all blank, then do not display the Cost Group.</w:t>
      </w:r>
    </w:p>
    <w:p w:rsidR="00D768FE" w:rsidRDefault="003D3167" w:rsidP="00DA1A3F">
      <w:pPr>
        <w:pStyle w:val="ListParagraph"/>
        <w:numPr>
          <w:ilvl w:val="1"/>
          <w:numId w:val="8"/>
        </w:numPr>
        <w:spacing w:after="240"/>
        <w:ind w:left="1134" w:hanging="425"/>
        <w:contextualSpacing w:val="0"/>
      </w:pPr>
      <w:proofErr w:type="spellStart"/>
      <w:r>
        <w:t>DAPI</w:t>
      </w:r>
      <w:proofErr w:type="spellEnd"/>
      <w:r>
        <w:t xml:space="preserve"> rule - If the net issued quantity</w:t>
      </w:r>
      <w:r w:rsidR="002A7238">
        <w:t xml:space="preserve"> </w:t>
      </w:r>
      <w:r w:rsidR="00D768FE">
        <w:t>=</w:t>
      </w:r>
      <w:r w:rsidR="002A7238">
        <w:t xml:space="preserve"> </w:t>
      </w:r>
      <w:r w:rsidR="00D768FE">
        <w:t>0</w:t>
      </w:r>
      <w:r>
        <w:t xml:space="preserve"> and the discarded quantity is &gt; 0, then </w:t>
      </w:r>
      <w:proofErr w:type="spellStart"/>
      <w:r>
        <w:t>DAPI</w:t>
      </w:r>
      <w:proofErr w:type="spellEnd"/>
      <w:r>
        <w:t xml:space="preserve"> will be “N/A” (Not Applicable).</w:t>
      </w:r>
    </w:p>
    <w:p w:rsidR="003D3167" w:rsidRDefault="003D3167" w:rsidP="003D3167">
      <w:pPr>
        <w:pStyle w:val="ListParagraph"/>
        <w:numPr>
          <w:ilvl w:val="0"/>
          <w:numId w:val="8"/>
        </w:numPr>
      </w:pPr>
      <w:r>
        <w:t>The report includes the following issue statuses:</w:t>
      </w:r>
    </w:p>
    <w:p w:rsidR="003D3167" w:rsidRDefault="003D3167" w:rsidP="003D3167">
      <w:pPr>
        <w:pStyle w:val="ListParagraph"/>
        <w:numPr>
          <w:ilvl w:val="1"/>
          <w:numId w:val="9"/>
        </w:numPr>
      </w:pPr>
      <w:r>
        <w:t>Receipted; and</w:t>
      </w:r>
    </w:p>
    <w:p w:rsidR="003D3167" w:rsidRDefault="003D3167" w:rsidP="003D3167">
      <w:pPr>
        <w:pStyle w:val="ListParagraph"/>
        <w:numPr>
          <w:ilvl w:val="1"/>
          <w:numId w:val="9"/>
        </w:numPr>
      </w:pPr>
      <w:proofErr w:type="spellStart"/>
      <w:r>
        <w:t>Unreceipted</w:t>
      </w:r>
      <w:proofErr w:type="spellEnd"/>
      <w:r>
        <w:t>;</w:t>
      </w:r>
    </w:p>
    <w:p w:rsidR="003D3167" w:rsidRDefault="003D3167" w:rsidP="003D3167">
      <w:pPr>
        <w:pStyle w:val="ListParagraph"/>
        <w:numPr>
          <w:ilvl w:val="1"/>
          <w:numId w:val="9"/>
        </w:numPr>
        <w:spacing w:after="0"/>
        <w:ind w:left="1434" w:hanging="357"/>
      </w:pPr>
      <w:r>
        <w:t>Partially Receipted.</w:t>
      </w:r>
    </w:p>
    <w:p w:rsidR="003D3167" w:rsidRDefault="003D3167" w:rsidP="00457EB4">
      <w:pPr>
        <w:spacing w:after="240"/>
        <w:ind w:left="720"/>
      </w:pPr>
      <w:r>
        <w:t>The report excludes “Cancelled” issue notes.</w:t>
      </w:r>
    </w:p>
    <w:p w:rsidR="003D3167" w:rsidRDefault="003D3167" w:rsidP="003D3167">
      <w:pPr>
        <w:pStyle w:val="ListParagraph"/>
        <w:numPr>
          <w:ilvl w:val="0"/>
          <w:numId w:val="8"/>
        </w:numPr>
        <w:spacing w:after="240"/>
        <w:ind w:left="714" w:hanging="357"/>
        <w:contextualSpacing w:val="0"/>
      </w:pPr>
      <w:r>
        <w:t>The issues and discard figures in the report are based on these figures having issued date time, transfer in date, transfer out date and the discard date that falls within the reporting period.</w:t>
      </w:r>
    </w:p>
    <w:p w:rsidR="003D3167" w:rsidRDefault="003D3167" w:rsidP="003D3167">
      <w:pPr>
        <w:pStyle w:val="ListParagraph"/>
        <w:spacing w:after="240"/>
        <w:ind w:left="714"/>
      </w:pPr>
      <w:r>
        <w:t>For example, say for a health provider, a quantity of Fresh Component Z was:</w:t>
      </w:r>
    </w:p>
    <w:p w:rsidR="003D3167" w:rsidRDefault="003D3167" w:rsidP="003D3167">
      <w:pPr>
        <w:pStyle w:val="ListParagraph"/>
        <w:numPr>
          <w:ilvl w:val="0"/>
          <w:numId w:val="15"/>
        </w:numPr>
        <w:spacing w:after="240"/>
        <w:ind w:left="1134" w:hanging="425"/>
      </w:pPr>
      <w:r>
        <w:t>Issued on 20</w:t>
      </w:r>
      <w:r w:rsidRPr="005A0CEA">
        <w:rPr>
          <w:vertAlign w:val="superscript"/>
        </w:rPr>
        <w:t>th</w:t>
      </w:r>
      <w:r>
        <w:t xml:space="preserve"> June 2012;</w:t>
      </w:r>
    </w:p>
    <w:p w:rsidR="003D3167" w:rsidRDefault="003D3167" w:rsidP="003D3167">
      <w:pPr>
        <w:pStyle w:val="ListParagraph"/>
        <w:numPr>
          <w:ilvl w:val="0"/>
          <w:numId w:val="15"/>
        </w:numPr>
        <w:spacing w:after="240"/>
        <w:ind w:left="1134" w:hanging="425"/>
      </w:pPr>
      <w:r>
        <w:t>Transferred on 30</w:t>
      </w:r>
      <w:r w:rsidRPr="005F0DB5">
        <w:rPr>
          <w:vertAlign w:val="superscript"/>
        </w:rPr>
        <w:t>th</w:t>
      </w:r>
      <w:r>
        <w:t xml:space="preserve"> June 2012 (as transfer in occurs at exactly the same date/time as the transfer out, both the transfer in and transfer out dates will be 30</w:t>
      </w:r>
      <w:r w:rsidRPr="005F0DB5">
        <w:rPr>
          <w:vertAlign w:val="superscript"/>
        </w:rPr>
        <w:t>th</w:t>
      </w:r>
      <w:r>
        <w:t xml:space="preserve"> June 2012); and</w:t>
      </w:r>
    </w:p>
    <w:p w:rsidR="003D3167" w:rsidRDefault="003D3167" w:rsidP="003D3167">
      <w:pPr>
        <w:pStyle w:val="ListParagraph"/>
        <w:numPr>
          <w:ilvl w:val="0"/>
          <w:numId w:val="15"/>
        </w:numPr>
        <w:spacing w:after="120"/>
        <w:ind w:left="1134" w:hanging="425"/>
      </w:pPr>
      <w:r>
        <w:t>Discarded on 12</w:t>
      </w:r>
      <w:r w:rsidRPr="005A0CEA">
        <w:rPr>
          <w:vertAlign w:val="superscript"/>
        </w:rPr>
        <w:t>th</w:t>
      </w:r>
      <w:r>
        <w:t xml:space="preserve"> July 2013.</w:t>
      </w:r>
    </w:p>
    <w:p w:rsidR="00C65F4D" w:rsidRDefault="003D3167" w:rsidP="00457EB4">
      <w:pPr>
        <w:spacing w:after="240"/>
        <w:ind w:left="709"/>
        <w:sectPr w:rsidR="00C65F4D" w:rsidSect="00F036A8">
          <w:pgSz w:w="11907" w:h="16840" w:code="9"/>
          <w:pgMar w:top="1440" w:right="1440" w:bottom="1440" w:left="1440" w:header="0" w:footer="0" w:gutter="0"/>
          <w:cols w:space="720"/>
          <w:docGrid w:linePitch="272"/>
        </w:sectPr>
      </w:pPr>
      <w:r>
        <w:t>If the reporting period was set for 1</w:t>
      </w:r>
      <w:r w:rsidRPr="001A0AFC">
        <w:rPr>
          <w:vertAlign w:val="superscript"/>
        </w:rPr>
        <w:t>st</w:t>
      </w:r>
      <w:r>
        <w:t xml:space="preserve"> July 201</w:t>
      </w:r>
      <w:r w:rsidR="00147956">
        <w:t>3</w:t>
      </w:r>
      <w:r>
        <w:t xml:space="preserve"> to 30</w:t>
      </w:r>
      <w:r w:rsidRPr="005A0CEA">
        <w:rPr>
          <w:vertAlign w:val="superscript"/>
        </w:rPr>
        <w:t>th</w:t>
      </w:r>
      <w:r>
        <w:t xml:space="preserve"> June 2014, then only the quantity of fresh component discarded will be included, as this date falls within the reporting period.</w:t>
      </w:r>
    </w:p>
    <w:p w:rsidR="003D3167" w:rsidRDefault="003D3167" w:rsidP="00457EB4">
      <w:pPr>
        <w:pStyle w:val="ListParagraph"/>
        <w:numPr>
          <w:ilvl w:val="0"/>
          <w:numId w:val="8"/>
        </w:numPr>
        <w:spacing w:after="240"/>
      </w:pPr>
      <w:r>
        <w:lastRenderedPageBreak/>
        <w:t xml:space="preserve">When considering transfers, </w:t>
      </w:r>
      <w:r w:rsidR="00147956">
        <w:t>the report will include</w:t>
      </w:r>
      <w:r>
        <w:t>:</w:t>
      </w:r>
    </w:p>
    <w:p w:rsidR="003D3167" w:rsidRDefault="003D3167" w:rsidP="003D3167">
      <w:pPr>
        <w:pStyle w:val="ListParagraph"/>
        <w:numPr>
          <w:ilvl w:val="1"/>
          <w:numId w:val="8"/>
        </w:numPr>
        <w:ind w:left="1134" w:hanging="425"/>
      </w:pPr>
      <w:r>
        <w:t>Transfers Out of health providers to distribution sites and custom locations</w:t>
      </w:r>
      <w:r>
        <w:rPr>
          <w:rStyle w:val="FootnoteReference"/>
        </w:rPr>
        <w:footnoteReference w:id="3"/>
      </w:r>
      <w:r>
        <w:t xml:space="preserve"> (as this reduces the stock levels of facilities); and</w:t>
      </w:r>
    </w:p>
    <w:p w:rsidR="003D3167" w:rsidRDefault="003D3167" w:rsidP="003D3167">
      <w:pPr>
        <w:pStyle w:val="ListParagraph"/>
        <w:numPr>
          <w:ilvl w:val="1"/>
          <w:numId w:val="8"/>
        </w:numPr>
        <w:spacing w:after="120"/>
        <w:ind w:left="1134" w:hanging="425"/>
        <w:contextualSpacing w:val="0"/>
      </w:pPr>
      <w:r>
        <w:t>Transfers In to health providers from another health provider.</w:t>
      </w:r>
    </w:p>
    <w:p w:rsidR="003D3167" w:rsidRDefault="003D3167" w:rsidP="003D3167">
      <w:pPr>
        <w:pStyle w:val="ListParagraph"/>
        <w:spacing w:after="0"/>
        <w:contextualSpacing w:val="0"/>
      </w:pPr>
      <w:r>
        <w:t xml:space="preserve">This report </w:t>
      </w:r>
      <w:r w:rsidR="00ED7681">
        <w:t>cannot report on</w:t>
      </w:r>
      <w:r>
        <w:t xml:space="preserve"> any of the corresponding ‘Transfers In to’, and ‘Transfers Out from’ distribution sites and custom locations.</w:t>
      </w:r>
    </w:p>
    <w:p w:rsidR="003D3167" w:rsidRDefault="00B829E6" w:rsidP="003D3167">
      <w:pPr>
        <w:pStyle w:val="ListParagraph"/>
        <w:spacing w:after="240"/>
        <w:contextualSpacing w:val="0"/>
      </w:pPr>
      <w:r>
        <w:object w:dxaOrig="9405" w:dyaOrig="10815" w14:anchorId="363BC27D">
          <v:shape id="_x0000_i1025" type="#_x0000_t75" alt="8. When considering transfers, the report will include:&#10;a. Transfers Out of health providers to distribution sites and custom locations  (as this reduces the stock levels of facilities); and&#10;b. Transfers In to health providers from another health provider.&#10;This report cannot report on any of the corresponding ‘Transfers In to’, and ‘Transfers Out from’ distribution sites and custom locations.&#10;" style="width:341.25pt;height:392.25pt" o:ole="">
            <v:imagedata r:id="rId22" o:title=""/>
          </v:shape>
          <o:OLEObject Type="Embed" ProgID="Visio.Drawing.15" ShapeID="_x0000_i1025" DrawAspect="Content" ObjectID="_1442240880" r:id="rId23"/>
        </w:object>
      </w:r>
    </w:p>
    <w:p w:rsidR="00C65F4D" w:rsidRDefault="00F65AC2" w:rsidP="00147956">
      <w:pPr>
        <w:pStyle w:val="ListParagraph"/>
        <w:numPr>
          <w:ilvl w:val="0"/>
          <w:numId w:val="8"/>
        </w:numPr>
        <w:spacing w:after="240"/>
        <w:contextualSpacing w:val="0"/>
        <w:sectPr w:rsidR="00C65F4D" w:rsidSect="00F036A8">
          <w:pgSz w:w="11907" w:h="16840" w:code="9"/>
          <w:pgMar w:top="1440" w:right="1440" w:bottom="1440" w:left="1440" w:header="0" w:footer="0" w:gutter="0"/>
          <w:cols w:space="720"/>
          <w:docGrid w:linePitch="272"/>
        </w:sectPr>
      </w:pPr>
      <w:r>
        <w:t>All averages (for Group, State and National) are calculated using the discard and the net issued data that is within the start and end date (ie. reporting period).  For example, if the start date is set to 1</w:t>
      </w:r>
      <w:r w:rsidRPr="00F65AC2">
        <w:rPr>
          <w:vertAlign w:val="superscript"/>
        </w:rPr>
        <w:t>st</w:t>
      </w:r>
      <w:r>
        <w:t xml:space="preserve"> July 2013 and the end date is set to 30</w:t>
      </w:r>
      <w:r w:rsidRPr="00F65AC2">
        <w:rPr>
          <w:vertAlign w:val="superscript"/>
        </w:rPr>
        <w:t>th</w:t>
      </w:r>
      <w:r>
        <w:t xml:space="preserve"> June 2014, then the averages are calculated using these dates (refer to Section 3.5 – calculations column).</w:t>
      </w:r>
    </w:p>
    <w:p w:rsidR="003D3167" w:rsidRDefault="003D3167" w:rsidP="00147956">
      <w:pPr>
        <w:pStyle w:val="ListParagraph"/>
        <w:numPr>
          <w:ilvl w:val="0"/>
          <w:numId w:val="8"/>
        </w:numPr>
        <w:spacing w:after="240"/>
        <w:contextualSpacing w:val="0"/>
      </w:pPr>
      <w:r>
        <w:lastRenderedPageBreak/>
        <w:t>Below is the benchmark table, which will determine the benchmark value in the Section 1 – Summary Table:</w:t>
      </w:r>
    </w:p>
    <w:p w:rsidR="003D3167" w:rsidRDefault="003D3167" w:rsidP="003D3167">
      <w:pPr>
        <w:pStyle w:val="ListParagraph"/>
        <w:spacing w:after="240"/>
        <w:ind w:left="709"/>
        <w:contextualSpacing w:val="0"/>
      </w:pPr>
      <w:r>
        <w:rPr>
          <w:noProof/>
          <w:lang w:eastAsia="en-AU"/>
        </w:rPr>
        <w:drawing>
          <wp:inline distT="0" distB="0" distL="0" distR="0" wp14:anchorId="2DA10B0E" wp14:editId="60E9B49E">
            <wp:extent cx="4685715" cy="3076191"/>
            <wp:effectExtent l="0" t="0" r="635" b="0"/>
            <wp:docPr id="5" name="Picture 5" descr="Benchmark table with full year targets for components." title="Benchma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685715" cy="3076191"/>
                    </a:xfrm>
                    <a:prstGeom prst="rect">
                      <a:avLst/>
                    </a:prstGeom>
                  </pic:spPr>
                </pic:pic>
              </a:graphicData>
            </a:graphic>
          </wp:inline>
        </w:drawing>
      </w:r>
    </w:p>
    <w:p w:rsidR="003D3167" w:rsidRDefault="003D3167" w:rsidP="003D3167">
      <w:pPr>
        <w:pStyle w:val="ListParagraph"/>
        <w:numPr>
          <w:ilvl w:val="1"/>
          <w:numId w:val="8"/>
        </w:numPr>
        <w:spacing w:after="240"/>
        <w:ind w:left="1134" w:hanging="425"/>
        <w:contextualSpacing w:val="0"/>
      </w:pPr>
      <w:r>
        <w:t>All the full year targets numbers (in the benchmark table above) are based on a one year’s (12 months’) worth of data;</w:t>
      </w:r>
    </w:p>
    <w:p w:rsidR="003D3167" w:rsidRDefault="003D3167" w:rsidP="003D3167">
      <w:pPr>
        <w:pStyle w:val="ListParagraph"/>
        <w:numPr>
          <w:ilvl w:val="1"/>
          <w:numId w:val="8"/>
        </w:numPr>
        <w:spacing w:after="240"/>
        <w:ind w:left="1134" w:hanging="425"/>
        <w:contextualSpacing w:val="0"/>
      </w:pPr>
      <w:r>
        <w:t>The year is based on the financial year (ie. 2013-14 implies July 1</w:t>
      </w:r>
      <w:r w:rsidRPr="009F409A">
        <w:rPr>
          <w:vertAlign w:val="superscript"/>
        </w:rPr>
        <w:t>st</w:t>
      </w:r>
      <w:r>
        <w:t xml:space="preserve"> 2013 to June 30</w:t>
      </w:r>
      <w:r w:rsidRPr="009F409A">
        <w:rPr>
          <w:vertAlign w:val="superscript"/>
        </w:rPr>
        <w:t>th</w:t>
      </w:r>
      <w:r>
        <w:t xml:space="preserve"> 2014);</w:t>
      </w:r>
    </w:p>
    <w:p w:rsidR="003D3167" w:rsidRDefault="003D3167" w:rsidP="003D3167">
      <w:pPr>
        <w:pStyle w:val="ListParagraph"/>
        <w:numPr>
          <w:ilvl w:val="1"/>
          <w:numId w:val="8"/>
        </w:numPr>
        <w:spacing w:after="240"/>
        <w:ind w:left="1134" w:hanging="425"/>
        <w:contextualSpacing w:val="0"/>
      </w:pPr>
      <w:r>
        <w:t>The Units (ie.</w:t>
      </w:r>
      <w:r w:rsidR="00147956">
        <w:t xml:space="preserve"> Net</w:t>
      </w:r>
      <w:r>
        <w:t xml:space="preserve"> issued </w:t>
      </w:r>
      <w:proofErr w:type="spellStart"/>
      <w:r>
        <w:t>qty</w:t>
      </w:r>
      <w:proofErr w:type="spellEnd"/>
      <w:r>
        <w:t xml:space="preserve">) </w:t>
      </w:r>
      <w:r w:rsidR="00DA2228">
        <w:t>are</w:t>
      </w:r>
      <w:r>
        <w:t xml:space="preserve"> based on a full year period (365 days), but pro-rata on a daily basis depending on the reporting period (ie. the number of days (inclusive) between start and end date).  For example, if the reporting period is from 1</w:t>
      </w:r>
      <w:r w:rsidRPr="00907822">
        <w:rPr>
          <w:vertAlign w:val="superscript"/>
        </w:rPr>
        <w:t>st</w:t>
      </w:r>
      <w:r>
        <w:t xml:space="preserve"> July 2014 to 5</w:t>
      </w:r>
      <w:r w:rsidRPr="00907822">
        <w:rPr>
          <w:vertAlign w:val="superscript"/>
        </w:rPr>
        <w:t>th</w:t>
      </w:r>
      <w:r>
        <w:t xml:space="preserve"> July 2014, and we are looking at red blood cells for a super group, then the number of units issued will be 137 for the reporting period of 5 days ((10,000 units x 5 days)/365 days));</w:t>
      </w:r>
    </w:p>
    <w:p w:rsidR="003D3167" w:rsidRDefault="003D3167" w:rsidP="003D3167">
      <w:pPr>
        <w:pStyle w:val="ListParagraph"/>
        <w:numPr>
          <w:ilvl w:val="1"/>
          <w:numId w:val="8"/>
        </w:numPr>
        <w:spacing w:after="240"/>
        <w:ind w:left="1134" w:hanging="425"/>
        <w:contextualSpacing w:val="0"/>
      </w:pPr>
      <w:r>
        <w:t>The benchmark percentage will populate the applicable cells in the Summary Table, depending on which Component Group, Group, and Start Date</w:t>
      </w:r>
      <w:r w:rsidR="00153714">
        <w:rPr>
          <w:rStyle w:val="FootnoteReference"/>
        </w:rPr>
        <w:footnoteReference w:id="4"/>
      </w:r>
      <w:r>
        <w:t>.  The Benchmark percentage is fixed (ie. is not pro rata based on the reporting period like the Units).</w:t>
      </w:r>
      <w:r>
        <w:br/>
        <w:t>For example, a “Red Cell” Component Group for a “Super” Group where the reporting period is from 1</w:t>
      </w:r>
      <w:r w:rsidRPr="00907822">
        <w:rPr>
          <w:vertAlign w:val="superscript"/>
        </w:rPr>
        <w:t>st</w:t>
      </w:r>
      <w:r>
        <w:t xml:space="preserve"> May 2015 to 18</w:t>
      </w:r>
      <w:r w:rsidRPr="00907822">
        <w:rPr>
          <w:vertAlign w:val="superscript"/>
        </w:rPr>
        <w:t>th</w:t>
      </w:r>
      <w:r>
        <w:t xml:space="preserve"> July 2015, will have a start date of 1</w:t>
      </w:r>
      <w:r w:rsidRPr="00E85D3D">
        <w:rPr>
          <w:vertAlign w:val="superscript"/>
        </w:rPr>
        <w:t>st</w:t>
      </w:r>
      <w:r>
        <w:t xml:space="preserve"> May 2015 which corresponds to the 2014-15 column. Matching this for the Red Cell Component Group and Super Group, means that the benchmark will be 3.0%.       </w:t>
      </w:r>
    </w:p>
    <w:p w:rsidR="003D3167" w:rsidRDefault="003D3167" w:rsidP="003D3167">
      <w:pPr>
        <w:pStyle w:val="ListParagraph"/>
        <w:numPr>
          <w:ilvl w:val="1"/>
          <w:numId w:val="8"/>
        </w:numPr>
        <w:spacing w:after="240"/>
        <w:ind w:left="1134" w:hanging="425"/>
        <w:contextualSpacing w:val="0"/>
      </w:pPr>
      <w:r>
        <w:t>If the group is exempt, then there are no benchmarks.</w:t>
      </w:r>
    </w:p>
    <w:p w:rsidR="003D3167" w:rsidRDefault="003D3167" w:rsidP="003D3167">
      <w:pPr>
        <w:sectPr w:rsidR="003D3167" w:rsidSect="00F036A8">
          <w:pgSz w:w="11907" w:h="16840" w:code="9"/>
          <w:pgMar w:top="1440" w:right="1440" w:bottom="1440" w:left="1440" w:header="0" w:footer="0" w:gutter="0"/>
          <w:cols w:space="720"/>
          <w:docGrid w:linePitch="272"/>
        </w:sectPr>
      </w:pPr>
    </w:p>
    <w:p w:rsidR="003D3167" w:rsidRDefault="003D3167" w:rsidP="003D3167">
      <w:pPr>
        <w:pStyle w:val="Heading2"/>
        <w:ind w:left="567" w:right="39" w:hanging="567"/>
      </w:pPr>
      <w:bookmarkStart w:id="24" w:name="_Toc365030863"/>
      <w:r>
        <w:lastRenderedPageBreak/>
        <w:t>Report Sample</w:t>
      </w:r>
      <w:bookmarkEnd w:id="24"/>
    </w:p>
    <w:p w:rsidR="003D3167" w:rsidRDefault="003D3167" w:rsidP="003D3167">
      <w:r>
        <w:t xml:space="preserve">Below is a </w:t>
      </w:r>
      <w:r w:rsidRPr="00B3515A">
        <w:rPr>
          <w:b/>
          <w:u w:val="single"/>
        </w:rPr>
        <w:t>mock sample</w:t>
      </w:r>
      <w:r>
        <w:t xml:space="preserve"> of the Fresh Component Health Provider Discard</w:t>
      </w:r>
      <w:r w:rsidR="003470D6">
        <w:t>s</w:t>
      </w:r>
      <w:r>
        <w:t xml:space="preserve"> Report.</w:t>
      </w:r>
    </w:p>
    <w:p w:rsidR="003D3167" w:rsidRPr="00600DB0" w:rsidRDefault="003D3167" w:rsidP="003D3167">
      <w:pPr>
        <w:rPr>
          <w:b/>
          <w:u w:val="single"/>
        </w:rPr>
      </w:pPr>
      <w:r w:rsidRPr="00600DB0">
        <w:rPr>
          <w:b/>
          <w:u w:val="single"/>
        </w:rPr>
        <w:t>Summary</w:t>
      </w:r>
      <w:r>
        <w:rPr>
          <w:b/>
          <w:u w:val="single"/>
        </w:rPr>
        <w:t xml:space="preserve"> Table</w:t>
      </w:r>
    </w:p>
    <w:p w:rsidR="003D3167" w:rsidRDefault="00DA64E2" w:rsidP="003D3167">
      <w:pPr>
        <w:sectPr w:rsidR="003D3167" w:rsidSect="00F036A8">
          <w:pgSz w:w="16840" w:h="11907" w:orient="landscape" w:code="9"/>
          <w:pgMar w:top="1440" w:right="1440" w:bottom="1440" w:left="1440" w:header="0" w:footer="0" w:gutter="0"/>
          <w:cols w:space="720"/>
          <w:docGrid w:linePitch="299"/>
        </w:sectPr>
      </w:pPr>
      <w:r>
        <w:rPr>
          <w:noProof/>
          <w:lang w:eastAsia="en-AU"/>
        </w:rPr>
        <w:drawing>
          <wp:inline distT="0" distB="0" distL="0" distR="0" wp14:anchorId="484556CC" wp14:editId="3468E2FB">
            <wp:extent cx="9610725" cy="4017817"/>
            <wp:effectExtent l="0" t="0" r="0" b="1905"/>
            <wp:docPr id="1" name="Picture 1" descr="Report sample of the Fresh Component Health Provider Discards Report." title="Fate007 repor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9625664" cy="4024062"/>
                    </a:xfrm>
                    <a:prstGeom prst="rect">
                      <a:avLst/>
                    </a:prstGeom>
                  </pic:spPr>
                </pic:pic>
              </a:graphicData>
            </a:graphic>
          </wp:inline>
        </w:drawing>
      </w:r>
    </w:p>
    <w:p w:rsidR="003D3167" w:rsidRDefault="003D3167" w:rsidP="003D3167">
      <w:pPr>
        <w:pStyle w:val="Heading1"/>
        <w:numPr>
          <w:ilvl w:val="0"/>
          <w:numId w:val="2"/>
        </w:numPr>
        <w:ind w:left="431" w:hanging="431"/>
      </w:pPr>
      <w:bookmarkStart w:id="25" w:name="_Toc356571051"/>
      <w:bookmarkStart w:id="26" w:name="_Toc365030864"/>
      <w:r>
        <w:lastRenderedPageBreak/>
        <w:t>Report Content</w:t>
      </w:r>
      <w:bookmarkEnd w:id="25"/>
      <w:bookmarkEnd w:id="26"/>
    </w:p>
    <w:p w:rsidR="003D3167" w:rsidRDefault="003D3167" w:rsidP="003D3167">
      <w:pPr>
        <w:pStyle w:val="Heading2"/>
        <w:ind w:left="567" w:right="39" w:hanging="567"/>
      </w:pPr>
      <w:bookmarkStart w:id="27" w:name="_Toc365030865"/>
      <w:r>
        <w:t>Title</w:t>
      </w:r>
      <w:bookmarkEnd w:id="27"/>
    </w:p>
    <w:p w:rsidR="003D3167" w:rsidRDefault="003D3167" w:rsidP="003D3167">
      <w:r>
        <w:t>The report title is: Fresh Component Health Provider Discard</w:t>
      </w:r>
      <w:r w:rsidR="003470D6">
        <w:t>s</w:t>
      </w:r>
      <w:r>
        <w:t>.</w:t>
      </w:r>
    </w:p>
    <w:p w:rsidR="003D3167" w:rsidRDefault="003D3167" w:rsidP="003D3167">
      <w:r>
        <w:t>The report ID is: FATE007.</w:t>
      </w:r>
    </w:p>
    <w:p w:rsidR="003D3167" w:rsidRDefault="003D3167" w:rsidP="003D3167">
      <w:r>
        <w:t>This report title name will be seen consistently on the external site and also within the report.</w:t>
      </w:r>
    </w:p>
    <w:p w:rsidR="003D3167" w:rsidRDefault="003D3167" w:rsidP="003D3167">
      <w:pPr>
        <w:pStyle w:val="Heading2"/>
        <w:ind w:left="567" w:right="39" w:hanging="567"/>
      </w:pPr>
      <w:bookmarkStart w:id="28" w:name="_Toc365030866"/>
      <w:r>
        <w:t>Description</w:t>
      </w:r>
      <w:bookmarkEnd w:id="28"/>
    </w:p>
    <w:p w:rsidR="003D3167" w:rsidRDefault="003D3167" w:rsidP="003D3167">
      <w:r>
        <w:t>The following report description will display (ie. on the Report page within the BloodNet Information Module – located under the report title) and also within the report:</w:t>
      </w:r>
    </w:p>
    <w:p w:rsidR="005B5497" w:rsidRDefault="003D3167" w:rsidP="005B5497">
      <w:pPr>
        <w:rPr>
          <w:rFonts w:ascii="Calibri" w:eastAsia="Times New Roman" w:hAnsi="Calibri" w:cs="Calibri"/>
          <w:color w:val="000000"/>
          <w:lang w:eastAsia="en-AU"/>
        </w:rPr>
      </w:pPr>
      <w:r w:rsidRPr="005B5497">
        <w:t>“</w:t>
      </w:r>
      <w:r w:rsidR="005B5497" w:rsidRPr="005B5497">
        <w:rPr>
          <w:rFonts w:ascii="Calibri" w:eastAsia="Times New Roman" w:hAnsi="Calibri" w:cs="Calibri"/>
          <w:color w:val="000000"/>
          <w:lang w:eastAsia="en-AU"/>
        </w:rPr>
        <w:t>This report shows discards of fresh components over a given time for the selected health provider. The net issued and discard figures are used to calculate the Discard as a Percentage of Issue (</w:t>
      </w:r>
      <w:proofErr w:type="spellStart"/>
      <w:r w:rsidR="005B5497" w:rsidRPr="005B5497">
        <w:rPr>
          <w:rFonts w:ascii="Calibri" w:eastAsia="Times New Roman" w:hAnsi="Calibri" w:cs="Calibri"/>
          <w:color w:val="000000"/>
          <w:lang w:eastAsia="en-AU"/>
        </w:rPr>
        <w:t>DAPI</w:t>
      </w:r>
      <w:proofErr w:type="spellEnd"/>
      <w:r w:rsidR="005B5497" w:rsidRPr="005B5497">
        <w:rPr>
          <w:rFonts w:ascii="Calibri" w:eastAsia="Times New Roman" w:hAnsi="Calibri" w:cs="Calibri"/>
          <w:color w:val="000000"/>
          <w:lang w:eastAsia="en-AU"/>
        </w:rPr>
        <w:t xml:space="preserve">) so the health provider’s </w:t>
      </w:r>
      <w:proofErr w:type="spellStart"/>
      <w:r w:rsidR="005B5497" w:rsidRPr="005B5497">
        <w:rPr>
          <w:rFonts w:ascii="Calibri" w:eastAsia="Times New Roman" w:hAnsi="Calibri" w:cs="Calibri"/>
          <w:color w:val="000000"/>
          <w:lang w:eastAsia="en-AU"/>
        </w:rPr>
        <w:t>DAPI</w:t>
      </w:r>
      <w:proofErr w:type="spellEnd"/>
      <w:r w:rsidR="005B5497" w:rsidRPr="005B5497">
        <w:rPr>
          <w:rFonts w:ascii="Calibri" w:eastAsia="Times New Roman" w:hAnsi="Calibri" w:cs="Calibri"/>
          <w:color w:val="000000"/>
          <w:lang w:eastAsia="en-AU"/>
        </w:rPr>
        <w:t xml:space="preserve"> can be compared against the benchmark, group, state and national</w:t>
      </w:r>
      <w:r w:rsidR="00BE6EDA">
        <w:rPr>
          <w:rFonts w:ascii="Calibri" w:eastAsia="Times New Roman" w:hAnsi="Calibri" w:cs="Calibri"/>
          <w:color w:val="000000"/>
          <w:lang w:eastAsia="en-AU"/>
        </w:rPr>
        <w:t xml:space="preserve"> </w:t>
      </w:r>
      <w:proofErr w:type="spellStart"/>
      <w:r w:rsidR="00BE6EDA">
        <w:rPr>
          <w:rFonts w:ascii="Calibri" w:eastAsia="Times New Roman" w:hAnsi="Calibri" w:cs="Calibri"/>
          <w:color w:val="000000"/>
          <w:lang w:eastAsia="en-AU"/>
        </w:rPr>
        <w:t>DAPIs</w:t>
      </w:r>
      <w:proofErr w:type="spellEnd"/>
      <w:r w:rsidR="005B5497" w:rsidRPr="005B5497">
        <w:rPr>
          <w:rFonts w:ascii="Calibri" w:eastAsia="Times New Roman" w:hAnsi="Calibri" w:cs="Calibri"/>
          <w:color w:val="000000"/>
          <w:lang w:eastAsia="en-AU"/>
        </w:rPr>
        <w:t xml:space="preserve"> , with relative performance displayed by the indicator icons.</w:t>
      </w:r>
    </w:p>
    <w:p w:rsidR="003D3167" w:rsidRPr="005B5497" w:rsidRDefault="005B5497" w:rsidP="005B5497">
      <w:pPr>
        <w:sectPr w:rsidR="003D3167" w:rsidRPr="005B5497" w:rsidSect="00F036A8">
          <w:pgSz w:w="11907" w:h="16840" w:code="9"/>
          <w:pgMar w:top="1440" w:right="1440" w:bottom="1440" w:left="1440" w:header="0" w:footer="0" w:gutter="0"/>
          <w:cols w:space="720"/>
          <w:docGrid w:linePitch="272"/>
        </w:sectPr>
      </w:pPr>
      <w:r w:rsidRPr="005B5497">
        <w:rPr>
          <w:rFonts w:ascii="Calibri" w:eastAsia="Times New Roman" w:hAnsi="Calibri" w:cs="Calibri"/>
          <w:color w:val="000000"/>
          <w:lang w:eastAsia="en-AU"/>
        </w:rPr>
        <w:t>This report displays component groups (ie. Red Cells) which can be expanded to reveal corresponding cost groups (ie. 2a – WB Red Cell, 2b - WB Red Cell - Buffy Coat Poor, etc).</w:t>
      </w:r>
      <w:r w:rsidR="00153714" w:rsidRPr="005B5497">
        <w:t>”</w:t>
      </w:r>
    </w:p>
    <w:p w:rsidR="003D3167" w:rsidRDefault="003D3167" w:rsidP="003D3167">
      <w:pPr>
        <w:pStyle w:val="Heading2"/>
        <w:ind w:left="567" w:right="39" w:hanging="567"/>
      </w:pPr>
      <w:bookmarkStart w:id="29" w:name="_Toc365030867"/>
      <w:r>
        <w:lastRenderedPageBreak/>
        <w:t>Parameter</w:t>
      </w:r>
      <w:bookmarkEnd w:id="29"/>
    </w:p>
    <w:p w:rsidR="003D3167" w:rsidRDefault="003D3167" w:rsidP="003D3167">
      <w:r>
        <w:t>The following parameters may be available, pending where this report is accessed from as per Business rule 3 (refer to Section 2.2, BR3):</w:t>
      </w:r>
    </w:p>
    <w:tbl>
      <w:tblPr>
        <w:tblW w:w="4662"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1419"/>
        <w:gridCol w:w="1134"/>
        <w:gridCol w:w="2411"/>
        <w:gridCol w:w="1134"/>
        <w:gridCol w:w="1269"/>
        <w:gridCol w:w="1251"/>
      </w:tblGrid>
      <w:tr w:rsidR="003D3167" w:rsidRPr="00B51C06" w:rsidTr="00E813C8">
        <w:trPr>
          <w:tblHeader/>
        </w:trPr>
        <w:tc>
          <w:tcPr>
            <w:tcW w:w="823" w:type="pct"/>
            <w:shd w:val="clear" w:color="auto" w:fill="DBE5F1"/>
          </w:tcPr>
          <w:p w:rsidR="003D3167" w:rsidRPr="00B51C06" w:rsidRDefault="003D3167" w:rsidP="00D768FE">
            <w:pPr>
              <w:rPr>
                <w:rFonts w:cstheme="minorHAnsi"/>
                <w:b/>
                <w:bCs/>
                <w:color w:val="000000"/>
                <w:sz w:val="18"/>
                <w:szCs w:val="18"/>
              </w:rPr>
            </w:pPr>
            <w:r w:rsidRPr="00B51C06">
              <w:rPr>
                <w:rFonts w:cstheme="minorHAnsi"/>
                <w:b/>
                <w:bCs/>
                <w:color w:val="000000"/>
                <w:sz w:val="18"/>
                <w:szCs w:val="18"/>
              </w:rPr>
              <w:t>Name</w:t>
            </w:r>
          </w:p>
        </w:tc>
        <w:tc>
          <w:tcPr>
            <w:tcW w:w="658" w:type="pct"/>
            <w:shd w:val="clear" w:color="auto" w:fill="DBE5F1"/>
          </w:tcPr>
          <w:p w:rsidR="003D3167" w:rsidRPr="00B51C06" w:rsidRDefault="003D3167" w:rsidP="00D768FE">
            <w:pPr>
              <w:rPr>
                <w:rFonts w:cstheme="minorHAnsi"/>
                <w:b/>
                <w:bCs/>
                <w:color w:val="000000"/>
                <w:sz w:val="18"/>
                <w:szCs w:val="18"/>
              </w:rPr>
            </w:pPr>
            <w:r w:rsidRPr="00B51C06">
              <w:rPr>
                <w:rFonts w:cstheme="minorHAnsi"/>
                <w:b/>
                <w:bCs/>
                <w:color w:val="000000"/>
                <w:sz w:val="18"/>
                <w:szCs w:val="18"/>
              </w:rPr>
              <w:t>Mandatory</w:t>
            </w:r>
          </w:p>
        </w:tc>
        <w:tc>
          <w:tcPr>
            <w:tcW w:w="1399" w:type="pct"/>
            <w:shd w:val="clear" w:color="auto" w:fill="DBE5F1"/>
          </w:tcPr>
          <w:p w:rsidR="003D3167" w:rsidRPr="00B51C06" w:rsidRDefault="003D3167" w:rsidP="00D768FE">
            <w:pPr>
              <w:rPr>
                <w:rFonts w:cstheme="minorHAnsi"/>
                <w:b/>
                <w:bCs/>
                <w:color w:val="000000"/>
                <w:sz w:val="18"/>
                <w:szCs w:val="18"/>
              </w:rPr>
            </w:pPr>
            <w:r w:rsidRPr="00B51C06">
              <w:rPr>
                <w:rFonts w:cstheme="minorHAnsi"/>
                <w:b/>
                <w:bCs/>
                <w:color w:val="000000"/>
                <w:sz w:val="18"/>
                <w:szCs w:val="18"/>
              </w:rPr>
              <w:t>Description</w:t>
            </w:r>
          </w:p>
        </w:tc>
        <w:tc>
          <w:tcPr>
            <w:tcW w:w="658" w:type="pct"/>
            <w:shd w:val="clear" w:color="auto" w:fill="DBE5F1"/>
          </w:tcPr>
          <w:p w:rsidR="003D3167" w:rsidRPr="00B51C06" w:rsidRDefault="003D3167" w:rsidP="00D768FE">
            <w:pPr>
              <w:rPr>
                <w:rFonts w:cstheme="minorHAnsi"/>
                <w:b/>
                <w:bCs/>
                <w:color w:val="000000"/>
                <w:sz w:val="18"/>
                <w:szCs w:val="18"/>
              </w:rPr>
            </w:pPr>
            <w:r w:rsidRPr="00B51C06">
              <w:rPr>
                <w:rFonts w:cstheme="minorHAnsi"/>
                <w:b/>
                <w:bCs/>
                <w:color w:val="000000"/>
                <w:sz w:val="18"/>
                <w:szCs w:val="18"/>
              </w:rPr>
              <w:t>Control Type</w:t>
            </w:r>
          </w:p>
        </w:tc>
        <w:tc>
          <w:tcPr>
            <w:tcW w:w="736" w:type="pct"/>
            <w:shd w:val="clear" w:color="auto" w:fill="DBE5F1"/>
          </w:tcPr>
          <w:p w:rsidR="003D3167" w:rsidRPr="00B51C06" w:rsidRDefault="003D3167" w:rsidP="00D768FE">
            <w:pPr>
              <w:rPr>
                <w:rFonts w:cstheme="minorHAnsi"/>
                <w:b/>
                <w:bCs/>
                <w:color w:val="000000"/>
                <w:sz w:val="18"/>
                <w:szCs w:val="18"/>
              </w:rPr>
            </w:pPr>
            <w:r w:rsidRPr="00B51C06">
              <w:rPr>
                <w:rFonts w:cstheme="minorHAnsi"/>
                <w:b/>
                <w:bCs/>
                <w:color w:val="000000"/>
                <w:sz w:val="18"/>
                <w:szCs w:val="18"/>
              </w:rPr>
              <w:t>Values/Value List</w:t>
            </w:r>
          </w:p>
        </w:tc>
        <w:tc>
          <w:tcPr>
            <w:tcW w:w="726" w:type="pct"/>
            <w:shd w:val="clear" w:color="auto" w:fill="DBE5F1"/>
          </w:tcPr>
          <w:p w:rsidR="003D3167" w:rsidRPr="00B51C06" w:rsidRDefault="003D3167" w:rsidP="00D768FE">
            <w:pPr>
              <w:rPr>
                <w:rFonts w:cstheme="minorHAnsi"/>
                <w:b/>
                <w:bCs/>
                <w:color w:val="000000"/>
                <w:sz w:val="18"/>
                <w:szCs w:val="18"/>
              </w:rPr>
            </w:pPr>
            <w:r w:rsidRPr="00B51C06">
              <w:rPr>
                <w:rFonts w:cstheme="minorHAnsi"/>
                <w:b/>
                <w:bCs/>
                <w:color w:val="000000"/>
                <w:sz w:val="18"/>
                <w:szCs w:val="18"/>
              </w:rPr>
              <w:t>Default Value</w:t>
            </w:r>
          </w:p>
        </w:tc>
      </w:tr>
      <w:tr w:rsidR="003D3167" w:rsidRPr="00B51C06" w:rsidTr="00D768FE">
        <w:tc>
          <w:tcPr>
            <w:tcW w:w="823" w:type="pct"/>
            <w:shd w:val="clear" w:color="auto" w:fill="DBE5F1"/>
          </w:tcPr>
          <w:p w:rsidR="003D3167" w:rsidRDefault="003D3167" w:rsidP="00D768FE">
            <w:pPr>
              <w:rPr>
                <w:rFonts w:cstheme="minorHAnsi"/>
                <w:b/>
                <w:bCs/>
                <w:color w:val="000000"/>
                <w:sz w:val="18"/>
                <w:szCs w:val="18"/>
              </w:rPr>
            </w:pPr>
            <w:r>
              <w:rPr>
                <w:rFonts w:cstheme="minorHAnsi"/>
                <w:b/>
                <w:bCs/>
                <w:color w:val="000000"/>
                <w:sz w:val="18"/>
                <w:szCs w:val="18"/>
              </w:rPr>
              <w:t>State</w:t>
            </w:r>
          </w:p>
        </w:tc>
        <w:tc>
          <w:tcPr>
            <w:tcW w:w="658" w:type="pct"/>
          </w:tcPr>
          <w:p w:rsidR="003D3167" w:rsidRPr="00B51C06" w:rsidRDefault="003D3167" w:rsidP="00D768FE">
            <w:pPr>
              <w:rPr>
                <w:rFonts w:cstheme="minorHAnsi"/>
                <w:sz w:val="18"/>
                <w:szCs w:val="18"/>
              </w:rPr>
            </w:pPr>
            <w:r>
              <w:rPr>
                <w:rFonts w:cstheme="minorHAnsi"/>
                <w:sz w:val="18"/>
                <w:szCs w:val="18"/>
              </w:rPr>
              <w:t>Yes</w:t>
            </w:r>
          </w:p>
        </w:tc>
        <w:tc>
          <w:tcPr>
            <w:tcW w:w="1399" w:type="pct"/>
            <w:shd w:val="clear" w:color="auto" w:fill="auto"/>
          </w:tcPr>
          <w:p w:rsidR="003D3167" w:rsidRPr="00B51C06" w:rsidRDefault="003D3167" w:rsidP="00D768FE">
            <w:pPr>
              <w:rPr>
                <w:rFonts w:cstheme="minorHAnsi"/>
                <w:sz w:val="18"/>
                <w:szCs w:val="18"/>
              </w:rPr>
            </w:pPr>
            <w:r w:rsidRPr="00B51C06">
              <w:rPr>
                <w:rFonts w:cstheme="minorHAnsi"/>
                <w:sz w:val="18"/>
                <w:szCs w:val="18"/>
              </w:rPr>
              <w:t>The state will filt</w:t>
            </w:r>
            <w:r>
              <w:rPr>
                <w:rFonts w:cstheme="minorHAnsi"/>
                <w:sz w:val="18"/>
                <w:szCs w:val="18"/>
              </w:rPr>
              <w:t>er all the applicable health providers that will be considered for the selected state(s).</w:t>
            </w:r>
          </w:p>
        </w:tc>
        <w:tc>
          <w:tcPr>
            <w:tcW w:w="658" w:type="pct"/>
          </w:tcPr>
          <w:p w:rsidR="003D3167" w:rsidRPr="00B51C06" w:rsidRDefault="003D3167" w:rsidP="00D768FE">
            <w:pPr>
              <w:rPr>
                <w:rFonts w:cstheme="minorHAnsi"/>
                <w:sz w:val="18"/>
                <w:szCs w:val="18"/>
              </w:rPr>
            </w:pPr>
            <w:r>
              <w:rPr>
                <w:rFonts w:cstheme="minorHAnsi"/>
                <w:sz w:val="18"/>
                <w:szCs w:val="18"/>
              </w:rPr>
              <w:t>Drop down</w:t>
            </w:r>
          </w:p>
        </w:tc>
        <w:tc>
          <w:tcPr>
            <w:tcW w:w="736" w:type="pct"/>
            <w:shd w:val="clear" w:color="auto" w:fill="auto"/>
          </w:tcPr>
          <w:p w:rsidR="003D3167" w:rsidRDefault="003D3167" w:rsidP="00D768FE">
            <w:pPr>
              <w:rPr>
                <w:rFonts w:cstheme="minorHAnsi"/>
                <w:sz w:val="18"/>
                <w:szCs w:val="18"/>
              </w:rPr>
            </w:pPr>
            <w:r w:rsidRPr="00B51C06">
              <w:rPr>
                <w:rFonts w:cstheme="minorHAnsi"/>
                <w:sz w:val="18"/>
                <w:szCs w:val="18"/>
              </w:rPr>
              <w:t>All States</w:t>
            </w:r>
            <w:r w:rsidRPr="00B51C06">
              <w:rPr>
                <w:rFonts w:cstheme="minorHAnsi"/>
                <w:sz w:val="18"/>
                <w:szCs w:val="18"/>
              </w:rPr>
              <w:br/>
            </w:r>
            <w:r>
              <w:rPr>
                <w:rFonts w:cstheme="minorHAnsi"/>
                <w:sz w:val="18"/>
                <w:szCs w:val="18"/>
              </w:rPr>
              <w:t>ACT</w:t>
            </w:r>
            <w:r>
              <w:rPr>
                <w:rFonts w:cstheme="minorHAnsi"/>
                <w:sz w:val="18"/>
                <w:szCs w:val="18"/>
              </w:rPr>
              <w:br/>
            </w:r>
            <w:r w:rsidRPr="00B51C06">
              <w:rPr>
                <w:rFonts w:cstheme="minorHAnsi"/>
                <w:sz w:val="18"/>
                <w:szCs w:val="18"/>
              </w:rPr>
              <w:t>NSW</w:t>
            </w:r>
            <w:r>
              <w:rPr>
                <w:rFonts w:cstheme="minorHAnsi"/>
                <w:sz w:val="18"/>
                <w:szCs w:val="18"/>
              </w:rPr>
              <w:br/>
              <w:t>NT</w:t>
            </w:r>
            <w:r>
              <w:rPr>
                <w:rFonts w:cstheme="minorHAnsi"/>
                <w:sz w:val="18"/>
                <w:szCs w:val="18"/>
              </w:rPr>
              <w:br/>
              <w:t>QLD</w:t>
            </w:r>
            <w:r>
              <w:rPr>
                <w:rFonts w:cstheme="minorHAnsi"/>
                <w:sz w:val="18"/>
                <w:szCs w:val="18"/>
              </w:rPr>
              <w:br/>
              <w:t>SA</w:t>
            </w:r>
            <w:r>
              <w:rPr>
                <w:rFonts w:cstheme="minorHAnsi"/>
                <w:sz w:val="18"/>
                <w:szCs w:val="18"/>
              </w:rPr>
              <w:br/>
              <w:t>TAS</w:t>
            </w:r>
            <w:r>
              <w:rPr>
                <w:rFonts w:cstheme="minorHAnsi"/>
                <w:sz w:val="18"/>
                <w:szCs w:val="18"/>
              </w:rPr>
              <w:br/>
              <w:t>VIC</w:t>
            </w:r>
            <w:r>
              <w:rPr>
                <w:rFonts w:cstheme="minorHAnsi"/>
                <w:sz w:val="18"/>
                <w:szCs w:val="18"/>
              </w:rPr>
              <w:br/>
              <w:t>WA</w:t>
            </w:r>
          </w:p>
        </w:tc>
        <w:tc>
          <w:tcPr>
            <w:tcW w:w="726" w:type="pct"/>
            <w:shd w:val="clear" w:color="auto" w:fill="auto"/>
          </w:tcPr>
          <w:p w:rsidR="003D3167" w:rsidRDefault="003D3167" w:rsidP="00D768FE">
            <w:pPr>
              <w:rPr>
                <w:rFonts w:cstheme="minorHAnsi"/>
                <w:sz w:val="18"/>
                <w:szCs w:val="18"/>
              </w:rPr>
            </w:pPr>
            <w:r w:rsidRPr="00B51C06">
              <w:rPr>
                <w:rFonts w:cstheme="minorHAnsi"/>
                <w:sz w:val="18"/>
                <w:szCs w:val="18"/>
              </w:rPr>
              <w:t>All States</w:t>
            </w:r>
          </w:p>
        </w:tc>
      </w:tr>
      <w:tr w:rsidR="003D3167" w:rsidRPr="00B51C06" w:rsidTr="00D768FE">
        <w:tc>
          <w:tcPr>
            <w:tcW w:w="823" w:type="pct"/>
            <w:shd w:val="clear" w:color="auto" w:fill="DBE5F1"/>
          </w:tcPr>
          <w:p w:rsidR="003D3167" w:rsidRDefault="003D3167" w:rsidP="00D768FE">
            <w:pPr>
              <w:rPr>
                <w:rFonts w:cstheme="minorHAnsi"/>
                <w:b/>
                <w:bCs/>
                <w:color w:val="000000"/>
                <w:sz w:val="18"/>
                <w:szCs w:val="18"/>
              </w:rPr>
            </w:pPr>
            <w:r>
              <w:rPr>
                <w:rFonts w:cstheme="minorHAnsi"/>
                <w:b/>
                <w:bCs/>
                <w:color w:val="000000"/>
                <w:sz w:val="18"/>
                <w:szCs w:val="18"/>
              </w:rPr>
              <w:t>Health Provider</w:t>
            </w:r>
          </w:p>
        </w:tc>
        <w:tc>
          <w:tcPr>
            <w:tcW w:w="658" w:type="pct"/>
          </w:tcPr>
          <w:p w:rsidR="003D3167" w:rsidRPr="00B51C06" w:rsidRDefault="003D3167" w:rsidP="00D768FE">
            <w:pPr>
              <w:rPr>
                <w:rFonts w:cstheme="minorHAnsi"/>
                <w:sz w:val="18"/>
                <w:szCs w:val="18"/>
              </w:rPr>
            </w:pPr>
            <w:r>
              <w:rPr>
                <w:rFonts w:cstheme="minorHAnsi"/>
                <w:sz w:val="18"/>
                <w:szCs w:val="18"/>
              </w:rPr>
              <w:t>Yes</w:t>
            </w:r>
          </w:p>
        </w:tc>
        <w:tc>
          <w:tcPr>
            <w:tcW w:w="1399" w:type="pct"/>
            <w:shd w:val="clear" w:color="auto" w:fill="auto"/>
          </w:tcPr>
          <w:p w:rsidR="003D3167" w:rsidRPr="00B51C06" w:rsidRDefault="003D3167" w:rsidP="00D768FE">
            <w:pPr>
              <w:rPr>
                <w:rFonts w:cstheme="minorHAnsi"/>
                <w:sz w:val="18"/>
                <w:szCs w:val="18"/>
              </w:rPr>
            </w:pPr>
            <w:r>
              <w:rPr>
                <w:rFonts w:cstheme="minorHAnsi"/>
                <w:sz w:val="18"/>
                <w:szCs w:val="18"/>
              </w:rPr>
              <w:t>The selected health provider determines all the fresh components that are issued/discarded by the selected health provider.</w:t>
            </w:r>
          </w:p>
        </w:tc>
        <w:tc>
          <w:tcPr>
            <w:tcW w:w="658" w:type="pct"/>
          </w:tcPr>
          <w:p w:rsidR="003D3167" w:rsidRPr="00B51C06" w:rsidRDefault="003D3167" w:rsidP="00D768FE">
            <w:pPr>
              <w:rPr>
                <w:rFonts w:cstheme="minorHAnsi"/>
                <w:sz w:val="18"/>
                <w:szCs w:val="18"/>
              </w:rPr>
            </w:pPr>
            <w:r>
              <w:rPr>
                <w:rFonts w:cstheme="minorHAnsi"/>
                <w:sz w:val="18"/>
                <w:szCs w:val="18"/>
              </w:rPr>
              <w:t>Drop down</w:t>
            </w:r>
          </w:p>
        </w:tc>
        <w:tc>
          <w:tcPr>
            <w:tcW w:w="736" w:type="pct"/>
            <w:shd w:val="clear" w:color="auto" w:fill="auto"/>
          </w:tcPr>
          <w:p w:rsidR="003D3167" w:rsidRDefault="003D3167" w:rsidP="00D768FE">
            <w:pPr>
              <w:rPr>
                <w:rFonts w:cstheme="minorHAnsi"/>
                <w:sz w:val="18"/>
                <w:szCs w:val="18"/>
              </w:rPr>
            </w:pPr>
            <w:r>
              <w:rPr>
                <w:rFonts w:cstheme="minorHAnsi"/>
                <w:sz w:val="18"/>
                <w:szCs w:val="18"/>
              </w:rPr>
              <w:t>(Select All)</w:t>
            </w:r>
            <w:r>
              <w:rPr>
                <w:rFonts w:cstheme="minorHAnsi"/>
                <w:sz w:val="18"/>
                <w:szCs w:val="18"/>
              </w:rPr>
              <w:br/>
              <w:t>A list of all the current health providers filtered by the State selected.</w:t>
            </w:r>
          </w:p>
        </w:tc>
        <w:tc>
          <w:tcPr>
            <w:tcW w:w="726" w:type="pct"/>
            <w:shd w:val="clear" w:color="auto" w:fill="auto"/>
          </w:tcPr>
          <w:p w:rsidR="003D3167" w:rsidRDefault="003D3167" w:rsidP="00D768FE">
            <w:pPr>
              <w:rPr>
                <w:rFonts w:cstheme="minorHAnsi"/>
                <w:sz w:val="18"/>
                <w:szCs w:val="18"/>
              </w:rPr>
            </w:pPr>
            <w:r>
              <w:rPr>
                <w:rFonts w:cstheme="minorHAnsi"/>
                <w:sz w:val="18"/>
                <w:szCs w:val="18"/>
              </w:rPr>
              <w:t>&lt;Select a Value&gt;</w:t>
            </w:r>
          </w:p>
        </w:tc>
      </w:tr>
      <w:tr w:rsidR="003D3167" w:rsidRPr="00B51C06" w:rsidTr="00D768FE">
        <w:tc>
          <w:tcPr>
            <w:tcW w:w="823" w:type="pct"/>
            <w:shd w:val="clear" w:color="auto" w:fill="DBE5F1"/>
          </w:tcPr>
          <w:p w:rsidR="003D3167" w:rsidRPr="009B1720" w:rsidRDefault="003D3167" w:rsidP="00D768FE">
            <w:pPr>
              <w:rPr>
                <w:rFonts w:cstheme="minorHAnsi"/>
                <w:b/>
                <w:bCs/>
                <w:color w:val="000000"/>
                <w:sz w:val="18"/>
                <w:szCs w:val="18"/>
              </w:rPr>
            </w:pPr>
            <w:r w:rsidRPr="009B1720">
              <w:rPr>
                <w:rFonts w:cstheme="minorHAnsi"/>
                <w:b/>
                <w:bCs/>
                <w:color w:val="000000"/>
                <w:sz w:val="18"/>
                <w:szCs w:val="18"/>
              </w:rPr>
              <w:t>Start Date</w:t>
            </w:r>
          </w:p>
        </w:tc>
        <w:tc>
          <w:tcPr>
            <w:tcW w:w="658" w:type="pct"/>
          </w:tcPr>
          <w:p w:rsidR="003D3167" w:rsidRPr="009B1720" w:rsidRDefault="003D3167" w:rsidP="00D768FE">
            <w:pPr>
              <w:rPr>
                <w:rFonts w:cstheme="minorHAnsi"/>
                <w:sz w:val="18"/>
                <w:szCs w:val="18"/>
              </w:rPr>
            </w:pPr>
            <w:r w:rsidRPr="009B1720">
              <w:rPr>
                <w:rFonts w:cstheme="minorHAnsi"/>
                <w:sz w:val="18"/>
                <w:szCs w:val="18"/>
              </w:rPr>
              <w:t>Yes</w:t>
            </w:r>
          </w:p>
        </w:tc>
        <w:tc>
          <w:tcPr>
            <w:tcW w:w="1399" w:type="pct"/>
            <w:shd w:val="clear" w:color="auto" w:fill="auto"/>
          </w:tcPr>
          <w:p w:rsidR="003D3167" w:rsidRPr="009B1720" w:rsidRDefault="003D3167" w:rsidP="00D768FE">
            <w:pPr>
              <w:rPr>
                <w:rFonts w:cstheme="minorHAnsi"/>
                <w:sz w:val="18"/>
                <w:szCs w:val="18"/>
              </w:rPr>
            </w:pPr>
            <w:r w:rsidRPr="009B1720">
              <w:rPr>
                <w:rFonts w:cstheme="minorHAnsi"/>
                <w:sz w:val="18"/>
                <w:szCs w:val="18"/>
              </w:rPr>
              <w:t>The starting date of the range for the report (inclusive)</w:t>
            </w:r>
            <w:r>
              <w:rPr>
                <w:rFonts w:cstheme="minorHAnsi"/>
                <w:sz w:val="18"/>
                <w:szCs w:val="18"/>
              </w:rPr>
              <w:t>.</w:t>
            </w:r>
          </w:p>
          <w:p w:rsidR="003D3167" w:rsidRPr="009B1720" w:rsidRDefault="003D3167" w:rsidP="00D768FE">
            <w:pPr>
              <w:rPr>
                <w:rFonts w:cstheme="minorHAnsi"/>
                <w:sz w:val="18"/>
                <w:szCs w:val="18"/>
              </w:rPr>
            </w:pPr>
          </w:p>
        </w:tc>
        <w:tc>
          <w:tcPr>
            <w:tcW w:w="658" w:type="pct"/>
          </w:tcPr>
          <w:p w:rsidR="003D3167" w:rsidRPr="009B1720" w:rsidRDefault="003D3167" w:rsidP="00D768FE">
            <w:pPr>
              <w:rPr>
                <w:rFonts w:cstheme="minorHAnsi"/>
                <w:sz w:val="18"/>
                <w:szCs w:val="18"/>
              </w:rPr>
            </w:pPr>
            <w:r w:rsidRPr="009B1720">
              <w:rPr>
                <w:rFonts w:cstheme="minorHAnsi"/>
                <w:sz w:val="18"/>
                <w:szCs w:val="18"/>
              </w:rPr>
              <w:t>Date Picker</w:t>
            </w:r>
          </w:p>
        </w:tc>
        <w:tc>
          <w:tcPr>
            <w:tcW w:w="736" w:type="pct"/>
            <w:shd w:val="clear" w:color="auto" w:fill="auto"/>
          </w:tcPr>
          <w:p w:rsidR="003D3167" w:rsidRPr="009B1720" w:rsidRDefault="003D3167" w:rsidP="00D768FE">
            <w:pPr>
              <w:rPr>
                <w:rFonts w:cstheme="minorHAnsi"/>
                <w:sz w:val="18"/>
                <w:szCs w:val="18"/>
              </w:rPr>
            </w:pPr>
            <w:r w:rsidRPr="009B1720">
              <w:rPr>
                <w:rFonts w:cstheme="minorHAnsi"/>
                <w:sz w:val="18"/>
                <w:szCs w:val="18"/>
              </w:rPr>
              <w:t>Any valid date</w:t>
            </w:r>
          </w:p>
        </w:tc>
        <w:tc>
          <w:tcPr>
            <w:tcW w:w="726" w:type="pct"/>
            <w:shd w:val="clear" w:color="auto" w:fill="auto"/>
          </w:tcPr>
          <w:p w:rsidR="003D3167" w:rsidRDefault="003D3167" w:rsidP="00D768FE">
            <w:pPr>
              <w:rPr>
                <w:rFonts w:cstheme="minorHAnsi"/>
                <w:sz w:val="18"/>
                <w:szCs w:val="18"/>
              </w:rPr>
            </w:pPr>
            <w:r>
              <w:rPr>
                <w:rFonts w:cstheme="minorHAnsi"/>
                <w:sz w:val="18"/>
                <w:szCs w:val="18"/>
              </w:rPr>
              <w:t>&lt;Select a Value&gt;</w:t>
            </w:r>
          </w:p>
          <w:p w:rsidR="003D3167" w:rsidRPr="009B1720" w:rsidRDefault="003D3167" w:rsidP="00D768FE">
            <w:pPr>
              <w:rPr>
                <w:rFonts w:cstheme="minorHAnsi"/>
                <w:sz w:val="18"/>
                <w:szCs w:val="18"/>
              </w:rPr>
            </w:pPr>
          </w:p>
        </w:tc>
      </w:tr>
      <w:tr w:rsidR="003D3167" w:rsidRPr="00B51C06" w:rsidTr="00D768FE">
        <w:tc>
          <w:tcPr>
            <w:tcW w:w="823" w:type="pct"/>
            <w:shd w:val="clear" w:color="auto" w:fill="DBE5F1"/>
          </w:tcPr>
          <w:p w:rsidR="003D3167" w:rsidRPr="009B1720" w:rsidRDefault="003D3167" w:rsidP="00D768FE">
            <w:pPr>
              <w:rPr>
                <w:rFonts w:cstheme="minorHAnsi"/>
                <w:b/>
                <w:bCs/>
                <w:color w:val="000000"/>
                <w:sz w:val="18"/>
                <w:szCs w:val="18"/>
              </w:rPr>
            </w:pPr>
            <w:r w:rsidRPr="009B1720">
              <w:rPr>
                <w:rFonts w:cstheme="minorHAnsi"/>
                <w:b/>
                <w:bCs/>
                <w:color w:val="000000"/>
                <w:sz w:val="18"/>
                <w:szCs w:val="18"/>
              </w:rPr>
              <w:t>End Date</w:t>
            </w:r>
          </w:p>
        </w:tc>
        <w:tc>
          <w:tcPr>
            <w:tcW w:w="658" w:type="pct"/>
          </w:tcPr>
          <w:p w:rsidR="003D3167" w:rsidRPr="009B1720" w:rsidRDefault="003D3167" w:rsidP="00D768FE">
            <w:pPr>
              <w:rPr>
                <w:rFonts w:cstheme="minorHAnsi"/>
                <w:sz w:val="18"/>
                <w:szCs w:val="18"/>
              </w:rPr>
            </w:pPr>
            <w:r w:rsidRPr="009B1720">
              <w:rPr>
                <w:rFonts w:cstheme="minorHAnsi"/>
                <w:sz w:val="18"/>
                <w:szCs w:val="18"/>
              </w:rPr>
              <w:t>Yes</w:t>
            </w:r>
          </w:p>
        </w:tc>
        <w:tc>
          <w:tcPr>
            <w:tcW w:w="1399" w:type="pct"/>
            <w:shd w:val="clear" w:color="auto" w:fill="auto"/>
          </w:tcPr>
          <w:p w:rsidR="003D3167" w:rsidRPr="009B1720" w:rsidRDefault="003D3167" w:rsidP="00D768FE">
            <w:pPr>
              <w:rPr>
                <w:rFonts w:cstheme="minorHAnsi"/>
                <w:sz w:val="18"/>
                <w:szCs w:val="18"/>
              </w:rPr>
            </w:pPr>
            <w:r w:rsidRPr="009B1720">
              <w:rPr>
                <w:rFonts w:cstheme="minorHAnsi"/>
                <w:sz w:val="18"/>
                <w:szCs w:val="18"/>
              </w:rPr>
              <w:t>The end date of the range for the report (inclusive)</w:t>
            </w:r>
          </w:p>
        </w:tc>
        <w:tc>
          <w:tcPr>
            <w:tcW w:w="658" w:type="pct"/>
          </w:tcPr>
          <w:p w:rsidR="003D3167" w:rsidRPr="009B1720" w:rsidRDefault="003D3167" w:rsidP="00D768FE">
            <w:pPr>
              <w:rPr>
                <w:rFonts w:cstheme="minorHAnsi"/>
                <w:sz w:val="18"/>
                <w:szCs w:val="18"/>
              </w:rPr>
            </w:pPr>
            <w:r w:rsidRPr="009B1720">
              <w:rPr>
                <w:rFonts w:cstheme="minorHAnsi"/>
                <w:sz w:val="18"/>
                <w:szCs w:val="18"/>
              </w:rPr>
              <w:t>Date Picker</w:t>
            </w:r>
          </w:p>
        </w:tc>
        <w:tc>
          <w:tcPr>
            <w:tcW w:w="736" w:type="pct"/>
            <w:shd w:val="clear" w:color="auto" w:fill="auto"/>
          </w:tcPr>
          <w:p w:rsidR="003D3167" w:rsidRPr="009B1720" w:rsidRDefault="003D3167" w:rsidP="00D768FE">
            <w:pPr>
              <w:rPr>
                <w:rFonts w:cstheme="minorHAnsi"/>
                <w:sz w:val="18"/>
                <w:szCs w:val="18"/>
              </w:rPr>
            </w:pPr>
            <w:r w:rsidRPr="009B1720">
              <w:rPr>
                <w:rFonts w:cstheme="minorHAnsi"/>
                <w:sz w:val="18"/>
                <w:szCs w:val="18"/>
              </w:rPr>
              <w:t>Any valid date</w:t>
            </w:r>
          </w:p>
        </w:tc>
        <w:tc>
          <w:tcPr>
            <w:tcW w:w="726" w:type="pct"/>
            <w:shd w:val="clear" w:color="auto" w:fill="auto"/>
          </w:tcPr>
          <w:p w:rsidR="003D3167" w:rsidRPr="009B1720" w:rsidRDefault="003D3167" w:rsidP="00D768FE">
            <w:pPr>
              <w:rPr>
                <w:rFonts w:cstheme="minorHAnsi"/>
                <w:sz w:val="18"/>
                <w:szCs w:val="18"/>
              </w:rPr>
            </w:pPr>
            <w:r>
              <w:rPr>
                <w:rFonts w:cstheme="minorHAnsi"/>
                <w:sz w:val="18"/>
                <w:szCs w:val="18"/>
              </w:rPr>
              <w:t>&lt;Select a Value&gt;</w:t>
            </w:r>
            <w:r>
              <w:rPr>
                <w:rFonts w:cstheme="minorHAnsi"/>
                <w:sz w:val="18"/>
                <w:szCs w:val="18"/>
              </w:rPr>
              <w:br/>
            </w:r>
          </w:p>
        </w:tc>
      </w:tr>
    </w:tbl>
    <w:p w:rsidR="003D3167" w:rsidRDefault="003D3167" w:rsidP="003D3167">
      <w:pPr>
        <w:ind w:left="360"/>
        <w:rPr>
          <w:b/>
        </w:rPr>
        <w:sectPr w:rsidR="003D3167" w:rsidSect="00F036A8">
          <w:pgSz w:w="11907" w:h="16840" w:code="9"/>
          <w:pgMar w:top="1440" w:right="1440" w:bottom="1440" w:left="1440" w:header="0" w:footer="0" w:gutter="0"/>
          <w:cols w:space="720"/>
          <w:docGrid w:linePitch="272"/>
        </w:sectPr>
      </w:pPr>
    </w:p>
    <w:p w:rsidR="003D3167" w:rsidRDefault="003D3167" w:rsidP="003D3167">
      <w:pPr>
        <w:pStyle w:val="Heading2"/>
        <w:numPr>
          <w:ilvl w:val="0"/>
          <w:numId w:val="0"/>
        </w:numPr>
        <w:ind w:right="39"/>
        <w:sectPr w:rsidR="003D3167" w:rsidSect="00F036A8">
          <w:footerReference w:type="default" r:id="rId26"/>
          <w:type w:val="continuous"/>
          <w:pgSz w:w="11907" w:h="16840" w:code="9"/>
          <w:pgMar w:top="1440" w:right="1440" w:bottom="1440" w:left="1440" w:header="0" w:footer="0" w:gutter="0"/>
          <w:cols w:space="720"/>
          <w:docGrid w:linePitch="272"/>
        </w:sectPr>
      </w:pPr>
    </w:p>
    <w:p w:rsidR="003D3167" w:rsidRDefault="003D3167" w:rsidP="003D3167">
      <w:pPr>
        <w:pStyle w:val="Heading2"/>
        <w:ind w:left="567" w:right="39" w:hanging="567"/>
      </w:pPr>
      <w:bookmarkStart w:id="30" w:name="_Toc365030868"/>
      <w:r>
        <w:lastRenderedPageBreak/>
        <w:t>Report Output Filter Criteria</w:t>
      </w:r>
      <w:bookmarkEnd w:id="30"/>
    </w:p>
    <w:p w:rsidR="003D3167" w:rsidRDefault="003D3167" w:rsidP="003D3167">
      <w:r>
        <w:t>The report output is filtered on the following conditions:</w:t>
      </w:r>
    </w:p>
    <w:tbl>
      <w:tblPr>
        <w:tblW w:w="4639"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3007"/>
        <w:gridCol w:w="10145"/>
      </w:tblGrid>
      <w:tr w:rsidR="003D3167" w:rsidRPr="00B51C06" w:rsidTr="00E813C8">
        <w:trPr>
          <w:tblHeader/>
        </w:trPr>
        <w:tc>
          <w:tcPr>
            <w:tcW w:w="1143" w:type="pct"/>
            <w:shd w:val="clear" w:color="auto" w:fill="DBE5F1"/>
          </w:tcPr>
          <w:p w:rsidR="003D3167" w:rsidRPr="00B51C06" w:rsidRDefault="003D3167" w:rsidP="00D768FE">
            <w:pPr>
              <w:rPr>
                <w:rFonts w:cstheme="minorHAnsi"/>
                <w:b/>
                <w:bCs/>
                <w:color w:val="000000"/>
                <w:sz w:val="18"/>
              </w:rPr>
            </w:pPr>
            <w:r w:rsidRPr="00B51C06">
              <w:rPr>
                <w:rFonts w:cstheme="minorHAnsi"/>
                <w:b/>
                <w:bCs/>
                <w:color w:val="000000"/>
                <w:sz w:val="18"/>
              </w:rPr>
              <w:t>Name</w:t>
            </w:r>
          </w:p>
        </w:tc>
        <w:tc>
          <w:tcPr>
            <w:tcW w:w="3857" w:type="pct"/>
            <w:shd w:val="clear" w:color="auto" w:fill="DBE5F1"/>
          </w:tcPr>
          <w:p w:rsidR="003D3167" w:rsidRPr="00B51C06" w:rsidRDefault="003D3167" w:rsidP="00D768FE">
            <w:pPr>
              <w:rPr>
                <w:rFonts w:cstheme="minorHAnsi"/>
                <w:b/>
                <w:bCs/>
                <w:color w:val="000000"/>
                <w:sz w:val="18"/>
              </w:rPr>
            </w:pPr>
            <w:r w:rsidRPr="00B51C06">
              <w:rPr>
                <w:rFonts w:cstheme="minorHAnsi"/>
                <w:b/>
                <w:bCs/>
                <w:color w:val="000000"/>
                <w:sz w:val="18"/>
              </w:rPr>
              <w:t>Filter Criteria</w:t>
            </w:r>
          </w:p>
        </w:tc>
      </w:tr>
      <w:tr w:rsidR="003D3167" w:rsidRPr="00B51C06" w:rsidTr="00D768FE">
        <w:tc>
          <w:tcPr>
            <w:tcW w:w="1143" w:type="pct"/>
            <w:shd w:val="clear" w:color="auto" w:fill="DBE5F1"/>
          </w:tcPr>
          <w:p w:rsidR="003D3167" w:rsidRDefault="003D3167" w:rsidP="0080186A">
            <w:pPr>
              <w:rPr>
                <w:rFonts w:cstheme="minorHAnsi"/>
                <w:b/>
                <w:bCs/>
                <w:color w:val="000000"/>
                <w:sz w:val="18"/>
                <w:szCs w:val="18"/>
              </w:rPr>
            </w:pPr>
            <w:r>
              <w:rPr>
                <w:rFonts w:cstheme="minorHAnsi"/>
                <w:b/>
                <w:bCs/>
                <w:color w:val="000000"/>
                <w:sz w:val="18"/>
                <w:szCs w:val="18"/>
              </w:rPr>
              <w:t>H</w:t>
            </w:r>
            <w:r w:rsidR="0080186A">
              <w:rPr>
                <w:rFonts w:cstheme="minorHAnsi"/>
                <w:b/>
                <w:bCs/>
                <w:color w:val="000000"/>
                <w:sz w:val="18"/>
                <w:szCs w:val="18"/>
              </w:rPr>
              <w:t>ealth Provider</w:t>
            </w:r>
          </w:p>
        </w:tc>
        <w:tc>
          <w:tcPr>
            <w:tcW w:w="3857" w:type="pct"/>
          </w:tcPr>
          <w:p w:rsidR="003D3167" w:rsidRDefault="003D3167" w:rsidP="00D768FE">
            <w:pPr>
              <w:rPr>
                <w:rFonts w:cstheme="minorHAnsi"/>
                <w:sz w:val="18"/>
                <w:szCs w:val="18"/>
              </w:rPr>
            </w:pPr>
            <w:r>
              <w:rPr>
                <w:rFonts w:cstheme="minorHAnsi"/>
                <w:sz w:val="18"/>
                <w:szCs w:val="18"/>
              </w:rPr>
              <w:t>Health Provider relates to the value(s) selected in the Health Provider parameter.  The selected health provider is displayed in the report parameters listing (under the report header).</w:t>
            </w:r>
          </w:p>
        </w:tc>
      </w:tr>
      <w:tr w:rsidR="003D3167" w:rsidRPr="00B51C06" w:rsidTr="00D768FE">
        <w:tc>
          <w:tcPr>
            <w:tcW w:w="1143" w:type="pct"/>
            <w:shd w:val="clear" w:color="auto" w:fill="DBE5F1"/>
          </w:tcPr>
          <w:p w:rsidR="003D3167" w:rsidRDefault="003D3167" w:rsidP="00D768FE">
            <w:pPr>
              <w:rPr>
                <w:rFonts w:cstheme="minorHAnsi"/>
                <w:b/>
                <w:bCs/>
                <w:color w:val="000000"/>
                <w:sz w:val="18"/>
                <w:szCs w:val="18"/>
              </w:rPr>
            </w:pPr>
            <w:r>
              <w:rPr>
                <w:rFonts w:cstheme="minorHAnsi"/>
                <w:b/>
                <w:bCs/>
                <w:color w:val="000000"/>
                <w:sz w:val="18"/>
              </w:rPr>
              <w:t>Start Date and End Date</w:t>
            </w:r>
          </w:p>
        </w:tc>
        <w:tc>
          <w:tcPr>
            <w:tcW w:w="3857" w:type="pct"/>
          </w:tcPr>
          <w:p w:rsidR="003D3167" w:rsidRDefault="003D3167" w:rsidP="00D768FE">
            <w:pPr>
              <w:rPr>
                <w:rFonts w:cstheme="minorHAnsi"/>
                <w:sz w:val="18"/>
                <w:szCs w:val="18"/>
              </w:rPr>
            </w:pPr>
            <w:r>
              <w:rPr>
                <w:rFonts w:cstheme="minorHAnsi"/>
                <w:sz w:val="18"/>
                <w:szCs w:val="18"/>
              </w:rPr>
              <w:t>Count the issue and discard quantities that have an issue date/transfer date/discard date that falls within the start and end date (both inclusive) of the reporting period.</w:t>
            </w:r>
          </w:p>
          <w:p w:rsidR="003D3167" w:rsidRDefault="003D3167" w:rsidP="00D768FE">
            <w:pPr>
              <w:rPr>
                <w:rFonts w:cstheme="minorHAnsi"/>
                <w:sz w:val="18"/>
                <w:szCs w:val="18"/>
              </w:rPr>
            </w:pPr>
            <w:r>
              <w:rPr>
                <w:rFonts w:cstheme="minorHAnsi"/>
                <w:sz w:val="18"/>
                <w:szCs w:val="18"/>
              </w:rPr>
              <w:t>The ‘Start Date’ and ‘End Date’ selected will be displayed in the report header (under the report header).</w:t>
            </w:r>
          </w:p>
        </w:tc>
      </w:tr>
    </w:tbl>
    <w:p w:rsidR="003D3167" w:rsidRDefault="003D3167" w:rsidP="003D3167">
      <w:pPr>
        <w:ind w:left="720"/>
        <w:rPr>
          <w:lang w:bidi="en-US"/>
        </w:rPr>
      </w:pPr>
    </w:p>
    <w:p w:rsidR="003D3167" w:rsidRPr="00B548CD" w:rsidRDefault="003D3167" w:rsidP="003D3167">
      <w:pPr>
        <w:spacing w:before="200"/>
        <w:rPr>
          <w:rFonts w:cstheme="minorHAnsi"/>
          <w:lang w:bidi="en-US"/>
        </w:rPr>
      </w:pPr>
      <w:r w:rsidRPr="00B548CD">
        <w:rPr>
          <w:rFonts w:cstheme="minorHAnsi"/>
          <w:lang w:bidi="en-US"/>
        </w:rPr>
        <w:t>The following rules apply on the report outputs:</w:t>
      </w:r>
    </w:p>
    <w:p w:rsidR="003D3167" w:rsidRPr="00B548CD" w:rsidRDefault="003D3167" w:rsidP="003D3167">
      <w:pPr>
        <w:numPr>
          <w:ilvl w:val="0"/>
          <w:numId w:val="6"/>
        </w:numPr>
        <w:spacing w:before="40" w:after="40" w:line="240" w:lineRule="auto"/>
        <w:textAlignment w:val="top"/>
        <w:rPr>
          <w:rFonts w:cstheme="minorHAnsi"/>
        </w:rPr>
      </w:pPr>
      <w:r>
        <w:rPr>
          <w:rFonts w:cstheme="minorHAnsi"/>
        </w:rPr>
        <w:t>Display Title (Section 3</w:t>
      </w:r>
      <w:r w:rsidRPr="00B548CD">
        <w:rPr>
          <w:rFonts w:cstheme="minorHAnsi"/>
        </w:rPr>
        <w:t>.1) in the r</w:t>
      </w:r>
      <w:r>
        <w:rPr>
          <w:rFonts w:cstheme="minorHAnsi"/>
        </w:rPr>
        <w:t>eport header (right hand side) and the footer (ie. ‘BloodNet: Report ID - Report Title’)</w:t>
      </w:r>
      <w:r w:rsidRPr="00B548CD">
        <w:rPr>
          <w:rFonts w:cstheme="minorHAnsi"/>
        </w:rPr>
        <w:t>.</w:t>
      </w:r>
    </w:p>
    <w:p w:rsidR="003D3167" w:rsidRPr="00B548CD" w:rsidRDefault="003D3167" w:rsidP="003D3167">
      <w:pPr>
        <w:numPr>
          <w:ilvl w:val="0"/>
          <w:numId w:val="6"/>
        </w:numPr>
        <w:spacing w:before="40" w:after="40" w:line="240" w:lineRule="auto"/>
        <w:textAlignment w:val="top"/>
        <w:rPr>
          <w:rFonts w:cstheme="minorHAnsi"/>
        </w:rPr>
      </w:pPr>
      <w:r>
        <w:rPr>
          <w:rFonts w:cstheme="minorHAnsi"/>
        </w:rPr>
        <w:t>Display Description (Section 3</w:t>
      </w:r>
      <w:r w:rsidRPr="00B548CD">
        <w:rPr>
          <w:rFonts w:cstheme="minorHAnsi"/>
        </w:rPr>
        <w:t>.2) between the report title</w:t>
      </w:r>
      <w:r>
        <w:rPr>
          <w:rFonts w:cstheme="minorHAnsi"/>
        </w:rPr>
        <w:t>/state</w:t>
      </w:r>
      <w:r w:rsidRPr="00B548CD">
        <w:rPr>
          <w:rFonts w:cstheme="minorHAnsi"/>
        </w:rPr>
        <w:t xml:space="preserve"> and the table</w:t>
      </w:r>
      <w:r>
        <w:rPr>
          <w:rFonts w:cstheme="minorHAnsi"/>
        </w:rPr>
        <w:t xml:space="preserve"> (ie. below the report header)</w:t>
      </w:r>
      <w:r w:rsidRPr="00B548CD">
        <w:rPr>
          <w:rFonts w:cstheme="minorHAnsi"/>
        </w:rPr>
        <w:t>.</w:t>
      </w:r>
    </w:p>
    <w:p w:rsidR="003D3167" w:rsidRDefault="003D3167" w:rsidP="003D3167">
      <w:pPr>
        <w:numPr>
          <w:ilvl w:val="0"/>
          <w:numId w:val="6"/>
        </w:numPr>
        <w:spacing w:before="40" w:after="40" w:line="240" w:lineRule="auto"/>
        <w:textAlignment w:val="top"/>
        <w:rPr>
          <w:rFonts w:cstheme="minorHAnsi"/>
        </w:rPr>
      </w:pPr>
      <w:r w:rsidRPr="00B548CD">
        <w:rPr>
          <w:rFonts w:cstheme="minorHAnsi"/>
        </w:rPr>
        <w:t>Where the selected query criteria returns no results, a message is displayed (as per below):</w:t>
      </w:r>
    </w:p>
    <w:p w:rsidR="003D3167" w:rsidRPr="00510A06" w:rsidRDefault="003D3167" w:rsidP="003D3167">
      <w:pPr>
        <w:spacing w:before="40" w:after="40"/>
        <w:ind w:left="709" w:firstLine="11"/>
        <w:textAlignment w:val="top"/>
        <w:rPr>
          <w:rFonts w:cstheme="minorHAnsi"/>
        </w:rPr>
      </w:pPr>
      <w:r w:rsidRPr="00510A06">
        <w:rPr>
          <w:rFonts w:cstheme="minorHAnsi"/>
        </w:rPr>
        <w:t>“</w:t>
      </w:r>
      <w:r>
        <w:rPr>
          <w:rFonts w:cstheme="minorHAnsi"/>
        </w:rPr>
        <w:t>There are no discards for this health provider for the period selected.”</w:t>
      </w:r>
    </w:p>
    <w:p w:rsidR="003D3167" w:rsidRDefault="003D3167" w:rsidP="003D3167">
      <w:pPr>
        <w:numPr>
          <w:ilvl w:val="0"/>
          <w:numId w:val="6"/>
        </w:numPr>
        <w:spacing w:before="40" w:after="40" w:line="240" w:lineRule="auto"/>
        <w:textAlignment w:val="top"/>
        <w:rPr>
          <w:rFonts w:cstheme="minorHAnsi"/>
        </w:rPr>
      </w:pPr>
      <w:r>
        <w:rPr>
          <w:rFonts w:cstheme="minorHAnsi"/>
        </w:rPr>
        <w:t>If there are multiple pages, ensure that the NBA logo, report title, report parameters and column headings are displayed on all pages.</w:t>
      </w:r>
    </w:p>
    <w:p w:rsidR="003D3167" w:rsidRDefault="003D3167" w:rsidP="003D3167">
      <w:pPr>
        <w:numPr>
          <w:ilvl w:val="0"/>
          <w:numId w:val="6"/>
        </w:numPr>
        <w:spacing w:before="40" w:after="40" w:line="240" w:lineRule="auto"/>
        <w:textAlignment w:val="top"/>
        <w:rPr>
          <w:rFonts w:cstheme="minorHAnsi"/>
        </w:rPr>
      </w:pPr>
      <w:r>
        <w:rPr>
          <w:rFonts w:cstheme="minorHAnsi"/>
        </w:rPr>
        <w:t>There are two sections for this report:</w:t>
      </w:r>
    </w:p>
    <w:p w:rsidR="003D3167" w:rsidRDefault="003D3167" w:rsidP="003D3167">
      <w:pPr>
        <w:pStyle w:val="ListParagraph"/>
        <w:numPr>
          <w:ilvl w:val="0"/>
          <w:numId w:val="23"/>
        </w:numPr>
        <w:spacing w:before="40" w:after="120"/>
        <w:ind w:left="1134" w:hanging="425"/>
        <w:contextualSpacing w:val="0"/>
        <w:rPr>
          <w:b/>
        </w:rPr>
      </w:pPr>
      <w:r w:rsidRPr="00D3134C">
        <w:rPr>
          <w:b/>
        </w:rPr>
        <w:t>Summary Table</w:t>
      </w:r>
    </w:p>
    <w:p w:rsidR="007A44B0" w:rsidRDefault="002A3458" w:rsidP="003D3167">
      <w:pPr>
        <w:pStyle w:val="ListParagraph"/>
        <w:spacing w:before="40" w:after="40" w:line="240" w:lineRule="auto"/>
        <w:ind w:left="1134"/>
        <w:rPr>
          <w:b/>
        </w:rPr>
        <w:sectPr w:rsidR="007A44B0" w:rsidSect="00D768FE">
          <w:pgSz w:w="16840" w:h="11907" w:orient="landscape" w:code="9"/>
          <w:pgMar w:top="1440" w:right="1440" w:bottom="1440" w:left="1440" w:header="0" w:footer="0" w:gutter="0"/>
          <w:cols w:space="720"/>
          <w:docGrid w:linePitch="299"/>
        </w:sectPr>
      </w:pPr>
      <w:r>
        <w:rPr>
          <w:noProof/>
          <w:lang w:eastAsia="en-AU"/>
        </w:rPr>
        <w:drawing>
          <wp:inline distT="0" distB="0" distL="0" distR="0" wp14:anchorId="7A1271EE" wp14:editId="2D7412F4">
            <wp:extent cx="8162925" cy="1307287"/>
            <wp:effectExtent l="0" t="0" r="0" b="7620"/>
            <wp:docPr id="17" name="Picture 17" descr="Fate007 report sample" title="Fate007 repor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248081" cy="1320925"/>
                    </a:xfrm>
                    <a:prstGeom prst="rect">
                      <a:avLst/>
                    </a:prstGeom>
                  </pic:spPr>
                </pic:pic>
              </a:graphicData>
            </a:graphic>
          </wp:inline>
        </w:drawing>
      </w:r>
    </w:p>
    <w:p w:rsidR="003D3167" w:rsidRDefault="003D3167" w:rsidP="003D3167">
      <w:pPr>
        <w:pStyle w:val="ListParagraph"/>
        <w:numPr>
          <w:ilvl w:val="2"/>
          <w:numId w:val="8"/>
        </w:numPr>
        <w:spacing w:before="40" w:after="40" w:line="240" w:lineRule="auto"/>
        <w:ind w:left="1560" w:hanging="284"/>
      </w:pPr>
      <w:r>
        <w:lastRenderedPageBreak/>
        <w:t>For each Component Group (row) and its corresponding Cost Groups (expanded rows), there will be the following information (columns):</w:t>
      </w:r>
    </w:p>
    <w:p w:rsidR="003D3167" w:rsidRDefault="003D3167" w:rsidP="003D3167">
      <w:pPr>
        <w:pStyle w:val="ListParagraph"/>
        <w:numPr>
          <w:ilvl w:val="0"/>
          <w:numId w:val="11"/>
        </w:numPr>
        <w:spacing w:before="40" w:after="40" w:line="240" w:lineRule="auto"/>
        <w:ind w:left="1985" w:hanging="425"/>
      </w:pPr>
      <w:r>
        <w:t xml:space="preserve">Issued </w:t>
      </w:r>
      <w:proofErr w:type="spellStart"/>
      <w:r>
        <w:t>Qty</w:t>
      </w:r>
      <w:proofErr w:type="spellEnd"/>
      <w:r>
        <w:t>;</w:t>
      </w:r>
    </w:p>
    <w:p w:rsidR="003D3167" w:rsidRDefault="003D3167" w:rsidP="003D3167">
      <w:pPr>
        <w:pStyle w:val="ListParagraph"/>
        <w:numPr>
          <w:ilvl w:val="0"/>
          <w:numId w:val="11"/>
        </w:numPr>
        <w:spacing w:before="40" w:after="40" w:line="240" w:lineRule="auto"/>
        <w:ind w:left="1985" w:hanging="425"/>
      </w:pPr>
      <w:r>
        <w:t xml:space="preserve">Transfer In </w:t>
      </w:r>
      <w:proofErr w:type="spellStart"/>
      <w:r>
        <w:t>Qty</w:t>
      </w:r>
      <w:proofErr w:type="spellEnd"/>
      <w:r>
        <w:t>;</w:t>
      </w:r>
    </w:p>
    <w:p w:rsidR="003D3167" w:rsidRDefault="003D3167" w:rsidP="003D3167">
      <w:pPr>
        <w:pStyle w:val="ListParagraph"/>
        <w:numPr>
          <w:ilvl w:val="0"/>
          <w:numId w:val="11"/>
        </w:numPr>
        <w:spacing w:before="40" w:after="40" w:line="240" w:lineRule="auto"/>
        <w:ind w:left="1985" w:hanging="425"/>
      </w:pPr>
      <w:r>
        <w:t xml:space="preserve">Transfer Out </w:t>
      </w:r>
      <w:proofErr w:type="spellStart"/>
      <w:r>
        <w:t>Qty</w:t>
      </w:r>
      <w:proofErr w:type="spellEnd"/>
      <w:r>
        <w:t>;</w:t>
      </w:r>
    </w:p>
    <w:p w:rsidR="003D3167" w:rsidRDefault="003D3167" w:rsidP="003D3167">
      <w:pPr>
        <w:pStyle w:val="ListParagraph"/>
        <w:numPr>
          <w:ilvl w:val="0"/>
          <w:numId w:val="11"/>
        </w:numPr>
        <w:spacing w:before="40" w:after="40" w:line="240" w:lineRule="auto"/>
        <w:ind w:left="1985" w:hanging="425"/>
      </w:pPr>
      <w:r>
        <w:t xml:space="preserve">Net Issued (Issued </w:t>
      </w:r>
      <w:proofErr w:type="spellStart"/>
      <w:r>
        <w:t>Qty</w:t>
      </w:r>
      <w:proofErr w:type="spellEnd"/>
      <w:r>
        <w:t xml:space="preserve"> + Transfer In – Transfer Out);</w:t>
      </w:r>
    </w:p>
    <w:p w:rsidR="003D3167" w:rsidRDefault="003D3167" w:rsidP="003D3167">
      <w:pPr>
        <w:pStyle w:val="ListParagraph"/>
        <w:numPr>
          <w:ilvl w:val="0"/>
          <w:numId w:val="11"/>
        </w:numPr>
        <w:spacing w:before="40" w:after="40" w:line="240" w:lineRule="auto"/>
        <w:ind w:left="1985" w:hanging="425"/>
      </w:pPr>
      <w:r>
        <w:t xml:space="preserve">Discard </w:t>
      </w:r>
      <w:proofErr w:type="spellStart"/>
      <w:r>
        <w:t>Qty</w:t>
      </w:r>
      <w:proofErr w:type="spellEnd"/>
      <w:r>
        <w:t>;</w:t>
      </w:r>
    </w:p>
    <w:p w:rsidR="00373341" w:rsidRDefault="00373341" w:rsidP="003D3167">
      <w:pPr>
        <w:pStyle w:val="ListParagraph"/>
        <w:numPr>
          <w:ilvl w:val="0"/>
          <w:numId w:val="11"/>
        </w:numPr>
        <w:spacing w:before="40" w:after="40" w:line="240" w:lineRule="auto"/>
        <w:ind w:left="1985" w:hanging="425"/>
      </w:pPr>
      <w:r>
        <w:t>Discard Cost;</w:t>
      </w:r>
    </w:p>
    <w:p w:rsidR="00373341" w:rsidRDefault="00373341" w:rsidP="003D3167">
      <w:pPr>
        <w:pStyle w:val="ListParagraph"/>
        <w:numPr>
          <w:ilvl w:val="0"/>
          <w:numId w:val="11"/>
        </w:numPr>
        <w:spacing w:before="40" w:after="40" w:line="240" w:lineRule="auto"/>
        <w:ind w:left="1985" w:hanging="425"/>
      </w:pPr>
      <w:r>
        <w:t>Group;</w:t>
      </w:r>
    </w:p>
    <w:p w:rsidR="003D3167" w:rsidRDefault="003D3167" w:rsidP="003D3167">
      <w:pPr>
        <w:pStyle w:val="ListParagraph"/>
        <w:numPr>
          <w:ilvl w:val="0"/>
          <w:numId w:val="11"/>
        </w:numPr>
        <w:spacing w:before="40" w:after="40" w:line="240" w:lineRule="auto"/>
        <w:ind w:left="1985" w:hanging="425"/>
      </w:pPr>
      <w:proofErr w:type="spellStart"/>
      <w:r>
        <w:t>DAPI</w:t>
      </w:r>
      <w:proofErr w:type="spellEnd"/>
      <w:r>
        <w:t>;</w:t>
      </w:r>
    </w:p>
    <w:p w:rsidR="003D3167" w:rsidRDefault="00373341" w:rsidP="003D3167">
      <w:pPr>
        <w:pStyle w:val="ListParagraph"/>
        <w:numPr>
          <w:ilvl w:val="0"/>
          <w:numId w:val="11"/>
        </w:numPr>
        <w:spacing w:before="40" w:after="40" w:line="240" w:lineRule="auto"/>
        <w:ind w:left="1985" w:hanging="425"/>
      </w:pPr>
      <w:r>
        <w:t>Benchmark</w:t>
      </w:r>
      <w:r w:rsidR="003D3167">
        <w:t>;</w:t>
      </w:r>
    </w:p>
    <w:p w:rsidR="003D3167" w:rsidRDefault="003D3167" w:rsidP="003D3167">
      <w:pPr>
        <w:pStyle w:val="ListParagraph"/>
        <w:numPr>
          <w:ilvl w:val="0"/>
          <w:numId w:val="11"/>
        </w:numPr>
        <w:spacing w:before="40" w:after="40" w:line="240" w:lineRule="auto"/>
        <w:ind w:left="1985" w:hanging="425"/>
      </w:pPr>
      <w:r>
        <w:t xml:space="preserve">Group </w:t>
      </w:r>
      <w:proofErr w:type="spellStart"/>
      <w:r w:rsidR="00BE6EDA">
        <w:t>DAPI</w:t>
      </w:r>
      <w:proofErr w:type="spellEnd"/>
      <w:r>
        <w:t>;</w:t>
      </w:r>
    </w:p>
    <w:p w:rsidR="003D3167" w:rsidRDefault="003D3167" w:rsidP="003D3167">
      <w:pPr>
        <w:pStyle w:val="ListParagraph"/>
        <w:numPr>
          <w:ilvl w:val="0"/>
          <w:numId w:val="11"/>
        </w:numPr>
        <w:spacing w:before="40" w:after="40" w:line="240" w:lineRule="auto"/>
        <w:ind w:left="1985" w:hanging="425"/>
      </w:pPr>
      <w:r>
        <w:t xml:space="preserve">State </w:t>
      </w:r>
      <w:proofErr w:type="spellStart"/>
      <w:r w:rsidR="00BE6EDA">
        <w:t>DAPI</w:t>
      </w:r>
      <w:proofErr w:type="spellEnd"/>
      <w:r>
        <w:t>; and</w:t>
      </w:r>
    </w:p>
    <w:p w:rsidR="007A44B0" w:rsidRDefault="007A44B0" w:rsidP="007A44B0">
      <w:pPr>
        <w:pStyle w:val="ListParagraph"/>
        <w:numPr>
          <w:ilvl w:val="0"/>
          <w:numId w:val="11"/>
        </w:numPr>
        <w:spacing w:before="40" w:after="40"/>
        <w:ind w:left="1984" w:hanging="425"/>
        <w:contextualSpacing w:val="0"/>
      </w:pPr>
      <w:r>
        <w:t xml:space="preserve">National </w:t>
      </w:r>
      <w:proofErr w:type="spellStart"/>
      <w:r w:rsidR="00BE6EDA">
        <w:t>DAPI</w:t>
      </w:r>
      <w:proofErr w:type="spellEnd"/>
      <w:r>
        <w:t>.</w:t>
      </w:r>
    </w:p>
    <w:p w:rsidR="003D3167" w:rsidRDefault="003D3167" w:rsidP="007A44B0">
      <w:pPr>
        <w:pStyle w:val="ListParagraph"/>
        <w:numPr>
          <w:ilvl w:val="2"/>
          <w:numId w:val="8"/>
        </w:numPr>
        <w:spacing w:before="40" w:after="40" w:line="240" w:lineRule="auto"/>
        <w:ind w:left="1843" w:hanging="284"/>
        <w:contextualSpacing w:val="0"/>
      </w:pPr>
      <w:r>
        <w:t xml:space="preserve">Where there are no net issued and discard quantity counts for a specific cost group, then do not display that specific cost group row. </w:t>
      </w:r>
      <w:r w:rsidR="0080186A">
        <w:t xml:space="preserve"> </w:t>
      </w:r>
      <w:r w:rsidR="00391B8E">
        <w:t>Where all the cost groups are not displayed for a component group, t</w:t>
      </w:r>
      <w:r>
        <w:t xml:space="preserve">his means that </w:t>
      </w:r>
      <w:r w:rsidR="00391B8E">
        <w:t>this</w:t>
      </w:r>
      <w:r>
        <w:t xml:space="preserve"> component group will also not display.</w:t>
      </w:r>
    </w:p>
    <w:p w:rsidR="003D3167" w:rsidRDefault="003D3167" w:rsidP="003D3167">
      <w:pPr>
        <w:pStyle w:val="ListParagraph"/>
        <w:numPr>
          <w:ilvl w:val="0"/>
          <w:numId w:val="24"/>
        </w:numPr>
        <w:ind w:left="1843" w:hanging="283"/>
        <w:sectPr w:rsidR="003D3167" w:rsidSect="007A44B0">
          <w:pgSz w:w="11907" w:h="16840" w:code="9"/>
          <w:pgMar w:top="1440" w:right="1440" w:bottom="1440" w:left="1440" w:header="0" w:footer="0" w:gutter="0"/>
          <w:cols w:space="720"/>
          <w:docGrid w:linePitch="299"/>
        </w:sectPr>
      </w:pPr>
    </w:p>
    <w:p w:rsidR="003D3167" w:rsidRDefault="003D3167" w:rsidP="003D3167">
      <w:pPr>
        <w:pStyle w:val="Heading2"/>
        <w:pageBreakBefore/>
      </w:pPr>
      <w:bookmarkStart w:id="31" w:name="_Toc365030869"/>
      <w:r>
        <w:lastRenderedPageBreak/>
        <w:t>Report Field Description/Calculations</w:t>
      </w:r>
      <w:bookmarkEnd w:id="31"/>
    </w:p>
    <w:p w:rsidR="003D3167" w:rsidRDefault="003D3167" w:rsidP="003D3167">
      <w:r>
        <w:rPr>
          <w:lang w:bidi="en-US"/>
        </w:rPr>
        <w:t xml:space="preserve">The </w:t>
      </w:r>
      <w:r w:rsidR="007A44B0">
        <w:rPr>
          <w:lang w:bidi="en-US"/>
        </w:rPr>
        <w:t xml:space="preserve">Summary Table </w:t>
      </w:r>
      <w:r>
        <w:t xml:space="preserve">provides summary information regarding discards of the Health Provider to quantify </w:t>
      </w:r>
      <w:proofErr w:type="spellStart"/>
      <w:r>
        <w:t>DAPI</w:t>
      </w:r>
      <w:proofErr w:type="spellEnd"/>
      <w:r>
        <w:t xml:space="preserve"> values, </w:t>
      </w:r>
      <w:proofErr w:type="spellStart"/>
      <w:r>
        <w:t>KPI</w:t>
      </w:r>
      <w:proofErr w:type="spellEnd"/>
      <w:r>
        <w:t xml:space="preserve"> indicators for state, national and group </w:t>
      </w:r>
      <w:r w:rsidR="00C65F4D">
        <w:t>averages.  Note that as per BR9</w:t>
      </w:r>
      <w:r>
        <w:t xml:space="preserve"> (in Section 2.2), the </w:t>
      </w:r>
      <w:proofErr w:type="spellStart"/>
      <w:r>
        <w:t>DAPI</w:t>
      </w:r>
      <w:proofErr w:type="spellEnd"/>
      <w:r>
        <w:t xml:space="preserve"> values, group, state and national averages will be calculated b</w:t>
      </w:r>
      <w:r w:rsidR="007A44B0">
        <w:t>ased on the reporting period.</w:t>
      </w:r>
    </w:p>
    <w:p w:rsidR="003D3167" w:rsidRDefault="003D3167" w:rsidP="003D3167">
      <w:pPr>
        <w:rPr>
          <w:lang w:bidi="en-US"/>
        </w:rPr>
      </w:pPr>
      <w:r>
        <w:rPr>
          <w:lang w:bidi="en-US"/>
        </w:rPr>
        <w:t>Th</w:t>
      </w:r>
      <w:r w:rsidR="007A44B0">
        <w:rPr>
          <w:lang w:bidi="en-US"/>
        </w:rPr>
        <w:t>is</w:t>
      </w:r>
      <w:r>
        <w:rPr>
          <w:lang w:bidi="en-US"/>
        </w:rPr>
        <w:t xml:space="preserve"> table contain the following columns, rows and related data: Calculations are included where applicable.</w:t>
      </w:r>
    </w:p>
    <w:p w:rsidR="003D3167" w:rsidRPr="006C2B9E" w:rsidRDefault="003D3167" w:rsidP="003D3167">
      <w:pPr>
        <w:rPr>
          <w:b/>
          <w:lang w:bidi="en-US"/>
        </w:rPr>
      </w:pPr>
      <w:r>
        <w:rPr>
          <w:b/>
          <w:lang w:bidi="en-US"/>
        </w:rPr>
        <w:t>Summary</w:t>
      </w:r>
      <w:r w:rsidR="00637749">
        <w:rPr>
          <w:b/>
          <w:lang w:bidi="en-US"/>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3"/>
        <w:gridCol w:w="2126"/>
        <w:gridCol w:w="2729"/>
        <w:gridCol w:w="2011"/>
      </w:tblGrid>
      <w:tr w:rsidR="003D3167" w:rsidRPr="00B51C06" w:rsidTr="00D768FE">
        <w:trPr>
          <w:tblHeader/>
        </w:trPr>
        <w:tc>
          <w:tcPr>
            <w:tcW w:w="749" w:type="pct"/>
            <w:shd w:val="clear" w:color="auto" w:fill="DBE5F1"/>
          </w:tcPr>
          <w:p w:rsidR="003D3167" w:rsidRPr="00B51C06" w:rsidRDefault="003D3167" w:rsidP="00D768FE">
            <w:pPr>
              <w:rPr>
                <w:rFonts w:cstheme="minorHAnsi"/>
                <w:b/>
                <w:sz w:val="18"/>
                <w:szCs w:val="18"/>
              </w:rPr>
            </w:pPr>
            <w:r w:rsidRPr="00B51C06">
              <w:rPr>
                <w:rFonts w:cstheme="minorHAnsi"/>
                <w:b/>
                <w:sz w:val="18"/>
                <w:szCs w:val="18"/>
              </w:rPr>
              <w:t>Report Item</w:t>
            </w:r>
          </w:p>
        </w:tc>
        <w:tc>
          <w:tcPr>
            <w:tcW w:w="537" w:type="pct"/>
            <w:shd w:val="clear" w:color="auto" w:fill="DBE5F1"/>
          </w:tcPr>
          <w:p w:rsidR="003D3167" w:rsidRPr="00B51C06" w:rsidRDefault="003D3167" w:rsidP="00D768FE">
            <w:pPr>
              <w:rPr>
                <w:rFonts w:cstheme="minorHAnsi"/>
                <w:b/>
                <w:sz w:val="18"/>
                <w:szCs w:val="18"/>
              </w:rPr>
            </w:pPr>
            <w:r w:rsidRPr="00B51C06">
              <w:rPr>
                <w:rFonts w:cstheme="minorHAnsi"/>
                <w:b/>
                <w:sz w:val="18"/>
                <w:szCs w:val="18"/>
              </w:rPr>
              <w:t>Grouping Level</w:t>
            </w:r>
          </w:p>
        </w:tc>
        <w:tc>
          <w:tcPr>
            <w:tcW w:w="1150" w:type="pct"/>
            <w:shd w:val="clear" w:color="auto" w:fill="DBE5F1"/>
          </w:tcPr>
          <w:p w:rsidR="003D3167" w:rsidRPr="00B51C06" w:rsidRDefault="003D3167" w:rsidP="00D768FE">
            <w:pPr>
              <w:rPr>
                <w:rFonts w:cstheme="minorHAnsi"/>
                <w:b/>
                <w:sz w:val="18"/>
                <w:szCs w:val="18"/>
              </w:rPr>
            </w:pPr>
            <w:r w:rsidRPr="00B51C06">
              <w:rPr>
                <w:rFonts w:cstheme="minorHAnsi"/>
                <w:b/>
                <w:sz w:val="18"/>
                <w:szCs w:val="18"/>
              </w:rPr>
              <w:t>Description</w:t>
            </w:r>
          </w:p>
        </w:tc>
        <w:tc>
          <w:tcPr>
            <w:tcW w:w="1476" w:type="pct"/>
            <w:shd w:val="clear" w:color="auto" w:fill="DBE5F1"/>
          </w:tcPr>
          <w:p w:rsidR="003D3167" w:rsidRPr="00B51C06" w:rsidRDefault="003D3167" w:rsidP="00D768FE">
            <w:pPr>
              <w:rPr>
                <w:rFonts w:cstheme="minorHAnsi"/>
                <w:b/>
                <w:sz w:val="18"/>
                <w:szCs w:val="18"/>
              </w:rPr>
            </w:pPr>
            <w:r>
              <w:rPr>
                <w:rFonts w:cstheme="minorHAnsi"/>
                <w:b/>
                <w:sz w:val="18"/>
                <w:szCs w:val="18"/>
              </w:rPr>
              <w:t>Calculation</w:t>
            </w:r>
          </w:p>
        </w:tc>
        <w:tc>
          <w:tcPr>
            <w:tcW w:w="1088" w:type="pct"/>
            <w:shd w:val="clear" w:color="auto" w:fill="DBE5F1"/>
          </w:tcPr>
          <w:p w:rsidR="003D3167" w:rsidRPr="00B51C06" w:rsidRDefault="003D3167" w:rsidP="00D768FE">
            <w:pPr>
              <w:rPr>
                <w:rFonts w:cstheme="minorHAnsi"/>
                <w:b/>
                <w:sz w:val="18"/>
                <w:szCs w:val="18"/>
              </w:rPr>
            </w:pPr>
            <w:r w:rsidRPr="00B51C06">
              <w:rPr>
                <w:rFonts w:cstheme="minorHAnsi"/>
                <w:b/>
                <w:sz w:val="18"/>
                <w:szCs w:val="18"/>
              </w:rPr>
              <w:t>Source Data</w:t>
            </w:r>
          </w:p>
        </w:tc>
      </w:tr>
      <w:tr w:rsidR="003D3167" w:rsidTr="00D768FE">
        <w:tc>
          <w:tcPr>
            <w:tcW w:w="749" w:type="pct"/>
            <w:shd w:val="clear" w:color="auto" w:fill="auto"/>
          </w:tcPr>
          <w:p w:rsidR="003D3167" w:rsidRPr="0008475A" w:rsidRDefault="003D3167" w:rsidP="00D768FE">
            <w:pPr>
              <w:spacing w:before="100" w:beforeAutospacing="1"/>
              <w:rPr>
                <w:rFonts w:cstheme="minorHAnsi"/>
                <w:sz w:val="18"/>
                <w:szCs w:val="18"/>
              </w:rPr>
            </w:pPr>
            <w:r>
              <w:rPr>
                <w:rFonts w:cstheme="minorHAnsi"/>
                <w:sz w:val="18"/>
                <w:szCs w:val="18"/>
              </w:rPr>
              <w:t>Component Group</w:t>
            </w:r>
          </w:p>
        </w:tc>
        <w:tc>
          <w:tcPr>
            <w:tcW w:w="537" w:type="pct"/>
          </w:tcPr>
          <w:p w:rsidR="003D3167" w:rsidRDefault="003D3167" w:rsidP="00D768FE">
            <w:pPr>
              <w:spacing w:before="100" w:beforeAutospacing="1"/>
              <w:rPr>
                <w:rFonts w:cstheme="minorHAnsi"/>
                <w:sz w:val="18"/>
                <w:szCs w:val="18"/>
              </w:rPr>
            </w:pPr>
            <w:r>
              <w:rPr>
                <w:rFonts w:cstheme="minorHAnsi"/>
                <w:sz w:val="18"/>
                <w:szCs w:val="18"/>
              </w:rPr>
              <w:t>1</w:t>
            </w:r>
          </w:p>
        </w:tc>
        <w:tc>
          <w:tcPr>
            <w:tcW w:w="1150" w:type="pct"/>
            <w:shd w:val="clear" w:color="auto" w:fill="auto"/>
          </w:tcPr>
          <w:p w:rsidR="003D3167" w:rsidRPr="0008475A" w:rsidRDefault="003D3167" w:rsidP="00D768FE">
            <w:pPr>
              <w:spacing w:before="100" w:beforeAutospacing="1"/>
              <w:rPr>
                <w:rFonts w:cstheme="minorHAnsi"/>
                <w:sz w:val="18"/>
                <w:szCs w:val="18"/>
              </w:rPr>
            </w:pPr>
            <w:r>
              <w:rPr>
                <w:rFonts w:cstheme="minorHAnsi"/>
                <w:sz w:val="18"/>
                <w:szCs w:val="18"/>
              </w:rPr>
              <w:t xml:space="preserve">The description of a fresh component at a high level (ie. whole blood, red cell, platelet, clinical fresh frozen plasma, cryoprecipitate, </w:t>
            </w:r>
            <w:proofErr w:type="spellStart"/>
            <w:r>
              <w:rPr>
                <w:rFonts w:cstheme="minorHAnsi"/>
                <w:bCs/>
                <w:color w:val="000000"/>
                <w:sz w:val="18"/>
              </w:rPr>
              <w:t>cryo</w:t>
            </w:r>
            <w:proofErr w:type="spellEnd"/>
            <w:r>
              <w:rPr>
                <w:rFonts w:cstheme="minorHAnsi"/>
                <w:bCs/>
                <w:color w:val="000000"/>
                <w:sz w:val="18"/>
              </w:rPr>
              <w:t>-depleted plasma, and other.</w:t>
            </w:r>
          </w:p>
        </w:tc>
        <w:tc>
          <w:tcPr>
            <w:tcW w:w="1476" w:type="pct"/>
          </w:tcPr>
          <w:p w:rsidR="003D3167" w:rsidRPr="0008475A" w:rsidRDefault="003D3167" w:rsidP="00D768FE">
            <w:pPr>
              <w:spacing w:before="100" w:beforeAutospacing="1"/>
              <w:rPr>
                <w:rFonts w:cstheme="minorHAnsi"/>
                <w:sz w:val="18"/>
                <w:szCs w:val="18"/>
              </w:rPr>
            </w:pPr>
          </w:p>
        </w:tc>
        <w:tc>
          <w:tcPr>
            <w:tcW w:w="1088" w:type="pct"/>
          </w:tcPr>
          <w:p w:rsidR="003D3167" w:rsidRPr="0008475A" w:rsidRDefault="00E83C8C" w:rsidP="00D768FE">
            <w:pPr>
              <w:spacing w:before="100" w:beforeAutospacing="1"/>
              <w:rPr>
                <w:rFonts w:cstheme="minorHAnsi"/>
                <w:sz w:val="18"/>
                <w:szCs w:val="18"/>
              </w:rPr>
            </w:pPr>
            <w:proofErr w:type="spellStart"/>
            <w:r>
              <w:rPr>
                <w:rFonts w:cstheme="minorHAnsi"/>
                <w:sz w:val="18"/>
                <w:szCs w:val="18"/>
              </w:rPr>
              <w:t>BloodNet_Reporting.dbo.ComponentGroup.ComponentGroupName</w:t>
            </w:r>
            <w:proofErr w:type="spellEnd"/>
            <w:r>
              <w:rPr>
                <w:rFonts w:cstheme="minorHAnsi"/>
                <w:sz w:val="18"/>
                <w:szCs w:val="18"/>
              </w:rPr>
              <w:t xml:space="preserve"> </w:t>
            </w:r>
          </w:p>
        </w:tc>
      </w:tr>
      <w:tr w:rsidR="003D3167" w:rsidTr="00D768FE">
        <w:tc>
          <w:tcPr>
            <w:tcW w:w="749" w:type="pct"/>
            <w:shd w:val="clear" w:color="auto" w:fill="auto"/>
          </w:tcPr>
          <w:p w:rsidR="003D3167" w:rsidRPr="0008475A" w:rsidRDefault="003D3167" w:rsidP="00D768FE">
            <w:pPr>
              <w:spacing w:before="100" w:beforeAutospacing="1"/>
              <w:rPr>
                <w:rFonts w:cstheme="minorHAnsi"/>
                <w:sz w:val="18"/>
                <w:szCs w:val="18"/>
              </w:rPr>
            </w:pPr>
            <w:r>
              <w:rPr>
                <w:rFonts w:cstheme="minorHAnsi"/>
                <w:sz w:val="18"/>
                <w:szCs w:val="18"/>
              </w:rPr>
              <w:t>Cost Group</w:t>
            </w:r>
          </w:p>
        </w:tc>
        <w:tc>
          <w:tcPr>
            <w:tcW w:w="537" w:type="pct"/>
          </w:tcPr>
          <w:p w:rsidR="003D3167" w:rsidRPr="0008475A" w:rsidRDefault="003D3167" w:rsidP="00D768FE">
            <w:pPr>
              <w:spacing w:before="100" w:beforeAutospacing="1"/>
              <w:rPr>
                <w:rFonts w:cstheme="minorHAnsi"/>
                <w:sz w:val="18"/>
                <w:szCs w:val="18"/>
              </w:rPr>
            </w:pPr>
            <w:r>
              <w:rPr>
                <w:rFonts w:cstheme="minorHAnsi"/>
                <w:sz w:val="18"/>
                <w:szCs w:val="18"/>
              </w:rPr>
              <w:t>2</w:t>
            </w:r>
            <w:r>
              <w:rPr>
                <w:rFonts w:cstheme="minorHAnsi"/>
                <w:sz w:val="18"/>
                <w:szCs w:val="18"/>
              </w:rPr>
              <w:br/>
            </w:r>
          </w:p>
        </w:tc>
        <w:tc>
          <w:tcPr>
            <w:tcW w:w="1150" w:type="pct"/>
            <w:shd w:val="clear" w:color="auto" w:fill="auto"/>
          </w:tcPr>
          <w:p w:rsidR="003D3167" w:rsidRPr="0008475A" w:rsidRDefault="003D3167" w:rsidP="00574787">
            <w:pPr>
              <w:spacing w:before="100" w:beforeAutospacing="1"/>
              <w:rPr>
                <w:rFonts w:cstheme="minorHAnsi"/>
                <w:sz w:val="18"/>
                <w:szCs w:val="18"/>
              </w:rPr>
            </w:pPr>
            <w:r>
              <w:rPr>
                <w:rFonts w:cstheme="minorHAnsi"/>
                <w:sz w:val="18"/>
                <w:szCs w:val="18"/>
              </w:rPr>
              <w:t xml:space="preserve">The description of a </w:t>
            </w:r>
            <w:r w:rsidR="00574787">
              <w:rPr>
                <w:rFonts w:cstheme="minorHAnsi"/>
                <w:sz w:val="18"/>
                <w:szCs w:val="18"/>
              </w:rPr>
              <w:t>cost group</w:t>
            </w:r>
            <w:r>
              <w:rPr>
                <w:rFonts w:cstheme="minorHAnsi"/>
                <w:sz w:val="18"/>
                <w:szCs w:val="18"/>
              </w:rPr>
              <w:t xml:space="preserve"> at a (detailed) low level (ie. 2b - WB Red Cell – </w:t>
            </w:r>
            <w:proofErr w:type="spellStart"/>
            <w:r>
              <w:rPr>
                <w:rFonts w:cstheme="minorHAnsi"/>
                <w:sz w:val="18"/>
                <w:szCs w:val="18"/>
              </w:rPr>
              <w:t>Leucodepleted</w:t>
            </w:r>
            <w:proofErr w:type="spellEnd"/>
            <w:r>
              <w:rPr>
                <w:rFonts w:cstheme="minorHAnsi"/>
                <w:sz w:val="18"/>
                <w:szCs w:val="18"/>
              </w:rPr>
              <w:t>, 2c - WB Red Cell – Buffy Coat Poor).</w:t>
            </w:r>
          </w:p>
        </w:tc>
        <w:tc>
          <w:tcPr>
            <w:tcW w:w="1476" w:type="pct"/>
          </w:tcPr>
          <w:p w:rsidR="003D3167" w:rsidRPr="0008475A" w:rsidRDefault="003D3167" w:rsidP="00D768FE">
            <w:pPr>
              <w:spacing w:before="100" w:beforeAutospacing="1"/>
              <w:rPr>
                <w:rFonts w:cstheme="minorHAnsi"/>
                <w:sz w:val="18"/>
                <w:szCs w:val="18"/>
              </w:rPr>
            </w:pPr>
          </w:p>
        </w:tc>
        <w:tc>
          <w:tcPr>
            <w:tcW w:w="1088" w:type="pct"/>
          </w:tcPr>
          <w:p w:rsidR="003D3167" w:rsidRDefault="00EA658E" w:rsidP="00D768FE">
            <w:pPr>
              <w:spacing w:before="100" w:beforeAutospacing="1"/>
              <w:rPr>
                <w:rFonts w:cstheme="minorHAnsi"/>
                <w:sz w:val="18"/>
                <w:szCs w:val="18"/>
              </w:rPr>
            </w:pPr>
            <w:proofErr w:type="spellStart"/>
            <w:r>
              <w:rPr>
                <w:rFonts w:cstheme="minorHAnsi"/>
                <w:sz w:val="18"/>
                <w:szCs w:val="18"/>
              </w:rPr>
              <w:t>ComponentCostGroup.GroupingCode</w:t>
            </w:r>
            <w:proofErr w:type="spellEnd"/>
          </w:p>
          <w:p w:rsidR="00EA658E" w:rsidRDefault="00EA658E" w:rsidP="00D768FE">
            <w:pPr>
              <w:spacing w:before="100" w:beforeAutospacing="1"/>
              <w:rPr>
                <w:rFonts w:cstheme="minorHAnsi"/>
                <w:sz w:val="18"/>
                <w:szCs w:val="18"/>
              </w:rPr>
            </w:pPr>
            <w:r>
              <w:rPr>
                <w:rFonts w:cstheme="minorHAnsi"/>
                <w:sz w:val="18"/>
                <w:szCs w:val="18"/>
              </w:rPr>
              <w:t>+</w:t>
            </w:r>
          </w:p>
          <w:p w:rsidR="00EA658E" w:rsidRPr="0008475A" w:rsidRDefault="00EA658E" w:rsidP="00D768FE">
            <w:pPr>
              <w:spacing w:before="100" w:beforeAutospacing="1"/>
              <w:rPr>
                <w:rFonts w:cstheme="minorHAnsi"/>
                <w:sz w:val="18"/>
                <w:szCs w:val="18"/>
              </w:rPr>
            </w:pPr>
            <w:proofErr w:type="spellStart"/>
            <w:r>
              <w:rPr>
                <w:rFonts w:cstheme="minorHAnsi"/>
                <w:sz w:val="18"/>
                <w:szCs w:val="18"/>
              </w:rPr>
              <w:t>ComponentCostGroup.Description</w:t>
            </w:r>
            <w:proofErr w:type="spellEnd"/>
          </w:p>
        </w:tc>
      </w:tr>
      <w:tr w:rsidR="003D3167" w:rsidRPr="00527A67" w:rsidTr="00D768FE">
        <w:tc>
          <w:tcPr>
            <w:tcW w:w="749" w:type="pct"/>
            <w:shd w:val="clear" w:color="auto" w:fill="auto"/>
          </w:tcPr>
          <w:p w:rsidR="003D3167" w:rsidRPr="0008475A" w:rsidRDefault="003D3167" w:rsidP="00D768FE">
            <w:pPr>
              <w:spacing w:before="100" w:beforeAutospacing="1"/>
              <w:rPr>
                <w:rFonts w:cstheme="minorHAnsi"/>
                <w:sz w:val="18"/>
                <w:szCs w:val="18"/>
              </w:rPr>
            </w:pPr>
            <w:r w:rsidRPr="0008475A">
              <w:rPr>
                <w:rFonts w:cstheme="minorHAnsi"/>
                <w:sz w:val="18"/>
                <w:szCs w:val="18"/>
              </w:rPr>
              <w:t xml:space="preserve">Issued </w:t>
            </w:r>
            <w:proofErr w:type="spellStart"/>
            <w:r w:rsidRPr="0008475A">
              <w:rPr>
                <w:rFonts w:cstheme="minorHAnsi"/>
                <w:sz w:val="18"/>
                <w:szCs w:val="18"/>
              </w:rPr>
              <w:t>Qty</w:t>
            </w:r>
            <w:proofErr w:type="spellEnd"/>
          </w:p>
        </w:tc>
        <w:tc>
          <w:tcPr>
            <w:tcW w:w="537" w:type="pct"/>
          </w:tcPr>
          <w:p w:rsidR="003D3167" w:rsidRPr="0008475A" w:rsidRDefault="003D3167" w:rsidP="00D768FE">
            <w:pPr>
              <w:spacing w:before="100" w:beforeAutospacing="1"/>
              <w:rPr>
                <w:rFonts w:cstheme="minorHAnsi"/>
                <w:sz w:val="18"/>
                <w:szCs w:val="18"/>
              </w:rPr>
            </w:pPr>
          </w:p>
        </w:tc>
        <w:tc>
          <w:tcPr>
            <w:tcW w:w="1150" w:type="pct"/>
            <w:shd w:val="clear" w:color="auto" w:fill="auto"/>
          </w:tcPr>
          <w:p w:rsidR="003D3167" w:rsidRPr="0008475A" w:rsidRDefault="003D3167" w:rsidP="00E816C7">
            <w:pPr>
              <w:spacing w:before="100" w:beforeAutospacing="1"/>
              <w:rPr>
                <w:rFonts w:cstheme="minorHAnsi"/>
                <w:sz w:val="18"/>
                <w:szCs w:val="18"/>
              </w:rPr>
            </w:pPr>
            <w:r>
              <w:rPr>
                <w:rFonts w:cstheme="minorHAnsi"/>
                <w:sz w:val="18"/>
                <w:szCs w:val="18"/>
              </w:rPr>
              <w:t>The number of units issued by the Blood Service Distribution Centre.</w:t>
            </w:r>
            <w:r>
              <w:rPr>
                <w:rFonts w:cstheme="minorHAnsi"/>
                <w:sz w:val="18"/>
                <w:szCs w:val="18"/>
              </w:rPr>
              <w:br/>
              <w:t xml:space="preserve">Note: Issued </w:t>
            </w:r>
            <w:proofErr w:type="spellStart"/>
            <w:r>
              <w:rPr>
                <w:rFonts w:cstheme="minorHAnsi"/>
                <w:sz w:val="18"/>
                <w:szCs w:val="18"/>
              </w:rPr>
              <w:t>Qty</w:t>
            </w:r>
            <w:proofErr w:type="spellEnd"/>
            <w:r>
              <w:rPr>
                <w:rFonts w:cstheme="minorHAnsi"/>
                <w:sz w:val="18"/>
                <w:szCs w:val="18"/>
              </w:rPr>
              <w:t xml:space="preserve"> does not take into account of transfers in/out quantities.</w:t>
            </w:r>
          </w:p>
        </w:tc>
        <w:tc>
          <w:tcPr>
            <w:tcW w:w="1476" w:type="pct"/>
          </w:tcPr>
          <w:p w:rsidR="003D3167" w:rsidRPr="0008475A" w:rsidRDefault="003D3167" w:rsidP="00D768FE">
            <w:pPr>
              <w:spacing w:after="0"/>
              <w:rPr>
                <w:rFonts w:cstheme="minorHAnsi"/>
                <w:noProof/>
                <w:sz w:val="18"/>
                <w:szCs w:val="18"/>
              </w:rPr>
            </w:pPr>
          </w:p>
        </w:tc>
        <w:tc>
          <w:tcPr>
            <w:tcW w:w="1088" w:type="pct"/>
          </w:tcPr>
          <w:p w:rsidR="003D3167" w:rsidRPr="0008475A" w:rsidRDefault="00EA658E" w:rsidP="00D768FE">
            <w:pPr>
              <w:spacing w:before="100" w:beforeAutospacing="1"/>
              <w:rPr>
                <w:rFonts w:cstheme="minorHAnsi"/>
                <w:noProof/>
                <w:sz w:val="18"/>
                <w:szCs w:val="18"/>
              </w:rPr>
            </w:pPr>
            <w:r>
              <w:rPr>
                <w:rFonts w:cstheme="minorHAnsi"/>
                <w:noProof/>
                <w:sz w:val="18"/>
                <w:szCs w:val="18"/>
              </w:rPr>
              <w:t>ConsignmentNoteLine.Qty</w:t>
            </w:r>
          </w:p>
        </w:tc>
      </w:tr>
      <w:tr w:rsidR="003D3167" w:rsidRPr="00527A67" w:rsidTr="00D768FE">
        <w:tc>
          <w:tcPr>
            <w:tcW w:w="749" w:type="pct"/>
            <w:shd w:val="clear" w:color="auto" w:fill="auto"/>
          </w:tcPr>
          <w:p w:rsidR="003D3167" w:rsidRPr="0008475A" w:rsidRDefault="003D3167" w:rsidP="00D768FE">
            <w:pPr>
              <w:spacing w:before="100" w:beforeAutospacing="1"/>
              <w:rPr>
                <w:rFonts w:cstheme="minorHAnsi"/>
                <w:sz w:val="18"/>
                <w:szCs w:val="18"/>
              </w:rPr>
            </w:pPr>
            <w:r>
              <w:rPr>
                <w:rFonts w:cstheme="minorHAnsi"/>
                <w:sz w:val="18"/>
                <w:szCs w:val="18"/>
              </w:rPr>
              <w:t xml:space="preserve">Transfer In </w:t>
            </w:r>
            <w:proofErr w:type="spellStart"/>
            <w:r>
              <w:rPr>
                <w:rFonts w:cstheme="minorHAnsi"/>
                <w:sz w:val="18"/>
                <w:szCs w:val="18"/>
              </w:rPr>
              <w:t>Qty</w:t>
            </w:r>
            <w:proofErr w:type="spellEnd"/>
          </w:p>
        </w:tc>
        <w:tc>
          <w:tcPr>
            <w:tcW w:w="537" w:type="pct"/>
          </w:tcPr>
          <w:p w:rsidR="003D3167" w:rsidRPr="0008475A" w:rsidRDefault="003D3167" w:rsidP="00D768FE">
            <w:pPr>
              <w:spacing w:before="100" w:beforeAutospacing="1"/>
              <w:rPr>
                <w:rFonts w:cstheme="minorHAnsi"/>
                <w:sz w:val="18"/>
                <w:szCs w:val="18"/>
              </w:rPr>
            </w:pPr>
          </w:p>
        </w:tc>
        <w:tc>
          <w:tcPr>
            <w:tcW w:w="1150" w:type="pct"/>
            <w:shd w:val="clear" w:color="auto" w:fill="auto"/>
          </w:tcPr>
          <w:p w:rsidR="003D3167" w:rsidRDefault="003D3167" w:rsidP="00D768FE">
            <w:pPr>
              <w:spacing w:before="100" w:beforeAutospacing="1"/>
              <w:rPr>
                <w:rFonts w:cstheme="minorHAnsi"/>
                <w:sz w:val="18"/>
                <w:szCs w:val="18"/>
              </w:rPr>
            </w:pPr>
            <w:r>
              <w:rPr>
                <w:rFonts w:cstheme="minorHAnsi"/>
                <w:sz w:val="18"/>
                <w:szCs w:val="18"/>
              </w:rPr>
              <w:t>The number of units transferred into the selected Health Provider from other Health Providers.</w:t>
            </w:r>
          </w:p>
        </w:tc>
        <w:tc>
          <w:tcPr>
            <w:tcW w:w="1476" w:type="pct"/>
          </w:tcPr>
          <w:p w:rsidR="003D3167" w:rsidRPr="000D370F" w:rsidRDefault="003D3167" w:rsidP="00D768FE">
            <w:pPr>
              <w:spacing w:after="0"/>
              <w:rPr>
                <w:sz w:val="18"/>
                <w:szCs w:val="18"/>
              </w:rPr>
            </w:pPr>
          </w:p>
        </w:tc>
        <w:tc>
          <w:tcPr>
            <w:tcW w:w="1088" w:type="pct"/>
          </w:tcPr>
          <w:p w:rsidR="003D3167" w:rsidRPr="0008475A" w:rsidRDefault="00EA658E" w:rsidP="00D768FE">
            <w:pPr>
              <w:spacing w:before="100" w:beforeAutospacing="1"/>
              <w:rPr>
                <w:rFonts w:cstheme="minorHAnsi"/>
                <w:noProof/>
                <w:sz w:val="18"/>
                <w:szCs w:val="18"/>
              </w:rPr>
            </w:pPr>
            <w:r>
              <w:rPr>
                <w:rFonts w:cstheme="minorHAnsi"/>
                <w:noProof/>
                <w:sz w:val="18"/>
                <w:szCs w:val="18"/>
              </w:rPr>
              <w:t>ConsignmentNoteLine.Qty</w:t>
            </w:r>
          </w:p>
        </w:tc>
      </w:tr>
      <w:tr w:rsidR="003D3167" w:rsidRPr="00527A67" w:rsidTr="00D768FE">
        <w:tc>
          <w:tcPr>
            <w:tcW w:w="749" w:type="pct"/>
            <w:shd w:val="clear" w:color="auto" w:fill="auto"/>
          </w:tcPr>
          <w:p w:rsidR="003D3167" w:rsidRPr="0008475A" w:rsidRDefault="003D3167" w:rsidP="00D768FE">
            <w:pPr>
              <w:spacing w:before="100" w:beforeAutospacing="1"/>
              <w:rPr>
                <w:rFonts w:cstheme="minorHAnsi"/>
                <w:sz w:val="18"/>
                <w:szCs w:val="18"/>
              </w:rPr>
            </w:pPr>
            <w:r>
              <w:rPr>
                <w:rFonts w:cstheme="minorHAnsi"/>
                <w:sz w:val="18"/>
                <w:szCs w:val="18"/>
              </w:rPr>
              <w:t xml:space="preserve">Transfer Out </w:t>
            </w:r>
            <w:proofErr w:type="spellStart"/>
            <w:r>
              <w:rPr>
                <w:rFonts w:cstheme="minorHAnsi"/>
                <w:sz w:val="18"/>
                <w:szCs w:val="18"/>
              </w:rPr>
              <w:t>Qty</w:t>
            </w:r>
            <w:proofErr w:type="spellEnd"/>
          </w:p>
        </w:tc>
        <w:tc>
          <w:tcPr>
            <w:tcW w:w="537" w:type="pct"/>
          </w:tcPr>
          <w:p w:rsidR="003D3167" w:rsidRPr="0008475A" w:rsidRDefault="003D3167" w:rsidP="00D768FE">
            <w:pPr>
              <w:spacing w:before="100" w:beforeAutospacing="1"/>
              <w:rPr>
                <w:rFonts w:cstheme="minorHAnsi"/>
                <w:sz w:val="18"/>
                <w:szCs w:val="18"/>
              </w:rPr>
            </w:pPr>
          </w:p>
        </w:tc>
        <w:tc>
          <w:tcPr>
            <w:tcW w:w="1150" w:type="pct"/>
            <w:shd w:val="clear" w:color="auto" w:fill="auto"/>
          </w:tcPr>
          <w:p w:rsidR="003D3167" w:rsidRDefault="003D3167" w:rsidP="00D768FE">
            <w:pPr>
              <w:spacing w:before="100" w:beforeAutospacing="1"/>
              <w:rPr>
                <w:rFonts w:cstheme="minorHAnsi"/>
                <w:sz w:val="18"/>
                <w:szCs w:val="18"/>
              </w:rPr>
            </w:pPr>
            <w:r>
              <w:rPr>
                <w:rFonts w:cstheme="minorHAnsi"/>
                <w:sz w:val="18"/>
                <w:szCs w:val="18"/>
              </w:rPr>
              <w:t xml:space="preserve">The number of units transferred out of the selected Health Provider to other Health Providers/Blood Service Distribution Centre or </w:t>
            </w:r>
            <w:r>
              <w:rPr>
                <w:rFonts w:cstheme="minorHAnsi"/>
                <w:sz w:val="18"/>
                <w:szCs w:val="18"/>
              </w:rPr>
              <w:lastRenderedPageBreak/>
              <w:t>Custom Locations</w:t>
            </w:r>
          </w:p>
        </w:tc>
        <w:tc>
          <w:tcPr>
            <w:tcW w:w="1476" w:type="pct"/>
          </w:tcPr>
          <w:p w:rsidR="003D3167" w:rsidRPr="000D370F" w:rsidRDefault="003D3167" w:rsidP="00D768FE">
            <w:pPr>
              <w:spacing w:before="100" w:beforeAutospacing="1"/>
              <w:rPr>
                <w:sz w:val="18"/>
                <w:szCs w:val="18"/>
              </w:rPr>
            </w:pPr>
          </w:p>
        </w:tc>
        <w:tc>
          <w:tcPr>
            <w:tcW w:w="1088" w:type="pct"/>
          </w:tcPr>
          <w:p w:rsidR="003D3167" w:rsidRPr="000D370F" w:rsidRDefault="00EA658E" w:rsidP="00D768FE">
            <w:pPr>
              <w:spacing w:after="0"/>
              <w:rPr>
                <w:sz w:val="18"/>
                <w:szCs w:val="18"/>
              </w:rPr>
            </w:pPr>
            <w:r>
              <w:rPr>
                <w:rFonts w:cstheme="minorHAnsi"/>
                <w:noProof/>
                <w:sz w:val="18"/>
                <w:szCs w:val="18"/>
              </w:rPr>
              <w:t>ConsignmentNoteLine.Qty</w:t>
            </w:r>
          </w:p>
        </w:tc>
      </w:tr>
      <w:tr w:rsidR="003D3167" w:rsidRPr="00527A67" w:rsidTr="00D768FE">
        <w:tc>
          <w:tcPr>
            <w:tcW w:w="749" w:type="pct"/>
            <w:shd w:val="clear" w:color="auto" w:fill="auto"/>
          </w:tcPr>
          <w:p w:rsidR="003D3167" w:rsidRPr="0008475A" w:rsidRDefault="003D3167" w:rsidP="00D768FE">
            <w:pPr>
              <w:spacing w:before="100" w:beforeAutospacing="1"/>
              <w:rPr>
                <w:rFonts w:cstheme="minorHAnsi"/>
                <w:sz w:val="18"/>
                <w:szCs w:val="18"/>
              </w:rPr>
            </w:pPr>
            <w:r>
              <w:rPr>
                <w:rFonts w:cstheme="minorHAnsi"/>
                <w:sz w:val="18"/>
                <w:szCs w:val="18"/>
              </w:rPr>
              <w:lastRenderedPageBreak/>
              <w:t>Net Issued</w:t>
            </w:r>
          </w:p>
        </w:tc>
        <w:tc>
          <w:tcPr>
            <w:tcW w:w="537" w:type="pct"/>
          </w:tcPr>
          <w:p w:rsidR="003D3167" w:rsidRPr="0008475A" w:rsidRDefault="003D3167" w:rsidP="00D768FE">
            <w:pPr>
              <w:spacing w:before="100" w:beforeAutospacing="1"/>
              <w:rPr>
                <w:rFonts w:cstheme="minorHAnsi"/>
                <w:sz w:val="18"/>
                <w:szCs w:val="18"/>
              </w:rPr>
            </w:pPr>
          </w:p>
        </w:tc>
        <w:tc>
          <w:tcPr>
            <w:tcW w:w="1150" w:type="pct"/>
            <w:shd w:val="clear" w:color="auto" w:fill="auto"/>
          </w:tcPr>
          <w:p w:rsidR="003D3167" w:rsidRDefault="003D3167" w:rsidP="00E816C7">
            <w:pPr>
              <w:spacing w:before="100" w:beforeAutospacing="1"/>
              <w:rPr>
                <w:rFonts w:cstheme="minorHAnsi"/>
                <w:sz w:val="18"/>
                <w:szCs w:val="18"/>
              </w:rPr>
            </w:pPr>
            <w:r>
              <w:rPr>
                <w:rFonts w:cstheme="minorHAnsi"/>
                <w:sz w:val="18"/>
                <w:szCs w:val="18"/>
              </w:rPr>
              <w:t>The number of units issued taking into account of the transfers in/out quantities.</w:t>
            </w:r>
          </w:p>
        </w:tc>
        <w:tc>
          <w:tcPr>
            <w:tcW w:w="1476" w:type="pct"/>
          </w:tcPr>
          <w:p w:rsidR="003D3167" w:rsidRPr="000D370F" w:rsidRDefault="003D3167" w:rsidP="00D768FE">
            <w:pPr>
              <w:spacing w:before="100" w:beforeAutospacing="1"/>
              <w:rPr>
                <w:sz w:val="18"/>
                <w:szCs w:val="18"/>
              </w:rPr>
            </w:pPr>
            <w:r>
              <w:rPr>
                <w:sz w:val="18"/>
                <w:szCs w:val="18"/>
              </w:rPr>
              <w:t>Net Issued</w:t>
            </w:r>
            <w:r w:rsidRPr="000D370F">
              <w:rPr>
                <w:sz w:val="18"/>
                <w:szCs w:val="18"/>
              </w:rPr>
              <w:t xml:space="preserve"> = Issues + Transfers IN – Transfers OUT</w:t>
            </w:r>
          </w:p>
        </w:tc>
        <w:tc>
          <w:tcPr>
            <w:tcW w:w="1088" w:type="pct"/>
          </w:tcPr>
          <w:p w:rsidR="003D3167" w:rsidRPr="000D370F" w:rsidRDefault="004035B8" w:rsidP="00D768FE">
            <w:pPr>
              <w:spacing w:after="0"/>
              <w:rPr>
                <w:sz w:val="18"/>
                <w:szCs w:val="18"/>
              </w:rPr>
            </w:pPr>
            <w:r>
              <w:rPr>
                <w:sz w:val="18"/>
                <w:szCs w:val="18"/>
              </w:rPr>
              <w:t>Calculated using fields above</w:t>
            </w:r>
          </w:p>
        </w:tc>
      </w:tr>
      <w:tr w:rsidR="003D3167" w:rsidRPr="00527A67" w:rsidTr="00D768FE">
        <w:tc>
          <w:tcPr>
            <w:tcW w:w="749" w:type="pct"/>
            <w:shd w:val="clear" w:color="auto" w:fill="auto"/>
          </w:tcPr>
          <w:p w:rsidR="003D3167" w:rsidRPr="0008475A" w:rsidRDefault="003D3167" w:rsidP="00D768FE">
            <w:pPr>
              <w:spacing w:before="100" w:beforeAutospacing="1"/>
              <w:rPr>
                <w:rFonts w:cstheme="minorHAnsi"/>
                <w:sz w:val="18"/>
                <w:szCs w:val="18"/>
              </w:rPr>
            </w:pPr>
            <w:r w:rsidRPr="0008475A">
              <w:rPr>
                <w:rFonts w:cstheme="minorHAnsi"/>
                <w:sz w:val="18"/>
                <w:szCs w:val="18"/>
              </w:rPr>
              <w:t xml:space="preserve">Discard </w:t>
            </w:r>
            <w:proofErr w:type="spellStart"/>
            <w:r w:rsidRPr="0008475A">
              <w:rPr>
                <w:rFonts w:cstheme="minorHAnsi"/>
                <w:sz w:val="18"/>
                <w:szCs w:val="18"/>
              </w:rPr>
              <w:t>Qty</w:t>
            </w:r>
            <w:proofErr w:type="spellEnd"/>
          </w:p>
        </w:tc>
        <w:tc>
          <w:tcPr>
            <w:tcW w:w="537" w:type="pct"/>
          </w:tcPr>
          <w:p w:rsidR="003D3167" w:rsidRPr="0008475A" w:rsidRDefault="003D3167" w:rsidP="00D768FE">
            <w:pPr>
              <w:spacing w:before="100" w:beforeAutospacing="1"/>
              <w:rPr>
                <w:rFonts w:cstheme="minorHAnsi"/>
                <w:sz w:val="18"/>
                <w:szCs w:val="18"/>
              </w:rPr>
            </w:pPr>
          </w:p>
        </w:tc>
        <w:tc>
          <w:tcPr>
            <w:tcW w:w="1150" w:type="pct"/>
            <w:shd w:val="clear" w:color="auto" w:fill="auto"/>
          </w:tcPr>
          <w:p w:rsidR="003D3167" w:rsidRDefault="003D3167" w:rsidP="00E816C7">
            <w:pPr>
              <w:spacing w:before="100" w:beforeAutospacing="1"/>
              <w:rPr>
                <w:rFonts w:cstheme="minorHAnsi"/>
                <w:sz w:val="18"/>
                <w:szCs w:val="18"/>
              </w:rPr>
            </w:pPr>
            <w:r>
              <w:rPr>
                <w:rFonts w:cstheme="minorHAnsi"/>
                <w:sz w:val="18"/>
                <w:szCs w:val="18"/>
              </w:rPr>
              <w:t>The number of units discarded by the Health Provider.</w:t>
            </w:r>
          </w:p>
        </w:tc>
        <w:tc>
          <w:tcPr>
            <w:tcW w:w="1476" w:type="pct"/>
          </w:tcPr>
          <w:p w:rsidR="003D3167" w:rsidRPr="000D370F" w:rsidRDefault="003D3167" w:rsidP="00D768FE">
            <w:pPr>
              <w:spacing w:before="100" w:beforeAutospacing="1"/>
              <w:rPr>
                <w:sz w:val="18"/>
                <w:szCs w:val="18"/>
              </w:rPr>
            </w:pPr>
          </w:p>
        </w:tc>
        <w:tc>
          <w:tcPr>
            <w:tcW w:w="1088" w:type="pct"/>
          </w:tcPr>
          <w:p w:rsidR="003D3167" w:rsidRPr="000D370F" w:rsidRDefault="00EA658E" w:rsidP="00D768FE">
            <w:pPr>
              <w:spacing w:after="0"/>
              <w:rPr>
                <w:sz w:val="18"/>
                <w:szCs w:val="18"/>
              </w:rPr>
            </w:pPr>
            <w:r>
              <w:rPr>
                <w:rFonts w:cstheme="minorHAnsi"/>
                <w:noProof/>
                <w:sz w:val="18"/>
                <w:szCs w:val="18"/>
              </w:rPr>
              <w:t>ConsignmentNoteLine.Qty</w:t>
            </w:r>
          </w:p>
        </w:tc>
      </w:tr>
      <w:tr w:rsidR="002B5722" w:rsidRPr="00527A67" w:rsidTr="00D768FE">
        <w:tc>
          <w:tcPr>
            <w:tcW w:w="749" w:type="pct"/>
            <w:shd w:val="clear" w:color="auto" w:fill="auto"/>
          </w:tcPr>
          <w:p w:rsidR="002B5722" w:rsidRPr="0008475A" w:rsidRDefault="002B5722" w:rsidP="00D768FE">
            <w:pPr>
              <w:spacing w:before="100" w:beforeAutospacing="1"/>
              <w:rPr>
                <w:rFonts w:cstheme="minorHAnsi"/>
                <w:sz w:val="18"/>
                <w:szCs w:val="18"/>
              </w:rPr>
            </w:pPr>
            <w:r>
              <w:rPr>
                <w:rFonts w:cstheme="minorHAnsi"/>
                <w:sz w:val="18"/>
                <w:szCs w:val="18"/>
              </w:rPr>
              <w:t>Discard Cost</w:t>
            </w:r>
          </w:p>
        </w:tc>
        <w:tc>
          <w:tcPr>
            <w:tcW w:w="537" w:type="pct"/>
          </w:tcPr>
          <w:p w:rsidR="002B5722" w:rsidRPr="0008475A" w:rsidRDefault="002B5722" w:rsidP="00D768FE">
            <w:pPr>
              <w:spacing w:before="100" w:beforeAutospacing="1"/>
              <w:rPr>
                <w:rFonts w:cstheme="minorHAnsi"/>
                <w:sz w:val="18"/>
                <w:szCs w:val="18"/>
              </w:rPr>
            </w:pPr>
          </w:p>
        </w:tc>
        <w:tc>
          <w:tcPr>
            <w:tcW w:w="1150" w:type="pct"/>
            <w:shd w:val="clear" w:color="auto" w:fill="auto"/>
          </w:tcPr>
          <w:p w:rsidR="002B5722" w:rsidRDefault="002B5722" w:rsidP="002B5722">
            <w:pPr>
              <w:spacing w:before="100" w:beforeAutospacing="1"/>
              <w:rPr>
                <w:rFonts w:cstheme="minorHAnsi"/>
                <w:sz w:val="18"/>
                <w:szCs w:val="18"/>
              </w:rPr>
            </w:pPr>
            <w:r>
              <w:rPr>
                <w:rFonts w:cstheme="minorHAnsi"/>
                <w:sz w:val="18"/>
                <w:szCs w:val="18"/>
              </w:rPr>
              <w:t xml:space="preserve">The cost of discard for each cost group; or the total cost of discards for a component group (ie. sum of all the discard costs for all cost groups). </w:t>
            </w:r>
          </w:p>
        </w:tc>
        <w:tc>
          <w:tcPr>
            <w:tcW w:w="1476" w:type="pct"/>
          </w:tcPr>
          <w:p w:rsidR="002B5722" w:rsidRDefault="002B5722" w:rsidP="00D768FE">
            <w:pPr>
              <w:spacing w:before="100" w:beforeAutospacing="1"/>
              <w:rPr>
                <w:sz w:val="18"/>
                <w:szCs w:val="18"/>
              </w:rPr>
            </w:pPr>
            <w:r>
              <w:rPr>
                <w:sz w:val="18"/>
                <w:szCs w:val="18"/>
              </w:rPr>
              <w:t>Di</w:t>
            </w:r>
            <w:r w:rsidR="00E816C7">
              <w:rPr>
                <w:sz w:val="18"/>
                <w:szCs w:val="18"/>
              </w:rPr>
              <w:t>scard Cost for each Cost group:</w:t>
            </w:r>
            <w:r>
              <w:rPr>
                <w:sz w:val="18"/>
                <w:szCs w:val="18"/>
              </w:rPr>
              <w:t xml:space="preserve"> Discard </w:t>
            </w:r>
            <w:proofErr w:type="spellStart"/>
            <w:r>
              <w:rPr>
                <w:sz w:val="18"/>
                <w:szCs w:val="18"/>
              </w:rPr>
              <w:t>Qty</w:t>
            </w:r>
            <w:proofErr w:type="spellEnd"/>
            <w:r>
              <w:rPr>
                <w:sz w:val="18"/>
                <w:szCs w:val="18"/>
              </w:rPr>
              <w:t xml:space="preserve">  x Unit Cost</w:t>
            </w:r>
          </w:p>
          <w:p w:rsidR="002B5722" w:rsidRDefault="002B5722" w:rsidP="00D768FE">
            <w:pPr>
              <w:spacing w:before="100" w:beforeAutospacing="1"/>
              <w:rPr>
                <w:sz w:val="18"/>
                <w:szCs w:val="18"/>
              </w:rPr>
            </w:pPr>
            <w:r>
              <w:rPr>
                <w:sz w:val="18"/>
                <w:szCs w:val="18"/>
              </w:rPr>
              <w:t>Di</w:t>
            </w:r>
            <w:r w:rsidR="00E816C7">
              <w:rPr>
                <w:sz w:val="18"/>
                <w:szCs w:val="18"/>
              </w:rPr>
              <w:t>scard Cost for Component group:</w:t>
            </w:r>
            <w:r w:rsidR="00E816C7">
              <w:rPr>
                <w:sz w:val="18"/>
                <w:szCs w:val="18"/>
              </w:rPr>
              <w:br/>
            </w:r>
            <w:r w:rsidRPr="000D370F">
              <w:rPr>
                <w:sz w:val="18"/>
                <w:szCs w:val="18"/>
              </w:rPr>
              <w:t>∑ ( Discard</w:t>
            </w:r>
            <w:r>
              <w:rPr>
                <w:sz w:val="18"/>
                <w:szCs w:val="18"/>
              </w:rPr>
              <w:t xml:space="preserve"> Cost) for all Cost groups for this particular Component.</w:t>
            </w:r>
          </w:p>
          <w:p w:rsidR="002B5722" w:rsidRPr="000D370F" w:rsidRDefault="002B5722" w:rsidP="00D768FE">
            <w:pPr>
              <w:spacing w:before="100" w:beforeAutospacing="1"/>
              <w:rPr>
                <w:sz w:val="18"/>
                <w:szCs w:val="18"/>
              </w:rPr>
            </w:pPr>
            <w:r>
              <w:rPr>
                <w:sz w:val="18"/>
                <w:szCs w:val="18"/>
              </w:rPr>
              <w:t xml:space="preserve">Note: The unit cost is based on the </w:t>
            </w:r>
            <w:r w:rsidR="008C63B7">
              <w:rPr>
                <w:sz w:val="18"/>
                <w:szCs w:val="18"/>
              </w:rPr>
              <w:t>cost at the time the component/cost group is issued, not when it is discarded.</w:t>
            </w:r>
          </w:p>
        </w:tc>
        <w:tc>
          <w:tcPr>
            <w:tcW w:w="1088" w:type="pct"/>
          </w:tcPr>
          <w:p w:rsidR="002B5722" w:rsidRPr="000D370F" w:rsidRDefault="00EA658E" w:rsidP="00D768FE">
            <w:pPr>
              <w:spacing w:after="0"/>
              <w:rPr>
                <w:sz w:val="18"/>
                <w:szCs w:val="18"/>
              </w:rPr>
            </w:pPr>
            <w:proofErr w:type="spellStart"/>
            <w:r>
              <w:rPr>
                <w:sz w:val="18"/>
                <w:szCs w:val="18"/>
              </w:rPr>
              <w:t>ComponentUnitCost.PublishedPrice</w:t>
            </w:r>
            <w:proofErr w:type="spellEnd"/>
          </w:p>
        </w:tc>
      </w:tr>
      <w:tr w:rsidR="003D3167" w:rsidRPr="00527A67" w:rsidTr="00D768FE">
        <w:tc>
          <w:tcPr>
            <w:tcW w:w="749" w:type="pct"/>
            <w:shd w:val="clear" w:color="auto" w:fill="auto"/>
          </w:tcPr>
          <w:p w:rsidR="003D3167" w:rsidRPr="0008475A" w:rsidRDefault="003D3167" w:rsidP="00D768FE">
            <w:pPr>
              <w:spacing w:before="100" w:beforeAutospacing="1"/>
              <w:rPr>
                <w:rFonts w:cstheme="minorHAnsi"/>
                <w:sz w:val="18"/>
                <w:szCs w:val="18"/>
              </w:rPr>
            </w:pPr>
            <w:proofErr w:type="spellStart"/>
            <w:r w:rsidRPr="0008475A">
              <w:rPr>
                <w:rFonts w:cstheme="minorHAnsi"/>
                <w:sz w:val="18"/>
                <w:szCs w:val="18"/>
              </w:rPr>
              <w:t>DAPI</w:t>
            </w:r>
            <w:proofErr w:type="spellEnd"/>
          </w:p>
        </w:tc>
        <w:tc>
          <w:tcPr>
            <w:tcW w:w="537" w:type="pct"/>
          </w:tcPr>
          <w:p w:rsidR="003D3167" w:rsidRPr="0008475A" w:rsidRDefault="003D3167" w:rsidP="00D768FE">
            <w:pPr>
              <w:spacing w:before="100" w:beforeAutospacing="1"/>
              <w:rPr>
                <w:rFonts w:cstheme="minorHAnsi"/>
                <w:sz w:val="18"/>
                <w:szCs w:val="18"/>
              </w:rPr>
            </w:pPr>
          </w:p>
        </w:tc>
        <w:tc>
          <w:tcPr>
            <w:tcW w:w="1150" w:type="pct"/>
            <w:shd w:val="clear" w:color="auto" w:fill="auto"/>
          </w:tcPr>
          <w:p w:rsidR="003D3167" w:rsidRPr="0008475A" w:rsidRDefault="003D3167" w:rsidP="00D768FE">
            <w:pPr>
              <w:spacing w:before="100" w:beforeAutospacing="1"/>
              <w:rPr>
                <w:rFonts w:cstheme="minorHAnsi"/>
                <w:sz w:val="18"/>
                <w:szCs w:val="18"/>
              </w:rPr>
            </w:pPr>
            <w:r>
              <w:rPr>
                <w:rFonts w:cstheme="minorHAnsi"/>
                <w:sz w:val="18"/>
                <w:szCs w:val="18"/>
              </w:rPr>
              <w:t>The number of Discards As a Percentage of Issued (</w:t>
            </w:r>
            <w:proofErr w:type="spellStart"/>
            <w:r>
              <w:rPr>
                <w:rFonts w:cstheme="minorHAnsi"/>
                <w:sz w:val="18"/>
                <w:szCs w:val="18"/>
              </w:rPr>
              <w:t>DAPI</w:t>
            </w:r>
            <w:proofErr w:type="spellEnd"/>
            <w:r>
              <w:rPr>
                <w:rFonts w:cstheme="minorHAnsi"/>
                <w:sz w:val="18"/>
                <w:szCs w:val="18"/>
              </w:rPr>
              <w:t>) for the Health Provider.</w:t>
            </w:r>
            <w:r>
              <w:rPr>
                <w:rFonts w:cstheme="minorHAnsi"/>
                <w:sz w:val="18"/>
                <w:szCs w:val="18"/>
              </w:rPr>
              <w:br/>
              <w:t>This is based on the reporting period.</w:t>
            </w:r>
          </w:p>
        </w:tc>
        <w:tc>
          <w:tcPr>
            <w:tcW w:w="1476" w:type="pct"/>
          </w:tcPr>
          <w:p w:rsidR="003D3167" w:rsidRPr="000D370F" w:rsidRDefault="00E816C7" w:rsidP="00D768FE">
            <w:pPr>
              <w:spacing w:before="100" w:beforeAutospacing="1"/>
              <w:rPr>
                <w:rFonts w:cstheme="minorHAnsi"/>
                <w:noProof/>
                <w:sz w:val="18"/>
                <w:szCs w:val="18"/>
              </w:rPr>
            </w:pPr>
            <w:proofErr w:type="spellStart"/>
            <w:r>
              <w:rPr>
                <w:sz w:val="18"/>
                <w:szCs w:val="18"/>
              </w:rPr>
              <w:t>DAPI</w:t>
            </w:r>
            <w:proofErr w:type="spellEnd"/>
            <w:r>
              <w:rPr>
                <w:sz w:val="18"/>
                <w:szCs w:val="18"/>
              </w:rPr>
              <w:t xml:space="preserve"> for Component group:</w:t>
            </w:r>
            <w:r>
              <w:rPr>
                <w:sz w:val="18"/>
                <w:szCs w:val="18"/>
              </w:rPr>
              <w:br/>
            </w:r>
            <w:r w:rsidR="003D3167" w:rsidRPr="000D370F">
              <w:rPr>
                <w:sz w:val="18"/>
                <w:szCs w:val="18"/>
              </w:rPr>
              <w:t xml:space="preserve">∑ ( </w:t>
            </w:r>
            <w:proofErr w:type="spellStart"/>
            <w:r w:rsidR="003D3167" w:rsidRPr="000D370F">
              <w:rPr>
                <w:sz w:val="18"/>
                <w:szCs w:val="18"/>
              </w:rPr>
              <w:t>DiscardQty</w:t>
            </w:r>
            <w:proofErr w:type="spellEnd"/>
            <w:r w:rsidR="003D3167" w:rsidRPr="000D370F">
              <w:rPr>
                <w:sz w:val="18"/>
                <w:szCs w:val="18"/>
              </w:rPr>
              <w:t xml:space="preserve"> ) / ∑ (</w:t>
            </w:r>
            <w:r w:rsidR="003D3167">
              <w:rPr>
                <w:sz w:val="18"/>
                <w:szCs w:val="18"/>
              </w:rPr>
              <w:t xml:space="preserve">Net </w:t>
            </w:r>
            <w:proofErr w:type="spellStart"/>
            <w:r w:rsidR="003D3167" w:rsidRPr="000D370F">
              <w:rPr>
                <w:sz w:val="18"/>
                <w:szCs w:val="18"/>
              </w:rPr>
              <w:t>Issue</w:t>
            </w:r>
            <w:r w:rsidR="003D3167">
              <w:rPr>
                <w:sz w:val="18"/>
                <w:szCs w:val="18"/>
              </w:rPr>
              <w:t>d</w:t>
            </w:r>
            <w:r w:rsidR="003D3167" w:rsidRPr="000D370F">
              <w:rPr>
                <w:sz w:val="18"/>
                <w:szCs w:val="18"/>
              </w:rPr>
              <w:t>Qty</w:t>
            </w:r>
            <w:proofErr w:type="spellEnd"/>
            <w:r w:rsidR="003D3167" w:rsidRPr="000D370F">
              <w:rPr>
                <w:sz w:val="18"/>
                <w:szCs w:val="18"/>
              </w:rPr>
              <w:t>) x 100</w:t>
            </w:r>
            <w:r>
              <w:rPr>
                <w:sz w:val="18"/>
                <w:szCs w:val="18"/>
              </w:rPr>
              <w:br/>
            </w:r>
            <w:r>
              <w:rPr>
                <w:sz w:val="18"/>
                <w:szCs w:val="18"/>
              </w:rPr>
              <w:br/>
            </w:r>
            <w:proofErr w:type="spellStart"/>
            <w:r>
              <w:rPr>
                <w:sz w:val="18"/>
                <w:szCs w:val="18"/>
              </w:rPr>
              <w:t>DAPI</w:t>
            </w:r>
            <w:proofErr w:type="spellEnd"/>
            <w:r>
              <w:rPr>
                <w:sz w:val="18"/>
                <w:szCs w:val="18"/>
              </w:rPr>
              <w:t xml:space="preserve"> for each Cost group:</w:t>
            </w:r>
            <w:r>
              <w:rPr>
                <w:sz w:val="18"/>
                <w:szCs w:val="18"/>
              </w:rPr>
              <w:br/>
              <w:t xml:space="preserve">( </w:t>
            </w:r>
            <w:proofErr w:type="spellStart"/>
            <w:r>
              <w:rPr>
                <w:sz w:val="18"/>
                <w:szCs w:val="18"/>
              </w:rPr>
              <w:t>DiscardQty</w:t>
            </w:r>
            <w:proofErr w:type="spellEnd"/>
            <w:r>
              <w:rPr>
                <w:sz w:val="18"/>
                <w:szCs w:val="18"/>
              </w:rPr>
              <w:t xml:space="preserve"> ) /</w:t>
            </w:r>
            <w:r w:rsidRPr="000D370F">
              <w:rPr>
                <w:sz w:val="18"/>
                <w:szCs w:val="18"/>
              </w:rPr>
              <w:t xml:space="preserve"> (</w:t>
            </w:r>
            <w:r>
              <w:rPr>
                <w:sz w:val="18"/>
                <w:szCs w:val="18"/>
              </w:rPr>
              <w:t xml:space="preserve">Net </w:t>
            </w:r>
            <w:proofErr w:type="spellStart"/>
            <w:r w:rsidRPr="000D370F">
              <w:rPr>
                <w:sz w:val="18"/>
                <w:szCs w:val="18"/>
              </w:rPr>
              <w:t>Issue</w:t>
            </w:r>
            <w:r>
              <w:rPr>
                <w:sz w:val="18"/>
                <w:szCs w:val="18"/>
              </w:rPr>
              <w:t>d</w:t>
            </w:r>
            <w:r w:rsidRPr="000D370F">
              <w:rPr>
                <w:sz w:val="18"/>
                <w:szCs w:val="18"/>
              </w:rPr>
              <w:t>Qty</w:t>
            </w:r>
            <w:proofErr w:type="spellEnd"/>
            <w:r w:rsidRPr="000D370F">
              <w:rPr>
                <w:sz w:val="18"/>
                <w:szCs w:val="18"/>
              </w:rPr>
              <w:t>) x 100</w:t>
            </w:r>
          </w:p>
        </w:tc>
        <w:tc>
          <w:tcPr>
            <w:tcW w:w="1088" w:type="pct"/>
          </w:tcPr>
          <w:p w:rsidR="003D3167" w:rsidRPr="000D370F" w:rsidRDefault="003D3167" w:rsidP="00D768FE">
            <w:pPr>
              <w:spacing w:before="100" w:beforeAutospacing="1"/>
              <w:rPr>
                <w:rFonts w:cstheme="minorHAnsi"/>
                <w:noProof/>
                <w:sz w:val="18"/>
                <w:szCs w:val="18"/>
              </w:rPr>
            </w:pPr>
          </w:p>
        </w:tc>
      </w:tr>
      <w:tr w:rsidR="002B5722" w:rsidRPr="00527A67" w:rsidTr="00D768FE">
        <w:tc>
          <w:tcPr>
            <w:tcW w:w="749" w:type="pct"/>
            <w:shd w:val="clear" w:color="auto" w:fill="auto"/>
          </w:tcPr>
          <w:p w:rsidR="002B5722" w:rsidRPr="0008475A" w:rsidRDefault="002B5722" w:rsidP="00D768FE">
            <w:pPr>
              <w:spacing w:before="100" w:beforeAutospacing="1"/>
              <w:rPr>
                <w:rFonts w:cstheme="minorHAnsi"/>
                <w:sz w:val="18"/>
                <w:szCs w:val="18"/>
              </w:rPr>
            </w:pPr>
            <w:r>
              <w:rPr>
                <w:rFonts w:cstheme="minorHAnsi"/>
                <w:sz w:val="18"/>
                <w:szCs w:val="18"/>
              </w:rPr>
              <w:t>Benchmark</w:t>
            </w:r>
          </w:p>
        </w:tc>
        <w:tc>
          <w:tcPr>
            <w:tcW w:w="537" w:type="pct"/>
          </w:tcPr>
          <w:p w:rsidR="002B5722" w:rsidRPr="0008475A" w:rsidRDefault="002B5722" w:rsidP="00D768FE">
            <w:pPr>
              <w:spacing w:before="100" w:beforeAutospacing="1"/>
              <w:rPr>
                <w:rFonts w:cstheme="minorHAnsi"/>
                <w:sz w:val="18"/>
                <w:szCs w:val="18"/>
              </w:rPr>
            </w:pPr>
          </w:p>
        </w:tc>
        <w:tc>
          <w:tcPr>
            <w:tcW w:w="1150" w:type="pct"/>
            <w:shd w:val="clear" w:color="auto" w:fill="auto"/>
          </w:tcPr>
          <w:p w:rsidR="002B5722" w:rsidRPr="007B36F6" w:rsidRDefault="002B5722" w:rsidP="00D768FE">
            <w:pPr>
              <w:spacing w:before="100" w:beforeAutospacing="1"/>
              <w:rPr>
                <w:sz w:val="18"/>
                <w:szCs w:val="18"/>
              </w:rPr>
            </w:pPr>
            <w:r>
              <w:rPr>
                <w:rFonts w:cstheme="minorHAnsi"/>
                <w:sz w:val="18"/>
                <w:szCs w:val="18"/>
              </w:rPr>
              <w:t>The benchmark is set by NBA annually.  There is a benchmark table that can be updated easily.</w:t>
            </w:r>
          </w:p>
        </w:tc>
        <w:tc>
          <w:tcPr>
            <w:tcW w:w="1476" w:type="pct"/>
          </w:tcPr>
          <w:p w:rsidR="002B5722" w:rsidRDefault="002B5722" w:rsidP="00D768FE">
            <w:pPr>
              <w:spacing w:before="100" w:beforeAutospacing="1" w:after="120"/>
              <w:rPr>
                <w:rFonts w:cstheme="minorHAnsi"/>
                <w:sz w:val="18"/>
                <w:szCs w:val="18"/>
              </w:rPr>
            </w:pPr>
            <w:r>
              <w:rPr>
                <w:rFonts w:cstheme="minorHAnsi"/>
                <w:noProof/>
                <w:sz w:val="18"/>
                <w:szCs w:val="18"/>
              </w:rPr>
              <w:t>Refer to Section 2.2, BR1</w:t>
            </w:r>
            <w:r w:rsidR="00E816C7">
              <w:rPr>
                <w:rFonts w:cstheme="minorHAnsi"/>
                <w:noProof/>
                <w:sz w:val="18"/>
                <w:szCs w:val="18"/>
              </w:rPr>
              <w:t>0</w:t>
            </w:r>
            <w:r>
              <w:rPr>
                <w:rFonts w:cstheme="minorHAnsi"/>
                <w:noProof/>
                <w:sz w:val="18"/>
                <w:szCs w:val="18"/>
              </w:rPr>
              <w:t>.</w:t>
            </w:r>
          </w:p>
        </w:tc>
        <w:tc>
          <w:tcPr>
            <w:tcW w:w="1088" w:type="pct"/>
          </w:tcPr>
          <w:p w:rsidR="002B5722" w:rsidRPr="000D370F" w:rsidRDefault="00EA658E" w:rsidP="00D768FE">
            <w:pPr>
              <w:spacing w:after="0"/>
              <w:rPr>
                <w:sz w:val="18"/>
                <w:szCs w:val="18"/>
              </w:rPr>
            </w:pPr>
            <w:r>
              <w:rPr>
                <w:sz w:val="18"/>
                <w:szCs w:val="18"/>
              </w:rPr>
              <w:t>Reference.</w:t>
            </w:r>
            <w:r>
              <w:t xml:space="preserve"> </w:t>
            </w:r>
            <w:proofErr w:type="spellStart"/>
            <w:r w:rsidRPr="00EA658E">
              <w:rPr>
                <w:sz w:val="18"/>
                <w:szCs w:val="18"/>
              </w:rPr>
              <w:t>ComponentGroupPeerBenchmark</w:t>
            </w:r>
            <w:r>
              <w:rPr>
                <w:sz w:val="18"/>
                <w:szCs w:val="18"/>
              </w:rPr>
              <w:t>.BenchmarkPercent</w:t>
            </w:r>
            <w:proofErr w:type="spellEnd"/>
          </w:p>
        </w:tc>
      </w:tr>
      <w:tr w:rsidR="002B5722" w:rsidRPr="00527A67" w:rsidTr="00D768FE">
        <w:tc>
          <w:tcPr>
            <w:tcW w:w="749" w:type="pct"/>
            <w:shd w:val="clear" w:color="auto" w:fill="auto"/>
          </w:tcPr>
          <w:p w:rsidR="002B5722" w:rsidRPr="0008475A" w:rsidDel="00296B14" w:rsidRDefault="002B5722" w:rsidP="00D768FE">
            <w:pPr>
              <w:spacing w:before="100" w:beforeAutospacing="1"/>
              <w:rPr>
                <w:rFonts w:cstheme="minorHAnsi"/>
                <w:sz w:val="18"/>
                <w:szCs w:val="18"/>
              </w:rPr>
            </w:pPr>
            <w:r w:rsidRPr="0008475A">
              <w:rPr>
                <w:rFonts w:cstheme="minorHAnsi"/>
                <w:sz w:val="18"/>
                <w:szCs w:val="18"/>
              </w:rPr>
              <w:t>Group</w:t>
            </w:r>
          </w:p>
        </w:tc>
        <w:tc>
          <w:tcPr>
            <w:tcW w:w="537" w:type="pct"/>
          </w:tcPr>
          <w:p w:rsidR="002B5722" w:rsidRPr="0008475A" w:rsidRDefault="002B5722" w:rsidP="00D768FE">
            <w:pPr>
              <w:spacing w:before="100" w:beforeAutospacing="1"/>
              <w:rPr>
                <w:rFonts w:cstheme="minorHAnsi"/>
                <w:sz w:val="18"/>
                <w:szCs w:val="18"/>
              </w:rPr>
            </w:pPr>
          </w:p>
        </w:tc>
        <w:tc>
          <w:tcPr>
            <w:tcW w:w="1150" w:type="pct"/>
            <w:shd w:val="clear" w:color="auto" w:fill="auto"/>
          </w:tcPr>
          <w:p w:rsidR="002B5722" w:rsidRDefault="002B5722" w:rsidP="00D768FE">
            <w:pPr>
              <w:spacing w:before="100" w:beforeAutospacing="1"/>
              <w:rPr>
                <w:rFonts w:cstheme="minorHAnsi"/>
                <w:sz w:val="18"/>
                <w:szCs w:val="18"/>
              </w:rPr>
            </w:pPr>
            <w:r w:rsidRPr="007B36F6">
              <w:rPr>
                <w:sz w:val="18"/>
                <w:szCs w:val="18"/>
              </w:rPr>
              <w:t>The health provider is categorised into groups depending on the number of fresh components issued to them.  This category will be used to group health providers together and</w:t>
            </w:r>
            <w:r>
              <w:rPr>
                <w:sz w:val="18"/>
                <w:szCs w:val="18"/>
              </w:rPr>
              <w:t xml:space="preserve"> will determine the group average</w:t>
            </w:r>
            <w:r w:rsidRPr="007B36F6">
              <w:rPr>
                <w:sz w:val="18"/>
                <w:szCs w:val="18"/>
              </w:rPr>
              <w:t>.</w:t>
            </w:r>
          </w:p>
        </w:tc>
        <w:tc>
          <w:tcPr>
            <w:tcW w:w="1476" w:type="pct"/>
          </w:tcPr>
          <w:p w:rsidR="002B5722" w:rsidRPr="0080186A" w:rsidRDefault="002B5722" w:rsidP="004359C9">
            <w:pPr>
              <w:spacing w:before="100" w:beforeAutospacing="1" w:after="120"/>
              <w:rPr>
                <w:rFonts w:cstheme="minorHAnsi"/>
                <w:sz w:val="18"/>
                <w:szCs w:val="18"/>
              </w:rPr>
            </w:pPr>
            <w:r>
              <w:rPr>
                <w:rFonts w:cstheme="minorHAnsi"/>
                <w:sz w:val="18"/>
                <w:szCs w:val="18"/>
              </w:rPr>
              <w:t xml:space="preserve">Groups of a health provider are determined by the total units issued to a health provider over the reporting period. </w:t>
            </w:r>
            <w:r w:rsidR="004359C9">
              <w:rPr>
                <w:rFonts w:cstheme="minorHAnsi"/>
                <w:sz w:val="18"/>
                <w:szCs w:val="18"/>
              </w:rPr>
              <w:t xml:space="preserve">Please refer to the Benchmark Table in Section 2.2 BR10) for the  </w:t>
            </w:r>
            <w:r>
              <w:rPr>
                <w:rFonts w:cstheme="minorHAnsi"/>
                <w:sz w:val="18"/>
                <w:szCs w:val="18"/>
              </w:rPr>
              <w:t>Gr</w:t>
            </w:r>
            <w:r w:rsidR="004359C9">
              <w:rPr>
                <w:rFonts w:cstheme="minorHAnsi"/>
                <w:sz w:val="18"/>
                <w:szCs w:val="18"/>
              </w:rPr>
              <w:t xml:space="preserve">oups and their limits based on </w:t>
            </w:r>
            <w:r>
              <w:rPr>
                <w:rFonts w:cstheme="minorHAnsi"/>
                <w:sz w:val="18"/>
                <w:szCs w:val="18"/>
              </w:rPr>
              <w:t>“net issued”</w:t>
            </w:r>
          </w:p>
        </w:tc>
        <w:tc>
          <w:tcPr>
            <w:tcW w:w="1088" w:type="pct"/>
          </w:tcPr>
          <w:p w:rsidR="002B5722" w:rsidRPr="000D370F" w:rsidRDefault="00EA658E" w:rsidP="00D768FE">
            <w:pPr>
              <w:spacing w:after="0"/>
              <w:rPr>
                <w:sz w:val="18"/>
                <w:szCs w:val="18"/>
              </w:rPr>
            </w:pPr>
            <w:r>
              <w:rPr>
                <w:sz w:val="18"/>
                <w:szCs w:val="18"/>
              </w:rPr>
              <w:t>Reference.</w:t>
            </w:r>
            <w:r>
              <w:t xml:space="preserve"> </w:t>
            </w:r>
            <w:proofErr w:type="spellStart"/>
            <w:r w:rsidRPr="00EA658E">
              <w:rPr>
                <w:sz w:val="18"/>
                <w:szCs w:val="18"/>
              </w:rPr>
              <w:t>ComponentGroupPeer</w:t>
            </w:r>
            <w:r>
              <w:rPr>
                <w:sz w:val="18"/>
                <w:szCs w:val="18"/>
              </w:rPr>
              <w:t>.PeerGroup</w:t>
            </w:r>
            <w:proofErr w:type="spellEnd"/>
          </w:p>
        </w:tc>
      </w:tr>
      <w:tr w:rsidR="002B5722" w:rsidRPr="00527A67" w:rsidTr="00D768FE">
        <w:tc>
          <w:tcPr>
            <w:tcW w:w="749" w:type="pct"/>
            <w:shd w:val="clear" w:color="auto" w:fill="auto"/>
          </w:tcPr>
          <w:p w:rsidR="002B5722" w:rsidRPr="0008475A" w:rsidRDefault="002B5722" w:rsidP="00D768FE">
            <w:pPr>
              <w:spacing w:before="100" w:beforeAutospacing="1"/>
              <w:rPr>
                <w:rFonts w:cstheme="minorHAnsi"/>
                <w:sz w:val="18"/>
                <w:szCs w:val="18"/>
              </w:rPr>
            </w:pPr>
            <w:r>
              <w:rPr>
                <w:rFonts w:cstheme="minorHAnsi"/>
                <w:sz w:val="18"/>
                <w:szCs w:val="18"/>
              </w:rPr>
              <w:t xml:space="preserve">Group </w:t>
            </w:r>
            <w:r w:rsidRPr="0008475A">
              <w:rPr>
                <w:rFonts w:cstheme="minorHAnsi"/>
                <w:sz w:val="18"/>
                <w:szCs w:val="18"/>
              </w:rPr>
              <w:t>Average</w:t>
            </w:r>
          </w:p>
        </w:tc>
        <w:tc>
          <w:tcPr>
            <w:tcW w:w="537" w:type="pct"/>
          </w:tcPr>
          <w:p w:rsidR="002B5722" w:rsidRPr="0008475A" w:rsidRDefault="002B5722" w:rsidP="00D768FE">
            <w:pPr>
              <w:spacing w:before="100" w:beforeAutospacing="1"/>
              <w:rPr>
                <w:rFonts w:cstheme="minorHAnsi"/>
                <w:sz w:val="18"/>
                <w:szCs w:val="18"/>
              </w:rPr>
            </w:pPr>
          </w:p>
        </w:tc>
        <w:tc>
          <w:tcPr>
            <w:tcW w:w="1150" w:type="pct"/>
            <w:shd w:val="clear" w:color="auto" w:fill="auto"/>
          </w:tcPr>
          <w:p w:rsidR="002B5722" w:rsidRDefault="002B5722" w:rsidP="00D768FE">
            <w:pPr>
              <w:spacing w:before="100" w:beforeAutospacing="1"/>
              <w:rPr>
                <w:sz w:val="18"/>
                <w:szCs w:val="18"/>
              </w:rPr>
            </w:pPr>
            <w:r>
              <w:rPr>
                <w:rFonts w:cstheme="minorHAnsi"/>
                <w:sz w:val="18"/>
                <w:szCs w:val="18"/>
              </w:rPr>
              <w:t xml:space="preserve">Any Health Provider that has a matching group and matching fresh component (ie. belongs </w:t>
            </w:r>
            <w:r>
              <w:rPr>
                <w:rFonts w:cstheme="minorHAnsi"/>
                <w:sz w:val="18"/>
                <w:szCs w:val="18"/>
              </w:rPr>
              <w:lastRenderedPageBreak/>
              <w:t>to a large group, and for component group (ie. all 2’s (Red Cells), 3’s (Platelets), etc, will have its discard and net issue quantities counted towards the group average.</w:t>
            </w:r>
            <w:r>
              <w:rPr>
                <w:rFonts w:cstheme="minorHAnsi"/>
                <w:sz w:val="18"/>
                <w:szCs w:val="18"/>
              </w:rPr>
              <w:br/>
            </w:r>
            <w:r>
              <w:rPr>
                <w:sz w:val="18"/>
                <w:szCs w:val="18"/>
              </w:rPr>
              <w:t>This is based on the reporting period.</w:t>
            </w:r>
          </w:p>
          <w:p w:rsidR="002B5722" w:rsidRPr="0008475A" w:rsidRDefault="002B5722" w:rsidP="004F1E32">
            <w:pPr>
              <w:spacing w:before="100" w:beforeAutospacing="1"/>
              <w:rPr>
                <w:rFonts w:cstheme="minorHAnsi"/>
                <w:sz w:val="18"/>
                <w:szCs w:val="18"/>
              </w:rPr>
            </w:pPr>
            <w:r>
              <w:rPr>
                <w:sz w:val="18"/>
                <w:szCs w:val="18"/>
              </w:rPr>
              <w:t xml:space="preserve">Note that the same logic apply for the </w:t>
            </w:r>
            <w:r w:rsidR="00E816C7">
              <w:rPr>
                <w:sz w:val="18"/>
                <w:szCs w:val="18"/>
              </w:rPr>
              <w:t>cost group</w:t>
            </w:r>
            <w:r>
              <w:rPr>
                <w:sz w:val="18"/>
                <w:szCs w:val="18"/>
              </w:rPr>
              <w:t>.</w:t>
            </w:r>
          </w:p>
        </w:tc>
        <w:tc>
          <w:tcPr>
            <w:tcW w:w="1476" w:type="pct"/>
          </w:tcPr>
          <w:p w:rsidR="002B5722" w:rsidRDefault="002B5722" w:rsidP="00D768FE">
            <w:pPr>
              <w:spacing w:after="0"/>
              <w:rPr>
                <w:sz w:val="18"/>
                <w:szCs w:val="18"/>
              </w:rPr>
            </w:pPr>
            <w:r>
              <w:rPr>
                <w:sz w:val="18"/>
                <w:szCs w:val="18"/>
              </w:rPr>
              <w:lastRenderedPageBreak/>
              <w:t xml:space="preserve">[Average of </w:t>
            </w:r>
            <w:r w:rsidRPr="000D370F">
              <w:rPr>
                <w:sz w:val="18"/>
                <w:szCs w:val="18"/>
              </w:rPr>
              <w:t>∑</w:t>
            </w:r>
            <w:r>
              <w:rPr>
                <w:sz w:val="18"/>
                <w:szCs w:val="18"/>
              </w:rPr>
              <w:t xml:space="preserve"> (</w:t>
            </w:r>
            <w:proofErr w:type="spellStart"/>
            <w:r>
              <w:rPr>
                <w:sz w:val="18"/>
                <w:szCs w:val="18"/>
              </w:rPr>
              <w:t>DiscardQty</w:t>
            </w:r>
            <w:proofErr w:type="spellEnd"/>
            <w:r>
              <w:rPr>
                <w:sz w:val="18"/>
                <w:szCs w:val="18"/>
              </w:rPr>
              <w:t xml:space="preserve">) / Average of </w:t>
            </w:r>
            <w:r w:rsidRPr="000D370F">
              <w:rPr>
                <w:sz w:val="18"/>
                <w:szCs w:val="18"/>
              </w:rPr>
              <w:t>∑</w:t>
            </w:r>
            <w:r>
              <w:rPr>
                <w:sz w:val="18"/>
                <w:szCs w:val="18"/>
              </w:rPr>
              <w:t xml:space="preserve"> (</w:t>
            </w:r>
            <w:proofErr w:type="spellStart"/>
            <w:r>
              <w:rPr>
                <w:sz w:val="18"/>
                <w:szCs w:val="18"/>
              </w:rPr>
              <w:t>NetIssuedQty</w:t>
            </w:r>
            <w:proofErr w:type="spellEnd"/>
            <w:r>
              <w:rPr>
                <w:sz w:val="18"/>
                <w:szCs w:val="18"/>
              </w:rPr>
              <w:t>)] x 100</w:t>
            </w:r>
          </w:p>
          <w:p w:rsidR="002B5722" w:rsidRDefault="002B5722" w:rsidP="00D768FE">
            <w:pPr>
              <w:spacing w:after="0"/>
              <w:rPr>
                <w:sz w:val="18"/>
                <w:szCs w:val="18"/>
              </w:rPr>
            </w:pPr>
          </w:p>
          <w:p w:rsidR="002B5722" w:rsidRDefault="002B5722" w:rsidP="00D768FE">
            <w:pPr>
              <w:spacing w:after="0"/>
              <w:rPr>
                <w:sz w:val="18"/>
                <w:szCs w:val="18"/>
              </w:rPr>
            </w:pPr>
            <w:r w:rsidRPr="000D370F">
              <w:rPr>
                <w:b/>
                <w:sz w:val="18"/>
                <w:szCs w:val="18"/>
              </w:rPr>
              <w:lastRenderedPageBreak/>
              <w:t>Filter:</w:t>
            </w:r>
            <w:r w:rsidRPr="000D370F">
              <w:rPr>
                <w:sz w:val="18"/>
                <w:szCs w:val="18"/>
              </w:rPr>
              <w:t xml:space="preserve"> Component &amp; </w:t>
            </w:r>
            <w:proofErr w:type="spellStart"/>
            <w:r w:rsidRPr="000D370F">
              <w:rPr>
                <w:sz w:val="18"/>
                <w:szCs w:val="18"/>
              </w:rPr>
              <w:t>Facility.PeerGroupId</w:t>
            </w:r>
            <w:proofErr w:type="spellEnd"/>
            <w:r w:rsidRPr="000D370F">
              <w:rPr>
                <w:sz w:val="18"/>
                <w:szCs w:val="18"/>
              </w:rPr>
              <w:t xml:space="preserve"> = @</w:t>
            </w:r>
            <w:proofErr w:type="spellStart"/>
            <w:r w:rsidRPr="000D370F">
              <w:rPr>
                <w:sz w:val="18"/>
                <w:szCs w:val="18"/>
              </w:rPr>
              <w:t>PeerGroupId</w:t>
            </w:r>
            <w:proofErr w:type="spellEnd"/>
          </w:p>
          <w:p w:rsidR="002B5722" w:rsidRDefault="002B5722" w:rsidP="00D768FE">
            <w:pPr>
              <w:spacing w:after="0"/>
              <w:rPr>
                <w:sz w:val="18"/>
                <w:szCs w:val="18"/>
              </w:rPr>
            </w:pPr>
          </w:p>
          <w:p w:rsidR="002B5722" w:rsidRDefault="002B5722" w:rsidP="00D768FE">
            <w:pPr>
              <w:spacing w:after="0"/>
              <w:rPr>
                <w:sz w:val="18"/>
                <w:szCs w:val="18"/>
              </w:rPr>
            </w:pPr>
            <w:r>
              <w:rPr>
                <w:sz w:val="18"/>
                <w:szCs w:val="18"/>
              </w:rPr>
              <w:t>For a specific fresh component, obtain a list of all health providers’ net issued and discard quantities.</w:t>
            </w:r>
          </w:p>
          <w:p w:rsidR="002B5722" w:rsidRDefault="002B5722" w:rsidP="00D768FE">
            <w:pPr>
              <w:spacing w:after="0"/>
              <w:rPr>
                <w:sz w:val="18"/>
                <w:szCs w:val="18"/>
              </w:rPr>
            </w:pPr>
            <w:r>
              <w:rPr>
                <w:sz w:val="18"/>
                <w:szCs w:val="18"/>
              </w:rPr>
              <w:t>Then from this list, filter out all the health provider that has a net issued quantity that is between</w:t>
            </w:r>
            <w:r w:rsidR="004F1E32">
              <w:rPr>
                <w:sz w:val="18"/>
                <w:szCs w:val="18"/>
              </w:rPr>
              <w:t xml:space="preserve"> the limits stated in the Benchmark Table (Section 2.2, BR10).</w:t>
            </w:r>
            <w:r w:rsidR="004F1E32">
              <w:rPr>
                <w:sz w:val="18"/>
                <w:szCs w:val="18"/>
              </w:rPr>
              <w:br/>
            </w:r>
            <w:r w:rsidR="004F1E32">
              <w:rPr>
                <w:sz w:val="18"/>
                <w:szCs w:val="18"/>
              </w:rPr>
              <w:br/>
              <w:t>For example, for a Red Blood Cell, the limits are:</w:t>
            </w:r>
          </w:p>
          <w:p w:rsidR="004F1E32" w:rsidRDefault="004F1E32" w:rsidP="00D768FE">
            <w:pPr>
              <w:pStyle w:val="ListParagraph"/>
              <w:numPr>
                <w:ilvl w:val="0"/>
                <w:numId w:val="16"/>
              </w:numPr>
              <w:spacing w:after="0"/>
              <w:ind w:left="317" w:hanging="284"/>
              <w:rPr>
                <w:sz w:val="18"/>
                <w:szCs w:val="18"/>
              </w:rPr>
            </w:pPr>
            <w:r>
              <w:rPr>
                <w:sz w:val="18"/>
                <w:szCs w:val="18"/>
              </w:rPr>
              <w:t>0 to 499 – Exempt;</w:t>
            </w:r>
          </w:p>
          <w:p w:rsidR="002B5722" w:rsidRDefault="004F1E32" w:rsidP="00D768FE">
            <w:pPr>
              <w:pStyle w:val="ListParagraph"/>
              <w:numPr>
                <w:ilvl w:val="0"/>
                <w:numId w:val="16"/>
              </w:numPr>
              <w:spacing w:after="0"/>
              <w:ind w:left="317" w:hanging="284"/>
              <w:rPr>
                <w:sz w:val="18"/>
                <w:szCs w:val="18"/>
              </w:rPr>
            </w:pPr>
            <w:r>
              <w:rPr>
                <w:sz w:val="18"/>
                <w:szCs w:val="18"/>
              </w:rPr>
              <w:t>500</w:t>
            </w:r>
            <w:r w:rsidR="002B5722" w:rsidRPr="0012116D">
              <w:rPr>
                <w:sz w:val="18"/>
                <w:szCs w:val="18"/>
              </w:rPr>
              <w:t xml:space="preserve"> to </w:t>
            </w:r>
            <w:r>
              <w:rPr>
                <w:sz w:val="18"/>
                <w:szCs w:val="18"/>
              </w:rPr>
              <w:t>2,499</w:t>
            </w:r>
            <w:r w:rsidR="002B5722">
              <w:rPr>
                <w:sz w:val="18"/>
                <w:szCs w:val="18"/>
              </w:rPr>
              <w:t xml:space="preserve"> - small;</w:t>
            </w:r>
          </w:p>
          <w:p w:rsidR="002B5722" w:rsidRDefault="004F1E32" w:rsidP="00D768FE">
            <w:pPr>
              <w:pStyle w:val="ListParagraph"/>
              <w:numPr>
                <w:ilvl w:val="0"/>
                <w:numId w:val="16"/>
              </w:numPr>
              <w:spacing w:after="0"/>
              <w:ind w:left="317" w:hanging="284"/>
              <w:rPr>
                <w:sz w:val="18"/>
                <w:szCs w:val="18"/>
              </w:rPr>
            </w:pPr>
            <w:r>
              <w:rPr>
                <w:sz w:val="18"/>
                <w:szCs w:val="18"/>
              </w:rPr>
              <w:t>2,500</w:t>
            </w:r>
            <w:r w:rsidR="002B5722">
              <w:rPr>
                <w:sz w:val="18"/>
                <w:szCs w:val="18"/>
              </w:rPr>
              <w:t xml:space="preserve"> to </w:t>
            </w:r>
            <w:r>
              <w:rPr>
                <w:sz w:val="18"/>
                <w:szCs w:val="18"/>
              </w:rPr>
              <w:t>4,999</w:t>
            </w:r>
            <w:r w:rsidR="002B5722">
              <w:rPr>
                <w:sz w:val="18"/>
                <w:szCs w:val="18"/>
              </w:rPr>
              <w:t xml:space="preserve"> - medium;</w:t>
            </w:r>
          </w:p>
          <w:p w:rsidR="002B5722" w:rsidRDefault="004F1E32" w:rsidP="00D768FE">
            <w:pPr>
              <w:pStyle w:val="ListParagraph"/>
              <w:numPr>
                <w:ilvl w:val="0"/>
                <w:numId w:val="16"/>
              </w:numPr>
              <w:spacing w:after="0"/>
              <w:ind w:left="317" w:hanging="284"/>
              <w:rPr>
                <w:sz w:val="18"/>
                <w:szCs w:val="18"/>
              </w:rPr>
            </w:pPr>
            <w:r>
              <w:rPr>
                <w:sz w:val="18"/>
                <w:szCs w:val="18"/>
              </w:rPr>
              <w:t>5,000</w:t>
            </w:r>
            <w:r w:rsidR="002B5722">
              <w:rPr>
                <w:sz w:val="18"/>
                <w:szCs w:val="18"/>
              </w:rPr>
              <w:t xml:space="preserve"> to </w:t>
            </w:r>
            <w:r>
              <w:rPr>
                <w:sz w:val="18"/>
                <w:szCs w:val="18"/>
              </w:rPr>
              <w:t>9,999</w:t>
            </w:r>
            <w:r w:rsidR="002B5722">
              <w:rPr>
                <w:sz w:val="18"/>
                <w:szCs w:val="18"/>
              </w:rPr>
              <w:t xml:space="preserve"> - large;</w:t>
            </w:r>
          </w:p>
          <w:p w:rsidR="002B5722" w:rsidRPr="0012116D" w:rsidRDefault="004F1E32" w:rsidP="00D768FE">
            <w:pPr>
              <w:pStyle w:val="ListParagraph"/>
              <w:numPr>
                <w:ilvl w:val="0"/>
                <w:numId w:val="16"/>
              </w:numPr>
              <w:spacing w:after="0"/>
              <w:ind w:left="317" w:hanging="284"/>
              <w:rPr>
                <w:sz w:val="18"/>
                <w:szCs w:val="18"/>
              </w:rPr>
            </w:pPr>
            <w:r>
              <w:rPr>
                <w:sz w:val="18"/>
                <w:szCs w:val="18"/>
              </w:rPr>
              <w:t>&gt;=10.000</w:t>
            </w:r>
            <w:r w:rsidR="002B5722">
              <w:rPr>
                <w:sz w:val="18"/>
                <w:szCs w:val="18"/>
              </w:rPr>
              <w:t xml:space="preserve"> - super.</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 xml:space="preserve">If there are 5 health providers that </w:t>
            </w:r>
            <w:r w:rsidR="004F1E32">
              <w:rPr>
                <w:sz w:val="18"/>
                <w:szCs w:val="18"/>
              </w:rPr>
              <w:t>have net issued quantities of 500, 550, 1000, 2000, and  2499</w:t>
            </w:r>
            <w:r>
              <w:rPr>
                <w:sz w:val="18"/>
                <w:szCs w:val="18"/>
              </w:rPr>
              <w:t xml:space="preserve"> (ie. </w:t>
            </w:r>
            <w:r w:rsidR="004F1E32">
              <w:rPr>
                <w:sz w:val="18"/>
                <w:szCs w:val="18"/>
              </w:rPr>
              <w:t xml:space="preserve">all </w:t>
            </w:r>
            <w:r>
              <w:rPr>
                <w:sz w:val="18"/>
                <w:szCs w:val="18"/>
              </w:rPr>
              <w:t>in the small group), and their corresponding discard quantities are 1, 2, 3, 4, and 5 , then these health providers would be filtered to determine the group average for this specific fresh component and for a small group.</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Hence sum the net issued quantities and divide by 5 health providers to obtain the “</w:t>
            </w:r>
            <w:r w:rsidR="004F1E32">
              <w:rPr>
                <w:sz w:val="18"/>
                <w:szCs w:val="18"/>
              </w:rPr>
              <w:t>sum net issued average” (ie. (500 + 550 + 1000 + 2000 + 2499)/5 = 1310</w:t>
            </w:r>
            <w:r>
              <w:rPr>
                <w:sz w:val="18"/>
                <w:szCs w:val="18"/>
              </w:rPr>
              <w:t>) and sum the discard quantities and divide by 5 health providers to obtain the “sum discard average” ((1 + 2 + 3 + 4 + 5)/5 = 3).</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Then divide the sum discard average by the sum net issued av</w:t>
            </w:r>
            <w:r w:rsidR="004F1E32">
              <w:rPr>
                <w:sz w:val="18"/>
                <w:szCs w:val="18"/>
              </w:rPr>
              <w:t>erage, multiply by 100 (ie. 3/1310 x 100 = 0.23</w:t>
            </w:r>
            <w:r>
              <w:rPr>
                <w:sz w:val="18"/>
                <w:szCs w:val="18"/>
              </w:rPr>
              <w:t xml:space="preserve">%). </w:t>
            </w:r>
          </w:p>
          <w:p w:rsidR="002B5722" w:rsidRDefault="002B5722" w:rsidP="00D768FE">
            <w:pPr>
              <w:spacing w:after="0"/>
              <w:rPr>
                <w:sz w:val="18"/>
                <w:szCs w:val="18"/>
              </w:rPr>
            </w:pPr>
          </w:p>
          <w:p w:rsidR="002B5722" w:rsidRDefault="004F1E32" w:rsidP="00D768FE">
            <w:pPr>
              <w:rPr>
                <w:sz w:val="18"/>
                <w:szCs w:val="18"/>
              </w:rPr>
            </w:pPr>
            <w:r>
              <w:rPr>
                <w:sz w:val="18"/>
                <w:szCs w:val="18"/>
              </w:rPr>
              <w:t>0.23</w:t>
            </w:r>
            <w:r w:rsidR="002B5722">
              <w:rPr>
                <w:sz w:val="18"/>
                <w:szCs w:val="18"/>
              </w:rPr>
              <w:t xml:space="preserve">% will then be the group </w:t>
            </w:r>
            <w:r w:rsidR="002B5722">
              <w:rPr>
                <w:sz w:val="18"/>
                <w:szCs w:val="18"/>
              </w:rPr>
              <w:lastRenderedPageBreak/>
              <w:t>average for a small group, and for this specific fresh component.</w:t>
            </w:r>
          </w:p>
          <w:p w:rsidR="002B5722" w:rsidRPr="006C5B40" w:rsidRDefault="002B5722" w:rsidP="004F1E32">
            <w:pPr>
              <w:rPr>
                <w:sz w:val="18"/>
                <w:szCs w:val="18"/>
              </w:rPr>
            </w:pPr>
            <w:r>
              <w:rPr>
                <w:sz w:val="18"/>
                <w:szCs w:val="18"/>
              </w:rPr>
              <w:t xml:space="preserve">Note that the same logic apply for the </w:t>
            </w:r>
            <w:r w:rsidR="00E816C7">
              <w:rPr>
                <w:sz w:val="18"/>
                <w:szCs w:val="18"/>
              </w:rPr>
              <w:t>cost group</w:t>
            </w:r>
            <w:r>
              <w:rPr>
                <w:sz w:val="18"/>
                <w:szCs w:val="18"/>
              </w:rPr>
              <w:t>.</w:t>
            </w:r>
          </w:p>
        </w:tc>
        <w:tc>
          <w:tcPr>
            <w:tcW w:w="1088" w:type="pct"/>
          </w:tcPr>
          <w:p w:rsidR="002B5722" w:rsidRPr="000D370F" w:rsidRDefault="002B5722" w:rsidP="004035B8">
            <w:pPr>
              <w:spacing w:before="100" w:beforeAutospacing="1"/>
              <w:rPr>
                <w:rFonts w:cstheme="minorHAnsi"/>
                <w:noProof/>
                <w:sz w:val="18"/>
                <w:szCs w:val="18"/>
              </w:rPr>
            </w:pPr>
          </w:p>
        </w:tc>
      </w:tr>
      <w:tr w:rsidR="002B5722" w:rsidRPr="00527A67" w:rsidTr="00D768FE">
        <w:tc>
          <w:tcPr>
            <w:tcW w:w="749" w:type="pct"/>
            <w:shd w:val="clear" w:color="auto" w:fill="auto"/>
          </w:tcPr>
          <w:p w:rsidR="002B5722" w:rsidRPr="0008475A" w:rsidRDefault="002B5722" w:rsidP="00D768FE">
            <w:pPr>
              <w:spacing w:before="100" w:beforeAutospacing="1"/>
              <w:rPr>
                <w:rFonts w:cstheme="minorHAnsi"/>
                <w:sz w:val="18"/>
                <w:szCs w:val="18"/>
              </w:rPr>
            </w:pPr>
            <w:r w:rsidRPr="0008475A">
              <w:rPr>
                <w:rFonts w:cstheme="minorHAnsi"/>
                <w:sz w:val="18"/>
                <w:szCs w:val="18"/>
              </w:rPr>
              <w:lastRenderedPageBreak/>
              <w:t>State Average</w:t>
            </w:r>
          </w:p>
        </w:tc>
        <w:tc>
          <w:tcPr>
            <w:tcW w:w="537" w:type="pct"/>
          </w:tcPr>
          <w:p w:rsidR="002B5722" w:rsidRPr="0008475A" w:rsidRDefault="002B5722" w:rsidP="00D768FE">
            <w:pPr>
              <w:spacing w:before="100" w:beforeAutospacing="1"/>
              <w:rPr>
                <w:rFonts w:cstheme="minorHAnsi"/>
                <w:sz w:val="18"/>
                <w:szCs w:val="18"/>
              </w:rPr>
            </w:pPr>
          </w:p>
        </w:tc>
        <w:tc>
          <w:tcPr>
            <w:tcW w:w="1150" w:type="pct"/>
            <w:shd w:val="clear" w:color="auto" w:fill="auto"/>
          </w:tcPr>
          <w:p w:rsidR="002B5722" w:rsidRDefault="002B5722" w:rsidP="00D768FE">
            <w:pPr>
              <w:spacing w:before="100" w:beforeAutospacing="1"/>
              <w:rPr>
                <w:sz w:val="18"/>
                <w:szCs w:val="18"/>
              </w:rPr>
            </w:pPr>
            <w:r>
              <w:rPr>
                <w:rFonts w:cstheme="minorHAnsi"/>
                <w:sz w:val="18"/>
                <w:szCs w:val="18"/>
              </w:rPr>
              <w:t>Any Health Provider that belongs to the same state as the selected Health Provider and matching fresh component, will have its discard and net issue quantities counted towards the state average.</w:t>
            </w:r>
            <w:r>
              <w:rPr>
                <w:rFonts w:cstheme="minorHAnsi"/>
                <w:sz w:val="18"/>
                <w:szCs w:val="18"/>
              </w:rPr>
              <w:br/>
            </w:r>
            <w:r>
              <w:rPr>
                <w:sz w:val="18"/>
                <w:szCs w:val="18"/>
              </w:rPr>
              <w:t>This is based on the reporting period.</w:t>
            </w:r>
          </w:p>
          <w:p w:rsidR="002B5722" w:rsidRPr="0008475A" w:rsidRDefault="002B5722" w:rsidP="00637749">
            <w:pPr>
              <w:spacing w:before="100" w:beforeAutospacing="1"/>
              <w:rPr>
                <w:rFonts w:cstheme="minorHAnsi"/>
                <w:sz w:val="18"/>
                <w:szCs w:val="18"/>
              </w:rPr>
            </w:pPr>
            <w:r>
              <w:rPr>
                <w:sz w:val="18"/>
                <w:szCs w:val="18"/>
              </w:rPr>
              <w:t xml:space="preserve">Note that the same logic apply for the </w:t>
            </w:r>
            <w:r w:rsidR="00E816C7">
              <w:rPr>
                <w:sz w:val="18"/>
                <w:szCs w:val="18"/>
              </w:rPr>
              <w:t>cost group</w:t>
            </w:r>
            <w:r>
              <w:rPr>
                <w:sz w:val="18"/>
                <w:szCs w:val="18"/>
              </w:rPr>
              <w:t>.</w:t>
            </w:r>
          </w:p>
        </w:tc>
        <w:tc>
          <w:tcPr>
            <w:tcW w:w="1476" w:type="pct"/>
          </w:tcPr>
          <w:p w:rsidR="002B5722" w:rsidRDefault="002B5722" w:rsidP="00D768FE">
            <w:pPr>
              <w:spacing w:after="0"/>
              <w:rPr>
                <w:sz w:val="18"/>
                <w:szCs w:val="18"/>
              </w:rPr>
            </w:pPr>
            <w:r>
              <w:rPr>
                <w:sz w:val="18"/>
                <w:szCs w:val="18"/>
              </w:rPr>
              <w:t xml:space="preserve">[Average of </w:t>
            </w:r>
            <w:r w:rsidRPr="000D370F">
              <w:rPr>
                <w:sz w:val="18"/>
                <w:szCs w:val="18"/>
              </w:rPr>
              <w:t>∑</w:t>
            </w:r>
            <w:r>
              <w:rPr>
                <w:sz w:val="18"/>
                <w:szCs w:val="18"/>
              </w:rPr>
              <w:t xml:space="preserve"> (</w:t>
            </w:r>
            <w:proofErr w:type="spellStart"/>
            <w:r>
              <w:rPr>
                <w:sz w:val="18"/>
                <w:szCs w:val="18"/>
              </w:rPr>
              <w:t>DiscardQty</w:t>
            </w:r>
            <w:proofErr w:type="spellEnd"/>
            <w:r>
              <w:rPr>
                <w:sz w:val="18"/>
                <w:szCs w:val="18"/>
              </w:rPr>
              <w:t xml:space="preserve">) / Average of </w:t>
            </w:r>
            <w:r w:rsidRPr="000D370F">
              <w:rPr>
                <w:sz w:val="18"/>
                <w:szCs w:val="18"/>
              </w:rPr>
              <w:t>∑</w:t>
            </w:r>
            <w:r>
              <w:rPr>
                <w:sz w:val="18"/>
                <w:szCs w:val="18"/>
              </w:rPr>
              <w:t xml:space="preserve"> (</w:t>
            </w:r>
            <w:proofErr w:type="spellStart"/>
            <w:r>
              <w:rPr>
                <w:sz w:val="18"/>
                <w:szCs w:val="18"/>
              </w:rPr>
              <w:t>NetIssuedQty</w:t>
            </w:r>
            <w:proofErr w:type="spellEnd"/>
            <w:r>
              <w:rPr>
                <w:sz w:val="18"/>
                <w:szCs w:val="18"/>
              </w:rPr>
              <w:t>)] x 100</w:t>
            </w:r>
          </w:p>
          <w:p w:rsidR="002B5722" w:rsidRDefault="002B5722" w:rsidP="00D768FE">
            <w:pPr>
              <w:spacing w:before="100" w:beforeAutospacing="1"/>
              <w:rPr>
                <w:sz w:val="18"/>
                <w:szCs w:val="18"/>
              </w:rPr>
            </w:pPr>
            <w:r w:rsidRPr="000D370F">
              <w:rPr>
                <w:b/>
                <w:sz w:val="18"/>
                <w:szCs w:val="18"/>
              </w:rPr>
              <w:t>Filter:</w:t>
            </w:r>
            <w:r w:rsidRPr="000D370F">
              <w:rPr>
                <w:sz w:val="18"/>
                <w:szCs w:val="18"/>
              </w:rPr>
              <w:t xml:space="preserve"> Component &amp; </w:t>
            </w:r>
            <w:proofErr w:type="spellStart"/>
            <w:r w:rsidRPr="000D370F">
              <w:rPr>
                <w:sz w:val="18"/>
                <w:szCs w:val="18"/>
              </w:rPr>
              <w:t>Facility.State</w:t>
            </w:r>
            <w:proofErr w:type="spellEnd"/>
            <w:r w:rsidRPr="000D370F">
              <w:rPr>
                <w:sz w:val="18"/>
                <w:szCs w:val="18"/>
              </w:rPr>
              <w:t xml:space="preserve"> = @State</w:t>
            </w:r>
          </w:p>
          <w:p w:rsidR="002B5722" w:rsidRDefault="002B5722" w:rsidP="00D768FE">
            <w:pPr>
              <w:spacing w:after="0"/>
              <w:rPr>
                <w:sz w:val="18"/>
                <w:szCs w:val="18"/>
              </w:rPr>
            </w:pPr>
            <w:r>
              <w:rPr>
                <w:sz w:val="18"/>
                <w:szCs w:val="18"/>
              </w:rPr>
              <w:t>The state average will be fresh component specific and state specific.</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For a specific fresh component and state, obtain a list of health provider’s net issued and discard quantities.</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Sum all the net issued quantities, and divide by the number of health providers to obtain the sum net issued average.</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Sum all the discard quantities, and divide by the number of health providers to obtain the sum discard average.</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Then divide the sum discard average by the sum net issued average, multiply by 100.</w:t>
            </w:r>
          </w:p>
          <w:p w:rsidR="002B5722" w:rsidRDefault="002B5722" w:rsidP="00D768FE">
            <w:pPr>
              <w:rPr>
                <w:sz w:val="18"/>
                <w:szCs w:val="18"/>
              </w:rPr>
            </w:pPr>
            <w:r>
              <w:rPr>
                <w:sz w:val="18"/>
                <w:szCs w:val="18"/>
              </w:rPr>
              <w:t>This will give you the State Average.</w:t>
            </w:r>
          </w:p>
          <w:p w:rsidR="002B5722" w:rsidRPr="00E736CD" w:rsidRDefault="002B5722" w:rsidP="00637749">
            <w:pPr>
              <w:rPr>
                <w:sz w:val="18"/>
                <w:szCs w:val="18"/>
              </w:rPr>
            </w:pPr>
            <w:r>
              <w:rPr>
                <w:sz w:val="18"/>
                <w:szCs w:val="18"/>
              </w:rPr>
              <w:t xml:space="preserve">Note that the same logic apply for the </w:t>
            </w:r>
            <w:r w:rsidR="00E816C7">
              <w:rPr>
                <w:sz w:val="18"/>
                <w:szCs w:val="18"/>
              </w:rPr>
              <w:t>cost group</w:t>
            </w:r>
            <w:r>
              <w:rPr>
                <w:sz w:val="18"/>
                <w:szCs w:val="18"/>
              </w:rPr>
              <w:t>.</w:t>
            </w:r>
          </w:p>
        </w:tc>
        <w:tc>
          <w:tcPr>
            <w:tcW w:w="1088" w:type="pct"/>
          </w:tcPr>
          <w:p w:rsidR="002B5722" w:rsidRPr="000D370F" w:rsidRDefault="002B5722" w:rsidP="00D768FE">
            <w:pPr>
              <w:spacing w:before="100" w:beforeAutospacing="1"/>
              <w:rPr>
                <w:rFonts w:cstheme="minorHAnsi"/>
                <w:noProof/>
                <w:sz w:val="18"/>
                <w:szCs w:val="18"/>
              </w:rPr>
            </w:pPr>
          </w:p>
        </w:tc>
      </w:tr>
      <w:tr w:rsidR="002B5722" w:rsidRPr="00527A67" w:rsidTr="00D768FE">
        <w:tc>
          <w:tcPr>
            <w:tcW w:w="749" w:type="pct"/>
            <w:shd w:val="clear" w:color="auto" w:fill="auto"/>
          </w:tcPr>
          <w:p w:rsidR="002B5722" w:rsidRPr="0008475A" w:rsidRDefault="002B5722" w:rsidP="00D768FE">
            <w:pPr>
              <w:spacing w:before="100" w:beforeAutospacing="1"/>
              <w:rPr>
                <w:rFonts w:cstheme="minorHAnsi"/>
                <w:sz w:val="18"/>
                <w:szCs w:val="18"/>
              </w:rPr>
            </w:pPr>
            <w:r w:rsidRPr="0008475A">
              <w:rPr>
                <w:rFonts w:cstheme="minorHAnsi"/>
                <w:sz w:val="18"/>
                <w:szCs w:val="18"/>
              </w:rPr>
              <w:t>National Average</w:t>
            </w:r>
          </w:p>
        </w:tc>
        <w:tc>
          <w:tcPr>
            <w:tcW w:w="537" w:type="pct"/>
          </w:tcPr>
          <w:p w:rsidR="002B5722" w:rsidRPr="0008475A" w:rsidRDefault="002B5722" w:rsidP="00D768FE">
            <w:pPr>
              <w:spacing w:before="100" w:beforeAutospacing="1"/>
              <w:rPr>
                <w:rFonts w:cstheme="minorHAnsi"/>
                <w:sz w:val="18"/>
                <w:szCs w:val="18"/>
              </w:rPr>
            </w:pPr>
          </w:p>
        </w:tc>
        <w:tc>
          <w:tcPr>
            <w:tcW w:w="1150" w:type="pct"/>
            <w:shd w:val="clear" w:color="auto" w:fill="auto"/>
          </w:tcPr>
          <w:p w:rsidR="002B5722" w:rsidRDefault="002B5722" w:rsidP="00D768FE">
            <w:pPr>
              <w:spacing w:before="100" w:beforeAutospacing="1"/>
              <w:rPr>
                <w:sz w:val="18"/>
                <w:szCs w:val="18"/>
              </w:rPr>
            </w:pPr>
            <w:r>
              <w:rPr>
                <w:rFonts w:cstheme="minorHAnsi"/>
                <w:sz w:val="18"/>
                <w:szCs w:val="18"/>
              </w:rPr>
              <w:t>All Health Providers that has matching fresh component will have its discard and net issue quantities counted towards the national average.</w:t>
            </w:r>
            <w:r>
              <w:rPr>
                <w:rFonts w:cstheme="minorHAnsi"/>
                <w:sz w:val="18"/>
                <w:szCs w:val="18"/>
              </w:rPr>
              <w:br/>
            </w:r>
            <w:r>
              <w:rPr>
                <w:sz w:val="18"/>
                <w:szCs w:val="18"/>
              </w:rPr>
              <w:t>This is based on the reporting period.</w:t>
            </w:r>
          </w:p>
          <w:p w:rsidR="002B5722" w:rsidRPr="0008475A" w:rsidRDefault="002B5722" w:rsidP="00637749">
            <w:pPr>
              <w:spacing w:before="100" w:beforeAutospacing="1"/>
              <w:rPr>
                <w:rFonts w:cstheme="minorHAnsi"/>
                <w:sz w:val="18"/>
                <w:szCs w:val="18"/>
              </w:rPr>
            </w:pPr>
            <w:r>
              <w:rPr>
                <w:sz w:val="18"/>
                <w:szCs w:val="18"/>
              </w:rPr>
              <w:t xml:space="preserve">Note that the same logic </w:t>
            </w:r>
            <w:r>
              <w:rPr>
                <w:sz w:val="18"/>
                <w:szCs w:val="18"/>
              </w:rPr>
              <w:lastRenderedPageBreak/>
              <w:t xml:space="preserve">apply for the </w:t>
            </w:r>
            <w:r w:rsidR="00E816C7">
              <w:rPr>
                <w:sz w:val="18"/>
                <w:szCs w:val="18"/>
              </w:rPr>
              <w:t>cost group</w:t>
            </w:r>
            <w:r>
              <w:rPr>
                <w:sz w:val="18"/>
                <w:szCs w:val="18"/>
              </w:rPr>
              <w:t>.</w:t>
            </w:r>
          </w:p>
        </w:tc>
        <w:tc>
          <w:tcPr>
            <w:tcW w:w="1476" w:type="pct"/>
          </w:tcPr>
          <w:p w:rsidR="002B5722" w:rsidRDefault="002B5722" w:rsidP="00D768FE">
            <w:pPr>
              <w:spacing w:after="0"/>
              <w:rPr>
                <w:sz w:val="18"/>
                <w:szCs w:val="18"/>
              </w:rPr>
            </w:pPr>
            <w:r>
              <w:rPr>
                <w:sz w:val="18"/>
                <w:szCs w:val="18"/>
              </w:rPr>
              <w:lastRenderedPageBreak/>
              <w:t xml:space="preserve">[Average of </w:t>
            </w:r>
            <w:r w:rsidRPr="000D370F">
              <w:rPr>
                <w:sz w:val="18"/>
                <w:szCs w:val="18"/>
              </w:rPr>
              <w:t>∑</w:t>
            </w:r>
            <w:r>
              <w:rPr>
                <w:sz w:val="18"/>
                <w:szCs w:val="18"/>
              </w:rPr>
              <w:t xml:space="preserve"> (</w:t>
            </w:r>
            <w:proofErr w:type="spellStart"/>
            <w:r>
              <w:rPr>
                <w:sz w:val="18"/>
                <w:szCs w:val="18"/>
              </w:rPr>
              <w:t>DiscardQty</w:t>
            </w:r>
            <w:proofErr w:type="spellEnd"/>
            <w:r>
              <w:rPr>
                <w:sz w:val="18"/>
                <w:szCs w:val="18"/>
              </w:rPr>
              <w:t xml:space="preserve">) / Average of </w:t>
            </w:r>
            <w:r w:rsidRPr="000D370F">
              <w:rPr>
                <w:sz w:val="18"/>
                <w:szCs w:val="18"/>
              </w:rPr>
              <w:t>∑</w:t>
            </w:r>
            <w:r>
              <w:rPr>
                <w:sz w:val="18"/>
                <w:szCs w:val="18"/>
              </w:rPr>
              <w:t xml:space="preserve"> (</w:t>
            </w:r>
            <w:proofErr w:type="spellStart"/>
            <w:r>
              <w:rPr>
                <w:sz w:val="18"/>
                <w:szCs w:val="18"/>
              </w:rPr>
              <w:t>NetIssuedQty</w:t>
            </w:r>
            <w:proofErr w:type="spellEnd"/>
            <w:r>
              <w:rPr>
                <w:sz w:val="18"/>
                <w:szCs w:val="18"/>
              </w:rPr>
              <w:t>)] x 100</w:t>
            </w:r>
          </w:p>
          <w:p w:rsidR="002B5722" w:rsidRDefault="002B5722" w:rsidP="00D768FE">
            <w:pPr>
              <w:spacing w:before="100" w:beforeAutospacing="1"/>
              <w:rPr>
                <w:sz w:val="18"/>
                <w:szCs w:val="18"/>
              </w:rPr>
            </w:pPr>
            <w:r w:rsidRPr="000D370F">
              <w:rPr>
                <w:b/>
                <w:sz w:val="18"/>
                <w:szCs w:val="18"/>
              </w:rPr>
              <w:t xml:space="preserve">Filter: </w:t>
            </w:r>
            <w:r w:rsidRPr="000D370F">
              <w:rPr>
                <w:sz w:val="18"/>
                <w:szCs w:val="18"/>
              </w:rPr>
              <w:t>None.  Calculated Australia wide</w:t>
            </w:r>
          </w:p>
          <w:p w:rsidR="002B5722" w:rsidRDefault="002B5722" w:rsidP="00D768FE">
            <w:pPr>
              <w:spacing w:after="0"/>
              <w:rPr>
                <w:sz w:val="18"/>
                <w:szCs w:val="18"/>
              </w:rPr>
            </w:pPr>
            <w:r>
              <w:rPr>
                <w:sz w:val="18"/>
                <w:szCs w:val="18"/>
              </w:rPr>
              <w:t>The national average will be fresh component specific only.</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 xml:space="preserve">For a specific fresh component, obtain a list of all the health </w:t>
            </w:r>
            <w:r>
              <w:rPr>
                <w:sz w:val="18"/>
                <w:szCs w:val="18"/>
              </w:rPr>
              <w:lastRenderedPageBreak/>
              <w:t>provider’s net issued and discard quantities.</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Sum all the net issued quantities, and divide by the number of health providers to obtain the sum net issued average.</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Sum all the discard quantities, and divide by the number of health providers to obtain the sum discard average.</w:t>
            </w:r>
          </w:p>
          <w:p w:rsidR="002B5722" w:rsidRDefault="002B5722" w:rsidP="00D768FE">
            <w:pPr>
              <w:spacing w:after="0"/>
              <w:rPr>
                <w:sz w:val="18"/>
                <w:szCs w:val="18"/>
              </w:rPr>
            </w:pPr>
          </w:p>
          <w:p w:rsidR="002B5722" w:rsidRDefault="002B5722" w:rsidP="00D768FE">
            <w:pPr>
              <w:spacing w:after="0"/>
              <w:rPr>
                <w:sz w:val="18"/>
                <w:szCs w:val="18"/>
              </w:rPr>
            </w:pPr>
            <w:r>
              <w:rPr>
                <w:sz w:val="18"/>
                <w:szCs w:val="18"/>
              </w:rPr>
              <w:t>Then divide the sum discard average by the sum net issued average, multiply by 100.</w:t>
            </w:r>
          </w:p>
          <w:p w:rsidR="002B5722" w:rsidRDefault="002B5722" w:rsidP="00D768FE">
            <w:pPr>
              <w:spacing w:before="100" w:beforeAutospacing="1"/>
              <w:rPr>
                <w:sz w:val="18"/>
                <w:szCs w:val="18"/>
              </w:rPr>
            </w:pPr>
            <w:r>
              <w:rPr>
                <w:sz w:val="18"/>
                <w:szCs w:val="18"/>
              </w:rPr>
              <w:t>This will give you the National Average.</w:t>
            </w:r>
          </w:p>
          <w:p w:rsidR="002B5722" w:rsidRPr="000D370F" w:rsidRDefault="002B5722" w:rsidP="00637749">
            <w:pPr>
              <w:spacing w:before="100" w:beforeAutospacing="1"/>
              <w:rPr>
                <w:rFonts w:cstheme="minorHAnsi"/>
                <w:noProof/>
                <w:sz w:val="18"/>
                <w:szCs w:val="18"/>
              </w:rPr>
            </w:pPr>
            <w:r>
              <w:rPr>
                <w:sz w:val="18"/>
                <w:szCs w:val="18"/>
              </w:rPr>
              <w:t xml:space="preserve">Note that the same logic apply for the </w:t>
            </w:r>
            <w:r w:rsidR="00E816C7">
              <w:rPr>
                <w:sz w:val="18"/>
                <w:szCs w:val="18"/>
              </w:rPr>
              <w:t>cost group</w:t>
            </w:r>
            <w:r>
              <w:rPr>
                <w:sz w:val="18"/>
                <w:szCs w:val="18"/>
              </w:rPr>
              <w:t>.</w:t>
            </w:r>
          </w:p>
        </w:tc>
        <w:tc>
          <w:tcPr>
            <w:tcW w:w="1088" w:type="pct"/>
          </w:tcPr>
          <w:p w:rsidR="002B5722" w:rsidRPr="000D370F" w:rsidRDefault="002B5722" w:rsidP="00D768FE">
            <w:pPr>
              <w:spacing w:before="100" w:beforeAutospacing="1"/>
              <w:rPr>
                <w:rFonts w:cstheme="minorHAnsi"/>
                <w:noProof/>
                <w:sz w:val="18"/>
                <w:szCs w:val="18"/>
              </w:rPr>
            </w:pPr>
          </w:p>
        </w:tc>
      </w:tr>
      <w:tr w:rsidR="002B5722" w:rsidRPr="00527A67" w:rsidTr="00D768FE">
        <w:tc>
          <w:tcPr>
            <w:tcW w:w="749" w:type="pct"/>
            <w:shd w:val="clear" w:color="auto" w:fill="auto"/>
          </w:tcPr>
          <w:p w:rsidR="002B5722" w:rsidRPr="0008475A" w:rsidRDefault="002B5722" w:rsidP="00D768FE">
            <w:pPr>
              <w:spacing w:before="100" w:beforeAutospacing="1"/>
              <w:rPr>
                <w:rFonts w:cstheme="minorHAnsi"/>
                <w:sz w:val="18"/>
                <w:szCs w:val="18"/>
              </w:rPr>
            </w:pPr>
            <w:r>
              <w:rPr>
                <w:rFonts w:cstheme="minorHAnsi"/>
                <w:sz w:val="18"/>
                <w:szCs w:val="18"/>
              </w:rPr>
              <w:lastRenderedPageBreak/>
              <w:t>Key indicator icon</w:t>
            </w:r>
          </w:p>
        </w:tc>
        <w:tc>
          <w:tcPr>
            <w:tcW w:w="537" w:type="pct"/>
          </w:tcPr>
          <w:p w:rsidR="002B5722" w:rsidRPr="0008475A" w:rsidRDefault="002B5722" w:rsidP="00D768FE">
            <w:pPr>
              <w:spacing w:before="100" w:beforeAutospacing="1"/>
              <w:rPr>
                <w:rFonts w:cstheme="minorHAnsi"/>
                <w:sz w:val="18"/>
                <w:szCs w:val="18"/>
              </w:rPr>
            </w:pPr>
          </w:p>
        </w:tc>
        <w:tc>
          <w:tcPr>
            <w:tcW w:w="1150" w:type="pct"/>
            <w:shd w:val="clear" w:color="auto" w:fill="auto"/>
          </w:tcPr>
          <w:p w:rsidR="002B5722" w:rsidRPr="00223DF5" w:rsidRDefault="002B5722" w:rsidP="00D768FE">
            <w:pPr>
              <w:rPr>
                <w:sz w:val="18"/>
                <w:szCs w:val="18"/>
              </w:rPr>
            </w:pPr>
            <w:r>
              <w:rPr>
                <w:sz w:val="18"/>
                <w:szCs w:val="18"/>
              </w:rPr>
              <w:t>T</w:t>
            </w:r>
            <w:r w:rsidRPr="00223DF5">
              <w:rPr>
                <w:sz w:val="18"/>
                <w:szCs w:val="18"/>
              </w:rPr>
              <w:t xml:space="preserve">he indicators </w:t>
            </w:r>
            <w:r>
              <w:rPr>
                <w:sz w:val="18"/>
                <w:szCs w:val="18"/>
              </w:rPr>
              <w:t xml:space="preserve">highlight how the selected Health Provider compares to Group average, State average, </w:t>
            </w:r>
            <w:r w:rsidRPr="00223DF5">
              <w:rPr>
                <w:sz w:val="18"/>
                <w:szCs w:val="18"/>
              </w:rPr>
              <w:t>National</w:t>
            </w:r>
            <w:r>
              <w:rPr>
                <w:sz w:val="18"/>
                <w:szCs w:val="18"/>
              </w:rPr>
              <w:t xml:space="preserve"> average and </w:t>
            </w:r>
            <w:r w:rsidRPr="00223DF5">
              <w:rPr>
                <w:sz w:val="18"/>
                <w:szCs w:val="18"/>
              </w:rPr>
              <w:t>Benchmark.</w:t>
            </w:r>
          </w:p>
          <w:p w:rsidR="002B5722" w:rsidRDefault="002B5722" w:rsidP="00D768FE">
            <w:pPr>
              <w:numPr>
                <w:ilvl w:val="0"/>
                <w:numId w:val="10"/>
              </w:numPr>
              <w:rPr>
                <w:sz w:val="18"/>
                <w:szCs w:val="18"/>
              </w:rPr>
            </w:pPr>
            <w:r w:rsidRPr="00223DF5">
              <w:rPr>
                <w:sz w:val="18"/>
                <w:szCs w:val="18"/>
              </w:rPr>
              <w:t>Green Indicator</w:t>
            </w:r>
            <w:r>
              <w:rPr>
                <w:sz w:val="18"/>
                <w:szCs w:val="18"/>
              </w:rPr>
              <w:t xml:space="preserve"> </w:t>
            </w:r>
            <w:r w:rsidR="007A44B0">
              <w:rPr>
                <w:noProof/>
                <w:lang w:eastAsia="en-AU"/>
              </w:rPr>
              <w:drawing>
                <wp:inline distT="0" distB="0" distL="0" distR="0" wp14:anchorId="3503215B" wp14:editId="553958E3">
                  <wp:extent cx="209550" cy="209550"/>
                  <wp:effectExtent l="0" t="0" r="0" b="0"/>
                  <wp:docPr id="24" name="Picture 24" descr="cid:image001.png@01CE9F61.3784F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9F61.3784FEB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18"/>
                <w:szCs w:val="18"/>
              </w:rPr>
              <w:t xml:space="preserve"> – Health Provider’s </w:t>
            </w:r>
            <w:proofErr w:type="spellStart"/>
            <w:r>
              <w:rPr>
                <w:sz w:val="18"/>
                <w:szCs w:val="18"/>
              </w:rPr>
              <w:t>DAPI</w:t>
            </w:r>
            <w:proofErr w:type="spellEnd"/>
            <w:r>
              <w:rPr>
                <w:sz w:val="18"/>
                <w:szCs w:val="18"/>
              </w:rPr>
              <w:t xml:space="preserve"> is </w:t>
            </w:r>
            <w:r w:rsidRPr="00223DF5">
              <w:rPr>
                <w:sz w:val="18"/>
                <w:szCs w:val="18"/>
              </w:rPr>
              <w:t xml:space="preserve">performing better </w:t>
            </w:r>
            <w:r>
              <w:rPr>
                <w:sz w:val="18"/>
                <w:szCs w:val="18"/>
              </w:rPr>
              <w:t>or equal when compared to group average, state average, national average and/or benchmark.</w:t>
            </w:r>
          </w:p>
          <w:p w:rsidR="002B5722" w:rsidRPr="00AE799A" w:rsidRDefault="002B5722" w:rsidP="00D768FE">
            <w:pPr>
              <w:numPr>
                <w:ilvl w:val="0"/>
                <w:numId w:val="10"/>
              </w:numPr>
              <w:rPr>
                <w:sz w:val="18"/>
                <w:szCs w:val="18"/>
              </w:rPr>
            </w:pPr>
            <w:r w:rsidRPr="00AE799A">
              <w:rPr>
                <w:sz w:val="18"/>
                <w:szCs w:val="18"/>
              </w:rPr>
              <w:t xml:space="preserve">Red Indicator </w:t>
            </w:r>
            <w:r w:rsidR="007A44B0">
              <w:rPr>
                <w:noProof/>
                <w:lang w:eastAsia="en-AU"/>
              </w:rPr>
              <w:drawing>
                <wp:inline distT="0" distB="0" distL="0" distR="0" wp14:anchorId="311BAEDD" wp14:editId="234C602E">
                  <wp:extent cx="209550" cy="209550"/>
                  <wp:effectExtent l="0" t="0" r="0" b="0"/>
                  <wp:docPr id="44" name="Picture 44" descr="cid:image002.png@01CE9F61.3784F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CE9F61.3784FEB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E799A">
              <w:rPr>
                <w:sz w:val="18"/>
                <w:szCs w:val="18"/>
              </w:rPr>
              <w:t xml:space="preserve"> – </w:t>
            </w:r>
            <w:r>
              <w:rPr>
                <w:sz w:val="18"/>
                <w:szCs w:val="18"/>
              </w:rPr>
              <w:t>Health Provider</w:t>
            </w:r>
            <w:r w:rsidRPr="00AE799A">
              <w:rPr>
                <w:sz w:val="18"/>
                <w:szCs w:val="18"/>
              </w:rPr>
              <w:t xml:space="preserve">’s </w:t>
            </w:r>
            <w:proofErr w:type="spellStart"/>
            <w:r w:rsidRPr="00AE799A">
              <w:rPr>
                <w:sz w:val="18"/>
                <w:szCs w:val="18"/>
              </w:rPr>
              <w:t>DAPI</w:t>
            </w:r>
            <w:proofErr w:type="spellEnd"/>
            <w:r w:rsidRPr="00AE799A">
              <w:rPr>
                <w:sz w:val="18"/>
                <w:szCs w:val="18"/>
              </w:rPr>
              <w:t xml:space="preserve"> is perfor</w:t>
            </w:r>
            <w:r>
              <w:rPr>
                <w:sz w:val="18"/>
                <w:szCs w:val="18"/>
              </w:rPr>
              <w:t>ming worse when compared to group</w:t>
            </w:r>
            <w:r w:rsidRPr="00AE799A">
              <w:rPr>
                <w:sz w:val="18"/>
                <w:szCs w:val="18"/>
              </w:rPr>
              <w:t xml:space="preserve"> average, state average, national average and/or benchmark.</w:t>
            </w:r>
          </w:p>
        </w:tc>
        <w:tc>
          <w:tcPr>
            <w:tcW w:w="1476" w:type="pct"/>
          </w:tcPr>
          <w:p w:rsidR="002B5722" w:rsidRPr="000D370F" w:rsidRDefault="002B5722" w:rsidP="00D768FE">
            <w:pPr>
              <w:spacing w:after="0"/>
              <w:rPr>
                <w:sz w:val="18"/>
                <w:szCs w:val="18"/>
              </w:rPr>
            </w:pPr>
            <w:r>
              <w:rPr>
                <w:noProof/>
                <w:lang w:eastAsia="en-AU"/>
              </w:rPr>
              <w:drawing>
                <wp:inline distT="0" distB="0" distL="0" distR="0" wp14:anchorId="662D5FA9" wp14:editId="75BBCDAD">
                  <wp:extent cx="76200" cy="66675"/>
                  <wp:effectExtent l="0" t="0" r="0" b="9525"/>
                  <wp:docPr id="36" name="Picture 36" descr="do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gre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0D370F">
              <w:rPr>
                <w:sz w:val="18"/>
                <w:szCs w:val="18"/>
              </w:rPr>
              <w:t xml:space="preserve">[Your </w:t>
            </w:r>
            <w:proofErr w:type="spellStart"/>
            <w:r w:rsidRPr="000D370F">
              <w:rPr>
                <w:sz w:val="18"/>
                <w:szCs w:val="18"/>
              </w:rPr>
              <w:t>DAPI</w:t>
            </w:r>
            <w:proofErr w:type="spellEnd"/>
            <w:r w:rsidRPr="000D370F">
              <w:rPr>
                <w:sz w:val="18"/>
                <w:szCs w:val="18"/>
              </w:rPr>
              <w:t xml:space="preserve">] </w:t>
            </w:r>
            <w:r>
              <w:rPr>
                <w:sz w:val="18"/>
                <w:szCs w:val="18"/>
              </w:rPr>
              <w:t>=&lt; [Group</w:t>
            </w:r>
            <w:r w:rsidRPr="000D370F">
              <w:rPr>
                <w:sz w:val="18"/>
                <w:szCs w:val="18"/>
              </w:rPr>
              <w:t xml:space="preserve"> </w:t>
            </w:r>
            <w:proofErr w:type="spellStart"/>
            <w:r w:rsidR="00BE6EDA">
              <w:rPr>
                <w:sz w:val="18"/>
                <w:szCs w:val="18"/>
              </w:rPr>
              <w:t>DAPI</w:t>
            </w:r>
            <w:proofErr w:type="spellEnd"/>
            <w:r w:rsidRPr="000D370F">
              <w:rPr>
                <w:sz w:val="18"/>
                <w:szCs w:val="18"/>
              </w:rPr>
              <w:t>]</w:t>
            </w:r>
          </w:p>
          <w:p w:rsidR="002B5722" w:rsidRPr="000D370F" w:rsidRDefault="002B5722" w:rsidP="00D768FE">
            <w:pPr>
              <w:spacing w:after="0"/>
              <w:rPr>
                <w:sz w:val="18"/>
                <w:szCs w:val="18"/>
              </w:rPr>
            </w:pPr>
            <w:r w:rsidRPr="000D370F">
              <w:rPr>
                <w:noProof/>
                <w:sz w:val="18"/>
                <w:szCs w:val="18"/>
                <w:lang w:eastAsia="en-AU"/>
              </w:rPr>
              <w:drawing>
                <wp:inline distT="0" distB="0" distL="0" distR="0" wp14:anchorId="40CE6CA5" wp14:editId="4A2AC717">
                  <wp:extent cx="79375" cy="63500"/>
                  <wp:effectExtent l="0" t="0" r="0" b="0"/>
                  <wp:docPr id="26" name="Picture 26" descr="do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t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375" cy="63500"/>
                          </a:xfrm>
                          <a:prstGeom prst="rect">
                            <a:avLst/>
                          </a:prstGeom>
                          <a:noFill/>
                          <a:ln>
                            <a:noFill/>
                          </a:ln>
                        </pic:spPr>
                      </pic:pic>
                    </a:graphicData>
                  </a:graphic>
                </wp:inline>
              </w:drawing>
            </w:r>
            <w:r>
              <w:rPr>
                <w:sz w:val="18"/>
                <w:szCs w:val="18"/>
              </w:rPr>
              <w:t xml:space="preserve">[Your </w:t>
            </w:r>
            <w:proofErr w:type="spellStart"/>
            <w:r>
              <w:rPr>
                <w:sz w:val="18"/>
                <w:szCs w:val="18"/>
              </w:rPr>
              <w:t>DAPI</w:t>
            </w:r>
            <w:proofErr w:type="spellEnd"/>
            <w:r>
              <w:rPr>
                <w:sz w:val="18"/>
                <w:szCs w:val="18"/>
              </w:rPr>
              <w:t>]  &gt;  [Group</w:t>
            </w:r>
            <w:r w:rsidRPr="000D370F">
              <w:rPr>
                <w:sz w:val="18"/>
                <w:szCs w:val="18"/>
              </w:rPr>
              <w:t xml:space="preserve"> </w:t>
            </w:r>
            <w:proofErr w:type="spellStart"/>
            <w:r w:rsidR="00BE6EDA">
              <w:rPr>
                <w:sz w:val="18"/>
                <w:szCs w:val="18"/>
              </w:rPr>
              <w:t>DAPI</w:t>
            </w:r>
            <w:proofErr w:type="spellEnd"/>
            <w:r w:rsidRPr="000D370F">
              <w:rPr>
                <w:sz w:val="18"/>
                <w:szCs w:val="18"/>
              </w:rPr>
              <w:t>]</w:t>
            </w:r>
          </w:p>
          <w:p w:rsidR="002B5722" w:rsidRPr="000D370F" w:rsidRDefault="002B5722" w:rsidP="00D768FE">
            <w:pPr>
              <w:spacing w:after="0"/>
              <w:rPr>
                <w:sz w:val="18"/>
                <w:szCs w:val="18"/>
              </w:rPr>
            </w:pPr>
          </w:p>
          <w:p w:rsidR="002B5722" w:rsidRPr="000D370F" w:rsidRDefault="002B5722" w:rsidP="00D768FE">
            <w:pPr>
              <w:spacing w:after="0"/>
              <w:rPr>
                <w:sz w:val="18"/>
                <w:szCs w:val="18"/>
              </w:rPr>
            </w:pPr>
          </w:p>
          <w:p w:rsidR="002B5722" w:rsidRPr="000D370F" w:rsidRDefault="002B5722" w:rsidP="00D768FE">
            <w:pPr>
              <w:spacing w:after="0"/>
              <w:rPr>
                <w:sz w:val="18"/>
                <w:szCs w:val="18"/>
              </w:rPr>
            </w:pPr>
            <w:r w:rsidRPr="000D370F">
              <w:rPr>
                <w:noProof/>
                <w:sz w:val="18"/>
                <w:szCs w:val="18"/>
                <w:lang w:eastAsia="en-AU"/>
              </w:rPr>
              <w:drawing>
                <wp:inline distT="0" distB="0" distL="0" distR="0" wp14:anchorId="66248C54" wp14:editId="23285D97">
                  <wp:extent cx="76200" cy="66675"/>
                  <wp:effectExtent l="0" t="0" r="0" b="9525"/>
                  <wp:docPr id="22" name="Picture 22" descr="do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gre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0D370F">
              <w:rPr>
                <w:sz w:val="18"/>
                <w:szCs w:val="18"/>
              </w:rPr>
              <w:t xml:space="preserve">[ Your </w:t>
            </w:r>
            <w:proofErr w:type="spellStart"/>
            <w:r w:rsidRPr="000D370F">
              <w:rPr>
                <w:sz w:val="18"/>
                <w:szCs w:val="18"/>
              </w:rPr>
              <w:t>DAPI</w:t>
            </w:r>
            <w:proofErr w:type="spellEnd"/>
            <w:r w:rsidRPr="000D370F">
              <w:rPr>
                <w:sz w:val="18"/>
                <w:szCs w:val="18"/>
              </w:rPr>
              <w:t xml:space="preserve">] </w:t>
            </w:r>
            <w:r>
              <w:rPr>
                <w:sz w:val="18"/>
                <w:szCs w:val="18"/>
              </w:rPr>
              <w:t>=</w:t>
            </w:r>
            <w:r w:rsidRPr="000D370F">
              <w:rPr>
                <w:sz w:val="18"/>
                <w:szCs w:val="18"/>
              </w:rPr>
              <w:t xml:space="preserve">&lt; [State </w:t>
            </w:r>
            <w:proofErr w:type="spellStart"/>
            <w:r w:rsidR="00BE6EDA">
              <w:rPr>
                <w:sz w:val="18"/>
                <w:szCs w:val="18"/>
              </w:rPr>
              <w:t>DAPI</w:t>
            </w:r>
            <w:proofErr w:type="spellEnd"/>
            <w:r w:rsidRPr="000D370F">
              <w:rPr>
                <w:sz w:val="18"/>
                <w:szCs w:val="18"/>
              </w:rPr>
              <w:t>]</w:t>
            </w:r>
          </w:p>
          <w:p w:rsidR="002B5722" w:rsidRPr="000D370F" w:rsidRDefault="002B5722" w:rsidP="00D768FE">
            <w:pPr>
              <w:spacing w:after="0"/>
              <w:rPr>
                <w:sz w:val="18"/>
                <w:szCs w:val="18"/>
              </w:rPr>
            </w:pPr>
            <w:r>
              <w:rPr>
                <w:noProof/>
                <w:sz w:val="18"/>
                <w:szCs w:val="18"/>
                <w:lang w:eastAsia="en-AU"/>
              </w:rPr>
              <w:drawing>
                <wp:inline distT="0" distB="0" distL="0" distR="0" wp14:anchorId="5E9B32FC" wp14:editId="02FFD22E">
                  <wp:extent cx="76200" cy="66675"/>
                  <wp:effectExtent l="0" t="0" r="0" b="9525"/>
                  <wp:docPr id="35" name="Picture 35" descr="do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0D370F">
              <w:rPr>
                <w:sz w:val="18"/>
                <w:szCs w:val="18"/>
              </w:rPr>
              <w:t xml:space="preserve">[Your </w:t>
            </w:r>
            <w:proofErr w:type="spellStart"/>
            <w:r w:rsidRPr="000D370F">
              <w:rPr>
                <w:sz w:val="18"/>
                <w:szCs w:val="18"/>
              </w:rPr>
              <w:t>DAPI</w:t>
            </w:r>
            <w:proofErr w:type="spellEnd"/>
            <w:r w:rsidRPr="000D370F">
              <w:rPr>
                <w:sz w:val="18"/>
                <w:szCs w:val="18"/>
              </w:rPr>
              <w:t xml:space="preserve">]  &gt;  [State </w:t>
            </w:r>
            <w:proofErr w:type="spellStart"/>
            <w:r w:rsidR="00BE6EDA">
              <w:rPr>
                <w:sz w:val="18"/>
                <w:szCs w:val="18"/>
              </w:rPr>
              <w:t>DAPI</w:t>
            </w:r>
            <w:proofErr w:type="spellEnd"/>
            <w:r w:rsidRPr="000D370F">
              <w:rPr>
                <w:sz w:val="18"/>
                <w:szCs w:val="18"/>
              </w:rPr>
              <w:t>]</w:t>
            </w:r>
            <w:r w:rsidRPr="000D370F">
              <w:rPr>
                <w:sz w:val="18"/>
                <w:szCs w:val="18"/>
              </w:rPr>
              <w:br/>
            </w:r>
            <w:r w:rsidRPr="000D370F">
              <w:rPr>
                <w:sz w:val="18"/>
                <w:szCs w:val="18"/>
              </w:rPr>
              <w:br/>
            </w:r>
          </w:p>
          <w:p w:rsidR="002B5722" w:rsidRPr="000D370F" w:rsidRDefault="002B5722" w:rsidP="00D768FE">
            <w:pPr>
              <w:spacing w:after="0"/>
              <w:rPr>
                <w:sz w:val="18"/>
                <w:szCs w:val="18"/>
              </w:rPr>
            </w:pPr>
            <w:r w:rsidRPr="000D370F">
              <w:rPr>
                <w:noProof/>
                <w:sz w:val="18"/>
                <w:szCs w:val="18"/>
                <w:lang w:eastAsia="en-AU"/>
              </w:rPr>
              <w:drawing>
                <wp:inline distT="0" distB="0" distL="0" distR="0" wp14:anchorId="2B2EE004" wp14:editId="4054C0DD">
                  <wp:extent cx="76200" cy="66675"/>
                  <wp:effectExtent l="0" t="0" r="0" b="9525"/>
                  <wp:docPr id="25" name="Picture 25" descr="do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tgre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0D370F">
              <w:rPr>
                <w:sz w:val="18"/>
                <w:szCs w:val="18"/>
              </w:rPr>
              <w:t xml:space="preserve">[Your </w:t>
            </w:r>
            <w:proofErr w:type="spellStart"/>
            <w:r w:rsidRPr="000D370F">
              <w:rPr>
                <w:sz w:val="18"/>
                <w:szCs w:val="18"/>
              </w:rPr>
              <w:t>DAPI</w:t>
            </w:r>
            <w:proofErr w:type="spellEnd"/>
            <w:r w:rsidRPr="000D370F">
              <w:rPr>
                <w:sz w:val="18"/>
                <w:szCs w:val="18"/>
              </w:rPr>
              <w:t xml:space="preserve">] </w:t>
            </w:r>
            <w:r>
              <w:rPr>
                <w:sz w:val="18"/>
                <w:szCs w:val="18"/>
              </w:rPr>
              <w:t>=</w:t>
            </w:r>
            <w:r w:rsidRPr="000D370F">
              <w:rPr>
                <w:sz w:val="18"/>
                <w:szCs w:val="18"/>
              </w:rPr>
              <w:t>&lt; [</w:t>
            </w:r>
            <w:proofErr w:type="spellStart"/>
            <w:r w:rsidRPr="000D370F">
              <w:rPr>
                <w:sz w:val="18"/>
                <w:szCs w:val="18"/>
              </w:rPr>
              <w:t>National</w:t>
            </w:r>
            <w:r w:rsidR="00BE6EDA">
              <w:rPr>
                <w:sz w:val="18"/>
                <w:szCs w:val="18"/>
              </w:rPr>
              <w:t>DAPI</w:t>
            </w:r>
            <w:proofErr w:type="spellEnd"/>
            <w:r w:rsidRPr="000D370F">
              <w:rPr>
                <w:sz w:val="18"/>
                <w:szCs w:val="18"/>
              </w:rPr>
              <w:t>]</w:t>
            </w:r>
          </w:p>
          <w:p w:rsidR="002B5722" w:rsidRPr="000D370F" w:rsidRDefault="002B5722" w:rsidP="00D768FE">
            <w:pPr>
              <w:spacing w:after="0"/>
              <w:rPr>
                <w:sz w:val="18"/>
                <w:szCs w:val="18"/>
              </w:rPr>
            </w:pPr>
            <w:r w:rsidRPr="000D370F">
              <w:rPr>
                <w:noProof/>
                <w:sz w:val="18"/>
                <w:szCs w:val="18"/>
                <w:lang w:eastAsia="en-AU"/>
              </w:rPr>
              <w:drawing>
                <wp:inline distT="0" distB="0" distL="0" distR="0" wp14:anchorId="0E77ACBD" wp14:editId="202A88F5">
                  <wp:extent cx="76200" cy="66675"/>
                  <wp:effectExtent l="0" t="0" r="0" b="9525"/>
                  <wp:docPr id="23" name="Picture 23" descr="do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t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0D370F">
              <w:rPr>
                <w:sz w:val="18"/>
                <w:szCs w:val="18"/>
              </w:rPr>
              <w:t xml:space="preserve">[Your </w:t>
            </w:r>
            <w:proofErr w:type="spellStart"/>
            <w:r w:rsidRPr="000D370F">
              <w:rPr>
                <w:sz w:val="18"/>
                <w:szCs w:val="18"/>
              </w:rPr>
              <w:t>DAPI</w:t>
            </w:r>
            <w:proofErr w:type="spellEnd"/>
            <w:r w:rsidRPr="000D370F">
              <w:rPr>
                <w:sz w:val="18"/>
                <w:szCs w:val="18"/>
              </w:rPr>
              <w:t>]  &gt;  [</w:t>
            </w:r>
            <w:proofErr w:type="spellStart"/>
            <w:r w:rsidRPr="000D370F">
              <w:rPr>
                <w:sz w:val="18"/>
                <w:szCs w:val="18"/>
              </w:rPr>
              <w:t>National</w:t>
            </w:r>
            <w:r w:rsidR="00BE6EDA">
              <w:rPr>
                <w:sz w:val="18"/>
                <w:szCs w:val="18"/>
              </w:rPr>
              <w:t>DAPI</w:t>
            </w:r>
            <w:proofErr w:type="spellEnd"/>
            <w:r w:rsidRPr="000D370F">
              <w:rPr>
                <w:sz w:val="18"/>
                <w:szCs w:val="18"/>
              </w:rPr>
              <w:t>]</w:t>
            </w:r>
            <w:r>
              <w:rPr>
                <w:sz w:val="18"/>
                <w:szCs w:val="18"/>
              </w:rPr>
              <w:br/>
            </w:r>
            <w:r>
              <w:rPr>
                <w:sz w:val="18"/>
                <w:szCs w:val="18"/>
              </w:rPr>
              <w:br/>
            </w:r>
            <w:r>
              <w:rPr>
                <w:sz w:val="18"/>
                <w:szCs w:val="18"/>
              </w:rPr>
              <w:br/>
            </w:r>
            <w:r w:rsidRPr="005F0DB5">
              <w:rPr>
                <w:noProof/>
                <w:sz w:val="18"/>
                <w:szCs w:val="18"/>
                <w:lang w:eastAsia="en-AU"/>
              </w:rPr>
              <w:drawing>
                <wp:inline distT="0" distB="0" distL="0" distR="0" wp14:anchorId="1AD4DE9F" wp14:editId="736D3567">
                  <wp:extent cx="76200" cy="66675"/>
                  <wp:effectExtent l="0" t="0" r="0" b="9525"/>
                  <wp:docPr id="10" name="Picture 10" descr="do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tgre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sidRPr="000D370F">
              <w:rPr>
                <w:sz w:val="18"/>
                <w:szCs w:val="18"/>
              </w:rPr>
              <w:t xml:space="preserve">[Your </w:t>
            </w:r>
            <w:proofErr w:type="spellStart"/>
            <w:r w:rsidRPr="000D370F">
              <w:rPr>
                <w:sz w:val="18"/>
                <w:szCs w:val="18"/>
              </w:rPr>
              <w:t>DAPI</w:t>
            </w:r>
            <w:proofErr w:type="spellEnd"/>
            <w:r w:rsidRPr="000D370F">
              <w:rPr>
                <w:sz w:val="18"/>
                <w:szCs w:val="18"/>
              </w:rPr>
              <w:t xml:space="preserve">] </w:t>
            </w:r>
            <w:r>
              <w:rPr>
                <w:sz w:val="18"/>
                <w:szCs w:val="18"/>
              </w:rPr>
              <w:t>=&lt; [Benchmark</w:t>
            </w:r>
            <w:r w:rsidRPr="000D370F">
              <w:rPr>
                <w:sz w:val="18"/>
                <w:szCs w:val="18"/>
              </w:rPr>
              <w:t>]</w:t>
            </w:r>
          </w:p>
          <w:p w:rsidR="002B5722" w:rsidRPr="000D370F" w:rsidRDefault="002B5722" w:rsidP="00D768FE">
            <w:pPr>
              <w:spacing w:after="0"/>
              <w:rPr>
                <w:rFonts w:cstheme="minorHAnsi"/>
                <w:noProof/>
                <w:sz w:val="18"/>
                <w:szCs w:val="18"/>
              </w:rPr>
            </w:pPr>
            <w:r w:rsidRPr="005F0DB5">
              <w:rPr>
                <w:noProof/>
                <w:sz w:val="18"/>
                <w:szCs w:val="18"/>
                <w:lang w:eastAsia="en-AU"/>
              </w:rPr>
              <w:drawing>
                <wp:inline distT="0" distB="0" distL="0" distR="0" wp14:anchorId="3FA6A0BC" wp14:editId="767130EC">
                  <wp:extent cx="76200" cy="66675"/>
                  <wp:effectExtent l="0" t="0" r="0" b="9525"/>
                  <wp:docPr id="14" name="Picture 14" descr="do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tR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r>
              <w:rPr>
                <w:sz w:val="18"/>
                <w:szCs w:val="18"/>
              </w:rPr>
              <w:t xml:space="preserve">[Your </w:t>
            </w:r>
            <w:proofErr w:type="spellStart"/>
            <w:r>
              <w:rPr>
                <w:sz w:val="18"/>
                <w:szCs w:val="18"/>
              </w:rPr>
              <w:t>DAPI</w:t>
            </w:r>
            <w:proofErr w:type="spellEnd"/>
            <w:r>
              <w:rPr>
                <w:sz w:val="18"/>
                <w:szCs w:val="18"/>
              </w:rPr>
              <w:t>]  &gt;  [Benchmark</w:t>
            </w:r>
            <w:r w:rsidRPr="000D370F">
              <w:rPr>
                <w:sz w:val="18"/>
                <w:szCs w:val="18"/>
              </w:rPr>
              <w:t>]</w:t>
            </w:r>
            <w:r>
              <w:rPr>
                <w:sz w:val="18"/>
                <w:szCs w:val="18"/>
              </w:rPr>
              <w:br/>
            </w:r>
            <w:r>
              <w:rPr>
                <w:sz w:val="18"/>
                <w:szCs w:val="18"/>
              </w:rPr>
              <w:br/>
            </w:r>
          </w:p>
          <w:p w:rsidR="002B5722" w:rsidRPr="000D370F" w:rsidRDefault="002B5722" w:rsidP="00D768FE">
            <w:pPr>
              <w:spacing w:after="0"/>
              <w:rPr>
                <w:rFonts w:cstheme="minorHAnsi"/>
                <w:noProof/>
                <w:sz w:val="18"/>
                <w:szCs w:val="18"/>
              </w:rPr>
            </w:pPr>
          </w:p>
        </w:tc>
        <w:tc>
          <w:tcPr>
            <w:tcW w:w="1088" w:type="pct"/>
          </w:tcPr>
          <w:p w:rsidR="002B5722" w:rsidRPr="000D370F" w:rsidRDefault="002B5722" w:rsidP="00D768FE">
            <w:pPr>
              <w:spacing w:after="0"/>
              <w:rPr>
                <w:sz w:val="18"/>
                <w:szCs w:val="18"/>
              </w:rPr>
            </w:pPr>
          </w:p>
        </w:tc>
      </w:tr>
    </w:tbl>
    <w:p w:rsidR="003D3167" w:rsidRDefault="003D3167" w:rsidP="003D3167">
      <w:pPr>
        <w:rPr>
          <w:lang w:bidi="en-US"/>
        </w:rPr>
        <w:sectPr w:rsidR="003D3167" w:rsidSect="00F036A8">
          <w:pgSz w:w="11907" w:h="16840" w:code="9"/>
          <w:pgMar w:top="1440" w:right="1440" w:bottom="1440" w:left="1440" w:header="0" w:footer="0" w:gutter="0"/>
          <w:cols w:space="720"/>
          <w:docGrid w:linePitch="272"/>
        </w:sectPr>
      </w:pPr>
    </w:p>
    <w:p w:rsidR="003D3167" w:rsidRDefault="003D3167" w:rsidP="003D3167">
      <w:pPr>
        <w:pStyle w:val="Heading2"/>
      </w:pPr>
      <w:bookmarkStart w:id="32" w:name="_Toc365030870"/>
      <w:r>
        <w:lastRenderedPageBreak/>
        <w:t>Report Output Fields Sorting</w:t>
      </w:r>
      <w:bookmarkEnd w:id="32"/>
    </w:p>
    <w:p w:rsidR="003D3167" w:rsidRDefault="003D3167" w:rsidP="003D3167">
      <w:pPr>
        <w:rPr>
          <w:lang w:bidi="en-US"/>
        </w:rPr>
      </w:pPr>
      <w:r w:rsidRPr="00D05979">
        <w:rPr>
          <w:lang w:bidi="en-US"/>
        </w:rPr>
        <w:t>The report output is sorted as below:</w:t>
      </w:r>
    </w:p>
    <w:p w:rsidR="003D3167" w:rsidRPr="0089129D" w:rsidRDefault="003D3167" w:rsidP="003D3167">
      <w:pPr>
        <w:rPr>
          <w:b/>
          <w:lang w:bidi="en-US"/>
        </w:rPr>
      </w:pPr>
      <w:r>
        <w:rPr>
          <w:b/>
          <w:lang w:bidi="en-US"/>
        </w:rPr>
        <w:t>Summary</w:t>
      </w:r>
      <w:r w:rsidR="007A44B0">
        <w:rPr>
          <w:b/>
          <w:lang w:bidi="en-US"/>
        </w:rPr>
        <w:t xml:space="preserve"> Table</w:t>
      </w:r>
    </w:p>
    <w:tbl>
      <w:tblPr>
        <w:tblW w:w="4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4028"/>
        <w:gridCol w:w="2166"/>
      </w:tblGrid>
      <w:tr w:rsidR="003D3167" w:rsidRPr="00D05979" w:rsidTr="00D768FE">
        <w:trPr>
          <w:tblHeader/>
        </w:trPr>
        <w:tc>
          <w:tcPr>
            <w:tcW w:w="913" w:type="pct"/>
            <w:shd w:val="clear" w:color="auto" w:fill="DBE5F1"/>
          </w:tcPr>
          <w:p w:rsidR="003D3167" w:rsidRPr="00D05979" w:rsidRDefault="003D3167" w:rsidP="00D768FE">
            <w:pPr>
              <w:rPr>
                <w:b/>
                <w:sz w:val="18"/>
                <w:szCs w:val="18"/>
              </w:rPr>
            </w:pPr>
            <w:r w:rsidRPr="00D05979">
              <w:rPr>
                <w:b/>
                <w:sz w:val="18"/>
                <w:szCs w:val="18"/>
              </w:rPr>
              <w:t>Column Name</w:t>
            </w:r>
          </w:p>
        </w:tc>
        <w:tc>
          <w:tcPr>
            <w:tcW w:w="2658" w:type="pct"/>
            <w:shd w:val="clear" w:color="auto" w:fill="DBE5F1"/>
          </w:tcPr>
          <w:p w:rsidR="003D3167" w:rsidRPr="00D05979" w:rsidRDefault="003D3167" w:rsidP="00D768FE">
            <w:pPr>
              <w:rPr>
                <w:b/>
                <w:sz w:val="18"/>
                <w:szCs w:val="18"/>
              </w:rPr>
            </w:pPr>
            <w:r w:rsidRPr="00D05979">
              <w:rPr>
                <w:b/>
                <w:sz w:val="18"/>
                <w:szCs w:val="18"/>
              </w:rPr>
              <w:t>Sort Direction</w:t>
            </w:r>
          </w:p>
        </w:tc>
        <w:tc>
          <w:tcPr>
            <w:tcW w:w="1429" w:type="pct"/>
            <w:shd w:val="clear" w:color="auto" w:fill="DBE5F1"/>
          </w:tcPr>
          <w:p w:rsidR="003D3167" w:rsidRPr="00D05979" w:rsidRDefault="003D3167" w:rsidP="00D768FE">
            <w:pPr>
              <w:rPr>
                <w:b/>
                <w:sz w:val="18"/>
                <w:szCs w:val="18"/>
              </w:rPr>
            </w:pPr>
            <w:r w:rsidRPr="00D05979">
              <w:rPr>
                <w:b/>
                <w:sz w:val="18"/>
                <w:szCs w:val="18"/>
              </w:rPr>
              <w:t>Totals</w:t>
            </w:r>
          </w:p>
        </w:tc>
      </w:tr>
      <w:tr w:rsidR="003D3167" w:rsidRPr="00D05979" w:rsidTr="00D768FE">
        <w:tc>
          <w:tcPr>
            <w:tcW w:w="913" w:type="pct"/>
          </w:tcPr>
          <w:p w:rsidR="003D3167" w:rsidRPr="00D05979" w:rsidRDefault="003D3167" w:rsidP="00D768FE">
            <w:pPr>
              <w:spacing w:before="100" w:beforeAutospacing="1"/>
              <w:rPr>
                <w:sz w:val="18"/>
                <w:szCs w:val="18"/>
              </w:rPr>
            </w:pPr>
            <w:r>
              <w:rPr>
                <w:sz w:val="18"/>
                <w:szCs w:val="18"/>
              </w:rPr>
              <w:t xml:space="preserve">Fresh </w:t>
            </w:r>
            <w:r w:rsidRPr="003E36EB">
              <w:rPr>
                <w:sz w:val="18"/>
                <w:szCs w:val="18"/>
              </w:rPr>
              <w:t>Component</w:t>
            </w:r>
          </w:p>
        </w:tc>
        <w:tc>
          <w:tcPr>
            <w:tcW w:w="2658" w:type="pct"/>
            <w:shd w:val="clear" w:color="auto" w:fill="auto"/>
          </w:tcPr>
          <w:p w:rsidR="003D3167" w:rsidRPr="00D05979" w:rsidRDefault="003D3167" w:rsidP="000D4228">
            <w:pPr>
              <w:spacing w:before="100" w:beforeAutospacing="1"/>
              <w:rPr>
                <w:sz w:val="18"/>
                <w:szCs w:val="18"/>
              </w:rPr>
            </w:pPr>
            <w:r>
              <w:rPr>
                <w:sz w:val="18"/>
                <w:szCs w:val="18"/>
              </w:rPr>
              <w:t>Sorted based on the National Supply Budget Plan and Blood Grouping.</w:t>
            </w:r>
            <w:r>
              <w:rPr>
                <w:sz w:val="18"/>
                <w:szCs w:val="18"/>
              </w:rPr>
              <w:br/>
              <w:t>Will be sorted based on the Component</w:t>
            </w:r>
            <w:r w:rsidR="00391B8E">
              <w:rPr>
                <w:sz w:val="18"/>
                <w:szCs w:val="18"/>
              </w:rPr>
              <w:t xml:space="preserve"> Group order as per the table shown in Section 2.2, BR4i.  The</w:t>
            </w:r>
            <w:r>
              <w:rPr>
                <w:sz w:val="18"/>
                <w:szCs w:val="18"/>
              </w:rPr>
              <w:t xml:space="preserve"> Cost Group</w:t>
            </w:r>
            <w:r w:rsidR="00391B8E">
              <w:rPr>
                <w:sz w:val="18"/>
                <w:szCs w:val="18"/>
              </w:rPr>
              <w:t>s within each Component group</w:t>
            </w:r>
            <w:r>
              <w:rPr>
                <w:sz w:val="18"/>
                <w:szCs w:val="18"/>
              </w:rPr>
              <w:t xml:space="preserve"> (ie. 1a, 1b, 2a, 2b, 2c, etc)</w:t>
            </w:r>
            <w:r w:rsidR="00391B8E">
              <w:rPr>
                <w:sz w:val="18"/>
                <w:szCs w:val="18"/>
              </w:rPr>
              <w:t xml:space="preserve"> will be sorted</w:t>
            </w:r>
            <w:r w:rsidR="000D4228">
              <w:rPr>
                <w:sz w:val="18"/>
                <w:szCs w:val="18"/>
              </w:rPr>
              <w:t xml:space="preserve"> in ascending order).</w:t>
            </w:r>
          </w:p>
        </w:tc>
        <w:tc>
          <w:tcPr>
            <w:tcW w:w="1429" w:type="pct"/>
          </w:tcPr>
          <w:p w:rsidR="003D3167" w:rsidRPr="00D05979" w:rsidRDefault="003D3167" w:rsidP="00D768FE">
            <w:pPr>
              <w:spacing w:before="100" w:beforeAutospacing="1"/>
              <w:rPr>
                <w:sz w:val="18"/>
                <w:szCs w:val="18"/>
              </w:rPr>
            </w:pPr>
            <w:r>
              <w:rPr>
                <w:sz w:val="18"/>
                <w:szCs w:val="18"/>
              </w:rPr>
              <w:t>N/A</w:t>
            </w:r>
          </w:p>
        </w:tc>
      </w:tr>
      <w:bookmarkEnd w:id="2"/>
      <w:bookmarkEnd w:id="23"/>
    </w:tbl>
    <w:p w:rsidR="003D3167" w:rsidRDefault="003D3167" w:rsidP="003D3167"/>
    <w:p w:rsidR="003D3167" w:rsidRPr="00B548CD" w:rsidRDefault="003D3167" w:rsidP="003D3167">
      <w:pPr>
        <w:pStyle w:val="Heading1"/>
        <w:numPr>
          <w:ilvl w:val="0"/>
          <w:numId w:val="2"/>
        </w:numPr>
        <w:ind w:left="431" w:hanging="431"/>
      </w:pPr>
      <w:bookmarkStart w:id="33" w:name="_Toc365030871"/>
      <w:r w:rsidRPr="00B548CD">
        <w:lastRenderedPageBreak/>
        <w:t>Glossary</w:t>
      </w:r>
      <w:bookmarkEnd w:id="33"/>
      <w:r w:rsidRPr="00B548CD">
        <w:t xml:space="preserve"> </w:t>
      </w:r>
    </w:p>
    <w:tbl>
      <w:tblPr>
        <w:tblStyle w:val="MediumGrid3-Accent5"/>
        <w:tblW w:w="0" w:type="auto"/>
        <w:tblLook w:val="04A0" w:firstRow="1" w:lastRow="0" w:firstColumn="1" w:lastColumn="0" w:noHBand="0" w:noVBand="1"/>
        <w:tblCaption w:val="Glossary"/>
        <w:tblDescription w:val="Glossary containing terms and definitions used in this report."/>
      </w:tblPr>
      <w:tblGrid>
        <w:gridCol w:w="3543"/>
        <w:gridCol w:w="5699"/>
      </w:tblGrid>
      <w:tr w:rsidR="003D3167" w:rsidRPr="00B51C06" w:rsidTr="00D768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3" w:type="dxa"/>
          </w:tcPr>
          <w:p w:rsidR="003D3167" w:rsidRPr="00B51C06" w:rsidRDefault="003D3167" w:rsidP="00D768FE">
            <w:pPr>
              <w:rPr>
                <w:rFonts w:cstheme="minorHAnsi"/>
                <w:sz w:val="18"/>
                <w:szCs w:val="18"/>
              </w:rPr>
            </w:pPr>
            <w:r w:rsidRPr="00B51C06">
              <w:rPr>
                <w:rFonts w:cstheme="minorHAnsi"/>
                <w:sz w:val="18"/>
                <w:szCs w:val="18"/>
              </w:rPr>
              <w:t>Term</w:t>
            </w:r>
          </w:p>
        </w:tc>
        <w:tc>
          <w:tcPr>
            <w:tcW w:w="5699" w:type="dxa"/>
          </w:tcPr>
          <w:p w:rsidR="003D3167" w:rsidRPr="00217A48" w:rsidRDefault="003D3167" w:rsidP="00D768FE">
            <w:pP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217A48">
              <w:rPr>
                <w:rFonts w:cstheme="minorHAnsi"/>
                <w:bCs w:val="0"/>
                <w:sz w:val="18"/>
                <w:szCs w:val="18"/>
              </w:rPr>
              <w:t xml:space="preserve">Definition </w:t>
            </w:r>
          </w:p>
        </w:tc>
      </w:tr>
      <w:tr w:rsidR="003D316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3D3167" w:rsidRPr="008D1FEF" w:rsidRDefault="003D3167" w:rsidP="00D768FE">
            <w:pPr>
              <w:rPr>
                <w:rFonts w:cstheme="minorHAnsi"/>
                <w:b w:val="0"/>
                <w:noProof/>
                <w:sz w:val="18"/>
                <w:szCs w:val="18"/>
              </w:rPr>
            </w:pPr>
            <w:r w:rsidRPr="008D1FEF">
              <w:rPr>
                <w:rFonts w:cstheme="minorHAnsi"/>
                <w:b w:val="0"/>
                <w:noProof/>
                <w:sz w:val="18"/>
                <w:szCs w:val="18"/>
              </w:rPr>
              <w:t>AHP</w:t>
            </w:r>
          </w:p>
        </w:tc>
        <w:tc>
          <w:tcPr>
            <w:tcW w:w="5699" w:type="dxa"/>
            <w:shd w:val="clear" w:color="auto" w:fill="FFFFFF" w:themeFill="background1"/>
          </w:tcPr>
          <w:p w:rsidR="003D3167" w:rsidRPr="008D1FEF" w:rsidRDefault="003D316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Approved Health Provider, normally referred to as a ‘Health Provider’.</w:t>
            </w:r>
            <w:r w:rsidRPr="008D1FEF">
              <w:rPr>
                <w:rFonts w:cstheme="minorHAnsi"/>
                <w:sz w:val="18"/>
                <w:szCs w:val="18"/>
              </w:rPr>
              <w:br/>
              <w:t>Also known as facility.</w:t>
            </w:r>
          </w:p>
        </w:tc>
      </w:tr>
      <w:tr w:rsidR="003D316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3D3167" w:rsidRPr="00B10123" w:rsidRDefault="003D3167" w:rsidP="00D768FE">
            <w:pPr>
              <w:rPr>
                <w:rFonts w:cstheme="minorHAnsi"/>
                <w:b w:val="0"/>
                <w:noProof/>
                <w:sz w:val="18"/>
                <w:szCs w:val="18"/>
              </w:rPr>
            </w:pPr>
            <w:r w:rsidRPr="00B10123">
              <w:rPr>
                <w:rFonts w:cstheme="minorHAnsi"/>
                <w:b w:val="0"/>
                <w:noProof/>
                <w:sz w:val="18"/>
                <w:szCs w:val="18"/>
              </w:rPr>
              <w:t>Benchmark</w:t>
            </w:r>
          </w:p>
        </w:tc>
        <w:tc>
          <w:tcPr>
            <w:tcW w:w="5699" w:type="dxa"/>
            <w:shd w:val="clear" w:color="auto" w:fill="FFFFFF" w:themeFill="background1"/>
          </w:tcPr>
          <w:p w:rsidR="003D3167" w:rsidRPr="00B10123" w:rsidRDefault="003D316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sz w:val="18"/>
                <w:szCs w:val="18"/>
              </w:rPr>
              <w:t>The level set as the comparison between hospitals that are categorized in the same group.</w:t>
            </w:r>
          </w:p>
        </w:tc>
      </w:tr>
      <w:tr w:rsidR="003D316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3D3167" w:rsidRPr="00B10123" w:rsidRDefault="003D3167" w:rsidP="00D768FE">
            <w:pPr>
              <w:rPr>
                <w:rFonts w:cstheme="minorHAnsi"/>
                <w:b w:val="0"/>
                <w:noProof/>
                <w:sz w:val="18"/>
                <w:szCs w:val="18"/>
              </w:rPr>
            </w:pPr>
            <w:r>
              <w:rPr>
                <w:rFonts w:cstheme="minorHAnsi"/>
                <w:b w:val="0"/>
                <w:noProof/>
                <w:sz w:val="18"/>
                <w:szCs w:val="18"/>
              </w:rPr>
              <w:t>Component Group</w:t>
            </w:r>
          </w:p>
        </w:tc>
        <w:tc>
          <w:tcPr>
            <w:tcW w:w="5699" w:type="dxa"/>
            <w:shd w:val="clear" w:color="auto" w:fill="FFFFFF" w:themeFill="background1"/>
          </w:tcPr>
          <w:p w:rsidR="003D3167" w:rsidRPr="00B10123" w:rsidRDefault="003D316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This is the higher level description of the Fresh Component Group.  Examples of Component Groups are: Whole Blood, Red Cell, Platelet, Clinical Fresh Frozen Plasma, Cryoprecipitate, </w:t>
            </w:r>
            <w:proofErr w:type="spellStart"/>
            <w:r>
              <w:rPr>
                <w:rFonts w:cstheme="minorHAnsi"/>
                <w:sz w:val="18"/>
                <w:szCs w:val="18"/>
              </w:rPr>
              <w:t>Cryo</w:t>
            </w:r>
            <w:proofErr w:type="spellEnd"/>
            <w:r>
              <w:rPr>
                <w:rFonts w:cstheme="minorHAnsi"/>
                <w:sz w:val="18"/>
                <w:szCs w:val="18"/>
              </w:rPr>
              <w:t>-depleted plasma, and Other.</w:t>
            </w:r>
          </w:p>
        </w:tc>
      </w:tr>
      <w:tr w:rsidR="003D316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3D3167" w:rsidRPr="00B10123" w:rsidRDefault="003D3167" w:rsidP="00D768FE">
            <w:pPr>
              <w:rPr>
                <w:rFonts w:cstheme="minorHAnsi"/>
                <w:b w:val="0"/>
                <w:noProof/>
                <w:sz w:val="18"/>
                <w:szCs w:val="18"/>
              </w:rPr>
            </w:pPr>
            <w:r w:rsidRPr="00B10123">
              <w:rPr>
                <w:rFonts w:cstheme="minorHAnsi"/>
                <w:b w:val="0"/>
                <w:noProof/>
                <w:sz w:val="18"/>
                <w:szCs w:val="18"/>
              </w:rPr>
              <w:t>Cost</w:t>
            </w:r>
          </w:p>
        </w:tc>
        <w:tc>
          <w:tcPr>
            <w:tcW w:w="5699" w:type="dxa"/>
            <w:shd w:val="clear" w:color="auto" w:fill="FFFFFF" w:themeFill="background1"/>
          </w:tcPr>
          <w:p w:rsidR="003D3167" w:rsidRPr="00B10123" w:rsidRDefault="003D316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The cost of the quantity discarded for each component/manufactured product (ie. cost = unit price x quantity discarded).</w:t>
            </w:r>
          </w:p>
        </w:tc>
      </w:tr>
      <w:tr w:rsidR="002A7238"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2A7238" w:rsidRPr="00B10123" w:rsidRDefault="002A7238" w:rsidP="00D768FE">
            <w:pPr>
              <w:rPr>
                <w:rFonts w:cstheme="minorHAnsi"/>
                <w:b w:val="0"/>
                <w:noProof/>
                <w:sz w:val="18"/>
                <w:szCs w:val="18"/>
              </w:rPr>
            </w:pPr>
            <w:r>
              <w:rPr>
                <w:rFonts w:cstheme="minorHAnsi"/>
                <w:b w:val="0"/>
                <w:noProof/>
                <w:sz w:val="18"/>
                <w:szCs w:val="18"/>
              </w:rPr>
              <w:t>Cost Group</w:t>
            </w:r>
          </w:p>
        </w:tc>
        <w:tc>
          <w:tcPr>
            <w:tcW w:w="5699" w:type="dxa"/>
            <w:shd w:val="clear" w:color="auto" w:fill="FFFFFF" w:themeFill="background1"/>
          </w:tcPr>
          <w:p w:rsidR="002A7238" w:rsidRPr="00B10123" w:rsidRDefault="002A7238" w:rsidP="002A7238">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When you combine Fresh Component Cost Group Code and Fresh Component Cost Group description together (ie. 2a – WB Red Cell).</w:t>
            </w:r>
          </w:p>
        </w:tc>
      </w:tr>
      <w:tr w:rsidR="003D316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3D3167" w:rsidRPr="00B10123" w:rsidRDefault="003D3167" w:rsidP="00D768FE">
            <w:pPr>
              <w:rPr>
                <w:rFonts w:cstheme="minorHAnsi"/>
                <w:noProof/>
                <w:sz w:val="18"/>
                <w:szCs w:val="18"/>
              </w:rPr>
            </w:pPr>
            <w:r>
              <w:rPr>
                <w:rFonts w:cstheme="minorHAnsi"/>
                <w:b w:val="0"/>
                <w:noProof/>
                <w:sz w:val="18"/>
                <w:szCs w:val="18"/>
              </w:rPr>
              <w:t>Custom Location</w:t>
            </w:r>
          </w:p>
        </w:tc>
        <w:tc>
          <w:tcPr>
            <w:tcW w:w="5699" w:type="dxa"/>
            <w:shd w:val="clear" w:color="auto" w:fill="FFFFFF" w:themeFill="background1"/>
          </w:tcPr>
          <w:p w:rsidR="003D3167" w:rsidRPr="00B10123" w:rsidRDefault="003D316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This is a location that was entered by a BloodNet user using the free text box entry when performing a transfer in BloodNet.</w:t>
            </w:r>
          </w:p>
        </w:tc>
      </w:tr>
      <w:tr w:rsidR="003D316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3D3167" w:rsidRPr="00B10123" w:rsidRDefault="003D3167" w:rsidP="00D768FE">
            <w:pPr>
              <w:rPr>
                <w:rFonts w:cstheme="minorHAnsi"/>
                <w:b w:val="0"/>
                <w:noProof/>
                <w:sz w:val="18"/>
                <w:szCs w:val="18"/>
              </w:rPr>
            </w:pPr>
            <w:r w:rsidRPr="00B10123">
              <w:rPr>
                <w:rFonts w:cstheme="minorHAnsi"/>
                <w:b w:val="0"/>
                <w:noProof/>
                <w:sz w:val="18"/>
                <w:szCs w:val="18"/>
              </w:rPr>
              <w:t>DAPI</w:t>
            </w:r>
          </w:p>
        </w:tc>
        <w:tc>
          <w:tcPr>
            <w:tcW w:w="5699" w:type="dxa"/>
            <w:shd w:val="clear" w:color="auto" w:fill="FFFFFF" w:themeFill="background1"/>
          </w:tcPr>
          <w:p w:rsidR="003D3167" w:rsidRPr="00B10123" w:rsidRDefault="003D316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Discard as a Percentage of Net Issue.</w:t>
            </w:r>
            <w:r>
              <w:rPr>
                <w:rFonts w:cstheme="minorHAnsi"/>
                <w:sz w:val="18"/>
                <w:szCs w:val="18"/>
              </w:rPr>
              <w:br/>
              <w:t>This is based on the reporting period.</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Pr>
                <w:rFonts w:cstheme="minorHAnsi"/>
                <w:b w:val="0"/>
                <w:noProof/>
                <w:sz w:val="18"/>
                <w:szCs w:val="18"/>
              </w:rPr>
              <w:t>Discard cost</w:t>
            </w:r>
          </w:p>
        </w:tc>
        <w:tc>
          <w:tcPr>
            <w:tcW w:w="5699" w:type="dxa"/>
            <w:shd w:val="clear" w:color="auto" w:fill="FFFFFF" w:themeFill="background1"/>
          </w:tcPr>
          <w:p w:rsidR="008C63B7" w:rsidRPr="00B10123" w:rsidRDefault="008C63B7" w:rsidP="008C63B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The cost of discard for each cost group; or the total cost of discards for a component group (ie. sum of all the discard costs for all cost groups).</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Discard quantity</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sz w:val="18"/>
                <w:szCs w:val="18"/>
              </w:rPr>
              <w:t>The number of units of blood and blood products that are discarded.</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bCs w:val="0"/>
                <w:noProof/>
                <w:sz w:val="18"/>
                <w:szCs w:val="18"/>
              </w:rPr>
            </w:pPr>
            <w:r w:rsidRPr="00B10123">
              <w:rPr>
                <w:rFonts w:cstheme="minorHAnsi"/>
                <w:b w:val="0"/>
                <w:bCs w:val="0"/>
                <w:noProof/>
                <w:sz w:val="18"/>
                <w:szCs w:val="18"/>
              </w:rPr>
              <w:t>Facility</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Also known as an Approved Health Provider (AHP) of Health Provider.  It should be noted that each Facility has a unique AHP code and in some instances, one large hospital may have multiple facilities (ie. Pathology facility, Pharmacy facility, Oncology facility), and all these facilities will have its own unique AHP code.</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bCs w:val="0"/>
                <w:noProof/>
                <w:sz w:val="18"/>
                <w:szCs w:val="18"/>
              </w:rPr>
            </w:pPr>
            <w:r w:rsidRPr="00B10123">
              <w:rPr>
                <w:rFonts w:cstheme="minorHAnsi"/>
                <w:b w:val="0"/>
                <w:bCs w:val="0"/>
                <w:noProof/>
                <w:sz w:val="18"/>
                <w:szCs w:val="18"/>
              </w:rPr>
              <w:t>Facility user</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General users of BloodNet to order, receive and fate blood and blood products.</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Facility administrator</w:t>
            </w:r>
          </w:p>
        </w:tc>
        <w:tc>
          <w:tcPr>
            <w:tcW w:w="5699" w:type="dxa"/>
            <w:shd w:val="clear" w:color="auto" w:fill="FFFFFF" w:themeFill="background1"/>
          </w:tcPr>
          <w:p w:rsidR="008C63B7" w:rsidRPr="00B10123" w:rsidRDefault="008C63B7" w:rsidP="00D768FE">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Users of BloodNet with administrator rights which gives the ability to approve users, change templates and add new items.  Once approved facility administrators will also be automatically granted facility user access to the facility indicated.</w:t>
            </w:r>
          </w:p>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sz w:val="18"/>
                <w:szCs w:val="18"/>
              </w:rPr>
              <w:t xml:space="preserve">Facility administrator can be a lab manager, scientist in charge (SIC) or second in change (2IC). </w:t>
            </w:r>
            <w:r w:rsidRPr="00B10123">
              <w:rPr>
                <w:rFonts w:cstheme="minorHAnsi"/>
                <w:sz w:val="18"/>
                <w:szCs w:val="18"/>
              </w:rPr>
              <w:t xml:space="preserve">  </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Fresh Component</w:t>
            </w:r>
            <w:r>
              <w:rPr>
                <w:rFonts w:cstheme="minorHAnsi"/>
                <w:b w:val="0"/>
                <w:noProof/>
                <w:sz w:val="18"/>
                <w:szCs w:val="18"/>
              </w:rPr>
              <w:t xml:space="preserve"> Cost Group Code</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This is the 2 alphanumeric code that corresponds to a Fresh Component Group.  Examples of Fresh Component Cost Groups include: 1a, 1b, 2a, 2b, 2c etc</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Pr>
                <w:rFonts w:cstheme="minorHAnsi"/>
                <w:b w:val="0"/>
                <w:noProof/>
                <w:sz w:val="18"/>
                <w:szCs w:val="18"/>
              </w:rPr>
              <w:t>Fresh Component Cost Group Description</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Also known as Components.</w:t>
            </w:r>
            <w:r w:rsidRPr="00B10123">
              <w:rPr>
                <w:rFonts w:cstheme="minorHAnsi"/>
                <w:sz w:val="18"/>
                <w:szCs w:val="18"/>
              </w:rPr>
              <w:br/>
              <w:t xml:space="preserve">Also, commonly referred to as Fresh Blood Products within the blood </w:t>
            </w:r>
            <w:r w:rsidRPr="00B10123">
              <w:rPr>
                <w:rFonts w:cstheme="minorHAnsi"/>
                <w:sz w:val="18"/>
                <w:szCs w:val="18"/>
              </w:rPr>
              <w:lastRenderedPageBreak/>
              <w:t>sector.</w:t>
            </w:r>
            <w:r w:rsidRPr="00B10123">
              <w:rPr>
                <w:rFonts w:cstheme="minorHAnsi"/>
                <w:sz w:val="18"/>
                <w:szCs w:val="18"/>
              </w:rPr>
              <w:br/>
              <w:t xml:space="preserve">The components referred to in this report are issued fresh components, not ordered products.  Some of the examples are: Whole Blood; Whole Blood – </w:t>
            </w:r>
            <w:proofErr w:type="spellStart"/>
            <w:r w:rsidRPr="00B10123">
              <w:rPr>
                <w:rFonts w:cstheme="minorHAnsi"/>
                <w:sz w:val="18"/>
                <w:szCs w:val="18"/>
              </w:rPr>
              <w:t>Leucodepleted</w:t>
            </w:r>
            <w:proofErr w:type="spellEnd"/>
            <w:r w:rsidRPr="00B10123">
              <w:rPr>
                <w:rFonts w:cstheme="minorHAnsi"/>
                <w:sz w:val="18"/>
                <w:szCs w:val="18"/>
              </w:rPr>
              <w:t xml:space="preserve">; WB Red Cell; WB Red Cell – </w:t>
            </w:r>
            <w:proofErr w:type="spellStart"/>
            <w:r w:rsidRPr="00B10123">
              <w:rPr>
                <w:rFonts w:cstheme="minorHAnsi"/>
                <w:sz w:val="18"/>
                <w:szCs w:val="18"/>
              </w:rPr>
              <w:t>Leucodepleted</w:t>
            </w:r>
            <w:proofErr w:type="spellEnd"/>
            <w:r w:rsidRPr="00B10123">
              <w:rPr>
                <w:rFonts w:cstheme="minorHAnsi"/>
                <w:sz w:val="18"/>
                <w:szCs w:val="18"/>
              </w:rPr>
              <w:t xml:space="preserve">; WB Red Cell - Buffy Coat Poor; WB Paediatric Red Cell - </w:t>
            </w:r>
            <w:proofErr w:type="spellStart"/>
            <w:r w:rsidRPr="00B10123">
              <w:rPr>
                <w:rFonts w:cstheme="minorHAnsi"/>
                <w:sz w:val="18"/>
                <w:szCs w:val="18"/>
              </w:rPr>
              <w:t>Leucodepleted</w:t>
            </w:r>
            <w:proofErr w:type="spellEnd"/>
            <w:r w:rsidRPr="00B10123">
              <w:rPr>
                <w:rFonts w:cstheme="minorHAnsi"/>
                <w:sz w:val="18"/>
                <w:szCs w:val="18"/>
              </w:rPr>
              <w:t xml:space="preserve"> (1 of 4) etc.</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lastRenderedPageBreak/>
              <w:t>Group</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
              </w:rPr>
            </w:pPr>
            <w:r w:rsidRPr="00B10123">
              <w:rPr>
                <w:sz w:val="18"/>
                <w:szCs w:val="18"/>
              </w:rPr>
              <w:t>The health provider is categorised into groups depending on their size and the number of fresh components and manufactured products issued to them.  This category will be used to group health providers of similar size together to allow comparison.</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Group Average</w:t>
            </w:r>
          </w:p>
        </w:tc>
        <w:tc>
          <w:tcPr>
            <w:tcW w:w="5699" w:type="dxa"/>
            <w:shd w:val="clear" w:color="auto" w:fill="FFFFFF" w:themeFill="background1"/>
          </w:tcPr>
          <w:p w:rsidR="008C63B7" w:rsidRPr="00B10123" w:rsidRDefault="008C63B7" w:rsidP="00D768FE">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The discard average rate across the same group.</w:t>
            </w:r>
          </w:p>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
              </w:rPr>
            </w:pPr>
            <w:r w:rsidRPr="00B10123">
              <w:rPr>
                <w:rFonts w:cstheme="minorHAnsi"/>
                <w:sz w:val="18"/>
                <w:szCs w:val="18"/>
              </w:rPr>
              <w:t xml:space="preserve">Any Health Provider that has a matching group and matching fresh component (ie. belongs to a large group, and for specific “2b – WB Red Cell – </w:t>
            </w:r>
            <w:proofErr w:type="spellStart"/>
            <w:r w:rsidRPr="00B10123">
              <w:rPr>
                <w:rFonts w:cstheme="minorHAnsi"/>
                <w:sz w:val="18"/>
                <w:szCs w:val="18"/>
              </w:rPr>
              <w:t>Leucodepleted</w:t>
            </w:r>
            <w:proofErr w:type="spellEnd"/>
            <w:r w:rsidRPr="00B10123">
              <w:rPr>
                <w:rFonts w:cstheme="minorHAnsi"/>
                <w:sz w:val="18"/>
                <w:szCs w:val="18"/>
              </w:rPr>
              <w:t>” fresh component), will have its discard and net issue quantities counted towards the group average.</w:t>
            </w:r>
            <w:r>
              <w:rPr>
                <w:rFonts w:cstheme="minorHAnsi"/>
                <w:sz w:val="18"/>
                <w:szCs w:val="18"/>
              </w:rPr>
              <w:br/>
            </w:r>
            <w:r>
              <w:rPr>
                <w:sz w:val="18"/>
                <w:szCs w:val="18"/>
              </w:rPr>
              <w:t>This is based on the reporting period.</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Health Provider</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lang w:val="en"/>
              </w:rPr>
            </w:pPr>
            <w:r w:rsidRPr="00B10123">
              <w:rPr>
                <w:sz w:val="18"/>
                <w:szCs w:val="18"/>
                <w:lang w:val="en"/>
              </w:rPr>
              <w:t xml:space="preserve">A </w:t>
            </w:r>
            <w:r w:rsidRPr="00B10123">
              <w:rPr>
                <w:bCs/>
                <w:sz w:val="18"/>
                <w:szCs w:val="18"/>
                <w:lang w:val="en"/>
              </w:rPr>
              <w:t>health provider</w:t>
            </w:r>
            <w:r w:rsidRPr="00B10123">
              <w:rPr>
                <w:sz w:val="18"/>
                <w:szCs w:val="18"/>
                <w:lang w:val="en"/>
              </w:rPr>
              <w:t xml:space="preserve"> is an individual or an institution that provides preventive, curative, promotional, or rehabilitative health care services in a systematic way to individuals, families or communities.</w:t>
            </w:r>
            <w:r w:rsidRPr="00B10123">
              <w:rPr>
                <w:sz w:val="18"/>
                <w:szCs w:val="18"/>
                <w:lang w:val="en"/>
              </w:rPr>
              <w:br/>
              <w:t>Please refer to AHP.  Also known as facility.</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b w:val="0"/>
                <w:noProof/>
                <w:sz w:val="18"/>
                <w:szCs w:val="18"/>
              </w:rPr>
              <w:t>Issue note</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 xml:space="preserve">An issue note is sent out with the order to the Health Provider.  The issue note will contain information like the issue number, the date time of the issue, which blood service made the issue, the issued quantity, total issue price and a link to the order number.  Issue note can have different statuses such as active, completed (when the issue note is 100% receipted) and cancelled. </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Issued quantity</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The number of units issued by the Blood Service Distribution Centre.</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Key indicator icon</w:t>
            </w:r>
          </w:p>
        </w:tc>
        <w:tc>
          <w:tcPr>
            <w:tcW w:w="5699" w:type="dxa"/>
            <w:shd w:val="clear" w:color="auto" w:fill="FFFFFF" w:themeFill="background1"/>
          </w:tcPr>
          <w:p w:rsidR="008C63B7" w:rsidRPr="00B10123" w:rsidRDefault="008C63B7" w:rsidP="00D768FE">
            <w:pPr>
              <w:spacing w:after="240" w:line="276" w:lineRule="auto"/>
              <w:contextualSpacing/>
              <w:cnfStyle w:val="000000000000" w:firstRow="0" w:lastRow="0" w:firstColumn="0" w:lastColumn="0" w:oddVBand="0" w:evenVBand="0" w:oddHBand="0" w:evenHBand="0" w:firstRowFirstColumn="0" w:firstRowLastColumn="0" w:lastRowFirstColumn="0" w:lastRowLastColumn="0"/>
              <w:rPr>
                <w:sz w:val="18"/>
                <w:szCs w:val="18"/>
              </w:rPr>
            </w:pPr>
            <w:r w:rsidRPr="00B10123">
              <w:rPr>
                <w:sz w:val="18"/>
                <w:szCs w:val="18"/>
              </w:rPr>
              <w:t xml:space="preserve">The indicators highlight how the selected Health Provider compares to </w:t>
            </w:r>
            <w:r w:rsidR="004359C9">
              <w:rPr>
                <w:sz w:val="18"/>
                <w:szCs w:val="18"/>
              </w:rPr>
              <w:t>Group</w:t>
            </w:r>
            <w:r w:rsidRPr="00B10123">
              <w:rPr>
                <w:sz w:val="18"/>
                <w:szCs w:val="18"/>
              </w:rPr>
              <w:t xml:space="preserve"> average, State average, National average and Benchmark.</w:t>
            </w:r>
          </w:p>
          <w:p w:rsidR="008C63B7" w:rsidRPr="00B10123" w:rsidRDefault="008C63B7" w:rsidP="00D768FE">
            <w:pPr>
              <w:numPr>
                <w:ilvl w:val="0"/>
                <w:numId w:val="10"/>
              </w:numPr>
              <w:spacing w:after="240" w:line="276" w:lineRule="auto"/>
              <w:contextualSpacing/>
              <w:cnfStyle w:val="000000000000" w:firstRow="0" w:lastRow="0" w:firstColumn="0" w:lastColumn="0" w:oddVBand="0" w:evenVBand="0" w:oddHBand="0" w:evenHBand="0" w:firstRowFirstColumn="0" w:firstRowLastColumn="0" w:lastRowFirstColumn="0" w:lastRowLastColumn="0"/>
              <w:rPr>
                <w:sz w:val="18"/>
                <w:szCs w:val="18"/>
              </w:rPr>
            </w:pPr>
            <w:r w:rsidRPr="00B10123">
              <w:rPr>
                <w:sz w:val="18"/>
                <w:szCs w:val="18"/>
              </w:rPr>
              <w:t xml:space="preserve">Green Indicator </w:t>
            </w:r>
            <w:r w:rsidR="00B43406">
              <w:rPr>
                <w:noProof/>
              </w:rPr>
              <w:drawing>
                <wp:inline distT="0" distB="0" distL="0" distR="0" wp14:anchorId="1B35A70A" wp14:editId="48FEB028">
                  <wp:extent cx="209550" cy="209550"/>
                  <wp:effectExtent l="0" t="0" r="0" b="0"/>
                  <wp:docPr id="53" name="Picture 53" descr="cid:image001.png@01CE9F61.3784F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E9F61.3784FEB0"/>
                          <pic:cNvPicPr>
                            <a:picLocks noChangeAspect="1" noChangeArrowheads="1"/>
                          </pic:cNvPicPr>
                        </pic:nvPicPr>
                        <pic:blipFill>
                          <a:blip r:embed="rId28" r:link="rId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10123">
              <w:rPr>
                <w:sz w:val="18"/>
                <w:szCs w:val="18"/>
              </w:rPr>
              <w:t xml:space="preserve"> – Health Provider’s </w:t>
            </w:r>
            <w:proofErr w:type="spellStart"/>
            <w:r w:rsidRPr="00B10123">
              <w:rPr>
                <w:sz w:val="18"/>
                <w:szCs w:val="18"/>
              </w:rPr>
              <w:t>DAPI</w:t>
            </w:r>
            <w:proofErr w:type="spellEnd"/>
            <w:r w:rsidRPr="00B10123">
              <w:rPr>
                <w:sz w:val="18"/>
                <w:szCs w:val="18"/>
              </w:rPr>
              <w:t xml:space="preserve"> is performing better or equal when compared to </w:t>
            </w:r>
            <w:r w:rsidR="004359C9">
              <w:rPr>
                <w:sz w:val="18"/>
                <w:szCs w:val="18"/>
              </w:rPr>
              <w:t>group</w:t>
            </w:r>
            <w:r w:rsidRPr="00B10123">
              <w:rPr>
                <w:sz w:val="18"/>
                <w:szCs w:val="18"/>
              </w:rPr>
              <w:t xml:space="preserve"> average, state average, national average and/or benchmark.</w:t>
            </w:r>
          </w:p>
          <w:p w:rsidR="008C63B7" w:rsidRPr="00B10123" w:rsidRDefault="008C63B7" w:rsidP="00D768FE">
            <w:pPr>
              <w:numPr>
                <w:ilvl w:val="0"/>
                <w:numId w:val="10"/>
              </w:numPr>
              <w:spacing w:after="200" w:line="276" w:lineRule="auto"/>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B10123">
              <w:rPr>
                <w:sz w:val="18"/>
                <w:szCs w:val="18"/>
              </w:rPr>
              <w:t xml:space="preserve">Red Indicator </w:t>
            </w:r>
            <w:r w:rsidR="00B43406">
              <w:rPr>
                <w:noProof/>
              </w:rPr>
              <w:drawing>
                <wp:inline distT="0" distB="0" distL="0" distR="0" wp14:anchorId="2D5CB2D0" wp14:editId="51FFE654">
                  <wp:extent cx="209550" cy="209550"/>
                  <wp:effectExtent l="0" t="0" r="0" b="0"/>
                  <wp:docPr id="54" name="Picture 54" descr="cid:image002.png@01CE9F61.3784F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E9F61.3784FEB0"/>
                          <pic:cNvPicPr>
                            <a:picLocks noChangeAspect="1" noChangeArrowheads="1"/>
                          </pic:cNvPicPr>
                        </pic:nvPicPr>
                        <pic:blipFill>
                          <a:blip r:embed="rId30" r:link="rId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10123">
              <w:rPr>
                <w:sz w:val="18"/>
                <w:szCs w:val="18"/>
              </w:rPr>
              <w:t xml:space="preserve"> – Health Provider’s </w:t>
            </w:r>
            <w:proofErr w:type="spellStart"/>
            <w:r w:rsidRPr="00B10123">
              <w:rPr>
                <w:sz w:val="18"/>
                <w:szCs w:val="18"/>
              </w:rPr>
              <w:t>DAPI</w:t>
            </w:r>
            <w:proofErr w:type="spellEnd"/>
            <w:r w:rsidRPr="00B10123">
              <w:rPr>
                <w:sz w:val="18"/>
                <w:szCs w:val="18"/>
              </w:rPr>
              <w:t xml:space="preserve"> is performing worse when compared to </w:t>
            </w:r>
            <w:r w:rsidR="004359C9">
              <w:rPr>
                <w:sz w:val="18"/>
                <w:szCs w:val="18"/>
              </w:rPr>
              <w:t>group</w:t>
            </w:r>
            <w:r w:rsidRPr="00B10123">
              <w:rPr>
                <w:sz w:val="18"/>
                <w:szCs w:val="18"/>
              </w:rPr>
              <w:t xml:space="preserve"> average, state average, national average and/or benchmark.</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Modifier</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 xml:space="preserve">Changes or additions to the original Fresh Component.  Examples include Irradiated, Washed or </w:t>
            </w:r>
            <w:proofErr w:type="spellStart"/>
            <w:r w:rsidRPr="00B10123">
              <w:rPr>
                <w:rFonts w:cstheme="minorHAnsi"/>
                <w:sz w:val="18"/>
                <w:szCs w:val="18"/>
              </w:rPr>
              <w:t>Phenotyped</w:t>
            </w:r>
            <w:proofErr w:type="spellEnd"/>
            <w:r w:rsidRPr="00B10123">
              <w:rPr>
                <w:rFonts w:cstheme="minorHAnsi"/>
                <w:sz w:val="18"/>
                <w:szCs w:val="18"/>
              </w:rPr>
              <w:t>.</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National Average</w:t>
            </w:r>
          </w:p>
        </w:tc>
        <w:tc>
          <w:tcPr>
            <w:tcW w:w="5699" w:type="dxa"/>
            <w:shd w:val="clear" w:color="auto" w:fill="FFFFFF" w:themeFill="background1"/>
          </w:tcPr>
          <w:p w:rsidR="008C63B7" w:rsidRPr="00B10123" w:rsidRDefault="008C63B7" w:rsidP="00D768FE">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The average discard rate nationally.</w:t>
            </w:r>
          </w:p>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All Health Providers that has matching fresh component, will have its discard and net issue quantities counted towards the national average.</w:t>
            </w:r>
            <w:r>
              <w:rPr>
                <w:rFonts w:cstheme="minorHAnsi"/>
                <w:sz w:val="18"/>
                <w:szCs w:val="18"/>
              </w:rPr>
              <w:br/>
            </w:r>
            <w:r>
              <w:rPr>
                <w:sz w:val="18"/>
                <w:szCs w:val="18"/>
              </w:rPr>
              <w:t>This is based on the reporting period.</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lastRenderedPageBreak/>
              <w:t>NBA</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National Blood Authority</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Null</w:t>
            </w:r>
          </w:p>
        </w:tc>
        <w:tc>
          <w:tcPr>
            <w:tcW w:w="5699" w:type="dxa"/>
            <w:shd w:val="clear" w:color="auto" w:fill="FFFFFF" w:themeFill="background1"/>
          </w:tcPr>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Blank.</w:t>
            </w:r>
            <w:r w:rsidRPr="00B10123">
              <w:rPr>
                <w:rFonts w:cstheme="minorHAnsi"/>
                <w:sz w:val="18"/>
                <w:szCs w:val="18"/>
              </w:rPr>
              <w:br/>
              <w:t>No data.</w:t>
            </w:r>
          </w:p>
        </w:tc>
      </w:tr>
      <w:tr w:rsidR="008C63B7" w:rsidRPr="00B51C06" w:rsidTr="00D768FE">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rsidR="008C63B7" w:rsidRPr="00B10123" w:rsidRDefault="008C63B7" w:rsidP="00D768FE">
            <w:pPr>
              <w:rPr>
                <w:rFonts w:cstheme="minorHAnsi"/>
                <w:b w:val="0"/>
                <w:noProof/>
                <w:sz w:val="18"/>
                <w:szCs w:val="18"/>
              </w:rPr>
            </w:pPr>
            <w:r w:rsidRPr="00B10123">
              <w:rPr>
                <w:rFonts w:cstheme="minorHAnsi"/>
                <w:b w:val="0"/>
                <w:noProof/>
                <w:sz w:val="18"/>
                <w:szCs w:val="18"/>
              </w:rPr>
              <w:t>State Average</w:t>
            </w:r>
          </w:p>
        </w:tc>
        <w:tc>
          <w:tcPr>
            <w:tcW w:w="5699" w:type="dxa"/>
            <w:shd w:val="clear" w:color="auto" w:fill="FFFFFF" w:themeFill="background1"/>
          </w:tcPr>
          <w:p w:rsidR="008C63B7" w:rsidRPr="00B10123" w:rsidRDefault="008C63B7" w:rsidP="00D768FE">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The average discard rate across the state/territory.</w:t>
            </w:r>
          </w:p>
          <w:p w:rsidR="008C63B7" w:rsidRPr="00B10123" w:rsidRDefault="008C63B7" w:rsidP="00D768F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123">
              <w:rPr>
                <w:rFonts w:cstheme="minorHAnsi"/>
                <w:sz w:val="18"/>
                <w:szCs w:val="18"/>
              </w:rPr>
              <w:t>Any Health Provider that belongs to the same state as the selected Health Provider and matching fresh component, will have its discard and net issue quantities counted towards the state average.</w:t>
            </w:r>
            <w:r>
              <w:rPr>
                <w:rFonts w:cstheme="minorHAnsi"/>
                <w:sz w:val="18"/>
                <w:szCs w:val="18"/>
              </w:rPr>
              <w:br/>
            </w:r>
            <w:r>
              <w:rPr>
                <w:sz w:val="18"/>
                <w:szCs w:val="18"/>
              </w:rPr>
              <w:t>This is based on the reporting period.</w:t>
            </w:r>
          </w:p>
        </w:tc>
      </w:tr>
    </w:tbl>
    <w:p w:rsidR="003D3167" w:rsidRDefault="003D3167" w:rsidP="003D3167"/>
    <w:sectPr w:rsidR="003D3167" w:rsidSect="00F036A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61" w:rsidRDefault="00946661" w:rsidP="00856708">
      <w:pPr>
        <w:spacing w:after="0"/>
      </w:pPr>
      <w:r>
        <w:separator/>
      </w:r>
    </w:p>
  </w:endnote>
  <w:endnote w:type="continuationSeparator" w:id="0">
    <w:p w:rsidR="00946661" w:rsidRDefault="00946661" w:rsidP="00856708">
      <w:pPr>
        <w:spacing w:after="0"/>
      </w:pPr>
      <w:r>
        <w:continuationSeparator/>
      </w:r>
    </w:p>
  </w:endnote>
  <w:endnote w:type="continuationNotice" w:id="1">
    <w:p w:rsidR="00946661" w:rsidRDefault="00946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6" w:rsidRPr="00344BB8" w:rsidRDefault="003470D6" w:rsidP="003E36EB">
    <w:pPr>
      <w:pStyle w:val="Footer"/>
      <w:pBdr>
        <w:bottom w:val="single" w:sz="12" w:space="1" w:color="auto"/>
      </w:pBdr>
      <w:rPr>
        <w:color w:val="A6A6A6" w:themeColor="background1" w:themeShade="A6"/>
        <w:sz w:val="18"/>
        <w:szCs w:val="18"/>
      </w:rPr>
    </w:pPr>
  </w:p>
  <w:p w:rsidR="003470D6" w:rsidRPr="003E36EB" w:rsidRDefault="003470D6"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AA29E1">
      <w:rPr>
        <w:rFonts w:ascii="Arial" w:eastAsia="Times New Roman" w:hAnsi="Arial" w:cs="Arial"/>
        <w:noProof/>
        <w:color w:val="335876"/>
        <w:sz w:val="18"/>
        <w:szCs w:val="20"/>
        <w:lang w:eastAsia="en-AU"/>
      </w:rPr>
      <w:t>24</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rsidR="003470D6" w:rsidRPr="003E36EB" w:rsidRDefault="003470D6" w:rsidP="003E36EB">
    <w:pPr>
      <w:pStyle w:val="Header"/>
      <w:jc w:val="center"/>
      <w:rPr>
        <w:b/>
        <w:color w:val="FF0000"/>
        <w:sz w:val="28"/>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6" w:rsidRPr="00344BB8" w:rsidRDefault="003470D6" w:rsidP="000151D7">
    <w:pPr>
      <w:pStyle w:val="Footer"/>
      <w:pBdr>
        <w:bottom w:val="single" w:sz="12" w:space="1" w:color="auto"/>
      </w:pBdr>
      <w:rPr>
        <w:color w:val="A6A6A6" w:themeColor="background1" w:themeShade="A6"/>
        <w:sz w:val="18"/>
        <w:szCs w:val="18"/>
      </w:rPr>
    </w:pPr>
  </w:p>
  <w:p w:rsidR="003470D6" w:rsidRPr="003E36EB" w:rsidRDefault="003470D6" w:rsidP="000151D7">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AA29E1">
      <w:rPr>
        <w:rFonts w:ascii="Arial" w:eastAsia="Times New Roman" w:hAnsi="Arial" w:cs="Arial"/>
        <w:noProof/>
        <w:color w:val="335876"/>
        <w:sz w:val="18"/>
        <w:szCs w:val="20"/>
        <w:lang w:eastAsia="en-AU"/>
      </w:rPr>
      <w:t>2</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rsidR="003470D6" w:rsidRPr="009B220D" w:rsidRDefault="003470D6" w:rsidP="000151D7">
    <w:pPr>
      <w:pStyle w:val="Header"/>
      <w:jc w:val="center"/>
      <w:rPr>
        <w:b/>
        <w:color w:val="FF0000"/>
        <w:sz w:val="28"/>
        <w:szCs w:val="32"/>
      </w:rPr>
    </w:pPr>
    <w:r>
      <w:rPr>
        <w:b/>
        <w:color w:val="FF0000"/>
        <w:sz w:val="28"/>
        <w:szCs w:val="32"/>
      </w:rPr>
      <w:br/>
    </w:r>
  </w:p>
  <w:p w:rsidR="003470D6" w:rsidRPr="000151D7" w:rsidRDefault="003470D6" w:rsidP="00015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6" w:rsidRPr="00344BB8" w:rsidRDefault="003470D6" w:rsidP="003E36EB">
    <w:pPr>
      <w:pStyle w:val="Footer"/>
      <w:pBdr>
        <w:bottom w:val="single" w:sz="12" w:space="1" w:color="auto"/>
      </w:pBdr>
      <w:rPr>
        <w:color w:val="A6A6A6" w:themeColor="background1" w:themeShade="A6"/>
        <w:sz w:val="18"/>
        <w:szCs w:val="18"/>
      </w:rPr>
    </w:pPr>
  </w:p>
  <w:p w:rsidR="003470D6" w:rsidRPr="003E36EB" w:rsidRDefault="003470D6"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AA29E1">
      <w:rPr>
        <w:rFonts w:ascii="Arial" w:eastAsia="Times New Roman" w:hAnsi="Arial" w:cs="Arial"/>
        <w:noProof/>
        <w:color w:val="335876"/>
        <w:sz w:val="18"/>
        <w:szCs w:val="20"/>
        <w:lang w:eastAsia="en-AU"/>
      </w:rPr>
      <w:t>17</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rsidR="003470D6" w:rsidRPr="003E36EB" w:rsidRDefault="003470D6" w:rsidP="00B52DAA">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61" w:rsidRDefault="00946661" w:rsidP="00856708">
      <w:pPr>
        <w:spacing w:after="0"/>
      </w:pPr>
      <w:r>
        <w:separator/>
      </w:r>
    </w:p>
  </w:footnote>
  <w:footnote w:type="continuationSeparator" w:id="0">
    <w:p w:rsidR="00946661" w:rsidRDefault="00946661" w:rsidP="00856708">
      <w:pPr>
        <w:spacing w:after="0"/>
      </w:pPr>
      <w:r>
        <w:continuationSeparator/>
      </w:r>
    </w:p>
  </w:footnote>
  <w:footnote w:type="continuationNotice" w:id="1">
    <w:p w:rsidR="00946661" w:rsidRDefault="00946661">
      <w:pPr>
        <w:spacing w:after="0" w:line="240" w:lineRule="auto"/>
      </w:pPr>
    </w:p>
  </w:footnote>
  <w:footnote w:id="2">
    <w:p w:rsidR="003470D6" w:rsidRDefault="003470D6">
      <w:pPr>
        <w:pStyle w:val="FootnoteText"/>
      </w:pPr>
      <w:r>
        <w:rPr>
          <w:rStyle w:val="FootnoteReference"/>
        </w:rPr>
        <w:footnoteRef/>
      </w:r>
      <w:r>
        <w:t xml:space="preserve"> </w:t>
      </w:r>
      <w:r w:rsidRPr="00153714">
        <w:rPr>
          <w:sz w:val="18"/>
          <w:szCs w:val="18"/>
        </w:rPr>
        <w:t>An example of a Cost Group is “2a – WB Red Cells” (which is comprised of the Fresh Component Cost Group Code and Fresh Component Cost Group Description).</w:t>
      </w:r>
    </w:p>
  </w:footnote>
  <w:footnote w:id="3">
    <w:p w:rsidR="003470D6" w:rsidRDefault="003470D6" w:rsidP="003D3167">
      <w:pPr>
        <w:pStyle w:val="FootnoteText"/>
        <w:ind w:left="142" w:hanging="142"/>
      </w:pPr>
      <w:r>
        <w:rPr>
          <w:rStyle w:val="FootnoteReference"/>
        </w:rPr>
        <w:footnoteRef/>
      </w:r>
      <w:r>
        <w:t xml:space="preserve"> </w:t>
      </w:r>
      <w:r>
        <w:rPr>
          <w:rFonts w:cstheme="minorHAnsi"/>
          <w:sz w:val="18"/>
          <w:szCs w:val="18"/>
        </w:rPr>
        <w:t>This is a location that was entered by a BloodNet user using the free text box entry when performing a transfer in BloodNet.</w:t>
      </w:r>
    </w:p>
  </w:footnote>
  <w:footnote w:id="4">
    <w:p w:rsidR="003470D6" w:rsidRDefault="003470D6">
      <w:pPr>
        <w:pStyle w:val="FootnoteText"/>
      </w:pPr>
      <w:r>
        <w:rPr>
          <w:rStyle w:val="FootnoteReference"/>
        </w:rPr>
        <w:footnoteRef/>
      </w:r>
      <w:r>
        <w:t xml:space="preserve"> </w:t>
      </w:r>
      <w:r w:rsidRPr="00153714">
        <w:rPr>
          <w:sz w:val="18"/>
          <w:szCs w:val="18"/>
        </w:rPr>
        <w:t>Note that</w:t>
      </w:r>
      <w:r>
        <w:t xml:space="preserve"> it is the Start Date parameter that sets the comparison with the specific benchmark financial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6" w:rsidRPr="00FD017F" w:rsidRDefault="003470D6" w:rsidP="007B5ADE">
    <w:pPr>
      <w:pStyle w:val="HeaderEven"/>
      <w:pBdr>
        <w:bottom w:val="single" w:sz="2" w:space="3" w:color="335876"/>
      </w:pBdr>
      <w:tabs>
        <w:tab w:val="clear" w:pos="9070"/>
        <w:tab w:val="right" w:pos="9072"/>
      </w:tabs>
    </w:pPr>
    <w:r>
      <w:fldChar w:fldCharType="begin"/>
    </w:r>
    <w:r>
      <w:instrText xml:space="preserve"> SUBJECT   \* MERGEFORMAT </w:instrText>
    </w:r>
    <w:r>
      <w:fldChar w:fldCharType="end"/>
    </w:r>
    <w:r w:rsidR="00946661">
      <w:fldChar w:fldCharType="begin"/>
    </w:r>
    <w:r w:rsidR="00946661">
      <w:instrText xml:space="preserve"> TITLE   \* MERGEFORMAT </w:instrText>
    </w:r>
    <w:r w:rsidR="00946661">
      <w:fldChar w:fldCharType="separate"/>
    </w:r>
    <w:r>
      <w:t>Fresh Component Health Provider Discards</w:t>
    </w:r>
    <w:r w:rsidR="00946661">
      <w:fldChar w:fldCharType="end"/>
    </w:r>
    <w:r>
      <w:tab/>
    </w:r>
    <w:r w:rsidR="00946661">
      <w:fldChar w:fldCharType="begin"/>
    </w:r>
    <w:r w:rsidR="00946661">
      <w:instrText xml:space="preserve"> DOCPROPERTY  ReportID  \* MERGEFORMAT </w:instrText>
    </w:r>
    <w:r w:rsidR="00946661">
      <w:fldChar w:fldCharType="separate"/>
    </w:r>
    <w:r>
      <w:t>FATE007</w:t>
    </w:r>
    <w:r w:rsidR="00946661">
      <w:fldChar w:fldCharType="end"/>
    </w:r>
  </w:p>
  <w:p w:rsidR="003470D6" w:rsidRPr="003E36EB" w:rsidRDefault="003470D6" w:rsidP="003E3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D6" w:rsidRPr="009B220D" w:rsidRDefault="003470D6" w:rsidP="000151D7">
    <w:pPr>
      <w:pStyle w:val="Header"/>
      <w:jc w:val="center"/>
      <w:rPr>
        <w:b/>
        <w:color w:val="FF0000"/>
        <w:sz w:val="28"/>
        <w:szCs w:val="32"/>
      </w:rPr>
    </w:pPr>
    <w:r>
      <w:rPr>
        <w:b/>
        <w:color w:val="FF0000"/>
        <w:sz w:val="28"/>
        <w:szCs w:val="32"/>
      </w:rPr>
      <w:br/>
    </w:r>
  </w:p>
  <w:p w:rsidR="003470D6" w:rsidRPr="00FD017F" w:rsidRDefault="003470D6" w:rsidP="000151D7">
    <w:pPr>
      <w:pStyle w:val="HeaderEven"/>
      <w:tabs>
        <w:tab w:val="clear" w:pos="9070"/>
        <w:tab w:val="right" w:pos="9072"/>
      </w:tabs>
    </w:pPr>
    <w:r>
      <w:fldChar w:fldCharType="begin"/>
    </w:r>
    <w:r>
      <w:instrText xml:space="preserve"> SUBJECT   \* MERGEFORMAT </w:instrText>
    </w:r>
    <w:r>
      <w:fldChar w:fldCharType="end"/>
    </w:r>
    <w:r w:rsidR="00946661">
      <w:fldChar w:fldCharType="begin"/>
    </w:r>
    <w:r w:rsidR="00946661">
      <w:instrText xml:space="preserve"> TITLE   \* MERGEFORMAT </w:instrText>
    </w:r>
    <w:r w:rsidR="00946661">
      <w:fldChar w:fldCharType="separate"/>
    </w:r>
    <w:r>
      <w:t xml:space="preserve">Fresh Component Health Provider Discards </w:t>
    </w:r>
    <w:r w:rsidR="00946661">
      <w:fldChar w:fldCharType="end"/>
    </w:r>
    <w:r>
      <w:tab/>
    </w:r>
    <w:r w:rsidR="00946661">
      <w:fldChar w:fldCharType="begin"/>
    </w:r>
    <w:r w:rsidR="00946661">
      <w:instrText xml:space="preserve"> DOCPROPERTY  ReportID  \* MERGEFORMAT </w:instrText>
    </w:r>
    <w:r w:rsidR="00946661">
      <w:fldChar w:fldCharType="separate"/>
    </w:r>
    <w:r>
      <w:t>FATE007</w:t>
    </w:r>
    <w:r w:rsidR="00946661">
      <w:fldChar w:fldCharType="end"/>
    </w:r>
  </w:p>
  <w:p w:rsidR="003470D6" w:rsidRDefault="0034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otgreen" style="width:6pt;height:5.25pt;visibility:visible;mso-wrap-style:square" o:bullet="t">
        <v:imagedata r:id="rId1" o:title="dotgreen"/>
      </v:shape>
    </w:pict>
  </w:numPicBullet>
  <w:abstractNum w:abstractNumId="0">
    <w:nsid w:val="FFFFFF88"/>
    <w:multiLevelType w:val="singleLevel"/>
    <w:tmpl w:val="C56659E0"/>
    <w:lvl w:ilvl="0">
      <w:start w:val="1"/>
      <w:numFmt w:val="decimal"/>
      <w:pStyle w:val="ListNumber"/>
      <w:lvlText w:val="%1."/>
      <w:lvlJc w:val="left"/>
      <w:pPr>
        <w:tabs>
          <w:tab w:val="num" w:pos="360"/>
        </w:tabs>
        <w:ind w:left="360" w:hanging="360"/>
      </w:pPr>
    </w:lvl>
  </w:abstractNum>
  <w:abstractNum w:abstractNumId="1">
    <w:nsid w:val="FFFFFF89"/>
    <w:multiLevelType w:val="singleLevel"/>
    <w:tmpl w:val="4A7004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683775"/>
    <w:multiLevelType w:val="hybridMultilevel"/>
    <w:tmpl w:val="626E970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363286"/>
    <w:multiLevelType w:val="hybridMultilevel"/>
    <w:tmpl w:val="07C2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6B5CA5"/>
    <w:multiLevelType w:val="hybridMultilevel"/>
    <w:tmpl w:val="E63C0E1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
    <w:nsid w:val="15D706F7"/>
    <w:multiLevelType w:val="hybridMultilevel"/>
    <w:tmpl w:val="533A4C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ED656D"/>
    <w:multiLevelType w:val="multilevel"/>
    <w:tmpl w:val="9BF0B4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427"/>
        </w:tabs>
        <w:ind w:left="142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92D7DEB"/>
    <w:multiLevelType w:val="hybridMultilevel"/>
    <w:tmpl w:val="6E2295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E2330A3"/>
    <w:multiLevelType w:val="hybridMultilevel"/>
    <w:tmpl w:val="4712DD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A674F8"/>
    <w:multiLevelType w:val="hybridMultilevel"/>
    <w:tmpl w:val="54A803F2"/>
    <w:lvl w:ilvl="0" w:tplc="FFFFFFFF">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5336A15"/>
    <w:multiLevelType w:val="hybridMultilevel"/>
    <w:tmpl w:val="E662F2C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2">
    <w:nsid w:val="49283AC9"/>
    <w:multiLevelType w:val="hybridMultilevel"/>
    <w:tmpl w:val="BD2A9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C53228"/>
    <w:multiLevelType w:val="hybridMultilevel"/>
    <w:tmpl w:val="AB2E947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nsid w:val="555F58F0"/>
    <w:multiLevelType w:val="hybridMultilevel"/>
    <w:tmpl w:val="88DE3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CD02F7"/>
    <w:multiLevelType w:val="hybridMultilevel"/>
    <w:tmpl w:val="F2D2E3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B32C0A"/>
    <w:multiLevelType w:val="hybridMultilevel"/>
    <w:tmpl w:val="57E0878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7">
    <w:nsid w:val="5FFE6BAA"/>
    <w:multiLevelType w:val="hybridMultilevel"/>
    <w:tmpl w:val="4F980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60E85E85"/>
    <w:multiLevelType w:val="hybridMultilevel"/>
    <w:tmpl w:val="B3380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64B65B89"/>
    <w:multiLevelType w:val="hybridMultilevel"/>
    <w:tmpl w:val="E706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F13B3A"/>
    <w:multiLevelType w:val="hybridMultilevel"/>
    <w:tmpl w:val="B0FC4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673CA6"/>
    <w:multiLevelType w:val="hybridMultilevel"/>
    <w:tmpl w:val="D26E730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nsid w:val="7A5722D5"/>
    <w:multiLevelType w:val="hybridMultilevel"/>
    <w:tmpl w:val="F8F44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5"/>
  </w:num>
  <w:num w:numId="9">
    <w:abstractNumId w:val="2"/>
  </w:num>
  <w:num w:numId="10">
    <w:abstractNumId w:val="8"/>
  </w:num>
  <w:num w:numId="11">
    <w:abstractNumId w:val="11"/>
  </w:num>
  <w:num w:numId="12">
    <w:abstractNumId w:val="16"/>
  </w:num>
  <w:num w:numId="13">
    <w:abstractNumId w:val="14"/>
  </w:num>
  <w:num w:numId="14">
    <w:abstractNumId w:val="3"/>
  </w:num>
  <w:num w:numId="15">
    <w:abstractNumId w:val="13"/>
  </w:num>
  <w:num w:numId="16">
    <w:abstractNumId w:val="19"/>
  </w:num>
  <w:num w:numId="17">
    <w:abstractNumId w:val="12"/>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7"/>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6C"/>
    <w:rsid w:val="000001A1"/>
    <w:rsid w:val="000012FB"/>
    <w:rsid w:val="0000497F"/>
    <w:rsid w:val="0001075A"/>
    <w:rsid w:val="00013C70"/>
    <w:rsid w:val="0001400D"/>
    <w:rsid w:val="000151D7"/>
    <w:rsid w:val="00020268"/>
    <w:rsid w:val="0002326C"/>
    <w:rsid w:val="00031731"/>
    <w:rsid w:val="00033C9E"/>
    <w:rsid w:val="00036EDC"/>
    <w:rsid w:val="00047C3B"/>
    <w:rsid w:val="00047D86"/>
    <w:rsid w:val="00051EAD"/>
    <w:rsid w:val="00052AEE"/>
    <w:rsid w:val="000551D0"/>
    <w:rsid w:val="000608C8"/>
    <w:rsid w:val="0006167D"/>
    <w:rsid w:val="00063B05"/>
    <w:rsid w:val="00067108"/>
    <w:rsid w:val="0007664E"/>
    <w:rsid w:val="000825A9"/>
    <w:rsid w:val="0008475A"/>
    <w:rsid w:val="00084AD1"/>
    <w:rsid w:val="00085D58"/>
    <w:rsid w:val="00087130"/>
    <w:rsid w:val="00090DC6"/>
    <w:rsid w:val="00093205"/>
    <w:rsid w:val="00095784"/>
    <w:rsid w:val="000A4110"/>
    <w:rsid w:val="000A7FD3"/>
    <w:rsid w:val="000B2FFF"/>
    <w:rsid w:val="000B37F5"/>
    <w:rsid w:val="000B6227"/>
    <w:rsid w:val="000C15C5"/>
    <w:rsid w:val="000D07F2"/>
    <w:rsid w:val="000D2834"/>
    <w:rsid w:val="000D370F"/>
    <w:rsid w:val="000D40D7"/>
    <w:rsid w:val="000D4228"/>
    <w:rsid w:val="000E1817"/>
    <w:rsid w:val="000E5E4C"/>
    <w:rsid w:val="001053DD"/>
    <w:rsid w:val="0010720B"/>
    <w:rsid w:val="001122CA"/>
    <w:rsid w:val="0011336A"/>
    <w:rsid w:val="001171BD"/>
    <w:rsid w:val="00120BD5"/>
    <w:rsid w:val="00120BE6"/>
    <w:rsid w:val="0012116D"/>
    <w:rsid w:val="0012202A"/>
    <w:rsid w:val="001303B5"/>
    <w:rsid w:val="00133F5D"/>
    <w:rsid w:val="001410D0"/>
    <w:rsid w:val="00147956"/>
    <w:rsid w:val="00147F63"/>
    <w:rsid w:val="00150554"/>
    <w:rsid w:val="00151BCC"/>
    <w:rsid w:val="00153714"/>
    <w:rsid w:val="00160F1F"/>
    <w:rsid w:val="001614D8"/>
    <w:rsid w:val="001630E8"/>
    <w:rsid w:val="00170BA0"/>
    <w:rsid w:val="00180057"/>
    <w:rsid w:val="00184C35"/>
    <w:rsid w:val="00186E3E"/>
    <w:rsid w:val="00193962"/>
    <w:rsid w:val="00194746"/>
    <w:rsid w:val="00194931"/>
    <w:rsid w:val="001A0797"/>
    <w:rsid w:val="001A4B3D"/>
    <w:rsid w:val="001A5BF8"/>
    <w:rsid w:val="001B6DE8"/>
    <w:rsid w:val="001C4A5E"/>
    <w:rsid w:val="001C5C50"/>
    <w:rsid w:val="001D5955"/>
    <w:rsid w:val="001D7A25"/>
    <w:rsid w:val="001D7ACB"/>
    <w:rsid w:val="001E7E41"/>
    <w:rsid w:val="001F6B4F"/>
    <w:rsid w:val="00201F95"/>
    <w:rsid w:val="002024F9"/>
    <w:rsid w:val="00202A3D"/>
    <w:rsid w:val="002064F8"/>
    <w:rsid w:val="0021215F"/>
    <w:rsid w:val="00213C2C"/>
    <w:rsid w:val="00215459"/>
    <w:rsid w:val="00217A48"/>
    <w:rsid w:val="002218C1"/>
    <w:rsid w:val="00223DF5"/>
    <w:rsid w:val="00224C49"/>
    <w:rsid w:val="00226758"/>
    <w:rsid w:val="0023767F"/>
    <w:rsid w:val="002407C2"/>
    <w:rsid w:val="00240D14"/>
    <w:rsid w:val="00241DFA"/>
    <w:rsid w:val="00242C9F"/>
    <w:rsid w:val="002537F2"/>
    <w:rsid w:val="0025687F"/>
    <w:rsid w:val="0026555C"/>
    <w:rsid w:val="002710D0"/>
    <w:rsid w:val="00271253"/>
    <w:rsid w:val="00274824"/>
    <w:rsid w:val="00280A5C"/>
    <w:rsid w:val="00283D9C"/>
    <w:rsid w:val="002914C8"/>
    <w:rsid w:val="0029459E"/>
    <w:rsid w:val="00295BF0"/>
    <w:rsid w:val="00296B14"/>
    <w:rsid w:val="002A1EEF"/>
    <w:rsid w:val="002A2959"/>
    <w:rsid w:val="002A3458"/>
    <w:rsid w:val="002A3ABE"/>
    <w:rsid w:val="002A4F4A"/>
    <w:rsid w:val="002A71F4"/>
    <w:rsid w:val="002A7238"/>
    <w:rsid w:val="002A73C4"/>
    <w:rsid w:val="002A7F9D"/>
    <w:rsid w:val="002B5722"/>
    <w:rsid w:val="002C13C2"/>
    <w:rsid w:val="002C6C2F"/>
    <w:rsid w:val="002D078C"/>
    <w:rsid w:val="002D2905"/>
    <w:rsid w:val="002D32B3"/>
    <w:rsid w:val="002D6CF3"/>
    <w:rsid w:val="002E1C98"/>
    <w:rsid w:val="002E286D"/>
    <w:rsid w:val="002E4D29"/>
    <w:rsid w:val="002F079E"/>
    <w:rsid w:val="002F3E22"/>
    <w:rsid w:val="002F4AE9"/>
    <w:rsid w:val="00301BD0"/>
    <w:rsid w:val="00301CE7"/>
    <w:rsid w:val="003044A0"/>
    <w:rsid w:val="00325EDF"/>
    <w:rsid w:val="00330BCB"/>
    <w:rsid w:val="00337274"/>
    <w:rsid w:val="00342107"/>
    <w:rsid w:val="003470D6"/>
    <w:rsid w:val="00355AA2"/>
    <w:rsid w:val="00355C5F"/>
    <w:rsid w:val="00356386"/>
    <w:rsid w:val="00360F1A"/>
    <w:rsid w:val="00371269"/>
    <w:rsid w:val="0037316C"/>
    <w:rsid w:val="00373341"/>
    <w:rsid w:val="00374C35"/>
    <w:rsid w:val="0038770F"/>
    <w:rsid w:val="00391B8E"/>
    <w:rsid w:val="0039529F"/>
    <w:rsid w:val="0039678B"/>
    <w:rsid w:val="00396933"/>
    <w:rsid w:val="003A4415"/>
    <w:rsid w:val="003A793C"/>
    <w:rsid w:val="003A7C4C"/>
    <w:rsid w:val="003B28D8"/>
    <w:rsid w:val="003B4951"/>
    <w:rsid w:val="003B4B36"/>
    <w:rsid w:val="003B5C5F"/>
    <w:rsid w:val="003C29DC"/>
    <w:rsid w:val="003C32B6"/>
    <w:rsid w:val="003C6C06"/>
    <w:rsid w:val="003D3167"/>
    <w:rsid w:val="003D3A0B"/>
    <w:rsid w:val="003D5F67"/>
    <w:rsid w:val="003E021D"/>
    <w:rsid w:val="003E2750"/>
    <w:rsid w:val="003E32BF"/>
    <w:rsid w:val="003E36EB"/>
    <w:rsid w:val="003F1F61"/>
    <w:rsid w:val="003F329D"/>
    <w:rsid w:val="004004E3"/>
    <w:rsid w:val="004007BE"/>
    <w:rsid w:val="00401F05"/>
    <w:rsid w:val="004029E3"/>
    <w:rsid w:val="004032E9"/>
    <w:rsid w:val="004035B8"/>
    <w:rsid w:val="00404FB1"/>
    <w:rsid w:val="00406ADF"/>
    <w:rsid w:val="00411650"/>
    <w:rsid w:val="004153BD"/>
    <w:rsid w:val="00416D15"/>
    <w:rsid w:val="004179BF"/>
    <w:rsid w:val="00420A06"/>
    <w:rsid w:val="00425C9C"/>
    <w:rsid w:val="004279AF"/>
    <w:rsid w:val="00433678"/>
    <w:rsid w:val="00433A66"/>
    <w:rsid w:val="004359C9"/>
    <w:rsid w:val="00437BF6"/>
    <w:rsid w:val="00446FD6"/>
    <w:rsid w:val="00457692"/>
    <w:rsid w:val="00457EB4"/>
    <w:rsid w:val="004614E1"/>
    <w:rsid w:val="004647FC"/>
    <w:rsid w:val="00464E85"/>
    <w:rsid w:val="00465ED0"/>
    <w:rsid w:val="00466A2D"/>
    <w:rsid w:val="00470165"/>
    <w:rsid w:val="004728FA"/>
    <w:rsid w:val="00473CC4"/>
    <w:rsid w:val="00477CFF"/>
    <w:rsid w:val="00477D6E"/>
    <w:rsid w:val="004820F3"/>
    <w:rsid w:val="00490C92"/>
    <w:rsid w:val="004919F6"/>
    <w:rsid w:val="004974F4"/>
    <w:rsid w:val="004A1CBD"/>
    <w:rsid w:val="004A21DC"/>
    <w:rsid w:val="004A2DBD"/>
    <w:rsid w:val="004A32CA"/>
    <w:rsid w:val="004B6607"/>
    <w:rsid w:val="004C7383"/>
    <w:rsid w:val="004D0505"/>
    <w:rsid w:val="004D4636"/>
    <w:rsid w:val="004D7952"/>
    <w:rsid w:val="004E0E67"/>
    <w:rsid w:val="004E560E"/>
    <w:rsid w:val="004F1E32"/>
    <w:rsid w:val="004F25D8"/>
    <w:rsid w:val="004F4C5A"/>
    <w:rsid w:val="004F5B0D"/>
    <w:rsid w:val="0050249B"/>
    <w:rsid w:val="00510A06"/>
    <w:rsid w:val="0051392A"/>
    <w:rsid w:val="00520985"/>
    <w:rsid w:val="00522260"/>
    <w:rsid w:val="00535993"/>
    <w:rsid w:val="00542430"/>
    <w:rsid w:val="0054265B"/>
    <w:rsid w:val="0054285C"/>
    <w:rsid w:val="005429A9"/>
    <w:rsid w:val="00550330"/>
    <w:rsid w:val="00550EE8"/>
    <w:rsid w:val="00551448"/>
    <w:rsid w:val="005537A2"/>
    <w:rsid w:val="00557E4A"/>
    <w:rsid w:val="0056515E"/>
    <w:rsid w:val="00572AA5"/>
    <w:rsid w:val="00574787"/>
    <w:rsid w:val="00580134"/>
    <w:rsid w:val="00580F9F"/>
    <w:rsid w:val="00581D9F"/>
    <w:rsid w:val="00583E04"/>
    <w:rsid w:val="005855C2"/>
    <w:rsid w:val="00593883"/>
    <w:rsid w:val="00595BAF"/>
    <w:rsid w:val="005A0CEA"/>
    <w:rsid w:val="005A38EF"/>
    <w:rsid w:val="005A4E86"/>
    <w:rsid w:val="005A5F0A"/>
    <w:rsid w:val="005A6BAC"/>
    <w:rsid w:val="005B3B33"/>
    <w:rsid w:val="005B5497"/>
    <w:rsid w:val="005C0987"/>
    <w:rsid w:val="005C5048"/>
    <w:rsid w:val="005D3636"/>
    <w:rsid w:val="005E3C64"/>
    <w:rsid w:val="005E3E10"/>
    <w:rsid w:val="005F048B"/>
    <w:rsid w:val="005F3299"/>
    <w:rsid w:val="005F3436"/>
    <w:rsid w:val="005F351A"/>
    <w:rsid w:val="005F63D5"/>
    <w:rsid w:val="005F7A0C"/>
    <w:rsid w:val="00600DB0"/>
    <w:rsid w:val="0060431A"/>
    <w:rsid w:val="00606DDD"/>
    <w:rsid w:val="0061096B"/>
    <w:rsid w:val="00612C68"/>
    <w:rsid w:val="00617F15"/>
    <w:rsid w:val="0062430C"/>
    <w:rsid w:val="00625E76"/>
    <w:rsid w:val="00633444"/>
    <w:rsid w:val="00634561"/>
    <w:rsid w:val="0063568E"/>
    <w:rsid w:val="0063591B"/>
    <w:rsid w:val="006369E0"/>
    <w:rsid w:val="00637749"/>
    <w:rsid w:val="00637867"/>
    <w:rsid w:val="00641B65"/>
    <w:rsid w:val="006461B6"/>
    <w:rsid w:val="0064780C"/>
    <w:rsid w:val="0065138F"/>
    <w:rsid w:val="00660CC2"/>
    <w:rsid w:val="00662728"/>
    <w:rsid w:val="006635A6"/>
    <w:rsid w:val="00664BB4"/>
    <w:rsid w:val="00666E72"/>
    <w:rsid w:val="00672D83"/>
    <w:rsid w:val="00676940"/>
    <w:rsid w:val="00680714"/>
    <w:rsid w:val="0068601E"/>
    <w:rsid w:val="00690A3B"/>
    <w:rsid w:val="00692F08"/>
    <w:rsid w:val="006953F3"/>
    <w:rsid w:val="00696A1F"/>
    <w:rsid w:val="006A6F11"/>
    <w:rsid w:val="006B2957"/>
    <w:rsid w:val="006B4465"/>
    <w:rsid w:val="006C5B40"/>
    <w:rsid w:val="006C7C91"/>
    <w:rsid w:val="006D1593"/>
    <w:rsid w:val="006D3DF7"/>
    <w:rsid w:val="006E22B9"/>
    <w:rsid w:val="006E3011"/>
    <w:rsid w:val="006F0A87"/>
    <w:rsid w:val="006F46E5"/>
    <w:rsid w:val="006F4C20"/>
    <w:rsid w:val="006F5D2F"/>
    <w:rsid w:val="006F6407"/>
    <w:rsid w:val="00700300"/>
    <w:rsid w:val="00700448"/>
    <w:rsid w:val="00701444"/>
    <w:rsid w:val="00720DEB"/>
    <w:rsid w:val="00732B9E"/>
    <w:rsid w:val="00733A34"/>
    <w:rsid w:val="00737049"/>
    <w:rsid w:val="007372FE"/>
    <w:rsid w:val="0073776E"/>
    <w:rsid w:val="00737783"/>
    <w:rsid w:val="00741B07"/>
    <w:rsid w:val="007423E1"/>
    <w:rsid w:val="00742498"/>
    <w:rsid w:val="0074273D"/>
    <w:rsid w:val="007437A9"/>
    <w:rsid w:val="0075033D"/>
    <w:rsid w:val="007529D5"/>
    <w:rsid w:val="00761AE9"/>
    <w:rsid w:val="00765E4E"/>
    <w:rsid w:val="0076616B"/>
    <w:rsid w:val="00773930"/>
    <w:rsid w:val="0077430C"/>
    <w:rsid w:val="007759F8"/>
    <w:rsid w:val="00781D96"/>
    <w:rsid w:val="0078206F"/>
    <w:rsid w:val="0078387F"/>
    <w:rsid w:val="00785C39"/>
    <w:rsid w:val="00796324"/>
    <w:rsid w:val="007A44B0"/>
    <w:rsid w:val="007B0A91"/>
    <w:rsid w:val="007B36F6"/>
    <w:rsid w:val="007B5ADE"/>
    <w:rsid w:val="007C2D87"/>
    <w:rsid w:val="007C3C4B"/>
    <w:rsid w:val="007C54FE"/>
    <w:rsid w:val="007C6E94"/>
    <w:rsid w:val="007D37E4"/>
    <w:rsid w:val="007D52CC"/>
    <w:rsid w:val="007D709B"/>
    <w:rsid w:val="007E2025"/>
    <w:rsid w:val="007F44E1"/>
    <w:rsid w:val="007F4B5C"/>
    <w:rsid w:val="008007EC"/>
    <w:rsid w:val="0080186A"/>
    <w:rsid w:val="008063D1"/>
    <w:rsid w:val="008117BC"/>
    <w:rsid w:val="00822147"/>
    <w:rsid w:val="00824163"/>
    <w:rsid w:val="00825C4B"/>
    <w:rsid w:val="00830251"/>
    <w:rsid w:val="00831517"/>
    <w:rsid w:val="00831C68"/>
    <w:rsid w:val="0083626A"/>
    <w:rsid w:val="00842C23"/>
    <w:rsid w:val="00845E18"/>
    <w:rsid w:val="00856708"/>
    <w:rsid w:val="0086413A"/>
    <w:rsid w:val="0086639A"/>
    <w:rsid w:val="00872EDC"/>
    <w:rsid w:val="00873B4F"/>
    <w:rsid w:val="0089129D"/>
    <w:rsid w:val="008917AB"/>
    <w:rsid w:val="00892EE4"/>
    <w:rsid w:val="00893E0A"/>
    <w:rsid w:val="008A3B81"/>
    <w:rsid w:val="008C087D"/>
    <w:rsid w:val="008C63B7"/>
    <w:rsid w:val="008C76E8"/>
    <w:rsid w:val="008D1FEF"/>
    <w:rsid w:val="008D4869"/>
    <w:rsid w:val="008D5BB0"/>
    <w:rsid w:val="008D6E10"/>
    <w:rsid w:val="008E13F6"/>
    <w:rsid w:val="008E4C79"/>
    <w:rsid w:val="008E67C8"/>
    <w:rsid w:val="008F51E6"/>
    <w:rsid w:val="008F65B7"/>
    <w:rsid w:val="008F73BD"/>
    <w:rsid w:val="0090121E"/>
    <w:rsid w:val="00903923"/>
    <w:rsid w:val="00915F66"/>
    <w:rsid w:val="00920F94"/>
    <w:rsid w:val="0092185F"/>
    <w:rsid w:val="00922F0C"/>
    <w:rsid w:val="00923CB6"/>
    <w:rsid w:val="0092423B"/>
    <w:rsid w:val="0092768D"/>
    <w:rsid w:val="009326BF"/>
    <w:rsid w:val="00932F05"/>
    <w:rsid w:val="009355C2"/>
    <w:rsid w:val="0094173C"/>
    <w:rsid w:val="00946661"/>
    <w:rsid w:val="009507AC"/>
    <w:rsid w:val="00951865"/>
    <w:rsid w:val="00951B85"/>
    <w:rsid w:val="00975550"/>
    <w:rsid w:val="00975F62"/>
    <w:rsid w:val="00980526"/>
    <w:rsid w:val="009816B4"/>
    <w:rsid w:val="009860BD"/>
    <w:rsid w:val="00987056"/>
    <w:rsid w:val="009916FD"/>
    <w:rsid w:val="009918E4"/>
    <w:rsid w:val="009920E3"/>
    <w:rsid w:val="009A6CE2"/>
    <w:rsid w:val="009A7F31"/>
    <w:rsid w:val="009B1720"/>
    <w:rsid w:val="009B1EE6"/>
    <w:rsid w:val="009B220D"/>
    <w:rsid w:val="009B68AC"/>
    <w:rsid w:val="009B6CCF"/>
    <w:rsid w:val="009D053E"/>
    <w:rsid w:val="009D0878"/>
    <w:rsid w:val="009D2EFC"/>
    <w:rsid w:val="009D64D2"/>
    <w:rsid w:val="009D7A77"/>
    <w:rsid w:val="009D7EC7"/>
    <w:rsid w:val="009E38CC"/>
    <w:rsid w:val="009E72D7"/>
    <w:rsid w:val="009F3D60"/>
    <w:rsid w:val="009F7D0F"/>
    <w:rsid w:val="009F7ECA"/>
    <w:rsid w:val="00A13B39"/>
    <w:rsid w:val="00A13F1E"/>
    <w:rsid w:val="00A1697E"/>
    <w:rsid w:val="00A17E74"/>
    <w:rsid w:val="00A20602"/>
    <w:rsid w:val="00A36CD1"/>
    <w:rsid w:val="00A4666F"/>
    <w:rsid w:val="00A5491E"/>
    <w:rsid w:val="00A55736"/>
    <w:rsid w:val="00A63982"/>
    <w:rsid w:val="00A7108A"/>
    <w:rsid w:val="00A757F0"/>
    <w:rsid w:val="00A8385C"/>
    <w:rsid w:val="00A905E5"/>
    <w:rsid w:val="00A93899"/>
    <w:rsid w:val="00A9656A"/>
    <w:rsid w:val="00AA29E1"/>
    <w:rsid w:val="00AA4E1F"/>
    <w:rsid w:val="00AA59F2"/>
    <w:rsid w:val="00AB1005"/>
    <w:rsid w:val="00AB143B"/>
    <w:rsid w:val="00AB5112"/>
    <w:rsid w:val="00AC04F6"/>
    <w:rsid w:val="00AC0A05"/>
    <w:rsid w:val="00AD02D0"/>
    <w:rsid w:val="00AD20A7"/>
    <w:rsid w:val="00AE2A67"/>
    <w:rsid w:val="00AE799A"/>
    <w:rsid w:val="00AF3CA5"/>
    <w:rsid w:val="00B00D2F"/>
    <w:rsid w:val="00B01249"/>
    <w:rsid w:val="00B041ED"/>
    <w:rsid w:val="00B0703D"/>
    <w:rsid w:val="00B0752B"/>
    <w:rsid w:val="00B10123"/>
    <w:rsid w:val="00B12752"/>
    <w:rsid w:val="00B202DB"/>
    <w:rsid w:val="00B26D74"/>
    <w:rsid w:val="00B317D3"/>
    <w:rsid w:val="00B33537"/>
    <w:rsid w:val="00B3515A"/>
    <w:rsid w:val="00B3677D"/>
    <w:rsid w:val="00B3726E"/>
    <w:rsid w:val="00B43406"/>
    <w:rsid w:val="00B440F0"/>
    <w:rsid w:val="00B461B7"/>
    <w:rsid w:val="00B463B8"/>
    <w:rsid w:val="00B46F43"/>
    <w:rsid w:val="00B51C06"/>
    <w:rsid w:val="00B52DAA"/>
    <w:rsid w:val="00B55CDE"/>
    <w:rsid w:val="00B60593"/>
    <w:rsid w:val="00B70ADA"/>
    <w:rsid w:val="00B73E0E"/>
    <w:rsid w:val="00B74C07"/>
    <w:rsid w:val="00B75792"/>
    <w:rsid w:val="00B829E6"/>
    <w:rsid w:val="00B86618"/>
    <w:rsid w:val="00B87437"/>
    <w:rsid w:val="00B9199C"/>
    <w:rsid w:val="00B9593F"/>
    <w:rsid w:val="00BA0A35"/>
    <w:rsid w:val="00BA0FB5"/>
    <w:rsid w:val="00BA17CC"/>
    <w:rsid w:val="00BA5A46"/>
    <w:rsid w:val="00BA7E16"/>
    <w:rsid w:val="00BB2FA6"/>
    <w:rsid w:val="00BB2FC6"/>
    <w:rsid w:val="00BC0A65"/>
    <w:rsid w:val="00BC16FA"/>
    <w:rsid w:val="00BC2E1E"/>
    <w:rsid w:val="00BC38EC"/>
    <w:rsid w:val="00BC44D1"/>
    <w:rsid w:val="00BC4C44"/>
    <w:rsid w:val="00BE6EDA"/>
    <w:rsid w:val="00BE784C"/>
    <w:rsid w:val="00BF1C90"/>
    <w:rsid w:val="00BF21EB"/>
    <w:rsid w:val="00BF44D0"/>
    <w:rsid w:val="00BF7A00"/>
    <w:rsid w:val="00C02D5C"/>
    <w:rsid w:val="00C112D8"/>
    <w:rsid w:val="00C12C12"/>
    <w:rsid w:val="00C14C02"/>
    <w:rsid w:val="00C15648"/>
    <w:rsid w:val="00C15727"/>
    <w:rsid w:val="00C15EDB"/>
    <w:rsid w:val="00C24A37"/>
    <w:rsid w:val="00C25F3A"/>
    <w:rsid w:val="00C2761D"/>
    <w:rsid w:val="00C33F96"/>
    <w:rsid w:val="00C3451E"/>
    <w:rsid w:val="00C365CA"/>
    <w:rsid w:val="00C404CB"/>
    <w:rsid w:val="00C43E97"/>
    <w:rsid w:val="00C501D9"/>
    <w:rsid w:val="00C602FE"/>
    <w:rsid w:val="00C60403"/>
    <w:rsid w:val="00C620C8"/>
    <w:rsid w:val="00C62932"/>
    <w:rsid w:val="00C63447"/>
    <w:rsid w:val="00C64B73"/>
    <w:rsid w:val="00C6520D"/>
    <w:rsid w:val="00C65F4D"/>
    <w:rsid w:val="00C7337B"/>
    <w:rsid w:val="00C7367B"/>
    <w:rsid w:val="00C75963"/>
    <w:rsid w:val="00C810D9"/>
    <w:rsid w:val="00C843D3"/>
    <w:rsid w:val="00C845EE"/>
    <w:rsid w:val="00C86DE8"/>
    <w:rsid w:val="00C87DC3"/>
    <w:rsid w:val="00C919A3"/>
    <w:rsid w:val="00C94FB5"/>
    <w:rsid w:val="00CB75F8"/>
    <w:rsid w:val="00CC0D0E"/>
    <w:rsid w:val="00CC176E"/>
    <w:rsid w:val="00CC51BB"/>
    <w:rsid w:val="00CD089E"/>
    <w:rsid w:val="00CD144B"/>
    <w:rsid w:val="00CE0DBB"/>
    <w:rsid w:val="00CE583B"/>
    <w:rsid w:val="00CE7E9E"/>
    <w:rsid w:val="00CF21E1"/>
    <w:rsid w:val="00CF759C"/>
    <w:rsid w:val="00D212A6"/>
    <w:rsid w:val="00D27399"/>
    <w:rsid w:val="00D3134C"/>
    <w:rsid w:val="00D41A0E"/>
    <w:rsid w:val="00D53A16"/>
    <w:rsid w:val="00D6022F"/>
    <w:rsid w:val="00D704AB"/>
    <w:rsid w:val="00D716AB"/>
    <w:rsid w:val="00D72F71"/>
    <w:rsid w:val="00D74418"/>
    <w:rsid w:val="00D768FE"/>
    <w:rsid w:val="00D7708B"/>
    <w:rsid w:val="00D84CA0"/>
    <w:rsid w:val="00D8754F"/>
    <w:rsid w:val="00D95213"/>
    <w:rsid w:val="00DA01A0"/>
    <w:rsid w:val="00DA1A3F"/>
    <w:rsid w:val="00DA2228"/>
    <w:rsid w:val="00DA2DF0"/>
    <w:rsid w:val="00DA2F8A"/>
    <w:rsid w:val="00DA64E2"/>
    <w:rsid w:val="00DD4315"/>
    <w:rsid w:val="00DD5B87"/>
    <w:rsid w:val="00DD7785"/>
    <w:rsid w:val="00DE234E"/>
    <w:rsid w:val="00DE322E"/>
    <w:rsid w:val="00DE492C"/>
    <w:rsid w:val="00DF36B5"/>
    <w:rsid w:val="00DF3E83"/>
    <w:rsid w:val="00DF3FE7"/>
    <w:rsid w:val="00DF6DC7"/>
    <w:rsid w:val="00DF7D04"/>
    <w:rsid w:val="00E005C5"/>
    <w:rsid w:val="00E03C2E"/>
    <w:rsid w:val="00E0473A"/>
    <w:rsid w:val="00E16387"/>
    <w:rsid w:val="00E20B28"/>
    <w:rsid w:val="00E24B64"/>
    <w:rsid w:val="00E307DF"/>
    <w:rsid w:val="00E53A8B"/>
    <w:rsid w:val="00E546F6"/>
    <w:rsid w:val="00E55E53"/>
    <w:rsid w:val="00E67962"/>
    <w:rsid w:val="00E725FE"/>
    <w:rsid w:val="00E7294B"/>
    <w:rsid w:val="00E736CD"/>
    <w:rsid w:val="00E74D39"/>
    <w:rsid w:val="00E813C8"/>
    <w:rsid w:val="00E816C7"/>
    <w:rsid w:val="00E83C8C"/>
    <w:rsid w:val="00E8628A"/>
    <w:rsid w:val="00E86F9E"/>
    <w:rsid w:val="00E87E39"/>
    <w:rsid w:val="00E92EAD"/>
    <w:rsid w:val="00E94421"/>
    <w:rsid w:val="00E95A3C"/>
    <w:rsid w:val="00EA01BB"/>
    <w:rsid w:val="00EA20F5"/>
    <w:rsid w:val="00EA5817"/>
    <w:rsid w:val="00EA6571"/>
    <w:rsid w:val="00EA658E"/>
    <w:rsid w:val="00EA692E"/>
    <w:rsid w:val="00EB1904"/>
    <w:rsid w:val="00EB601C"/>
    <w:rsid w:val="00ED0A2A"/>
    <w:rsid w:val="00ED3820"/>
    <w:rsid w:val="00ED7681"/>
    <w:rsid w:val="00ED7CD2"/>
    <w:rsid w:val="00EE046B"/>
    <w:rsid w:val="00EE148D"/>
    <w:rsid w:val="00EE60B4"/>
    <w:rsid w:val="00EF1086"/>
    <w:rsid w:val="00EF1779"/>
    <w:rsid w:val="00EF3828"/>
    <w:rsid w:val="00F0366A"/>
    <w:rsid w:val="00F036A8"/>
    <w:rsid w:val="00F04A24"/>
    <w:rsid w:val="00F12EDD"/>
    <w:rsid w:val="00F20F60"/>
    <w:rsid w:val="00F21889"/>
    <w:rsid w:val="00F25A49"/>
    <w:rsid w:val="00F25DD5"/>
    <w:rsid w:val="00F26533"/>
    <w:rsid w:val="00F3645F"/>
    <w:rsid w:val="00F3665F"/>
    <w:rsid w:val="00F375BD"/>
    <w:rsid w:val="00F37ACF"/>
    <w:rsid w:val="00F40422"/>
    <w:rsid w:val="00F44724"/>
    <w:rsid w:val="00F476EE"/>
    <w:rsid w:val="00F52084"/>
    <w:rsid w:val="00F65AC2"/>
    <w:rsid w:val="00F7149F"/>
    <w:rsid w:val="00F74361"/>
    <w:rsid w:val="00F7523D"/>
    <w:rsid w:val="00F8245D"/>
    <w:rsid w:val="00F86B69"/>
    <w:rsid w:val="00FA1A41"/>
    <w:rsid w:val="00FA2FC7"/>
    <w:rsid w:val="00FA4529"/>
    <w:rsid w:val="00FA4E10"/>
    <w:rsid w:val="00FB1A69"/>
    <w:rsid w:val="00FB4CA9"/>
    <w:rsid w:val="00FD1D4E"/>
    <w:rsid w:val="00FD1FC4"/>
    <w:rsid w:val="00FE0257"/>
    <w:rsid w:val="00FE37FD"/>
    <w:rsid w:val="00FF010B"/>
    <w:rsid w:val="00FF1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5"/>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tabs>
        <w:tab w:val="clear" w:pos="1427"/>
        <w:tab w:val="num" w:pos="576"/>
      </w:tabs>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4"/>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3"/>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063B05"/>
    <w:pPr>
      <w:spacing w:after="100"/>
      <w:ind w:left="220"/>
    </w:pPr>
  </w:style>
  <w:style w:type="paragraph" w:styleId="TOC1">
    <w:name w:val="toc 1"/>
    <w:basedOn w:val="Normal"/>
    <w:next w:val="Normal"/>
    <w:autoRedefine/>
    <w:uiPriority w:val="39"/>
    <w:unhideWhenUsed/>
    <w:qFormat/>
    <w:rsid w:val="00063B05"/>
    <w:pPr>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5"/>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tabs>
        <w:tab w:val="clear" w:pos="1427"/>
        <w:tab w:val="num" w:pos="576"/>
      </w:tabs>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4"/>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3"/>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063B05"/>
    <w:pPr>
      <w:spacing w:after="100"/>
      <w:ind w:left="220"/>
    </w:pPr>
  </w:style>
  <w:style w:type="paragraph" w:styleId="TOC1">
    <w:name w:val="toc 1"/>
    <w:basedOn w:val="Normal"/>
    <w:next w:val="Normal"/>
    <w:autoRedefine/>
    <w:uiPriority w:val="39"/>
    <w:unhideWhenUsed/>
    <w:qFormat/>
    <w:rsid w:val="00063B05"/>
    <w:pPr>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830">
      <w:bodyDiv w:val="1"/>
      <w:marLeft w:val="0"/>
      <w:marRight w:val="0"/>
      <w:marTop w:val="0"/>
      <w:marBottom w:val="0"/>
      <w:divBdr>
        <w:top w:val="none" w:sz="0" w:space="0" w:color="auto"/>
        <w:left w:val="none" w:sz="0" w:space="0" w:color="auto"/>
        <w:bottom w:val="none" w:sz="0" w:space="0" w:color="auto"/>
        <w:right w:val="none" w:sz="0" w:space="0" w:color="auto"/>
      </w:divBdr>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383284">
      <w:bodyDiv w:val="1"/>
      <w:marLeft w:val="0"/>
      <w:marRight w:val="0"/>
      <w:marTop w:val="0"/>
      <w:marBottom w:val="0"/>
      <w:divBdr>
        <w:top w:val="none" w:sz="0" w:space="0" w:color="auto"/>
        <w:left w:val="none" w:sz="0" w:space="0" w:color="auto"/>
        <w:bottom w:val="none" w:sz="0" w:space="0" w:color="auto"/>
        <w:right w:val="none" w:sz="0" w:space="0" w:color="auto"/>
      </w:divBdr>
    </w:div>
    <w:div w:id="228853599">
      <w:bodyDiv w:val="1"/>
      <w:marLeft w:val="0"/>
      <w:marRight w:val="0"/>
      <w:marTop w:val="0"/>
      <w:marBottom w:val="0"/>
      <w:divBdr>
        <w:top w:val="none" w:sz="0" w:space="0" w:color="auto"/>
        <w:left w:val="none" w:sz="0" w:space="0" w:color="auto"/>
        <w:bottom w:val="none" w:sz="0" w:space="0" w:color="auto"/>
        <w:right w:val="none" w:sz="0" w:space="0" w:color="auto"/>
      </w:divBdr>
    </w:div>
    <w:div w:id="589587013">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790392971">
      <w:bodyDiv w:val="1"/>
      <w:marLeft w:val="0"/>
      <w:marRight w:val="0"/>
      <w:marTop w:val="0"/>
      <w:marBottom w:val="0"/>
      <w:divBdr>
        <w:top w:val="none" w:sz="0" w:space="0" w:color="auto"/>
        <w:left w:val="none" w:sz="0" w:space="0" w:color="auto"/>
        <w:bottom w:val="none" w:sz="0" w:space="0" w:color="auto"/>
        <w:right w:val="none" w:sz="0" w:space="0" w:color="auto"/>
      </w:divBdr>
    </w:div>
    <w:div w:id="990057037">
      <w:bodyDiv w:val="1"/>
      <w:marLeft w:val="0"/>
      <w:marRight w:val="0"/>
      <w:marTop w:val="0"/>
      <w:marBottom w:val="0"/>
      <w:divBdr>
        <w:top w:val="none" w:sz="0" w:space="0" w:color="auto"/>
        <w:left w:val="none" w:sz="0" w:space="0" w:color="auto"/>
        <w:bottom w:val="none" w:sz="0" w:space="0" w:color="auto"/>
        <w:right w:val="none" w:sz="0" w:space="0" w:color="auto"/>
      </w:divBdr>
    </w:div>
    <w:div w:id="1919167695">
      <w:bodyDiv w:val="1"/>
      <w:marLeft w:val="0"/>
      <w:marRight w:val="0"/>
      <w:marTop w:val="0"/>
      <w:marBottom w:val="0"/>
      <w:divBdr>
        <w:top w:val="none" w:sz="0" w:space="0" w:color="auto"/>
        <w:left w:val="none" w:sz="0" w:space="0" w:color="auto"/>
        <w:bottom w:val="none" w:sz="0" w:space="0" w:color="auto"/>
        <w:right w:val="none" w:sz="0" w:space="0" w:color="auto"/>
      </w:divBdr>
      <w:divsChild>
        <w:div w:id="1217594231">
          <w:marLeft w:val="0"/>
          <w:marRight w:val="0"/>
          <w:marTop w:val="0"/>
          <w:marBottom w:val="0"/>
          <w:divBdr>
            <w:top w:val="none" w:sz="0" w:space="0" w:color="auto"/>
            <w:left w:val="none" w:sz="0" w:space="0" w:color="auto"/>
            <w:bottom w:val="none" w:sz="0" w:space="0" w:color="auto"/>
            <w:right w:val="none" w:sz="0" w:space="0" w:color="auto"/>
          </w:divBdr>
          <w:divsChild>
            <w:div w:id="15838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image" Target="cid:image001.png@01CE9F61.3784FEB0" TargetMode="External"/><Relationship Id="rId7" Type="http://schemas.microsoft.com/office/2007/relationships/stylesWithEffects" Target="stylesWithEffect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 TargetMode="External"/><Relationship Id="rId29" Type="http://schemas.openxmlformats.org/officeDocument/2006/relationships/image" Target="cid:image001.png@01CE9F63.6BCCDD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Visio_Drawing1111111.vsdx"/><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cid:image001.jpg@01CE6288.815B9460" TargetMode="External"/><Relationship Id="rId31" Type="http://schemas.openxmlformats.org/officeDocument/2006/relationships/image" Target="cid:image002.png@01CE9F63.6BCCDD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image" Target="cid:image002.png@01CE9F61.3784FE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BA\CURRENT\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96E851100084283DC2628E672D029" ma:contentTypeVersion="1" ma:contentTypeDescription="Create a new document." ma:contentTypeScope="" ma:versionID="627159615afa990331d3ba16652a1c62">
  <xsd:schema xmlns:xsd="http://www.w3.org/2001/XMLSchema" xmlns:p="http://schemas.microsoft.com/office/2006/metadata/properties" xmlns:ns2="50e80400-6152-41c6-84de-a2c380323620" targetNamespace="http://schemas.microsoft.com/office/2006/metadata/properties" ma:root="true" ma:fieldsID="edb3ae1f496c0012b32ef7dfd729cafc" ns2:_="">
    <xsd:import namespace="50e80400-6152-41c6-84de-a2c380323620"/>
    <xsd:element name="properties">
      <xsd:complexType>
        <xsd:sequence>
          <xsd:element name="documentManagement">
            <xsd:complexType>
              <xsd:all>
                <xsd:element ref="ns2:Checked_x0020_out_x0020_by" minOccurs="0"/>
              </xsd:all>
            </xsd:complexType>
          </xsd:element>
        </xsd:sequence>
      </xsd:complexType>
    </xsd:element>
  </xsd:schema>
  <xsd:schema xmlns:xsd="http://www.w3.org/2001/XMLSchema" xmlns:dms="http://schemas.microsoft.com/office/2006/documentManagement/types" targetNamespace="50e80400-6152-41c6-84de-a2c380323620" elementFormDefault="qualified">
    <xsd:import namespace="http://schemas.microsoft.com/office/2006/documentManagement/types"/>
    <xsd:element name="Checked_x0020_out_x0020_by" ma:index="8" nillable="true" ma:displayName="Checked out by" ma:list="UserInfo"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hecked_x0020_out_x0020_by xmlns="50e80400-6152-41c6-84de-a2c380323620">
      <UserInfo>
        <DisplayName/>
        <AccountId xsi:nil="true"/>
        <AccountType/>
      </UserInfo>
    </Checked_x0020_out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C416-93FB-4202-88B8-603C82F7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80400-6152-41c6-84de-a2c3803236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E322B2-3E73-4981-9816-D8D49C277F28}">
  <ds:schemaRefs>
    <ds:schemaRef ds:uri="http://schemas.microsoft.com/office/2006/metadata/properties"/>
    <ds:schemaRef ds:uri="50e80400-6152-41c6-84de-a2c380323620"/>
  </ds:schemaRefs>
</ds:datastoreItem>
</file>

<file path=customXml/itemProps3.xml><?xml version="1.0" encoding="utf-8"?>
<ds:datastoreItem xmlns:ds="http://schemas.openxmlformats.org/officeDocument/2006/customXml" ds:itemID="{44551BCC-9247-43F3-851C-51B2844E2558}">
  <ds:schemaRefs>
    <ds:schemaRef ds:uri="http://schemas.microsoft.com/sharepoint/v3/contenttype/forms"/>
  </ds:schemaRefs>
</ds:datastoreItem>
</file>

<file path=customXml/itemProps4.xml><?xml version="1.0" encoding="utf-8"?>
<ds:datastoreItem xmlns:ds="http://schemas.openxmlformats.org/officeDocument/2006/customXml" ds:itemID="{E9C8FF88-6AE4-435E-ABAC-65947694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Factsheet Portrait.dotx</Template>
  <TotalTime>5</TotalTime>
  <Pages>27</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Fresh Component Health Provider Discard Report</vt:lpstr>
    </vt:vector>
  </TitlesOfParts>
  <Company>The National Blood Authority, Australia</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BloodNet - Fresh Component Health Provider Discard Report FATE007</dc:title>
  <dc:creator>National Blood Authority</dc:creator>
  <cp:lastModifiedBy>Peter O'Halloran</cp:lastModifiedBy>
  <cp:revision>2</cp:revision>
  <cp:lastPrinted>2013-08-16T05:06:00Z</cp:lastPrinted>
  <dcterms:created xsi:type="dcterms:W3CDTF">2013-10-02T07:42:00Z</dcterms:created>
  <dcterms:modified xsi:type="dcterms:W3CDTF">2013-10-02T07:42:00Z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ID">
    <vt:lpwstr>FATE007</vt:lpwstr>
  </property>
  <property fmtid="{D5CDD505-2E9C-101B-9397-08002B2CF9AE}" pid="3" name="Report Title">
    <vt:lpwstr>Fresh Component Health Provider Discard Report</vt:lpwstr>
  </property>
  <property fmtid="{D5CDD505-2E9C-101B-9397-08002B2CF9AE}" pid="4" name="ContentTypeId">
    <vt:lpwstr>0x010100C2D96E851100084283DC2628E672D029</vt:lpwstr>
  </property>
</Properties>
</file>