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6CAC" w14:textId="77777777" w:rsidR="00116B21" w:rsidRDefault="00116B21" w:rsidP="00F6138C">
      <w:pPr>
        <w:pStyle w:val="Heading3"/>
        <w:rPr>
          <w:rFonts w:asciiTheme="minorHAnsi" w:hAnsiTheme="minorHAnsi"/>
          <w:b/>
          <w:color w:val="auto"/>
          <w:sz w:val="22"/>
          <w:szCs w:val="22"/>
        </w:rPr>
      </w:pPr>
      <w:bookmarkStart w:id="0" w:name="_GoBack"/>
      <w:bookmarkEnd w:id="0"/>
    </w:p>
    <w:p w14:paraId="382AB614" w14:textId="782707CE" w:rsidR="00F6138C" w:rsidRDefault="00F6138C" w:rsidP="00F6138C">
      <w:pPr>
        <w:pStyle w:val="Heading3"/>
      </w:pPr>
      <w:r w:rsidRPr="00183EC7">
        <w:t xml:space="preserve">Specialist </w:t>
      </w:r>
      <w:r>
        <w:t xml:space="preserve">Working Group for </w:t>
      </w:r>
      <w:r w:rsidR="0042387B">
        <w:t>Haematology</w:t>
      </w:r>
    </w:p>
    <w:p w14:paraId="5997F5E8" w14:textId="77777777" w:rsidR="00F6138C" w:rsidRDefault="00F6138C" w:rsidP="00F6138C">
      <w:pPr>
        <w:pStyle w:val="Heading4"/>
        <w:rPr>
          <w:i/>
        </w:rPr>
      </w:pPr>
      <w:r>
        <w:t>Pr</w:t>
      </w:r>
      <w:r w:rsidRPr="00183EC7">
        <w:t xml:space="preserve">oposed changes to the </w:t>
      </w:r>
      <w:r w:rsidRPr="00843E7C">
        <w:rPr>
          <w:i/>
        </w:rPr>
        <w:t>Criteria for the clinical use of intravenous immunoglobulin in Australia</w:t>
      </w:r>
      <w:r>
        <w:rPr>
          <w:i/>
        </w:rPr>
        <w:t>, Second Edition</w:t>
      </w:r>
    </w:p>
    <w:p w14:paraId="0D4DD921" w14:textId="77777777" w:rsidR="00116B21" w:rsidRDefault="00116B21" w:rsidP="00F6138C"/>
    <w:tbl>
      <w:tblPr>
        <w:tblStyle w:val="TableGrid"/>
        <w:tblW w:w="5000" w:type="pct"/>
        <w:tblInd w:w="-1" w:type="dxa"/>
        <w:tblLook w:val="04A0" w:firstRow="1" w:lastRow="0" w:firstColumn="1" w:lastColumn="0" w:noHBand="0" w:noVBand="1"/>
      </w:tblPr>
      <w:tblGrid>
        <w:gridCol w:w="22"/>
        <w:gridCol w:w="1295"/>
        <w:gridCol w:w="3695"/>
        <w:gridCol w:w="10"/>
        <w:gridCol w:w="512"/>
        <w:gridCol w:w="1071"/>
        <w:gridCol w:w="3994"/>
        <w:gridCol w:w="5016"/>
      </w:tblGrid>
      <w:tr w:rsidR="00F6138C" w:rsidRPr="00B23E0C" w14:paraId="3BB10FF8" w14:textId="77777777" w:rsidTr="0042387B">
        <w:trPr>
          <w:trHeight w:val="699"/>
          <w:tblHeader/>
        </w:trPr>
        <w:tc>
          <w:tcPr>
            <w:tcW w:w="422" w:type="pct"/>
            <w:gridSpan w:val="2"/>
            <w:shd w:val="clear" w:color="auto" w:fill="DBE5F1" w:themeFill="accent1" w:themeFillTint="33"/>
          </w:tcPr>
          <w:p w14:paraId="665B9D3E" w14:textId="420B38C7" w:rsidR="00F6138C" w:rsidRPr="00B23E0C" w:rsidRDefault="00F6138C" w:rsidP="00D764F3">
            <w:pPr>
              <w:rPr>
                <w:rFonts w:asciiTheme="minorHAnsi" w:hAnsiTheme="minorHAnsi"/>
                <w:b/>
              </w:rPr>
            </w:pPr>
            <w:r w:rsidRPr="00B23E0C">
              <w:rPr>
                <w:rFonts w:asciiTheme="minorHAnsi" w:hAnsiTheme="minorHAnsi"/>
                <w:b/>
              </w:rPr>
              <w:t>ITEM</w:t>
            </w:r>
          </w:p>
        </w:tc>
        <w:tc>
          <w:tcPr>
            <w:tcW w:w="1183" w:type="pct"/>
            <w:shd w:val="clear" w:color="auto" w:fill="DBE5F1" w:themeFill="accent1" w:themeFillTint="33"/>
          </w:tcPr>
          <w:p w14:paraId="63AC445D" w14:textId="7824396C" w:rsidR="00F6138C" w:rsidRPr="00B23E0C" w:rsidRDefault="00F6138C" w:rsidP="00A23319">
            <w:pPr>
              <w:rPr>
                <w:rFonts w:asciiTheme="minorHAnsi" w:hAnsiTheme="minorHAnsi"/>
                <w:b/>
              </w:rPr>
            </w:pPr>
            <w:r w:rsidRPr="00B23E0C">
              <w:rPr>
                <w:rFonts w:asciiTheme="minorHAnsi" w:hAnsiTheme="minorHAnsi"/>
                <w:b/>
              </w:rPr>
              <w:t>CRITERIA FOR THE CLINICAL USE OF INTRAVENOUS IMMUNOGLOBULIN IN AUSTRALIA, EDITION 2</w:t>
            </w:r>
          </w:p>
        </w:tc>
        <w:tc>
          <w:tcPr>
            <w:tcW w:w="1789" w:type="pct"/>
            <w:gridSpan w:val="4"/>
            <w:shd w:val="clear" w:color="auto" w:fill="DBE5F1" w:themeFill="accent1" w:themeFillTint="33"/>
          </w:tcPr>
          <w:p w14:paraId="62C792C1" w14:textId="52FAC747" w:rsidR="00F6138C" w:rsidRPr="00B23E0C" w:rsidRDefault="00F6138C" w:rsidP="00B23E0C">
            <w:pPr>
              <w:rPr>
                <w:rFonts w:asciiTheme="minorHAnsi" w:hAnsiTheme="minorHAnsi"/>
                <w:b/>
              </w:rPr>
            </w:pPr>
            <w:r w:rsidRPr="00B23E0C">
              <w:rPr>
                <w:rFonts w:asciiTheme="minorHAnsi" w:hAnsiTheme="minorHAnsi"/>
                <w:b/>
              </w:rPr>
              <w:t xml:space="preserve">PROPOSED REVISIONS TO THE CRITERIA </w:t>
            </w:r>
          </w:p>
        </w:tc>
        <w:tc>
          <w:tcPr>
            <w:tcW w:w="1606" w:type="pct"/>
            <w:shd w:val="clear" w:color="auto" w:fill="DBE5F1" w:themeFill="accent1" w:themeFillTint="33"/>
          </w:tcPr>
          <w:p w14:paraId="1D55D054"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SWG RATIONALE FOR PROPOSED CHANGE</w:t>
            </w:r>
          </w:p>
          <w:p w14:paraId="0025F4AC"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(A) Administrative)</w:t>
            </w:r>
          </w:p>
          <w:p w14:paraId="4B2808E8"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 xml:space="preserve">(B) Progressive </w:t>
            </w:r>
          </w:p>
          <w:p w14:paraId="59EA7C61" w14:textId="77777777" w:rsidR="00F6138C" w:rsidRPr="00B23E0C" w:rsidRDefault="00F6138C" w:rsidP="004971CE">
            <w:pPr>
              <w:rPr>
                <w:rFonts w:asciiTheme="minorHAnsi" w:eastAsia="Times New Roman" w:hAnsiTheme="minorHAnsi" w:cs="Times New Roman"/>
                <w:b/>
                <w:bCs/>
                <w:lang w:eastAsia="en-AU"/>
              </w:rPr>
            </w:pPr>
            <w:r w:rsidRPr="00B23E0C">
              <w:rPr>
                <w:rFonts w:asciiTheme="minorHAnsi" w:eastAsia="Times New Roman" w:hAnsiTheme="minorHAnsi" w:cs="Times New Roman"/>
                <w:b/>
                <w:bCs/>
                <w:lang w:eastAsia="en-AU"/>
              </w:rPr>
              <w:t>(C) Programmed</w:t>
            </w:r>
          </w:p>
        </w:tc>
      </w:tr>
      <w:tr w:rsidR="0042387B" w:rsidRPr="00B23E0C" w14:paraId="5025B783" w14:textId="77777777" w:rsidTr="0042387B">
        <w:trPr>
          <w:trHeight w:val="699"/>
        </w:trPr>
        <w:tc>
          <w:tcPr>
            <w:tcW w:w="422" w:type="pct"/>
            <w:gridSpan w:val="2"/>
            <w:shd w:val="clear" w:color="auto" w:fill="D9D9D9" w:themeFill="background1" w:themeFillShade="D9"/>
          </w:tcPr>
          <w:p w14:paraId="12BE70B8" w14:textId="77777777" w:rsidR="0042387B" w:rsidRPr="00B23E0C" w:rsidRDefault="0042387B" w:rsidP="00D764F3">
            <w:pPr>
              <w:rPr>
                <w:rFonts w:asciiTheme="minorHAnsi" w:hAnsiTheme="minorHAnsi"/>
                <w:b/>
              </w:rPr>
            </w:pPr>
            <w:r w:rsidRPr="00B23E0C">
              <w:rPr>
                <w:rFonts w:asciiTheme="minorHAnsi" w:hAnsiTheme="minorHAnsi"/>
                <w:b/>
              </w:rPr>
              <w:t>Condition Name</w:t>
            </w:r>
          </w:p>
        </w:tc>
        <w:tc>
          <w:tcPr>
            <w:tcW w:w="1183" w:type="pct"/>
          </w:tcPr>
          <w:p w14:paraId="2EF6EB3B" w14:textId="027C6073" w:rsidR="0042387B" w:rsidRPr="0024313D" w:rsidRDefault="0042387B" w:rsidP="00A23319">
            <w:pPr>
              <w:rPr>
                <w:rFonts w:asciiTheme="minorHAnsi" w:eastAsia="Times New Roman" w:hAnsiTheme="minorHAnsi" w:cs="Times New Roman"/>
                <w:b/>
                <w:bCs/>
                <w:lang w:eastAsia="en-AU"/>
              </w:rPr>
            </w:pPr>
            <w:r w:rsidRPr="0024313D">
              <w:rPr>
                <w:rFonts w:asciiTheme="minorHAnsi" w:eastAsia="Times New Roman" w:hAnsiTheme="minorHAnsi" w:cs="Times New Roman"/>
                <w:b/>
                <w:color w:val="000000"/>
                <w:lang w:eastAsia="en-AU"/>
              </w:rPr>
              <w:t>Haemophagocytic syndrome</w:t>
            </w:r>
          </w:p>
        </w:tc>
        <w:tc>
          <w:tcPr>
            <w:tcW w:w="1789" w:type="pct"/>
            <w:gridSpan w:val="4"/>
          </w:tcPr>
          <w:p w14:paraId="2A0F4571" w14:textId="788CCC41" w:rsidR="0042387B" w:rsidRPr="0024313D" w:rsidRDefault="0042387B" w:rsidP="008A5596">
            <w:pPr>
              <w:rPr>
                <w:rFonts w:asciiTheme="minorHAnsi" w:hAnsiTheme="minorHAnsi"/>
                <w:b/>
              </w:rPr>
            </w:pPr>
            <w:r w:rsidRPr="0024313D">
              <w:rPr>
                <w:rFonts w:asciiTheme="minorHAnsi" w:eastAsia="Times New Roman" w:hAnsiTheme="minorHAnsi" w:cs="Times New Roman"/>
                <w:b/>
                <w:color w:val="000000"/>
                <w:lang w:eastAsia="en-AU"/>
              </w:rPr>
              <w:t>Haemophagocytic syndrome</w:t>
            </w:r>
          </w:p>
        </w:tc>
        <w:tc>
          <w:tcPr>
            <w:tcW w:w="1606" w:type="pct"/>
          </w:tcPr>
          <w:p w14:paraId="26E7BD32" w14:textId="0AB65C9F" w:rsidR="0042387B" w:rsidRPr="00B23E0C" w:rsidRDefault="0042387B" w:rsidP="004971CE">
            <w:pPr>
              <w:rPr>
                <w:rFonts w:asciiTheme="minorHAnsi" w:eastAsia="Times New Roman" w:hAnsiTheme="minorHAnsi" w:cs="Times New Roman"/>
                <w:bCs/>
                <w:lang w:eastAsia="en-AU"/>
              </w:rPr>
            </w:pPr>
          </w:p>
        </w:tc>
      </w:tr>
      <w:tr w:rsidR="0042387B" w:rsidRPr="00B23E0C" w14:paraId="309EF225" w14:textId="77777777" w:rsidTr="0042387B">
        <w:trPr>
          <w:trHeight w:val="406"/>
        </w:trPr>
        <w:tc>
          <w:tcPr>
            <w:tcW w:w="422" w:type="pct"/>
            <w:gridSpan w:val="2"/>
            <w:shd w:val="clear" w:color="auto" w:fill="D9D9D9" w:themeFill="background1" w:themeFillShade="D9"/>
          </w:tcPr>
          <w:p w14:paraId="25D79555" w14:textId="77777777" w:rsidR="0042387B" w:rsidRPr="00B23E0C" w:rsidRDefault="0042387B" w:rsidP="00D764F3">
            <w:pPr>
              <w:rPr>
                <w:rFonts w:asciiTheme="minorHAnsi" w:hAnsiTheme="minorHAnsi"/>
                <w:b/>
              </w:rPr>
            </w:pPr>
            <w:r w:rsidRPr="00B23E0C">
              <w:rPr>
                <w:rFonts w:asciiTheme="minorHAnsi" w:hAnsiTheme="minorHAnsi"/>
                <w:b/>
              </w:rPr>
              <w:t>Specialty</w:t>
            </w:r>
          </w:p>
        </w:tc>
        <w:tc>
          <w:tcPr>
            <w:tcW w:w="1183" w:type="pct"/>
          </w:tcPr>
          <w:p w14:paraId="5A889FF7" w14:textId="77777777" w:rsidR="0042387B" w:rsidRPr="00B23E0C" w:rsidRDefault="0042387B" w:rsidP="00D764F3">
            <w:pPr>
              <w:rPr>
                <w:rFonts w:asciiTheme="minorHAnsi" w:hAnsiTheme="minorHAnsi"/>
              </w:rPr>
            </w:pPr>
            <w:r w:rsidRPr="00B23E0C">
              <w:rPr>
                <w:rFonts w:asciiTheme="minorHAnsi" w:hAnsiTheme="minorHAnsi"/>
              </w:rPr>
              <w:t>Haematology</w:t>
            </w:r>
          </w:p>
        </w:tc>
        <w:tc>
          <w:tcPr>
            <w:tcW w:w="1789" w:type="pct"/>
            <w:gridSpan w:val="4"/>
          </w:tcPr>
          <w:p w14:paraId="466DA883" w14:textId="462F438C" w:rsidR="0042387B" w:rsidRPr="00B23E0C" w:rsidRDefault="0042387B" w:rsidP="00D764F3">
            <w:pPr>
              <w:rPr>
                <w:rFonts w:asciiTheme="minorHAnsi" w:hAnsiTheme="minorHAnsi"/>
              </w:rPr>
            </w:pPr>
            <w:r w:rsidRPr="00B23E0C">
              <w:rPr>
                <w:rFonts w:asciiTheme="minorHAnsi" w:hAnsiTheme="minorHAnsi"/>
              </w:rPr>
              <w:t>Haematology</w:t>
            </w:r>
          </w:p>
        </w:tc>
        <w:tc>
          <w:tcPr>
            <w:tcW w:w="1606" w:type="pct"/>
          </w:tcPr>
          <w:p w14:paraId="77E68500" w14:textId="3295D91F" w:rsidR="0042387B" w:rsidRPr="00B23E0C" w:rsidRDefault="0042387B" w:rsidP="00BF336E">
            <w:pPr>
              <w:rPr>
                <w:rFonts w:asciiTheme="minorHAnsi" w:hAnsiTheme="minorHAnsi"/>
              </w:rPr>
            </w:pPr>
            <w:r w:rsidRPr="0068229E">
              <w:rPr>
                <w:rFonts w:asciiTheme="minorHAnsi" w:eastAsia="Times New Roman" w:hAnsiTheme="minorHAnsi" w:cs="Times New Roman"/>
                <w:color w:val="000000"/>
                <w:lang w:eastAsia="en-AU"/>
              </w:rPr>
              <w:t>Haemophagocytic syndrome</w:t>
            </w:r>
          </w:p>
        </w:tc>
      </w:tr>
      <w:tr w:rsidR="0042387B" w:rsidRPr="00B23E0C" w14:paraId="1835364E" w14:textId="77777777" w:rsidTr="0042387B">
        <w:trPr>
          <w:trHeight w:val="417"/>
        </w:trPr>
        <w:tc>
          <w:tcPr>
            <w:tcW w:w="422" w:type="pct"/>
            <w:gridSpan w:val="2"/>
            <w:shd w:val="clear" w:color="auto" w:fill="D9D9D9" w:themeFill="background1" w:themeFillShade="D9"/>
          </w:tcPr>
          <w:p w14:paraId="6CEBAD25" w14:textId="77777777" w:rsidR="0042387B" w:rsidRPr="00B23E0C" w:rsidRDefault="0042387B" w:rsidP="00D764F3">
            <w:pPr>
              <w:rPr>
                <w:rFonts w:asciiTheme="minorHAnsi" w:hAnsiTheme="minorHAnsi"/>
                <w:b/>
              </w:rPr>
            </w:pPr>
            <w:r w:rsidRPr="00B23E0C">
              <w:rPr>
                <w:rFonts w:asciiTheme="minorHAnsi" w:hAnsiTheme="minorHAnsi"/>
                <w:b/>
              </w:rPr>
              <w:t>Chapter</w:t>
            </w:r>
          </w:p>
        </w:tc>
        <w:tc>
          <w:tcPr>
            <w:tcW w:w="1183" w:type="pct"/>
          </w:tcPr>
          <w:p w14:paraId="285E4447" w14:textId="79CC9491" w:rsidR="0042387B" w:rsidRPr="00B23E0C" w:rsidRDefault="0042387B" w:rsidP="00D764F3">
            <w:pPr>
              <w:rPr>
                <w:rFonts w:asciiTheme="minorHAnsi" w:hAnsiTheme="minorHAnsi"/>
              </w:rPr>
            </w:pPr>
            <w:r>
              <w:rPr>
                <w:rFonts w:asciiTheme="minorHAnsi" w:hAnsiTheme="minorHAnsi"/>
              </w:rPr>
              <w:t>6</w:t>
            </w:r>
          </w:p>
        </w:tc>
        <w:tc>
          <w:tcPr>
            <w:tcW w:w="1789" w:type="pct"/>
            <w:gridSpan w:val="4"/>
            <w:shd w:val="clear" w:color="auto" w:fill="auto"/>
          </w:tcPr>
          <w:p w14:paraId="436E178F" w14:textId="386C68A0" w:rsidR="0042387B" w:rsidRPr="00B23E0C" w:rsidRDefault="0042387B" w:rsidP="00D764F3">
            <w:pPr>
              <w:rPr>
                <w:rFonts w:asciiTheme="minorHAnsi" w:hAnsiTheme="minorHAnsi"/>
              </w:rPr>
            </w:pPr>
            <w:r>
              <w:rPr>
                <w:rFonts w:asciiTheme="minorHAnsi" w:hAnsiTheme="minorHAnsi"/>
              </w:rPr>
              <w:t>6</w:t>
            </w:r>
          </w:p>
        </w:tc>
        <w:tc>
          <w:tcPr>
            <w:tcW w:w="1606" w:type="pct"/>
          </w:tcPr>
          <w:p w14:paraId="718A9287" w14:textId="77777777" w:rsidR="0042387B" w:rsidRPr="00B23E0C" w:rsidRDefault="0042387B" w:rsidP="00D764F3">
            <w:pPr>
              <w:rPr>
                <w:rFonts w:asciiTheme="minorHAnsi" w:hAnsiTheme="minorHAnsi"/>
              </w:rPr>
            </w:pPr>
          </w:p>
        </w:tc>
      </w:tr>
      <w:tr w:rsidR="0042387B" w:rsidRPr="00B23E0C" w14:paraId="3151DDCF" w14:textId="77777777" w:rsidTr="0042387B">
        <w:tc>
          <w:tcPr>
            <w:tcW w:w="422" w:type="pct"/>
            <w:gridSpan w:val="2"/>
            <w:shd w:val="clear" w:color="auto" w:fill="D9D9D9" w:themeFill="background1" w:themeFillShade="D9"/>
          </w:tcPr>
          <w:p w14:paraId="4C710568" w14:textId="77777777" w:rsidR="0042387B" w:rsidRPr="00B23E0C" w:rsidRDefault="0042387B" w:rsidP="00D764F3">
            <w:pPr>
              <w:rPr>
                <w:rFonts w:asciiTheme="minorHAnsi" w:hAnsiTheme="minorHAnsi"/>
                <w:b/>
              </w:rPr>
            </w:pPr>
            <w:r w:rsidRPr="00B23E0C">
              <w:rPr>
                <w:rFonts w:asciiTheme="minorHAnsi" w:hAnsiTheme="minorHAnsi"/>
                <w:b/>
              </w:rPr>
              <w:t>Specific Conditions</w:t>
            </w:r>
          </w:p>
          <w:p w14:paraId="604963F0" w14:textId="77777777" w:rsidR="0042387B" w:rsidRPr="00B23E0C" w:rsidRDefault="0042387B" w:rsidP="00F6138C">
            <w:pPr>
              <w:rPr>
                <w:rFonts w:asciiTheme="minorHAnsi" w:hAnsiTheme="minorHAnsi"/>
                <w:b/>
              </w:rPr>
            </w:pPr>
          </w:p>
        </w:tc>
        <w:tc>
          <w:tcPr>
            <w:tcW w:w="1183" w:type="pct"/>
          </w:tcPr>
          <w:p w14:paraId="7A8BCE64" w14:textId="77777777" w:rsidR="0042387B" w:rsidRPr="00B23E0C" w:rsidRDefault="0042387B" w:rsidP="00A23319">
            <w:pPr>
              <w:rPr>
                <w:rFonts w:asciiTheme="minorHAnsi" w:eastAsia="Times New Roman" w:hAnsiTheme="minorHAnsi" w:cs="Times New Roman"/>
                <w:bCs/>
                <w:lang w:eastAsia="en-AU"/>
              </w:rPr>
            </w:pPr>
          </w:p>
        </w:tc>
        <w:tc>
          <w:tcPr>
            <w:tcW w:w="1789" w:type="pct"/>
            <w:gridSpan w:val="4"/>
            <w:shd w:val="clear" w:color="auto" w:fill="auto"/>
          </w:tcPr>
          <w:p w14:paraId="1A26E56E" w14:textId="77777777" w:rsidR="0042387B" w:rsidRPr="00B23E0C" w:rsidRDefault="0042387B" w:rsidP="001E6F4E">
            <w:pPr>
              <w:rPr>
                <w:rFonts w:asciiTheme="minorHAnsi" w:hAnsiTheme="minorHAnsi"/>
              </w:rPr>
            </w:pPr>
          </w:p>
        </w:tc>
        <w:tc>
          <w:tcPr>
            <w:tcW w:w="1606" w:type="pct"/>
          </w:tcPr>
          <w:p w14:paraId="613C6C59" w14:textId="290459D1" w:rsidR="0042387B" w:rsidRPr="00B23E0C" w:rsidRDefault="0042387B" w:rsidP="00780598">
            <w:pPr>
              <w:rPr>
                <w:rFonts w:asciiTheme="minorHAnsi" w:eastAsia="Times New Roman" w:hAnsiTheme="minorHAnsi" w:cs="Times New Roman"/>
                <w:bCs/>
                <w:lang w:eastAsia="en-AU"/>
              </w:rPr>
            </w:pPr>
          </w:p>
        </w:tc>
      </w:tr>
      <w:tr w:rsidR="0042387B" w:rsidRPr="00B23E0C" w14:paraId="1AF74D90" w14:textId="77777777" w:rsidTr="0042387B">
        <w:trPr>
          <w:trHeight w:val="424"/>
        </w:trPr>
        <w:tc>
          <w:tcPr>
            <w:tcW w:w="422" w:type="pct"/>
            <w:gridSpan w:val="2"/>
            <w:shd w:val="clear" w:color="auto" w:fill="D9D9D9" w:themeFill="background1" w:themeFillShade="D9"/>
          </w:tcPr>
          <w:p w14:paraId="2CB70AD1" w14:textId="77777777" w:rsidR="0042387B" w:rsidRPr="00B23E0C" w:rsidRDefault="0042387B" w:rsidP="00D764F3">
            <w:pPr>
              <w:rPr>
                <w:rFonts w:asciiTheme="minorHAnsi" w:hAnsiTheme="minorHAnsi"/>
                <w:b/>
              </w:rPr>
            </w:pPr>
            <w:r w:rsidRPr="00B23E0C">
              <w:rPr>
                <w:rFonts w:asciiTheme="minorHAnsi" w:hAnsiTheme="minorHAnsi"/>
                <w:b/>
              </w:rPr>
              <w:t>Level of Evidence</w:t>
            </w:r>
          </w:p>
          <w:p w14:paraId="0526CBBF" w14:textId="1AA15E13" w:rsidR="0042387B" w:rsidRPr="00B23E0C" w:rsidRDefault="0042387B" w:rsidP="00D764F3">
            <w:pPr>
              <w:rPr>
                <w:rFonts w:asciiTheme="minorHAnsi" w:hAnsiTheme="minorHAnsi"/>
              </w:rPr>
            </w:pPr>
          </w:p>
        </w:tc>
        <w:tc>
          <w:tcPr>
            <w:tcW w:w="1183" w:type="pct"/>
          </w:tcPr>
          <w:p w14:paraId="3C630D5E" w14:textId="729272EF" w:rsidR="0042387B" w:rsidRPr="00B23E0C" w:rsidRDefault="0042387B" w:rsidP="00D764F3">
            <w:pPr>
              <w:rPr>
                <w:rFonts w:asciiTheme="minorHAnsi" w:eastAsia="Times New Roman" w:hAnsiTheme="minorHAnsi" w:cs="Times New Roman"/>
                <w:lang w:eastAsia="en-AU"/>
              </w:rPr>
            </w:pPr>
            <w:r w:rsidRPr="0068229E">
              <w:rPr>
                <w:rFonts w:asciiTheme="minorHAnsi" w:eastAsia="Times New Roman" w:hAnsiTheme="minorHAnsi" w:cs="Times New Roman"/>
                <w:color w:val="000000"/>
                <w:lang w:eastAsia="en-AU"/>
              </w:rPr>
              <w:t>Small case studies only; insufficient data (</w:t>
            </w:r>
            <w:hyperlink r:id="rId12" w:anchor="el-4a" w:history="1">
              <w:r w:rsidRPr="0068229E">
                <w:rPr>
                  <w:rFonts w:asciiTheme="minorHAnsi" w:eastAsia="Times New Roman" w:hAnsiTheme="minorHAnsi" w:cs="Times New Roman"/>
                  <w:color w:val="000000"/>
                  <w:lang w:eastAsia="en-AU"/>
                </w:rPr>
                <w:t>Category 4a</w:t>
              </w:r>
            </w:hyperlink>
            <w:r w:rsidRPr="0068229E">
              <w:rPr>
                <w:rFonts w:asciiTheme="minorHAnsi" w:eastAsia="Times New Roman" w:hAnsiTheme="minorHAnsi" w:cs="Times New Roman"/>
                <w:color w:val="000000"/>
                <w:lang w:eastAsia="en-AU"/>
              </w:rPr>
              <w:t>).</w:t>
            </w:r>
          </w:p>
        </w:tc>
        <w:tc>
          <w:tcPr>
            <w:tcW w:w="1789" w:type="pct"/>
            <w:gridSpan w:val="4"/>
            <w:shd w:val="clear" w:color="auto" w:fill="auto"/>
          </w:tcPr>
          <w:p w14:paraId="3F04A4B8" w14:textId="77503E3F" w:rsidR="0042387B" w:rsidRPr="00B23E0C" w:rsidRDefault="0042387B" w:rsidP="00D764F3">
            <w:pPr>
              <w:rPr>
                <w:rFonts w:asciiTheme="minorHAnsi" w:hAnsiTheme="minorHAnsi" w:cstheme="minorHAnsi"/>
              </w:rPr>
            </w:pPr>
            <w:r w:rsidRPr="0068229E">
              <w:rPr>
                <w:rFonts w:asciiTheme="minorHAnsi" w:eastAsia="Times New Roman" w:hAnsiTheme="minorHAnsi" w:cs="Times New Roman"/>
                <w:color w:val="000000"/>
                <w:lang w:eastAsia="en-AU"/>
              </w:rPr>
              <w:t>Small case studies only; insufficient data (</w:t>
            </w:r>
            <w:hyperlink r:id="rId13" w:anchor="el-4a" w:history="1">
              <w:r w:rsidRPr="0068229E">
                <w:rPr>
                  <w:rFonts w:asciiTheme="minorHAnsi" w:eastAsia="Times New Roman" w:hAnsiTheme="minorHAnsi" w:cs="Times New Roman"/>
                  <w:color w:val="000000"/>
                  <w:lang w:eastAsia="en-AU"/>
                </w:rPr>
                <w:t>Category 4a</w:t>
              </w:r>
            </w:hyperlink>
            <w:r w:rsidRPr="0068229E">
              <w:rPr>
                <w:rFonts w:asciiTheme="minorHAnsi" w:eastAsia="Times New Roman" w:hAnsiTheme="minorHAnsi" w:cs="Times New Roman"/>
                <w:color w:val="000000"/>
                <w:lang w:eastAsia="en-AU"/>
              </w:rPr>
              <w:t>).</w:t>
            </w:r>
          </w:p>
        </w:tc>
        <w:tc>
          <w:tcPr>
            <w:tcW w:w="1606" w:type="pct"/>
          </w:tcPr>
          <w:p w14:paraId="302FEAF4" w14:textId="77777777" w:rsidR="0042387B" w:rsidRPr="00B23E0C" w:rsidRDefault="0042387B" w:rsidP="00D764F3">
            <w:pPr>
              <w:rPr>
                <w:rFonts w:asciiTheme="minorHAnsi" w:eastAsia="Times New Roman" w:hAnsiTheme="minorHAnsi" w:cs="Times New Roman"/>
                <w:lang w:eastAsia="en-AU"/>
              </w:rPr>
            </w:pPr>
          </w:p>
        </w:tc>
      </w:tr>
      <w:tr w:rsidR="0042387B" w:rsidRPr="00B23E0C" w14:paraId="2B3203E1" w14:textId="77777777" w:rsidTr="0042387B">
        <w:trPr>
          <w:trHeight w:val="984"/>
        </w:trPr>
        <w:tc>
          <w:tcPr>
            <w:tcW w:w="422" w:type="pct"/>
            <w:gridSpan w:val="2"/>
            <w:shd w:val="clear" w:color="auto" w:fill="D9D9D9" w:themeFill="background1" w:themeFillShade="D9"/>
          </w:tcPr>
          <w:p w14:paraId="1C675027" w14:textId="77777777" w:rsidR="0042387B" w:rsidRPr="00B23E0C" w:rsidRDefault="0042387B" w:rsidP="00D764F3">
            <w:pPr>
              <w:rPr>
                <w:rFonts w:asciiTheme="minorHAnsi" w:hAnsiTheme="minorHAnsi"/>
                <w:b/>
              </w:rPr>
            </w:pPr>
            <w:r w:rsidRPr="00B23E0C">
              <w:rPr>
                <w:rFonts w:asciiTheme="minorHAnsi" w:hAnsiTheme="minorHAnsi"/>
                <w:b/>
              </w:rPr>
              <w:t>Justification for Evidence Category</w:t>
            </w:r>
          </w:p>
          <w:p w14:paraId="427A9C8B" w14:textId="3BA2AD82" w:rsidR="0042387B" w:rsidRPr="00B23E0C" w:rsidRDefault="0042387B" w:rsidP="00D764F3">
            <w:pPr>
              <w:rPr>
                <w:rFonts w:asciiTheme="minorHAnsi" w:hAnsiTheme="minorHAnsi"/>
                <w:b/>
              </w:rPr>
            </w:pPr>
          </w:p>
        </w:tc>
        <w:tc>
          <w:tcPr>
            <w:tcW w:w="1183" w:type="pct"/>
          </w:tcPr>
          <w:p w14:paraId="7562C586" w14:textId="09FE4647" w:rsidR="0042387B" w:rsidRPr="00B23E0C" w:rsidRDefault="0042387B" w:rsidP="00040E71">
            <w:pPr>
              <w:spacing w:after="225" w:line="360" w:lineRule="atLeast"/>
              <w:rPr>
                <w:rFonts w:asciiTheme="minorHAnsi" w:eastAsia="Times New Roman" w:hAnsiTheme="minorHAnsi" w:cs="Times New Roman"/>
                <w:lang w:eastAsia="en-AU"/>
              </w:rPr>
            </w:pPr>
            <w:r w:rsidRPr="0068229E">
              <w:rPr>
                <w:rFonts w:asciiTheme="minorHAnsi" w:eastAsia="Times New Roman" w:hAnsiTheme="minorHAnsi" w:cs="Times New Roman"/>
                <w:color w:val="000000"/>
                <w:lang w:eastAsia="en-AU"/>
              </w:rPr>
              <w:t>No RCTs have been done, although many, mostly small, case series show evidence of benefit.</w:t>
            </w:r>
          </w:p>
        </w:tc>
        <w:tc>
          <w:tcPr>
            <w:tcW w:w="1789" w:type="pct"/>
            <w:gridSpan w:val="4"/>
            <w:shd w:val="clear" w:color="auto" w:fill="auto"/>
          </w:tcPr>
          <w:p w14:paraId="07B8F9A9" w14:textId="7ADAC6C4" w:rsidR="0042387B" w:rsidRPr="00B23E0C" w:rsidRDefault="0042387B" w:rsidP="005E0B4A">
            <w:pPr>
              <w:rPr>
                <w:rFonts w:asciiTheme="minorHAnsi" w:hAnsiTheme="minorHAnsi"/>
                <w:strike/>
              </w:rPr>
            </w:pPr>
            <w:r w:rsidRPr="0068229E">
              <w:rPr>
                <w:rFonts w:asciiTheme="minorHAnsi" w:eastAsia="Times New Roman" w:hAnsiTheme="minorHAnsi" w:cs="Times New Roman"/>
                <w:color w:val="000000"/>
                <w:lang w:eastAsia="en-AU"/>
              </w:rPr>
              <w:t xml:space="preserve">No </w:t>
            </w:r>
            <w:r w:rsidRPr="003F7327">
              <w:rPr>
                <w:rFonts w:asciiTheme="minorHAnsi" w:eastAsia="Times New Roman" w:hAnsiTheme="minorHAnsi" w:cs="Times New Roman"/>
                <w:color w:val="000000"/>
                <w:lang w:eastAsia="en-AU"/>
              </w:rPr>
              <w:t>randomised controlled trial</w:t>
            </w:r>
            <w:r>
              <w:rPr>
                <w:rFonts w:asciiTheme="minorHAnsi" w:eastAsia="Times New Roman" w:hAnsiTheme="minorHAnsi" w:cs="Times New Roman"/>
                <w:color w:val="000000"/>
                <w:lang w:eastAsia="en-AU"/>
              </w:rPr>
              <w:t>s</w:t>
            </w:r>
            <w:r w:rsidRPr="003F7327">
              <w:rPr>
                <w:rFonts w:asciiTheme="minorHAnsi" w:eastAsia="Times New Roman" w:hAnsiTheme="minorHAnsi" w:cs="Times New Roman"/>
                <w:color w:val="000000"/>
                <w:lang w:eastAsia="en-AU"/>
              </w:rPr>
              <w:t xml:space="preserve"> </w:t>
            </w:r>
            <w:r>
              <w:rPr>
                <w:rFonts w:asciiTheme="minorHAnsi" w:eastAsia="Times New Roman" w:hAnsiTheme="minorHAnsi" w:cs="Times New Roman"/>
                <w:color w:val="000000"/>
                <w:lang w:eastAsia="en-AU"/>
              </w:rPr>
              <w:t>(</w:t>
            </w:r>
            <w:r w:rsidRPr="0068229E">
              <w:rPr>
                <w:rFonts w:asciiTheme="minorHAnsi" w:eastAsia="Times New Roman" w:hAnsiTheme="minorHAnsi" w:cs="Times New Roman"/>
                <w:color w:val="000000"/>
                <w:lang w:eastAsia="en-AU"/>
              </w:rPr>
              <w:t>RCTs</w:t>
            </w:r>
            <w:r>
              <w:rPr>
                <w:rFonts w:asciiTheme="minorHAnsi" w:eastAsia="Times New Roman" w:hAnsiTheme="minorHAnsi" w:cs="Times New Roman"/>
                <w:color w:val="000000"/>
                <w:lang w:eastAsia="en-AU"/>
              </w:rPr>
              <w:t>)</w:t>
            </w:r>
            <w:r w:rsidRPr="0068229E">
              <w:rPr>
                <w:rFonts w:asciiTheme="minorHAnsi" w:eastAsia="Times New Roman" w:hAnsiTheme="minorHAnsi" w:cs="Times New Roman"/>
                <w:color w:val="000000"/>
                <w:lang w:eastAsia="en-AU"/>
              </w:rPr>
              <w:t xml:space="preserve"> have been done, although many, mostly small, case series show evidence of benefit.</w:t>
            </w:r>
          </w:p>
        </w:tc>
        <w:tc>
          <w:tcPr>
            <w:tcW w:w="1606" w:type="pct"/>
          </w:tcPr>
          <w:p w14:paraId="585D1449" w14:textId="43B975A3" w:rsidR="0042387B" w:rsidRPr="00B23E0C" w:rsidRDefault="0042387B" w:rsidP="001E6F4E">
            <w:pPr>
              <w:spacing w:after="240" w:line="20" w:lineRule="atLeast"/>
              <w:rPr>
                <w:rFonts w:asciiTheme="minorHAnsi" w:eastAsia="Times New Roman" w:hAnsiTheme="minorHAnsi" w:cs="Times New Roman"/>
                <w:lang w:eastAsia="en-AU"/>
              </w:rPr>
            </w:pPr>
          </w:p>
        </w:tc>
      </w:tr>
      <w:tr w:rsidR="0042387B" w:rsidRPr="00B23E0C" w14:paraId="76597E2F" w14:textId="77777777" w:rsidTr="0042387B">
        <w:trPr>
          <w:trHeight w:val="984"/>
        </w:trPr>
        <w:tc>
          <w:tcPr>
            <w:tcW w:w="422" w:type="pct"/>
            <w:gridSpan w:val="2"/>
            <w:shd w:val="clear" w:color="auto" w:fill="D9D9D9" w:themeFill="background1" w:themeFillShade="D9"/>
          </w:tcPr>
          <w:p w14:paraId="38CB9A6B" w14:textId="77777777" w:rsidR="0042387B" w:rsidRPr="00B23E0C" w:rsidRDefault="0042387B" w:rsidP="00D764F3">
            <w:pPr>
              <w:rPr>
                <w:rFonts w:asciiTheme="minorHAnsi" w:hAnsiTheme="minorHAnsi"/>
                <w:b/>
              </w:rPr>
            </w:pPr>
            <w:r w:rsidRPr="00B23E0C">
              <w:rPr>
                <w:rFonts w:asciiTheme="minorHAnsi" w:hAnsiTheme="minorHAnsi"/>
                <w:b/>
              </w:rPr>
              <w:t>Description and Diagnostic Criteria</w:t>
            </w:r>
          </w:p>
          <w:p w14:paraId="75EFBFE1" w14:textId="6AE72D50" w:rsidR="0042387B" w:rsidRPr="00B23E0C" w:rsidRDefault="0042387B" w:rsidP="00D764F3">
            <w:pPr>
              <w:rPr>
                <w:rFonts w:asciiTheme="minorHAnsi" w:hAnsiTheme="minorHAnsi"/>
                <w:b/>
              </w:rPr>
            </w:pPr>
          </w:p>
        </w:tc>
        <w:tc>
          <w:tcPr>
            <w:tcW w:w="1183" w:type="pct"/>
          </w:tcPr>
          <w:p w14:paraId="09A0FFBF" w14:textId="0E10E038" w:rsidR="0042387B" w:rsidRPr="00B23E0C" w:rsidRDefault="0042387B" w:rsidP="009715A9">
            <w:pPr>
              <w:spacing w:after="240" w:line="20" w:lineRule="atLeast"/>
              <w:ind w:firstLine="720"/>
              <w:rPr>
                <w:rFonts w:asciiTheme="minorHAnsi" w:eastAsia="Times New Roman" w:hAnsiTheme="minorHAnsi" w:cs="Times New Roman"/>
                <w:lang w:eastAsia="en-AU"/>
              </w:rPr>
            </w:pPr>
            <w:r w:rsidRPr="0068229E">
              <w:rPr>
                <w:rFonts w:asciiTheme="minorHAnsi" w:eastAsia="Times New Roman" w:hAnsiTheme="minorHAnsi" w:cs="Times New Roman"/>
                <w:color w:val="000000"/>
                <w:lang w:eastAsia="en-AU"/>
              </w:rPr>
              <w:t xml:space="preserve">Haemophagocytic syndrome is characterised by fever, splenomegaly, jaundice, rash and the pathologic finding of haemophagocytosis (phagocytosis by macrophages of erythrocytes, leukocytes, platelets and their precursors) in bone marrow and other tissues with peripheral blood cytopenias. Haemophagocytic syndrome has been associated with a wide range of infectious, autoimmune, </w:t>
            </w:r>
            <w:r w:rsidRPr="0068229E">
              <w:rPr>
                <w:rFonts w:asciiTheme="minorHAnsi" w:eastAsia="Times New Roman" w:hAnsiTheme="minorHAnsi" w:cs="Times New Roman"/>
                <w:color w:val="000000"/>
                <w:lang w:eastAsia="en-AU"/>
              </w:rPr>
              <w:lastRenderedPageBreak/>
              <w:t>malignant and other disorders (modified from Fisman 2000). Mortality is high.</w:t>
            </w:r>
          </w:p>
        </w:tc>
        <w:tc>
          <w:tcPr>
            <w:tcW w:w="1789" w:type="pct"/>
            <w:gridSpan w:val="4"/>
            <w:shd w:val="clear" w:color="auto" w:fill="auto"/>
          </w:tcPr>
          <w:p w14:paraId="472D7AC9" w14:textId="38766EFB" w:rsidR="0042387B" w:rsidRPr="00B23E0C" w:rsidRDefault="0042387B" w:rsidP="00477865">
            <w:pPr>
              <w:rPr>
                <w:rFonts w:asciiTheme="minorHAnsi" w:hAnsiTheme="minorHAnsi"/>
              </w:rPr>
            </w:pPr>
            <w:r w:rsidRPr="0068229E">
              <w:rPr>
                <w:rFonts w:asciiTheme="minorHAnsi" w:eastAsia="Times New Roman" w:hAnsiTheme="minorHAnsi" w:cs="Times New Roman"/>
                <w:color w:val="000000"/>
                <w:lang w:eastAsia="en-AU"/>
              </w:rPr>
              <w:lastRenderedPageBreak/>
              <w:t>Haemophagocytic syndrome is characterised by fever, splenomegaly, jaundice, rash and the pathologic finding of haemophagocytosis (phagocytosis by macrophages of erythrocytes, leukocytes, platelets and their precursors) in bone marrow and other tissues with peripheral blood cytopenias. Haemophagocytic syndrome has been associated with a wide range of infectious, autoimmune, malignant and other disorders (modified from Fisman 2000). Mortality is high.</w:t>
            </w:r>
          </w:p>
        </w:tc>
        <w:tc>
          <w:tcPr>
            <w:tcW w:w="1606" w:type="pct"/>
          </w:tcPr>
          <w:p w14:paraId="36CC50B4" w14:textId="3CE2D4CB" w:rsidR="0042387B" w:rsidRPr="00B23E0C" w:rsidRDefault="0042387B" w:rsidP="00477865">
            <w:pPr>
              <w:keepNext/>
              <w:keepLines/>
              <w:spacing w:before="200" w:after="240" w:line="20" w:lineRule="atLeast"/>
              <w:outlineLvl w:val="5"/>
              <w:rPr>
                <w:rFonts w:asciiTheme="minorHAnsi" w:eastAsia="Times New Roman" w:hAnsiTheme="minorHAnsi" w:cs="Times New Roman"/>
                <w:lang w:eastAsia="en-AU"/>
              </w:rPr>
            </w:pPr>
          </w:p>
        </w:tc>
      </w:tr>
      <w:tr w:rsidR="0042387B" w:rsidRPr="00B23E0C" w14:paraId="24093639" w14:textId="77777777" w:rsidTr="0042387B">
        <w:tc>
          <w:tcPr>
            <w:tcW w:w="422" w:type="pct"/>
            <w:gridSpan w:val="2"/>
            <w:shd w:val="clear" w:color="auto" w:fill="D9D9D9" w:themeFill="background1" w:themeFillShade="D9"/>
          </w:tcPr>
          <w:p w14:paraId="624ACCC7" w14:textId="77777777" w:rsidR="0042387B" w:rsidRPr="00B23E0C" w:rsidRDefault="0042387B" w:rsidP="00D764F3">
            <w:pPr>
              <w:rPr>
                <w:rFonts w:asciiTheme="minorHAnsi" w:hAnsiTheme="minorHAnsi"/>
                <w:b/>
              </w:rPr>
            </w:pPr>
            <w:r w:rsidRPr="00B23E0C">
              <w:rPr>
                <w:rFonts w:asciiTheme="minorHAnsi" w:hAnsiTheme="minorHAnsi"/>
                <w:b/>
              </w:rPr>
              <w:lastRenderedPageBreak/>
              <w:t>Diagnosis is required</w:t>
            </w:r>
          </w:p>
        </w:tc>
        <w:tc>
          <w:tcPr>
            <w:tcW w:w="1183" w:type="pct"/>
          </w:tcPr>
          <w:p w14:paraId="6A9EEA4C" w14:textId="77777777" w:rsidR="0042387B" w:rsidRPr="00B23E0C" w:rsidRDefault="0042387B" w:rsidP="00D764F3">
            <w:pPr>
              <w:rPr>
                <w:rFonts w:asciiTheme="minorHAnsi" w:hAnsiTheme="minorHAnsi"/>
              </w:rPr>
            </w:pPr>
          </w:p>
        </w:tc>
        <w:tc>
          <w:tcPr>
            <w:tcW w:w="167" w:type="pct"/>
            <w:gridSpan w:val="2"/>
          </w:tcPr>
          <w:p w14:paraId="6D8F570C" w14:textId="1302AAC7" w:rsidR="0042387B" w:rsidRPr="00B23E0C" w:rsidRDefault="0042387B" w:rsidP="00D764F3">
            <w:pPr>
              <w:rPr>
                <w:rFonts w:asciiTheme="minorHAnsi" w:hAnsiTheme="minorHAnsi"/>
              </w:rPr>
            </w:pPr>
            <w:r>
              <w:rPr>
                <w:rFonts w:asciiTheme="minorHAnsi" w:hAnsiTheme="minorHAnsi"/>
              </w:rPr>
              <w:t>No</w:t>
            </w:r>
          </w:p>
        </w:tc>
        <w:tc>
          <w:tcPr>
            <w:tcW w:w="343" w:type="pct"/>
            <w:shd w:val="clear" w:color="auto" w:fill="BFBFBF" w:themeFill="background1" w:themeFillShade="BF"/>
          </w:tcPr>
          <w:p w14:paraId="2F0B67B7" w14:textId="77777777" w:rsidR="0042387B" w:rsidRPr="00B23E0C" w:rsidRDefault="0042387B">
            <w:pPr>
              <w:spacing w:line="276" w:lineRule="auto"/>
              <w:rPr>
                <w:rFonts w:asciiTheme="minorHAnsi" w:hAnsiTheme="minorHAnsi"/>
              </w:rPr>
            </w:pPr>
            <w:r w:rsidRPr="00B23E0C">
              <w:rPr>
                <w:rFonts w:asciiTheme="minorHAnsi" w:hAnsiTheme="minorHAnsi"/>
              </w:rPr>
              <w:t>Which Speciality</w:t>
            </w:r>
          </w:p>
        </w:tc>
        <w:tc>
          <w:tcPr>
            <w:tcW w:w="1279" w:type="pct"/>
          </w:tcPr>
          <w:p w14:paraId="223DE097" w14:textId="6F1D5657" w:rsidR="0042387B" w:rsidRPr="00B23E0C" w:rsidRDefault="0042387B" w:rsidP="00477865">
            <w:pPr>
              <w:spacing w:line="276" w:lineRule="auto"/>
              <w:rPr>
                <w:rFonts w:asciiTheme="minorHAnsi" w:hAnsiTheme="minorHAnsi"/>
              </w:rPr>
            </w:pPr>
          </w:p>
        </w:tc>
        <w:tc>
          <w:tcPr>
            <w:tcW w:w="1606" w:type="pct"/>
          </w:tcPr>
          <w:p w14:paraId="3ADDCBB6" w14:textId="538648DB" w:rsidR="0042387B" w:rsidRPr="00B23E0C" w:rsidRDefault="0042387B" w:rsidP="004F320E">
            <w:pPr>
              <w:spacing w:line="276" w:lineRule="auto"/>
              <w:rPr>
                <w:rFonts w:asciiTheme="minorHAnsi" w:hAnsiTheme="minorHAnsi"/>
              </w:rPr>
            </w:pPr>
          </w:p>
        </w:tc>
      </w:tr>
      <w:tr w:rsidR="0042387B" w:rsidRPr="00B23E0C" w14:paraId="3855825D" w14:textId="77777777" w:rsidTr="0042387B">
        <w:tc>
          <w:tcPr>
            <w:tcW w:w="422" w:type="pct"/>
            <w:gridSpan w:val="2"/>
            <w:shd w:val="clear" w:color="auto" w:fill="D9D9D9" w:themeFill="background1" w:themeFillShade="D9"/>
          </w:tcPr>
          <w:p w14:paraId="1071DE82" w14:textId="77777777" w:rsidR="0042387B" w:rsidRPr="00B23E0C" w:rsidRDefault="0042387B" w:rsidP="00F873C6">
            <w:pPr>
              <w:rPr>
                <w:rFonts w:asciiTheme="minorHAnsi" w:hAnsiTheme="minorHAnsi"/>
                <w:b/>
              </w:rPr>
            </w:pPr>
            <w:r w:rsidRPr="00B23E0C">
              <w:rPr>
                <w:rFonts w:asciiTheme="minorHAnsi" w:hAnsiTheme="minorHAnsi"/>
                <w:b/>
              </w:rPr>
              <w:t>Diagnosis must be verified</w:t>
            </w:r>
          </w:p>
        </w:tc>
        <w:tc>
          <w:tcPr>
            <w:tcW w:w="1183" w:type="pct"/>
          </w:tcPr>
          <w:p w14:paraId="7B71E4BC" w14:textId="77777777" w:rsidR="0042387B" w:rsidRPr="00B23E0C" w:rsidRDefault="0042387B" w:rsidP="00F873C6">
            <w:pPr>
              <w:rPr>
                <w:rFonts w:asciiTheme="minorHAnsi" w:hAnsiTheme="minorHAnsi"/>
              </w:rPr>
            </w:pPr>
          </w:p>
        </w:tc>
        <w:tc>
          <w:tcPr>
            <w:tcW w:w="167" w:type="pct"/>
            <w:gridSpan w:val="2"/>
          </w:tcPr>
          <w:p w14:paraId="5B60F363" w14:textId="77777777" w:rsidR="0042387B" w:rsidRPr="00B23E0C" w:rsidRDefault="0042387B" w:rsidP="00F873C6">
            <w:pPr>
              <w:rPr>
                <w:rFonts w:asciiTheme="minorHAnsi" w:hAnsiTheme="minorHAnsi"/>
              </w:rPr>
            </w:pPr>
            <w:r w:rsidRPr="00B23E0C">
              <w:rPr>
                <w:rFonts w:asciiTheme="minorHAnsi" w:hAnsiTheme="minorHAnsi"/>
              </w:rPr>
              <w:t>No</w:t>
            </w:r>
          </w:p>
        </w:tc>
        <w:tc>
          <w:tcPr>
            <w:tcW w:w="343" w:type="pct"/>
            <w:shd w:val="clear" w:color="auto" w:fill="BFBFBF" w:themeFill="background1" w:themeFillShade="BF"/>
          </w:tcPr>
          <w:p w14:paraId="3165F6CE" w14:textId="77777777" w:rsidR="0042387B" w:rsidRPr="00B23E0C" w:rsidRDefault="0042387B" w:rsidP="00F873C6">
            <w:pPr>
              <w:spacing w:line="276" w:lineRule="auto"/>
              <w:rPr>
                <w:rFonts w:asciiTheme="minorHAnsi" w:hAnsiTheme="minorHAnsi"/>
                <w:b/>
              </w:rPr>
            </w:pPr>
            <w:r w:rsidRPr="00B23E0C">
              <w:rPr>
                <w:rFonts w:asciiTheme="minorHAnsi" w:hAnsiTheme="minorHAnsi"/>
              </w:rPr>
              <w:t>Which Specialty</w:t>
            </w:r>
          </w:p>
        </w:tc>
        <w:tc>
          <w:tcPr>
            <w:tcW w:w="1279" w:type="pct"/>
          </w:tcPr>
          <w:p w14:paraId="2FBA0E82" w14:textId="77777777" w:rsidR="0042387B" w:rsidRPr="00B23E0C" w:rsidRDefault="0042387B" w:rsidP="00F873C6">
            <w:pPr>
              <w:spacing w:line="276" w:lineRule="auto"/>
              <w:rPr>
                <w:rFonts w:asciiTheme="minorHAnsi" w:hAnsiTheme="minorHAnsi"/>
              </w:rPr>
            </w:pPr>
          </w:p>
        </w:tc>
        <w:tc>
          <w:tcPr>
            <w:tcW w:w="1606" w:type="pct"/>
          </w:tcPr>
          <w:p w14:paraId="0FCB6A9F" w14:textId="77777777" w:rsidR="0042387B" w:rsidRPr="00B23E0C" w:rsidRDefault="0042387B" w:rsidP="006562E8">
            <w:pPr>
              <w:spacing w:line="276" w:lineRule="auto"/>
              <w:ind w:left="175"/>
              <w:rPr>
                <w:rFonts w:asciiTheme="minorHAnsi" w:hAnsiTheme="minorHAnsi"/>
              </w:rPr>
            </w:pPr>
          </w:p>
        </w:tc>
      </w:tr>
      <w:tr w:rsidR="0042387B" w:rsidRPr="00B23E0C" w14:paraId="21EC4BD8" w14:textId="77777777" w:rsidTr="0042387B">
        <w:tc>
          <w:tcPr>
            <w:tcW w:w="422" w:type="pct"/>
            <w:gridSpan w:val="2"/>
            <w:shd w:val="clear" w:color="auto" w:fill="D9D9D9" w:themeFill="background1" w:themeFillShade="D9"/>
          </w:tcPr>
          <w:p w14:paraId="4376FE4E" w14:textId="77777777" w:rsidR="0042387B" w:rsidRPr="00B23E0C" w:rsidRDefault="0042387B" w:rsidP="00D764F3">
            <w:pPr>
              <w:rPr>
                <w:rFonts w:asciiTheme="minorHAnsi" w:hAnsiTheme="minorHAnsi"/>
                <w:b/>
              </w:rPr>
            </w:pPr>
            <w:r w:rsidRPr="00B23E0C">
              <w:rPr>
                <w:rFonts w:asciiTheme="minorHAnsi" w:hAnsiTheme="minorHAnsi"/>
                <w:b/>
              </w:rPr>
              <w:t>Exclusion Criteria</w:t>
            </w:r>
          </w:p>
          <w:p w14:paraId="4706CBFB" w14:textId="41C25524" w:rsidR="0042387B" w:rsidRPr="00B23E0C" w:rsidRDefault="0042387B" w:rsidP="00D764F3">
            <w:pPr>
              <w:rPr>
                <w:rFonts w:asciiTheme="minorHAnsi" w:hAnsiTheme="minorHAnsi"/>
              </w:rPr>
            </w:pPr>
          </w:p>
        </w:tc>
        <w:tc>
          <w:tcPr>
            <w:tcW w:w="1183" w:type="pct"/>
          </w:tcPr>
          <w:p w14:paraId="230981CC" w14:textId="77777777" w:rsidR="0042387B" w:rsidRPr="00B23E0C" w:rsidRDefault="0042387B" w:rsidP="00D764F3">
            <w:pPr>
              <w:rPr>
                <w:rFonts w:asciiTheme="minorHAnsi" w:hAnsiTheme="minorHAnsi"/>
              </w:rPr>
            </w:pPr>
          </w:p>
        </w:tc>
        <w:tc>
          <w:tcPr>
            <w:tcW w:w="1789" w:type="pct"/>
            <w:gridSpan w:val="4"/>
          </w:tcPr>
          <w:p w14:paraId="523AC99F" w14:textId="77777777" w:rsidR="00167FA6" w:rsidRDefault="00167FA6" w:rsidP="00942B34">
            <w:pPr>
              <w:rPr>
                <w:rFonts w:eastAsiaTheme="minorHAnsi"/>
                <w:lang w:val="en-US"/>
              </w:rPr>
            </w:pPr>
          </w:p>
          <w:p w14:paraId="739598DF" w14:textId="1A65E625" w:rsidR="0042387B" w:rsidRPr="00070BB9" w:rsidRDefault="00167FA6" w:rsidP="00942B34">
            <w:pPr>
              <w:rPr>
                <w:rFonts w:asciiTheme="minorHAnsi" w:hAnsiTheme="minorHAnsi"/>
              </w:rPr>
            </w:pPr>
            <w:r>
              <w:rPr>
                <w:rFonts w:eastAsiaTheme="minorHAnsi"/>
                <w:lang w:val="en-US"/>
              </w:rPr>
              <w:t xml:space="preserve">Children with </w:t>
            </w:r>
            <w:proofErr w:type="spellStart"/>
            <w:r>
              <w:rPr>
                <w:rFonts w:eastAsiaTheme="minorHAnsi"/>
                <w:lang w:val="en-US"/>
              </w:rPr>
              <w:t>hemophagocytic</w:t>
            </w:r>
            <w:proofErr w:type="spellEnd"/>
            <w:r>
              <w:rPr>
                <w:rFonts w:eastAsiaTheme="minorHAnsi"/>
                <w:lang w:val="en-US"/>
              </w:rPr>
              <w:t xml:space="preserve"> </w:t>
            </w:r>
            <w:proofErr w:type="spellStart"/>
            <w:r>
              <w:rPr>
                <w:rFonts w:eastAsiaTheme="minorHAnsi"/>
                <w:lang w:val="en-US"/>
              </w:rPr>
              <w:t>lymphohistiocytosis</w:t>
            </w:r>
            <w:proofErr w:type="spellEnd"/>
            <w:r>
              <w:rPr>
                <w:rFonts w:eastAsiaTheme="minorHAnsi"/>
                <w:lang w:val="en-US"/>
              </w:rPr>
              <w:t xml:space="preserve"> (HLH) and </w:t>
            </w:r>
            <w:proofErr w:type="spellStart"/>
            <w:r>
              <w:rPr>
                <w:rFonts w:eastAsiaTheme="minorHAnsi"/>
                <w:lang w:val="en-US"/>
              </w:rPr>
              <w:t>hypogammaglobulinaemia</w:t>
            </w:r>
            <w:proofErr w:type="spellEnd"/>
            <w:r>
              <w:rPr>
                <w:rFonts w:eastAsiaTheme="minorHAnsi"/>
                <w:lang w:val="en-US"/>
              </w:rPr>
              <w:t xml:space="preserve"> - see S</w:t>
            </w:r>
            <w:r w:rsidR="00070BB9" w:rsidRPr="00070BB9">
              <w:rPr>
                <w:rFonts w:eastAsiaTheme="minorHAnsi"/>
                <w:lang w:val="en-US"/>
              </w:rPr>
              <w:t>econdary hypogammaglobulinaemia unrelated to haematological malignancy</w:t>
            </w:r>
            <w:r>
              <w:rPr>
                <w:rFonts w:eastAsiaTheme="minorHAnsi"/>
                <w:lang w:val="en-US"/>
              </w:rPr>
              <w:t xml:space="preserve">. </w:t>
            </w:r>
          </w:p>
        </w:tc>
        <w:tc>
          <w:tcPr>
            <w:tcW w:w="1606" w:type="pct"/>
          </w:tcPr>
          <w:p w14:paraId="0A71F157" w14:textId="77777777" w:rsidR="0042387B" w:rsidRDefault="00942B34" w:rsidP="00A25340">
            <w:pPr>
              <w:rPr>
                <w:rFonts w:eastAsiaTheme="minorHAnsi"/>
                <w:lang w:val="en-US"/>
              </w:rPr>
            </w:pPr>
            <w:r w:rsidRPr="00942B34">
              <w:rPr>
                <w:rFonts w:asciiTheme="minorHAnsi" w:hAnsiTheme="minorHAnsi"/>
              </w:rPr>
              <w:t>This indication is only for the treatment of severe refractory HPS</w:t>
            </w:r>
            <w:r>
              <w:rPr>
                <w:rFonts w:asciiTheme="minorHAnsi" w:hAnsiTheme="minorHAnsi"/>
              </w:rPr>
              <w:t xml:space="preserve">. </w:t>
            </w:r>
            <w:r w:rsidR="00A25340">
              <w:rPr>
                <w:rFonts w:asciiTheme="minorHAnsi" w:hAnsiTheme="minorHAnsi"/>
              </w:rPr>
              <w:t xml:space="preserve"> </w:t>
            </w:r>
            <w:r w:rsidR="00A25340">
              <w:rPr>
                <w:rFonts w:eastAsiaTheme="minorHAnsi"/>
                <w:lang w:val="en-US"/>
              </w:rPr>
              <w:t xml:space="preserve">Ig therapy </w:t>
            </w:r>
            <w:r w:rsidRPr="00070BB9">
              <w:rPr>
                <w:rFonts w:eastAsiaTheme="minorHAnsi"/>
                <w:lang w:val="en-US"/>
              </w:rPr>
              <w:t xml:space="preserve">is </w:t>
            </w:r>
            <w:r w:rsidR="00A25340">
              <w:rPr>
                <w:rFonts w:eastAsiaTheme="minorHAnsi"/>
                <w:lang w:val="en-US"/>
              </w:rPr>
              <w:t>recommended practice</w:t>
            </w:r>
            <w:r w:rsidRPr="00070BB9">
              <w:rPr>
                <w:rFonts w:eastAsiaTheme="minorHAnsi"/>
                <w:lang w:val="en-US"/>
              </w:rPr>
              <w:t xml:space="preserve"> in current international protocols</w:t>
            </w:r>
            <w:r w:rsidR="00A25340">
              <w:rPr>
                <w:rFonts w:eastAsiaTheme="minorHAnsi"/>
                <w:lang w:val="en-US"/>
              </w:rPr>
              <w:t xml:space="preserve"> when children undergoing treatment with alternative medications become hypogammaglobulinaemic. This should be treated under secondary hypogammaglobulinaemia if children are eligible under that condition. </w:t>
            </w:r>
          </w:p>
          <w:p w14:paraId="4D168CE3" w14:textId="0EAFD458" w:rsidR="00A25340" w:rsidRPr="00942B34" w:rsidRDefault="00A25340" w:rsidP="00A25340">
            <w:pPr>
              <w:rPr>
                <w:rFonts w:asciiTheme="minorHAnsi" w:hAnsiTheme="minorHAnsi"/>
              </w:rPr>
            </w:pPr>
          </w:p>
        </w:tc>
      </w:tr>
      <w:tr w:rsidR="0042387B" w:rsidRPr="00B23E0C" w14:paraId="550EABBF" w14:textId="77777777" w:rsidTr="0042387B">
        <w:tc>
          <w:tcPr>
            <w:tcW w:w="422" w:type="pct"/>
            <w:gridSpan w:val="2"/>
            <w:shd w:val="clear" w:color="auto" w:fill="D9D9D9" w:themeFill="background1" w:themeFillShade="D9"/>
          </w:tcPr>
          <w:p w14:paraId="0126682D" w14:textId="77777777" w:rsidR="0042387B" w:rsidRPr="00B23E0C" w:rsidRDefault="0042387B" w:rsidP="00D764F3">
            <w:pPr>
              <w:rPr>
                <w:rFonts w:asciiTheme="minorHAnsi" w:hAnsiTheme="minorHAnsi"/>
                <w:b/>
              </w:rPr>
            </w:pPr>
            <w:r w:rsidRPr="00B23E0C">
              <w:rPr>
                <w:rFonts w:asciiTheme="minorHAnsi" w:hAnsiTheme="minorHAnsi"/>
                <w:b/>
              </w:rPr>
              <w:t>Indication for use</w:t>
            </w:r>
          </w:p>
        </w:tc>
        <w:tc>
          <w:tcPr>
            <w:tcW w:w="1183" w:type="pct"/>
          </w:tcPr>
          <w:p w14:paraId="59090AA6" w14:textId="6095630B" w:rsidR="0042387B" w:rsidRPr="00B23E0C" w:rsidRDefault="0042387B" w:rsidP="000D2614">
            <w:pPr>
              <w:rPr>
                <w:rFonts w:asciiTheme="minorHAnsi" w:hAnsiTheme="minorHAnsi"/>
              </w:rPr>
            </w:pPr>
            <w:r w:rsidRPr="0068229E">
              <w:rPr>
                <w:rFonts w:asciiTheme="minorHAnsi" w:hAnsiTheme="minorHAnsi"/>
                <w:color w:val="000000"/>
              </w:rPr>
              <w:t>Management of severe haemophagocytic syndrome not responding to other treatments.</w:t>
            </w:r>
          </w:p>
        </w:tc>
        <w:tc>
          <w:tcPr>
            <w:tcW w:w="1789" w:type="pct"/>
            <w:gridSpan w:val="4"/>
          </w:tcPr>
          <w:p w14:paraId="1433AFD4" w14:textId="77777777" w:rsidR="0042387B" w:rsidRPr="00C56FB7" w:rsidRDefault="0042387B" w:rsidP="00070BB9">
            <w:pPr>
              <w:rPr>
                <w:rFonts w:asciiTheme="minorHAnsi" w:hAnsiTheme="minorHAnsi"/>
                <w:b/>
                <w:strike/>
                <w:color w:val="000000"/>
              </w:rPr>
            </w:pPr>
          </w:p>
          <w:p w14:paraId="1DED1A08" w14:textId="43C293ED" w:rsidR="0042387B" w:rsidRPr="00C56FB7" w:rsidRDefault="0042387B" w:rsidP="00070BB9">
            <w:pPr>
              <w:rPr>
                <w:rFonts w:asciiTheme="minorHAnsi" w:eastAsia="Times New Roman" w:hAnsiTheme="minorHAnsi" w:cs="Times New Roman"/>
                <w:b/>
                <w:color w:val="000000"/>
                <w:lang w:eastAsia="en-AU"/>
              </w:rPr>
            </w:pPr>
            <w:r w:rsidRPr="00C56FB7">
              <w:rPr>
                <w:rFonts w:asciiTheme="minorHAnsi" w:hAnsiTheme="minorHAnsi"/>
                <w:b/>
                <w:color w:val="000000"/>
              </w:rPr>
              <w:t xml:space="preserve">Management of severe </w:t>
            </w:r>
            <w:proofErr w:type="spellStart"/>
            <w:r w:rsidRPr="00C56FB7">
              <w:rPr>
                <w:rFonts w:asciiTheme="minorHAnsi" w:hAnsiTheme="minorHAnsi"/>
                <w:b/>
                <w:color w:val="000000"/>
              </w:rPr>
              <w:t>haemophagocytic</w:t>
            </w:r>
            <w:proofErr w:type="spellEnd"/>
            <w:r w:rsidRPr="00C56FB7">
              <w:rPr>
                <w:rFonts w:asciiTheme="minorHAnsi" w:hAnsiTheme="minorHAnsi"/>
                <w:b/>
                <w:color w:val="000000"/>
              </w:rPr>
              <w:t xml:space="preserve"> syndrome not responding to other treatments</w:t>
            </w:r>
            <w:r w:rsidRPr="00C56FB7">
              <w:rPr>
                <w:rFonts w:asciiTheme="minorHAnsi" w:hAnsiTheme="minorHAnsi"/>
                <w:b/>
                <w:strike/>
                <w:color w:val="000000"/>
              </w:rPr>
              <w:t>.</w:t>
            </w:r>
          </w:p>
          <w:p w14:paraId="53CC2EC8" w14:textId="5FF6275F" w:rsidR="0042387B" w:rsidRPr="00B23E0C" w:rsidRDefault="0042387B" w:rsidP="002C17DE">
            <w:pPr>
              <w:rPr>
                <w:rFonts w:asciiTheme="minorHAnsi" w:hAnsiTheme="minorHAnsi"/>
                <w:b/>
              </w:rPr>
            </w:pPr>
          </w:p>
        </w:tc>
        <w:tc>
          <w:tcPr>
            <w:tcW w:w="1606" w:type="pct"/>
          </w:tcPr>
          <w:p w14:paraId="5B2B9CE0" w14:textId="6D69BB88" w:rsidR="0042387B" w:rsidRPr="00B23E0C" w:rsidRDefault="00942B34" w:rsidP="00E05871">
            <w:pPr>
              <w:rPr>
                <w:rFonts w:asciiTheme="minorHAnsi" w:hAnsiTheme="minorHAnsi"/>
              </w:rPr>
            </w:pPr>
            <w:r>
              <w:rPr>
                <w:rFonts w:asciiTheme="minorHAnsi" w:hAnsiTheme="minorHAnsi"/>
              </w:rPr>
              <w:t>Unchanged</w:t>
            </w:r>
          </w:p>
        </w:tc>
      </w:tr>
      <w:tr w:rsidR="0042387B" w:rsidRPr="00B23E0C" w14:paraId="0D37274A" w14:textId="77777777" w:rsidTr="0042387B">
        <w:tc>
          <w:tcPr>
            <w:tcW w:w="422" w:type="pct"/>
            <w:gridSpan w:val="2"/>
            <w:shd w:val="clear" w:color="auto" w:fill="D9D9D9" w:themeFill="background1" w:themeFillShade="D9"/>
          </w:tcPr>
          <w:p w14:paraId="2EDFAD22" w14:textId="77777777" w:rsidR="0042387B" w:rsidRPr="00B23E0C" w:rsidRDefault="0042387B" w:rsidP="00D764F3">
            <w:pPr>
              <w:rPr>
                <w:rFonts w:asciiTheme="minorHAnsi" w:hAnsiTheme="minorHAnsi"/>
                <w:b/>
              </w:rPr>
            </w:pPr>
            <w:r w:rsidRPr="00B23E0C">
              <w:rPr>
                <w:rFonts w:asciiTheme="minorHAnsi" w:hAnsiTheme="minorHAnsi"/>
              </w:rPr>
              <w:br w:type="page"/>
            </w:r>
            <w:r w:rsidRPr="00B23E0C">
              <w:rPr>
                <w:rFonts w:asciiTheme="minorHAnsi" w:hAnsiTheme="minorHAnsi"/>
                <w:b/>
              </w:rPr>
              <w:t>Qualifying Criteria</w:t>
            </w:r>
          </w:p>
        </w:tc>
        <w:tc>
          <w:tcPr>
            <w:tcW w:w="1183" w:type="pct"/>
          </w:tcPr>
          <w:p w14:paraId="21E2FB67"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color w:val="000000"/>
                <w:lang w:eastAsia="en-AU"/>
              </w:rPr>
              <w:t>Bone marrow diagnosis or other biopsy evidence of haemophagocytosis in the characteristic clinical setting.</w:t>
            </w:r>
          </w:p>
          <w:p w14:paraId="1BD3654D"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b/>
                <w:bCs/>
                <w:color w:val="000000"/>
                <w:lang w:eastAsia="en-AU"/>
              </w:rPr>
              <w:t>Note:</w:t>
            </w:r>
            <w:r w:rsidRPr="0068229E">
              <w:rPr>
                <w:rFonts w:asciiTheme="minorHAnsi" w:eastAsia="Times New Roman" w:hAnsiTheme="minorHAnsi" w:cs="Times New Roman"/>
                <w:color w:val="000000"/>
                <w:lang w:eastAsia="en-AU"/>
              </w:rPr>
              <w:t xml:space="preserve"> Since other therapies (cytotoxic agents) have major potential side effects, optimal therapy is not yet defined.</w:t>
            </w:r>
          </w:p>
          <w:p w14:paraId="5D177100" w14:textId="77777777" w:rsidR="0042387B" w:rsidRPr="00B23E0C" w:rsidRDefault="0042387B" w:rsidP="00CA345D">
            <w:pPr>
              <w:rPr>
                <w:rFonts w:asciiTheme="minorHAnsi" w:hAnsiTheme="minorHAnsi"/>
                <w:b/>
              </w:rPr>
            </w:pPr>
          </w:p>
        </w:tc>
        <w:tc>
          <w:tcPr>
            <w:tcW w:w="1789" w:type="pct"/>
            <w:gridSpan w:val="4"/>
          </w:tcPr>
          <w:p w14:paraId="58F74D5A" w14:textId="77777777" w:rsidR="0042387B" w:rsidRPr="00C56FB7" w:rsidRDefault="0042387B" w:rsidP="00070BB9">
            <w:pPr>
              <w:spacing w:after="120"/>
              <w:rPr>
                <w:rFonts w:asciiTheme="minorHAnsi" w:hAnsiTheme="minorHAnsi"/>
                <w:color w:val="000000"/>
              </w:rPr>
            </w:pPr>
          </w:p>
          <w:p w14:paraId="225F5D9F" w14:textId="77777777" w:rsidR="0042387B" w:rsidRDefault="0042387B" w:rsidP="00167FA6">
            <w:pPr>
              <w:pStyle w:val="ListParagraph"/>
              <w:numPr>
                <w:ilvl w:val="0"/>
                <w:numId w:val="45"/>
              </w:numPr>
              <w:spacing w:after="120"/>
              <w:rPr>
                <w:rFonts w:asciiTheme="minorHAnsi" w:hAnsiTheme="minorHAnsi"/>
                <w:color w:val="000000"/>
              </w:rPr>
            </w:pPr>
            <w:r w:rsidRPr="00167FA6">
              <w:rPr>
                <w:rFonts w:asciiTheme="minorHAnsi" w:hAnsiTheme="minorHAnsi"/>
                <w:color w:val="000000"/>
              </w:rPr>
              <w:t xml:space="preserve">Bone marrow diagnosis or other biopsy evidence of </w:t>
            </w:r>
            <w:proofErr w:type="spellStart"/>
            <w:r w:rsidRPr="00167FA6">
              <w:rPr>
                <w:rFonts w:asciiTheme="minorHAnsi" w:hAnsiTheme="minorHAnsi"/>
                <w:color w:val="000000"/>
              </w:rPr>
              <w:t>haemophagocytosis</w:t>
            </w:r>
            <w:proofErr w:type="spellEnd"/>
            <w:r w:rsidRPr="00167FA6">
              <w:rPr>
                <w:rFonts w:asciiTheme="minorHAnsi" w:hAnsiTheme="minorHAnsi"/>
                <w:color w:val="000000"/>
              </w:rPr>
              <w:t>.</w:t>
            </w:r>
          </w:p>
          <w:p w14:paraId="033EB26E" w14:textId="77777777" w:rsidR="00167FA6" w:rsidRPr="00167FA6" w:rsidRDefault="00167FA6" w:rsidP="00167FA6">
            <w:pPr>
              <w:pStyle w:val="ListParagraph"/>
              <w:spacing w:after="120"/>
              <w:ind w:left="360"/>
              <w:rPr>
                <w:rFonts w:asciiTheme="minorHAnsi" w:hAnsiTheme="minorHAnsi"/>
                <w:color w:val="000000"/>
              </w:rPr>
            </w:pPr>
          </w:p>
          <w:p w14:paraId="3F977421" w14:textId="77777777" w:rsidR="0042387B" w:rsidRPr="00C56FB7" w:rsidRDefault="0042387B" w:rsidP="00070BB9">
            <w:pPr>
              <w:rPr>
                <w:rFonts w:asciiTheme="minorHAnsi" w:hAnsiTheme="minorHAnsi"/>
                <w:color w:val="000000"/>
              </w:rPr>
            </w:pPr>
            <w:r w:rsidRPr="00C56FB7">
              <w:rPr>
                <w:rFonts w:asciiTheme="minorHAnsi" w:hAnsiTheme="minorHAnsi"/>
                <w:color w:val="000000"/>
              </w:rPr>
              <w:t>AND</w:t>
            </w:r>
          </w:p>
          <w:p w14:paraId="304EE7E3" w14:textId="1AB1C218" w:rsidR="0042387B" w:rsidRPr="00167FA6" w:rsidRDefault="0042387B" w:rsidP="00167FA6">
            <w:pPr>
              <w:pStyle w:val="ListParagraph"/>
              <w:numPr>
                <w:ilvl w:val="0"/>
                <w:numId w:val="45"/>
              </w:numPr>
              <w:rPr>
                <w:rFonts w:asciiTheme="minorHAnsi" w:hAnsiTheme="minorHAnsi"/>
                <w:color w:val="000000"/>
              </w:rPr>
            </w:pPr>
            <w:r w:rsidRPr="00167FA6">
              <w:rPr>
                <w:rFonts w:asciiTheme="minorHAnsi" w:hAnsiTheme="minorHAnsi"/>
                <w:color w:val="000000"/>
              </w:rPr>
              <w:t xml:space="preserve">Clinical features characteristic of </w:t>
            </w:r>
            <w:proofErr w:type="spellStart"/>
            <w:r w:rsidRPr="00167FA6">
              <w:rPr>
                <w:rFonts w:asciiTheme="minorHAnsi" w:hAnsiTheme="minorHAnsi"/>
                <w:color w:val="000000"/>
              </w:rPr>
              <w:t>haemophagocytic</w:t>
            </w:r>
            <w:proofErr w:type="spellEnd"/>
            <w:r w:rsidRPr="00167FA6">
              <w:rPr>
                <w:rFonts w:asciiTheme="minorHAnsi" w:hAnsiTheme="minorHAnsi"/>
                <w:color w:val="000000"/>
              </w:rPr>
              <w:t xml:space="preserve"> syndrome. </w:t>
            </w:r>
          </w:p>
          <w:p w14:paraId="174FDFA9" w14:textId="77777777" w:rsidR="00167FA6" w:rsidRDefault="00167FA6" w:rsidP="00070BB9">
            <w:pPr>
              <w:rPr>
                <w:rFonts w:asciiTheme="minorHAnsi" w:hAnsiTheme="minorHAnsi"/>
                <w:color w:val="000000"/>
              </w:rPr>
            </w:pPr>
          </w:p>
          <w:p w14:paraId="5E22B765" w14:textId="77777777" w:rsidR="0042387B" w:rsidRDefault="0042387B" w:rsidP="00070BB9">
            <w:pPr>
              <w:rPr>
                <w:rFonts w:asciiTheme="minorHAnsi" w:hAnsiTheme="minorHAnsi"/>
                <w:color w:val="000000"/>
              </w:rPr>
            </w:pPr>
            <w:r w:rsidRPr="00C56FB7">
              <w:rPr>
                <w:rFonts w:asciiTheme="minorHAnsi" w:hAnsiTheme="minorHAnsi"/>
                <w:color w:val="000000"/>
              </w:rPr>
              <w:t>AND</w:t>
            </w:r>
          </w:p>
          <w:p w14:paraId="74E285EA" w14:textId="77777777" w:rsidR="0042387B" w:rsidRPr="00C56FB7" w:rsidRDefault="0042387B" w:rsidP="00070BB9">
            <w:pPr>
              <w:rPr>
                <w:rFonts w:asciiTheme="minorHAnsi" w:hAnsiTheme="minorHAnsi"/>
                <w:color w:val="000000"/>
              </w:rPr>
            </w:pPr>
          </w:p>
          <w:p w14:paraId="31385540" w14:textId="1CF878CB" w:rsidR="0042387B" w:rsidRPr="00167FA6" w:rsidRDefault="0042387B" w:rsidP="00167FA6">
            <w:pPr>
              <w:pStyle w:val="ListParagraph"/>
              <w:numPr>
                <w:ilvl w:val="0"/>
                <w:numId w:val="45"/>
              </w:numPr>
              <w:rPr>
                <w:rFonts w:asciiTheme="minorHAnsi" w:hAnsiTheme="minorHAnsi"/>
                <w:color w:val="000000"/>
              </w:rPr>
            </w:pPr>
            <w:r w:rsidRPr="00167FA6">
              <w:rPr>
                <w:rFonts w:asciiTheme="minorHAnsi" w:hAnsiTheme="minorHAnsi"/>
                <w:color w:val="000000"/>
              </w:rPr>
              <w:t>No</w:t>
            </w:r>
            <w:r w:rsidR="00167FA6">
              <w:rPr>
                <w:rFonts w:asciiTheme="minorHAnsi" w:hAnsiTheme="minorHAnsi"/>
                <w:color w:val="000000"/>
              </w:rPr>
              <w:t>n-</w:t>
            </w:r>
            <w:r w:rsidRPr="00167FA6">
              <w:rPr>
                <w:rFonts w:asciiTheme="minorHAnsi" w:hAnsiTheme="minorHAnsi"/>
                <w:color w:val="000000"/>
              </w:rPr>
              <w:t xml:space="preserve">response </w:t>
            </w:r>
            <w:r w:rsidR="00942B34" w:rsidRPr="00167FA6">
              <w:rPr>
                <w:rFonts w:asciiTheme="minorHAnsi" w:hAnsiTheme="minorHAnsi"/>
                <w:color w:val="000000"/>
              </w:rPr>
              <w:t>or ineligibility for</w:t>
            </w:r>
            <w:r w:rsidRPr="00167FA6">
              <w:rPr>
                <w:rFonts w:asciiTheme="minorHAnsi" w:hAnsiTheme="minorHAnsi"/>
                <w:color w:val="000000"/>
              </w:rPr>
              <w:t xml:space="preserve"> other treatments.</w:t>
            </w:r>
          </w:p>
          <w:p w14:paraId="592B39D0" w14:textId="77777777" w:rsidR="0042387B" w:rsidRPr="00C56FB7" w:rsidRDefault="0042387B" w:rsidP="00070BB9">
            <w:pPr>
              <w:rPr>
                <w:rFonts w:asciiTheme="minorHAnsi" w:hAnsiTheme="minorHAnsi"/>
                <w:color w:val="000000"/>
              </w:rPr>
            </w:pPr>
          </w:p>
          <w:p w14:paraId="5C442D19" w14:textId="77777777" w:rsidR="0042387B" w:rsidRPr="00B23E0C" w:rsidRDefault="0042387B" w:rsidP="00D55166">
            <w:pPr>
              <w:rPr>
                <w:rFonts w:asciiTheme="minorHAnsi" w:hAnsiTheme="minorHAnsi"/>
              </w:rPr>
            </w:pPr>
          </w:p>
        </w:tc>
        <w:tc>
          <w:tcPr>
            <w:tcW w:w="1606" w:type="pct"/>
          </w:tcPr>
          <w:p w14:paraId="6D8900EB" w14:textId="77777777" w:rsidR="0042387B" w:rsidRDefault="0042387B" w:rsidP="00070BB9">
            <w:pPr>
              <w:keepNext/>
              <w:keepLines/>
              <w:outlineLvl w:val="5"/>
              <w:rPr>
                <w:rFonts w:asciiTheme="minorHAnsi" w:hAnsiTheme="minorHAnsi"/>
              </w:rPr>
            </w:pPr>
          </w:p>
          <w:p w14:paraId="3BF52AB0" w14:textId="65B7E6BD" w:rsidR="0042387B" w:rsidRDefault="0042387B" w:rsidP="00070BB9">
            <w:pPr>
              <w:keepNext/>
              <w:keepLines/>
              <w:outlineLvl w:val="5"/>
              <w:rPr>
                <w:rFonts w:asciiTheme="minorHAnsi" w:hAnsiTheme="minorHAnsi"/>
              </w:rPr>
            </w:pPr>
            <w:r>
              <w:rPr>
                <w:rFonts w:asciiTheme="minorHAnsi" w:hAnsiTheme="minorHAnsi"/>
              </w:rPr>
              <w:t xml:space="preserve">Qualifying criteria are consistent </w:t>
            </w:r>
            <w:r w:rsidR="00942B34">
              <w:rPr>
                <w:rFonts w:asciiTheme="minorHAnsi" w:hAnsiTheme="minorHAnsi"/>
              </w:rPr>
              <w:t>with current criteria</w:t>
            </w:r>
            <w:r>
              <w:rPr>
                <w:rFonts w:asciiTheme="minorHAnsi" w:hAnsiTheme="minorHAnsi"/>
              </w:rPr>
              <w:t xml:space="preserve"> </w:t>
            </w:r>
          </w:p>
          <w:p w14:paraId="47736A65" w14:textId="77777777" w:rsidR="0042387B" w:rsidRDefault="0042387B" w:rsidP="00070BB9">
            <w:pPr>
              <w:keepNext/>
              <w:keepLines/>
              <w:outlineLvl w:val="5"/>
              <w:rPr>
                <w:rFonts w:asciiTheme="minorHAnsi" w:hAnsiTheme="minorHAnsi"/>
              </w:rPr>
            </w:pPr>
          </w:p>
          <w:p w14:paraId="31C570F8" w14:textId="77777777" w:rsidR="0042387B" w:rsidRDefault="0042387B" w:rsidP="00070BB9">
            <w:pPr>
              <w:keepNext/>
              <w:keepLines/>
              <w:outlineLvl w:val="5"/>
              <w:rPr>
                <w:rFonts w:asciiTheme="minorHAnsi" w:hAnsiTheme="minorHAnsi"/>
              </w:rPr>
            </w:pPr>
          </w:p>
          <w:p w14:paraId="15ECC750" w14:textId="77777777" w:rsidR="0042387B" w:rsidRDefault="0042387B" w:rsidP="00070BB9">
            <w:pPr>
              <w:keepNext/>
              <w:keepLines/>
              <w:outlineLvl w:val="5"/>
              <w:rPr>
                <w:rFonts w:asciiTheme="minorHAnsi" w:hAnsiTheme="minorHAnsi"/>
              </w:rPr>
            </w:pPr>
          </w:p>
          <w:p w14:paraId="0F5FF9C6" w14:textId="77777777" w:rsidR="0042387B" w:rsidRDefault="0042387B" w:rsidP="00070BB9">
            <w:pPr>
              <w:keepNext/>
              <w:keepLines/>
              <w:outlineLvl w:val="5"/>
              <w:rPr>
                <w:rFonts w:asciiTheme="minorHAnsi" w:hAnsiTheme="minorHAnsi"/>
              </w:rPr>
            </w:pPr>
          </w:p>
          <w:p w14:paraId="6FFDE051" w14:textId="75713007" w:rsidR="0042387B" w:rsidRDefault="0042387B" w:rsidP="00070BB9">
            <w:pPr>
              <w:keepNext/>
              <w:keepLines/>
              <w:outlineLvl w:val="5"/>
              <w:rPr>
                <w:rFonts w:asciiTheme="minorHAnsi" w:hAnsiTheme="minorHAnsi"/>
              </w:rPr>
            </w:pPr>
            <w:r>
              <w:rPr>
                <w:rFonts w:asciiTheme="minorHAnsi" w:hAnsiTheme="minorHAnsi"/>
              </w:rPr>
              <w:t xml:space="preserve">Addition of requirement for non response to other therapies </w:t>
            </w:r>
            <w:r w:rsidR="00942B34">
              <w:rPr>
                <w:rFonts w:asciiTheme="minorHAnsi" w:hAnsiTheme="minorHAnsi"/>
              </w:rPr>
              <w:t>and ineligibility for other treatments</w:t>
            </w:r>
            <w:r>
              <w:rPr>
                <w:rFonts w:asciiTheme="minorHAnsi" w:hAnsiTheme="minorHAnsi"/>
              </w:rPr>
              <w:t>.</w:t>
            </w:r>
          </w:p>
          <w:p w14:paraId="799376E3" w14:textId="77777777" w:rsidR="0042387B" w:rsidRDefault="0042387B" w:rsidP="00070BB9">
            <w:pPr>
              <w:keepNext/>
              <w:keepLines/>
              <w:outlineLvl w:val="5"/>
              <w:rPr>
                <w:rFonts w:asciiTheme="minorHAnsi" w:hAnsiTheme="minorHAnsi"/>
              </w:rPr>
            </w:pPr>
          </w:p>
          <w:p w14:paraId="281232FD" w14:textId="77777777" w:rsidR="0042387B" w:rsidRDefault="0042387B" w:rsidP="00070BB9">
            <w:pPr>
              <w:keepNext/>
              <w:keepLines/>
              <w:outlineLvl w:val="5"/>
              <w:rPr>
                <w:rFonts w:asciiTheme="minorHAnsi" w:hAnsiTheme="minorHAnsi"/>
              </w:rPr>
            </w:pPr>
          </w:p>
          <w:p w14:paraId="5D3AD6BF" w14:textId="306FC1C6" w:rsidR="0042387B" w:rsidRDefault="0042387B" w:rsidP="00070BB9">
            <w:pPr>
              <w:keepNext/>
              <w:keepLines/>
              <w:outlineLvl w:val="5"/>
              <w:rPr>
                <w:rFonts w:asciiTheme="minorHAnsi" w:hAnsiTheme="minorHAnsi"/>
              </w:rPr>
            </w:pPr>
            <w:r>
              <w:rPr>
                <w:rFonts w:asciiTheme="minorHAnsi" w:hAnsiTheme="minorHAnsi"/>
              </w:rPr>
              <w:t xml:space="preserve">Script deleted as not seen to be helpful and non response to other treatments is a qualifying criteria. </w:t>
            </w:r>
          </w:p>
          <w:p w14:paraId="2E66D5F0" w14:textId="01514F11" w:rsidR="0042387B" w:rsidRPr="00B23E0C" w:rsidRDefault="0042387B" w:rsidP="00D55166">
            <w:pPr>
              <w:keepNext/>
              <w:keepLines/>
              <w:outlineLvl w:val="5"/>
              <w:rPr>
                <w:rFonts w:asciiTheme="minorHAnsi" w:hAnsiTheme="minorHAnsi"/>
              </w:rPr>
            </w:pPr>
          </w:p>
        </w:tc>
      </w:tr>
      <w:tr w:rsidR="0042387B" w:rsidRPr="00B23E0C" w14:paraId="5693B68F" w14:textId="77777777" w:rsidTr="0042387B">
        <w:trPr>
          <w:gridBefore w:val="1"/>
          <w:wBefore w:w="7" w:type="pct"/>
        </w:trPr>
        <w:tc>
          <w:tcPr>
            <w:tcW w:w="415" w:type="pct"/>
            <w:shd w:val="clear" w:color="auto" w:fill="D9D9D9" w:themeFill="background1" w:themeFillShade="D9"/>
          </w:tcPr>
          <w:p w14:paraId="17EAFF2D" w14:textId="5C121E0C" w:rsidR="0042387B" w:rsidRPr="00B23E0C" w:rsidRDefault="0042387B" w:rsidP="00D764F3">
            <w:pPr>
              <w:rPr>
                <w:rFonts w:asciiTheme="minorHAnsi" w:hAnsiTheme="minorHAnsi"/>
                <w:b/>
              </w:rPr>
            </w:pPr>
            <w:r w:rsidRPr="00B23E0C">
              <w:rPr>
                <w:rFonts w:asciiTheme="minorHAnsi" w:hAnsiTheme="minorHAnsi"/>
              </w:rPr>
              <w:lastRenderedPageBreak/>
              <w:br w:type="page"/>
            </w:r>
            <w:r w:rsidRPr="00B23E0C">
              <w:rPr>
                <w:rFonts w:asciiTheme="minorHAnsi" w:hAnsiTheme="minorHAnsi"/>
                <w:b/>
              </w:rPr>
              <w:t>Review Criteria</w:t>
            </w:r>
          </w:p>
        </w:tc>
        <w:tc>
          <w:tcPr>
            <w:tcW w:w="1186" w:type="pct"/>
            <w:gridSpan w:val="2"/>
          </w:tcPr>
          <w:p w14:paraId="4EBAAD86"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color w:val="000000"/>
                <w:lang w:eastAsia="en-AU"/>
              </w:rPr>
              <w:t>Amelioration of cytopenia(s), hepato/splenomegaly and lymphadenopathy if present.</w:t>
            </w:r>
          </w:p>
          <w:p w14:paraId="6A9FD4DB"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color w:val="000000"/>
                <w:lang w:eastAsia="en-AU"/>
              </w:rPr>
              <w:t>Survival or death.</w:t>
            </w:r>
          </w:p>
          <w:p w14:paraId="205A4ACD" w14:textId="77777777" w:rsidR="0042387B" w:rsidRPr="00B23E0C" w:rsidRDefault="0042387B" w:rsidP="00741030">
            <w:pPr>
              <w:spacing w:after="225" w:line="360" w:lineRule="atLeast"/>
              <w:rPr>
                <w:rFonts w:asciiTheme="minorHAnsi" w:eastAsia="Times New Roman" w:hAnsiTheme="minorHAnsi" w:cs="Times New Roman"/>
                <w:lang w:eastAsia="en-AU"/>
              </w:rPr>
            </w:pPr>
          </w:p>
        </w:tc>
        <w:tc>
          <w:tcPr>
            <w:tcW w:w="1786" w:type="pct"/>
            <w:gridSpan w:val="3"/>
          </w:tcPr>
          <w:p w14:paraId="2F8C457B" w14:textId="77777777" w:rsidR="00167FA6" w:rsidRDefault="00167FA6" w:rsidP="00167FA6">
            <w:pPr>
              <w:rPr>
                <w:rFonts w:asciiTheme="minorHAnsi" w:eastAsia="Times New Roman" w:hAnsiTheme="minorHAnsi" w:cs="Times New Roman"/>
                <w:lang w:eastAsia="en-AU"/>
              </w:rPr>
            </w:pPr>
            <w:r w:rsidRPr="00167FA6">
              <w:rPr>
                <w:rFonts w:asciiTheme="minorHAnsi" w:eastAsia="Times New Roman" w:hAnsiTheme="minorHAnsi" w:cs="Times New Roman"/>
                <w:lang w:eastAsia="en-AU"/>
              </w:rPr>
              <w:t>Review is not mandated for this indication however the following criteria may be useful in assessing the effectiveness of therapy.</w:t>
            </w:r>
            <w:r w:rsidRPr="009076D7">
              <w:rPr>
                <w:rFonts w:asciiTheme="minorHAnsi" w:eastAsia="Times New Roman" w:hAnsiTheme="minorHAnsi" w:cs="Times New Roman"/>
                <w:lang w:eastAsia="en-AU"/>
              </w:rPr>
              <w:t xml:space="preserve"> </w:t>
            </w:r>
          </w:p>
          <w:p w14:paraId="4B1B1D12" w14:textId="77777777" w:rsidR="0042387B" w:rsidRPr="00EB2462" w:rsidRDefault="0042387B" w:rsidP="00070BB9">
            <w:pPr>
              <w:rPr>
                <w:rFonts w:asciiTheme="minorHAnsi" w:hAnsiTheme="minorHAnsi"/>
                <w:b/>
                <w:bCs/>
              </w:rPr>
            </w:pPr>
          </w:p>
          <w:p w14:paraId="6A371B38" w14:textId="3455AABC" w:rsidR="0042387B" w:rsidRPr="00EB2462" w:rsidRDefault="0042387B" w:rsidP="00070BB9">
            <w:pPr>
              <w:rPr>
                <w:rFonts w:asciiTheme="minorHAnsi" w:hAnsiTheme="minorHAnsi"/>
                <w:b/>
                <w:bCs/>
              </w:rPr>
            </w:pPr>
            <w:r w:rsidRPr="00EB2462">
              <w:rPr>
                <w:rFonts w:asciiTheme="minorHAnsi" w:hAnsiTheme="minorHAnsi"/>
                <w:b/>
                <w:bCs/>
              </w:rPr>
              <w:t xml:space="preserve">Outcome data </w:t>
            </w:r>
            <w:r w:rsidR="00167FA6">
              <w:rPr>
                <w:rFonts w:asciiTheme="minorHAnsi" w:hAnsiTheme="minorHAnsi"/>
                <w:b/>
                <w:bCs/>
              </w:rPr>
              <w:t>to be measured</w:t>
            </w:r>
          </w:p>
          <w:p w14:paraId="5583BD32" w14:textId="3205CDE4" w:rsidR="00167FA6" w:rsidRDefault="0042387B" w:rsidP="00070BB9">
            <w:pPr>
              <w:rPr>
                <w:rFonts w:asciiTheme="minorHAnsi" w:hAnsiTheme="minorHAnsi"/>
                <w:color w:val="000000"/>
              </w:rPr>
            </w:pPr>
            <w:r w:rsidRPr="00EB2462">
              <w:rPr>
                <w:rFonts w:asciiTheme="minorHAnsi" w:hAnsiTheme="minorHAnsi"/>
                <w:bCs/>
              </w:rPr>
              <w:t>Review criteria for assessing the effectiveness of IVIg use</w:t>
            </w:r>
            <w:r w:rsidRPr="00EB2462">
              <w:rPr>
                <w:rFonts w:asciiTheme="minorHAnsi" w:hAnsiTheme="minorHAnsi"/>
                <w:color w:val="000000"/>
              </w:rPr>
              <w:t xml:space="preserve"> can be demonstrated by</w:t>
            </w:r>
            <w:r w:rsidR="00167FA6">
              <w:rPr>
                <w:rFonts w:asciiTheme="minorHAnsi" w:hAnsiTheme="minorHAnsi"/>
                <w:color w:val="000000"/>
              </w:rPr>
              <w:t>:</w:t>
            </w:r>
            <w:r w:rsidRPr="00EB2462">
              <w:rPr>
                <w:rFonts w:asciiTheme="minorHAnsi" w:hAnsiTheme="minorHAnsi"/>
                <w:color w:val="000000"/>
              </w:rPr>
              <w:t xml:space="preserve"> </w:t>
            </w:r>
          </w:p>
          <w:p w14:paraId="62032351" w14:textId="77777777" w:rsidR="00167FA6" w:rsidRDefault="00167FA6" w:rsidP="00070BB9">
            <w:pPr>
              <w:rPr>
                <w:rFonts w:asciiTheme="minorHAnsi" w:hAnsiTheme="minorHAnsi"/>
                <w:color w:val="000000"/>
              </w:rPr>
            </w:pPr>
          </w:p>
          <w:p w14:paraId="5F1C31D2" w14:textId="0C95F467" w:rsidR="0042387B" w:rsidRPr="00167FA6" w:rsidRDefault="00167FA6" w:rsidP="00167FA6">
            <w:pPr>
              <w:pStyle w:val="ListParagraph"/>
              <w:numPr>
                <w:ilvl w:val="0"/>
                <w:numId w:val="46"/>
              </w:numPr>
              <w:rPr>
                <w:rFonts w:asciiTheme="minorHAnsi" w:hAnsiTheme="minorHAnsi"/>
                <w:color w:val="000000"/>
              </w:rPr>
            </w:pPr>
            <w:r w:rsidRPr="00167FA6">
              <w:rPr>
                <w:rFonts w:asciiTheme="minorHAnsi" w:hAnsiTheme="minorHAnsi"/>
              </w:rPr>
              <w:t>S</w:t>
            </w:r>
            <w:r w:rsidR="0042387B" w:rsidRPr="00167FA6">
              <w:rPr>
                <w:rFonts w:asciiTheme="minorHAnsi" w:hAnsiTheme="minorHAnsi"/>
              </w:rPr>
              <w:t xml:space="preserve">urvival and </w:t>
            </w:r>
            <w:r w:rsidR="0042387B" w:rsidRPr="00167FA6">
              <w:rPr>
                <w:rFonts w:asciiTheme="minorHAnsi" w:hAnsiTheme="minorHAnsi"/>
                <w:color w:val="000000"/>
              </w:rPr>
              <w:t xml:space="preserve">improvement in:  </w:t>
            </w:r>
          </w:p>
          <w:p w14:paraId="57B03681" w14:textId="77777777" w:rsidR="0042387B" w:rsidRPr="00EB2462" w:rsidRDefault="0042387B" w:rsidP="00167FA6">
            <w:pPr>
              <w:pStyle w:val="ListParagraph"/>
              <w:numPr>
                <w:ilvl w:val="1"/>
                <w:numId w:val="46"/>
              </w:numPr>
              <w:rPr>
                <w:rFonts w:asciiTheme="minorHAnsi" w:hAnsiTheme="minorHAnsi"/>
              </w:rPr>
            </w:pPr>
            <w:r>
              <w:rPr>
                <w:rFonts w:asciiTheme="minorHAnsi" w:hAnsiTheme="minorHAnsi"/>
              </w:rPr>
              <w:t>c</w:t>
            </w:r>
            <w:r w:rsidRPr="00EB2462">
              <w:rPr>
                <w:rFonts w:asciiTheme="minorHAnsi" w:hAnsiTheme="minorHAnsi"/>
              </w:rPr>
              <w:t>ytopoenia(s)</w:t>
            </w:r>
          </w:p>
          <w:p w14:paraId="1E27DE50" w14:textId="77777777" w:rsidR="0042387B" w:rsidRPr="00EB2462" w:rsidRDefault="0042387B" w:rsidP="00167FA6">
            <w:pPr>
              <w:pStyle w:val="ListParagraph"/>
              <w:numPr>
                <w:ilvl w:val="1"/>
                <w:numId w:val="46"/>
              </w:numPr>
              <w:rPr>
                <w:rFonts w:asciiTheme="minorHAnsi" w:hAnsiTheme="minorHAnsi"/>
              </w:rPr>
            </w:pPr>
            <w:r>
              <w:rPr>
                <w:rFonts w:asciiTheme="minorHAnsi" w:eastAsia="Times New Roman" w:hAnsiTheme="minorHAnsi" w:cs="Times New Roman"/>
                <w:color w:val="000000"/>
                <w:lang w:eastAsia="en-AU"/>
              </w:rPr>
              <w:t>h</w:t>
            </w:r>
            <w:r w:rsidRPr="00EB2462">
              <w:rPr>
                <w:rFonts w:asciiTheme="minorHAnsi" w:eastAsia="Times New Roman" w:hAnsiTheme="minorHAnsi" w:cs="Times New Roman"/>
                <w:color w:val="000000"/>
                <w:lang w:eastAsia="en-AU"/>
              </w:rPr>
              <w:t>epatosplenomegaly</w:t>
            </w:r>
          </w:p>
          <w:p w14:paraId="7A8868AB" w14:textId="77777777" w:rsidR="0042387B" w:rsidRPr="00EB2462" w:rsidRDefault="0042387B" w:rsidP="00167FA6">
            <w:pPr>
              <w:pStyle w:val="ListParagraph"/>
              <w:numPr>
                <w:ilvl w:val="1"/>
                <w:numId w:val="46"/>
              </w:numPr>
              <w:rPr>
                <w:rFonts w:asciiTheme="minorHAnsi" w:hAnsiTheme="minorHAnsi"/>
              </w:rPr>
            </w:pPr>
            <w:r>
              <w:rPr>
                <w:rFonts w:asciiTheme="minorHAnsi" w:eastAsia="Times New Roman" w:hAnsiTheme="minorHAnsi" w:cs="Times New Roman"/>
                <w:color w:val="000000"/>
                <w:lang w:eastAsia="en-AU"/>
              </w:rPr>
              <w:t>l</w:t>
            </w:r>
            <w:r w:rsidRPr="00EB2462">
              <w:rPr>
                <w:rFonts w:asciiTheme="minorHAnsi" w:eastAsia="Times New Roman" w:hAnsiTheme="minorHAnsi" w:cs="Times New Roman"/>
                <w:color w:val="000000"/>
                <w:lang w:eastAsia="en-AU"/>
              </w:rPr>
              <w:t>ymphadenopathy (if present)</w:t>
            </w:r>
          </w:p>
          <w:p w14:paraId="5E245E82" w14:textId="77777777" w:rsidR="0042387B" w:rsidRPr="00EB2462" w:rsidRDefault="0042387B" w:rsidP="00167FA6">
            <w:pPr>
              <w:pStyle w:val="ListParagraph"/>
              <w:numPr>
                <w:ilvl w:val="1"/>
                <w:numId w:val="46"/>
              </w:numPr>
              <w:rPr>
                <w:rFonts w:asciiTheme="minorHAnsi" w:hAnsiTheme="minorHAnsi"/>
              </w:rPr>
            </w:pPr>
            <w:proofErr w:type="gramStart"/>
            <w:r>
              <w:rPr>
                <w:rFonts w:asciiTheme="minorHAnsi" w:eastAsia="Times New Roman" w:hAnsiTheme="minorHAnsi" w:cs="Times New Roman"/>
                <w:color w:val="000000"/>
                <w:lang w:eastAsia="en-AU"/>
              </w:rPr>
              <w:t>n</w:t>
            </w:r>
            <w:r w:rsidRPr="00EB2462">
              <w:rPr>
                <w:rFonts w:asciiTheme="minorHAnsi" w:eastAsia="Times New Roman" w:hAnsiTheme="minorHAnsi" w:cs="Times New Roman"/>
                <w:color w:val="000000"/>
                <w:lang w:eastAsia="en-AU"/>
              </w:rPr>
              <w:t>eurologic</w:t>
            </w:r>
            <w:proofErr w:type="gramEnd"/>
            <w:r w:rsidRPr="00EB2462">
              <w:rPr>
                <w:rFonts w:asciiTheme="minorHAnsi" w:eastAsia="Times New Roman" w:hAnsiTheme="minorHAnsi" w:cs="Times New Roman"/>
                <w:color w:val="000000"/>
                <w:lang w:eastAsia="en-AU"/>
              </w:rPr>
              <w:t xml:space="preserve"> abnormalities</w:t>
            </w:r>
            <w:r>
              <w:rPr>
                <w:rFonts w:asciiTheme="minorHAnsi" w:eastAsia="Times New Roman" w:hAnsiTheme="minorHAnsi" w:cs="Times New Roman"/>
                <w:color w:val="000000"/>
                <w:lang w:eastAsia="en-AU"/>
              </w:rPr>
              <w:t>.</w:t>
            </w:r>
          </w:p>
          <w:p w14:paraId="344A7AC4" w14:textId="77777777" w:rsidR="0042387B" w:rsidRPr="00EB2462" w:rsidRDefault="0042387B" w:rsidP="00070BB9">
            <w:pPr>
              <w:spacing w:after="120"/>
              <w:rPr>
                <w:rFonts w:asciiTheme="minorHAnsi" w:hAnsiTheme="minorHAnsi"/>
                <w:color w:val="000000"/>
              </w:rPr>
            </w:pPr>
          </w:p>
          <w:p w14:paraId="7354067A" w14:textId="77777777" w:rsidR="0042387B" w:rsidRPr="00B23E0C" w:rsidRDefault="0042387B" w:rsidP="00202137">
            <w:pPr>
              <w:spacing w:line="20" w:lineRule="atLeast"/>
              <w:rPr>
                <w:rFonts w:asciiTheme="minorHAnsi" w:hAnsiTheme="minorHAnsi"/>
              </w:rPr>
            </w:pPr>
          </w:p>
        </w:tc>
        <w:tc>
          <w:tcPr>
            <w:tcW w:w="1606" w:type="pct"/>
          </w:tcPr>
          <w:p w14:paraId="69307F44" w14:textId="5E8C4A45" w:rsidR="0042387B" w:rsidRPr="00B23E0C" w:rsidRDefault="00942B34" w:rsidP="00F4409C">
            <w:pPr>
              <w:spacing w:after="200"/>
              <w:rPr>
                <w:rFonts w:asciiTheme="minorHAnsi" w:hAnsiTheme="minorHAnsi"/>
              </w:rPr>
            </w:pPr>
            <w:r>
              <w:rPr>
                <w:rFonts w:asciiTheme="minorHAnsi" w:hAnsiTheme="minorHAnsi"/>
              </w:rPr>
              <w:t xml:space="preserve">Outcome data are defined. </w:t>
            </w:r>
          </w:p>
        </w:tc>
      </w:tr>
      <w:tr w:rsidR="0042387B" w:rsidRPr="00B23E0C" w14:paraId="16933365" w14:textId="77777777" w:rsidTr="0042387B">
        <w:trPr>
          <w:gridBefore w:val="1"/>
          <w:wBefore w:w="7" w:type="pct"/>
        </w:trPr>
        <w:tc>
          <w:tcPr>
            <w:tcW w:w="415" w:type="pct"/>
            <w:shd w:val="clear" w:color="auto" w:fill="D9D9D9" w:themeFill="background1" w:themeFillShade="D9"/>
          </w:tcPr>
          <w:p w14:paraId="7BCF6F27" w14:textId="77777777" w:rsidR="0042387B" w:rsidRPr="00B23E0C" w:rsidRDefault="0042387B" w:rsidP="00BD341A">
            <w:pPr>
              <w:rPr>
                <w:rFonts w:asciiTheme="minorHAnsi" w:hAnsiTheme="minorHAnsi"/>
                <w:b/>
              </w:rPr>
            </w:pPr>
            <w:r w:rsidRPr="00B23E0C">
              <w:rPr>
                <w:rFonts w:asciiTheme="minorHAnsi" w:hAnsiTheme="minorHAnsi"/>
                <w:b/>
              </w:rPr>
              <w:t>Dose</w:t>
            </w:r>
          </w:p>
        </w:tc>
        <w:tc>
          <w:tcPr>
            <w:tcW w:w="1186" w:type="pct"/>
            <w:gridSpan w:val="2"/>
          </w:tcPr>
          <w:p w14:paraId="63C2D48E"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color w:val="000000"/>
                <w:lang w:eastAsia="en-AU"/>
              </w:rPr>
              <w:t>2 g/kg is the most widely published dose.</w:t>
            </w:r>
          </w:p>
          <w:p w14:paraId="4461359C" w14:textId="77777777" w:rsidR="0042387B" w:rsidRPr="0068229E" w:rsidRDefault="0042387B" w:rsidP="00070BB9">
            <w:pPr>
              <w:spacing w:after="225" w:line="360" w:lineRule="atLeast"/>
              <w:rPr>
                <w:rFonts w:asciiTheme="minorHAnsi" w:eastAsia="Times New Roman" w:hAnsiTheme="minorHAnsi" w:cs="Times New Roman"/>
                <w:color w:val="000000"/>
                <w:lang w:eastAsia="en-AU"/>
              </w:rPr>
            </w:pPr>
            <w:r w:rsidRPr="0068229E">
              <w:rPr>
                <w:rFonts w:asciiTheme="minorHAnsi" w:eastAsia="Times New Roman" w:hAnsiTheme="minorHAnsi" w:cs="Times New Roman"/>
                <w:color w:val="000000"/>
                <w:lang w:eastAsia="en-AU"/>
              </w:rPr>
              <w:t>Emmenegger et al (2001) reported that better outcomes were associated with early administration of IVIg in their small case series (10 patients).</w:t>
            </w:r>
          </w:p>
          <w:p w14:paraId="58E98608" w14:textId="77777777" w:rsidR="0042387B" w:rsidRPr="0042387B" w:rsidRDefault="0042387B" w:rsidP="00070BB9">
            <w:pPr>
              <w:spacing w:after="225" w:line="360" w:lineRule="atLeast"/>
              <w:rPr>
                <w:rFonts w:asciiTheme="minorHAnsi" w:eastAsia="Times New Roman" w:hAnsiTheme="minorHAnsi" w:cs="Times New Roman"/>
                <w:bCs/>
                <w:color w:val="000000"/>
                <w:lang w:eastAsia="en-AU"/>
              </w:rPr>
            </w:pPr>
            <w:r w:rsidRPr="0042387B">
              <w:rPr>
                <w:rFonts w:asciiTheme="minorHAnsi" w:eastAsia="Times New Roman" w:hAnsiTheme="minorHAnsi" w:cs="Times New Roman"/>
                <w:bCs/>
                <w:color w:val="000000"/>
                <w:lang w:eastAsia="en-AU"/>
              </w:rPr>
              <w:t>The aim should be to use the lowest dose possible that achieves the appropriate clinical outcome for each patient.</w:t>
            </w:r>
          </w:p>
          <w:p w14:paraId="60527C55" w14:textId="22B37057" w:rsidR="0042387B" w:rsidRPr="0042387B" w:rsidRDefault="0042387B" w:rsidP="00070BB9">
            <w:pPr>
              <w:spacing w:after="225" w:line="360" w:lineRule="atLeast"/>
              <w:rPr>
                <w:rFonts w:asciiTheme="minorHAnsi" w:eastAsia="Times New Roman" w:hAnsiTheme="minorHAnsi" w:cs="Times New Roman"/>
                <w:bCs/>
                <w:color w:val="000000"/>
                <w:lang w:eastAsia="en-AU"/>
              </w:rPr>
            </w:pPr>
            <w:r w:rsidRPr="0042387B">
              <w:rPr>
                <w:rFonts w:asciiTheme="minorHAnsi" w:eastAsia="Times New Roman" w:hAnsiTheme="minorHAnsi" w:cs="Times New Roman"/>
                <w:bCs/>
                <w:color w:val="000000"/>
                <w:lang w:eastAsia="en-AU"/>
              </w:rPr>
              <w:t xml:space="preserve">Dosing above 1 g/kg per day is </w:t>
            </w:r>
            <w:r w:rsidRPr="0042387B">
              <w:rPr>
                <w:rFonts w:asciiTheme="minorHAnsi" w:eastAsia="Times New Roman" w:hAnsiTheme="minorHAnsi" w:cs="Times New Roman"/>
                <w:bCs/>
                <w:color w:val="000000"/>
                <w:lang w:eastAsia="en-AU"/>
              </w:rPr>
              <w:lastRenderedPageBreak/>
              <w:t>contraindicated for some IVIg products.</w:t>
            </w:r>
          </w:p>
          <w:p w14:paraId="4E8ACA87" w14:textId="1E881889" w:rsidR="0042387B" w:rsidRPr="0068229E" w:rsidRDefault="0042387B" w:rsidP="00070BB9">
            <w:pPr>
              <w:spacing w:after="225" w:line="360" w:lineRule="atLeast"/>
              <w:rPr>
                <w:rFonts w:asciiTheme="minorHAnsi" w:eastAsia="Times New Roman" w:hAnsiTheme="minorHAnsi" w:cs="Times New Roman"/>
                <w:b/>
                <w:bCs/>
                <w:color w:val="000000"/>
                <w:lang w:eastAsia="en-AU"/>
              </w:rPr>
            </w:pPr>
            <w:r w:rsidRPr="0068229E">
              <w:rPr>
                <w:rFonts w:asciiTheme="minorHAnsi" w:eastAsia="Times New Roman" w:hAnsiTheme="minorHAnsi" w:cs="Times New Roman"/>
                <w:b/>
                <w:bCs/>
                <w:color w:val="000000"/>
                <w:lang w:eastAsia="en-AU"/>
              </w:rPr>
              <w:t>Refer to the current product information sheet for further information.</w:t>
            </w:r>
          </w:p>
          <w:p w14:paraId="03072D5A" w14:textId="77777777" w:rsidR="0042387B" w:rsidRPr="00B23E0C" w:rsidRDefault="0042387B" w:rsidP="003A1CDF">
            <w:pPr>
              <w:tabs>
                <w:tab w:val="left" w:pos="991"/>
              </w:tabs>
              <w:spacing w:after="240" w:line="20" w:lineRule="atLeast"/>
              <w:rPr>
                <w:rFonts w:asciiTheme="minorHAnsi" w:eastAsia="Times New Roman" w:hAnsiTheme="minorHAnsi" w:cs="Times New Roman"/>
                <w:lang w:eastAsia="en-AU"/>
              </w:rPr>
            </w:pPr>
          </w:p>
        </w:tc>
        <w:tc>
          <w:tcPr>
            <w:tcW w:w="1786" w:type="pct"/>
            <w:gridSpan w:val="3"/>
          </w:tcPr>
          <w:p w14:paraId="798688EB" w14:textId="77777777" w:rsidR="0042387B" w:rsidRPr="00EB2462" w:rsidRDefault="0042387B" w:rsidP="00070BB9">
            <w:pPr>
              <w:rPr>
                <w:rFonts w:asciiTheme="minorHAnsi" w:hAnsiTheme="minorHAnsi"/>
                <w:b/>
                <w:color w:val="000000"/>
              </w:rPr>
            </w:pPr>
          </w:p>
          <w:p w14:paraId="574FCDF1" w14:textId="53193D24" w:rsidR="0042387B" w:rsidRPr="00EB2462" w:rsidRDefault="00167FA6" w:rsidP="00070BB9">
            <w:pPr>
              <w:spacing w:after="120"/>
              <w:rPr>
                <w:rFonts w:asciiTheme="minorHAnsi" w:hAnsiTheme="minorHAnsi"/>
                <w:color w:val="000000"/>
              </w:rPr>
            </w:pPr>
            <w:r>
              <w:rPr>
                <w:rFonts w:asciiTheme="minorHAnsi" w:eastAsia="Times New Roman" w:hAnsiTheme="minorHAnsi" w:cstheme="minorHAnsi"/>
                <w:b/>
                <w:color w:val="000000"/>
              </w:rPr>
              <w:t>Induction Dose</w:t>
            </w:r>
            <w:r w:rsidR="0042387B" w:rsidRPr="00EB2462">
              <w:rPr>
                <w:rFonts w:asciiTheme="minorHAnsi" w:eastAsia="Times New Roman" w:hAnsiTheme="minorHAnsi" w:cstheme="minorHAnsi"/>
                <w:color w:val="000000"/>
              </w:rPr>
              <w:t xml:space="preserve"> - </w:t>
            </w:r>
            <w:r w:rsidR="0042387B" w:rsidRPr="00EB2462">
              <w:rPr>
                <w:rFonts w:asciiTheme="minorHAnsi" w:hAnsiTheme="minorHAnsi"/>
                <w:color w:val="000000"/>
              </w:rPr>
              <w:t>2 g/kg is the most widely published dose.</w:t>
            </w:r>
          </w:p>
          <w:p w14:paraId="4CF63B39" w14:textId="7CF5D179" w:rsidR="0042387B" w:rsidRPr="00EB2462" w:rsidRDefault="0042387B" w:rsidP="00070BB9">
            <w:pPr>
              <w:rPr>
                <w:rFonts w:asciiTheme="minorHAnsi" w:hAnsiTheme="minorHAnsi"/>
                <w:b/>
                <w:color w:val="808080" w:themeColor="background1" w:themeShade="80"/>
              </w:rPr>
            </w:pPr>
          </w:p>
          <w:p w14:paraId="1D4AC8E9" w14:textId="77777777" w:rsidR="0042387B" w:rsidRPr="00EB2462" w:rsidRDefault="0042387B" w:rsidP="00070BB9">
            <w:pPr>
              <w:spacing w:after="120"/>
              <w:rPr>
                <w:rFonts w:asciiTheme="minorHAnsi" w:hAnsiTheme="minorHAnsi"/>
                <w:color w:val="000000"/>
              </w:rPr>
            </w:pPr>
            <w:r w:rsidRPr="00EB2462">
              <w:rPr>
                <w:rFonts w:asciiTheme="minorHAnsi" w:hAnsiTheme="minorHAnsi"/>
                <w:color w:val="000000"/>
              </w:rPr>
              <w:t>Emmenegger et al (2001) reported that better outcomes were associated with early administration of IVIg in their small case series (10 patients).</w:t>
            </w:r>
          </w:p>
          <w:p w14:paraId="59B6057E" w14:textId="3D3DCCF8" w:rsidR="0042387B" w:rsidRPr="0042387B" w:rsidRDefault="0042387B" w:rsidP="00070BB9">
            <w:pPr>
              <w:pStyle w:val="heading10"/>
              <w:spacing w:after="120"/>
              <w:rPr>
                <w:rFonts w:asciiTheme="minorHAnsi" w:hAnsiTheme="minorHAnsi"/>
                <w:b w:val="0"/>
                <w:sz w:val="22"/>
                <w:szCs w:val="22"/>
              </w:rPr>
            </w:pPr>
            <w:r w:rsidRPr="0042387B">
              <w:rPr>
                <w:rFonts w:asciiTheme="minorHAnsi" w:hAnsiTheme="minorHAnsi"/>
                <w:b w:val="0"/>
              </w:rPr>
              <w:t>The aim should be to use the lowest dose possible that achieves the appropriate clinical outcome for each patient</w:t>
            </w:r>
            <w:r w:rsidRPr="0042387B">
              <w:rPr>
                <w:rFonts w:asciiTheme="minorHAnsi" w:hAnsiTheme="minorHAnsi"/>
                <w:b w:val="0"/>
                <w:sz w:val="22"/>
                <w:szCs w:val="22"/>
              </w:rPr>
              <w:t>.</w:t>
            </w:r>
          </w:p>
          <w:p w14:paraId="590A45E5" w14:textId="3AE533BB" w:rsidR="0042387B" w:rsidRPr="0042387B" w:rsidRDefault="0042387B" w:rsidP="00070BB9">
            <w:pPr>
              <w:pStyle w:val="heading10"/>
              <w:spacing w:after="120"/>
              <w:rPr>
                <w:rFonts w:asciiTheme="minorHAnsi" w:hAnsiTheme="minorHAnsi"/>
                <w:b w:val="0"/>
                <w:sz w:val="22"/>
                <w:szCs w:val="22"/>
              </w:rPr>
            </w:pPr>
            <w:r w:rsidRPr="0042387B">
              <w:rPr>
                <w:rFonts w:asciiTheme="minorHAnsi" w:hAnsiTheme="minorHAnsi"/>
                <w:b w:val="0"/>
                <w:sz w:val="22"/>
                <w:szCs w:val="22"/>
              </w:rPr>
              <w:t>Dosing above 1 g/kg per day is contraindicated for some IVIg products.</w:t>
            </w:r>
          </w:p>
          <w:p w14:paraId="7A284551" w14:textId="77777777" w:rsidR="0042387B" w:rsidRPr="00EB2462" w:rsidRDefault="0042387B" w:rsidP="00070BB9">
            <w:pPr>
              <w:pStyle w:val="heading10"/>
              <w:spacing w:after="120"/>
              <w:rPr>
                <w:rFonts w:asciiTheme="minorHAnsi" w:hAnsiTheme="minorHAnsi"/>
                <w:sz w:val="22"/>
                <w:szCs w:val="22"/>
              </w:rPr>
            </w:pPr>
            <w:r w:rsidRPr="00EB2462">
              <w:rPr>
                <w:rFonts w:asciiTheme="minorHAnsi" w:hAnsiTheme="minorHAnsi"/>
                <w:sz w:val="22"/>
                <w:szCs w:val="22"/>
              </w:rPr>
              <w:t>Refer to the current product information sheet for further information.</w:t>
            </w:r>
          </w:p>
          <w:p w14:paraId="230B3DE7" w14:textId="0A4B793B" w:rsidR="0042387B" w:rsidRPr="00B23E0C" w:rsidRDefault="0042387B" w:rsidP="00F6138C">
            <w:pPr>
              <w:pStyle w:val="heading10"/>
              <w:spacing w:after="120"/>
              <w:rPr>
                <w:rFonts w:asciiTheme="minorHAnsi" w:hAnsiTheme="minorHAnsi" w:cstheme="minorHAnsi"/>
                <w:b w:val="0"/>
                <w:sz w:val="22"/>
                <w:szCs w:val="22"/>
              </w:rPr>
            </w:pPr>
          </w:p>
        </w:tc>
        <w:tc>
          <w:tcPr>
            <w:tcW w:w="1606" w:type="pct"/>
          </w:tcPr>
          <w:p w14:paraId="67454152" w14:textId="56186E73" w:rsidR="0042387B" w:rsidRPr="00B23E0C" w:rsidRDefault="00942B34" w:rsidP="0059569A">
            <w:pPr>
              <w:spacing w:after="240" w:line="20" w:lineRule="atLeast"/>
              <w:rPr>
                <w:rFonts w:asciiTheme="minorHAnsi" w:eastAsia="Times New Roman" w:hAnsiTheme="minorHAnsi" w:cstheme="minorHAnsi"/>
              </w:rPr>
            </w:pPr>
            <w:r>
              <w:rPr>
                <w:rFonts w:asciiTheme="minorHAnsi" w:eastAsia="Times New Roman" w:hAnsiTheme="minorHAnsi" w:cstheme="minorHAnsi"/>
              </w:rPr>
              <w:t xml:space="preserve">Dosing is unchanged. </w:t>
            </w:r>
          </w:p>
        </w:tc>
      </w:tr>
    </w:tbl>
    <w:p w14:paraId="620DD621" w14:textId="11C7C53D" w:rsidR="00F6138C" w:rsidRDefault="00F6138C" w:rsidP="00070BB9">
      <w:pPr>
        <w:spacing w:before="120" w:after="120"/>
        <w:rPr>
          <w:rFonts w:asciiTheme="minorHAnsi" w:hAnsiTheme="minorHAnsi"/>
          <w:b/>
        </w:rPr>
        <w:sectPr w:rsidR="00F6138C" w:rsidSect="00F6138C">
          <w:headerReference w:type="even" r:id="rId14"/>
          <w:footerReference w:type="default" r:id="rId15"/>
          <w:pgSz w:w="16839" w:h="11907" w:orient="landscape" w:code="9"/>
          <w:pgMar w:top="720" w:right="720" w:bottom="720" w:left="720" w:header="708" w:footer="183" w:gutter="0"/>
          <w:cols w:space="708"/>
          <w:titlePg/>
          <w:docGrid w:linePitch="360"/>
        </w:sectPr>
      </w:pPr>
    </w:p>
    <w:tbl>
      <w:tblPr>
        <w:tblStyle w:val="TableGrid"/>
        <w:tblW w:w="4990" w:type="pct"/>
        <w:tblInd w:w="21" w:type="dxa"/>
        <w:tblLook w:val="04A0" w:firstRow="1" w:lastRow="0" w:firstColumn="1" w:lastColumn="0" w:noHBand="0" w:noVBand="1"/>
      </w:tblPr>
      <w:tblGrid>
        <w:gridCol w:w="15584"/>
      </w:tblGrid>
      <w:tr w:rsidR="00F6138C" w:rsidRPr="0042387B" w14:paraId="6C7A90CB" w14:textId="77777777" w:rsidTr="00167FA6">
        <w:tc>
          <w:tcPr>
            <w:tcW w:w="5000" w:type="pct"/>
            <w:shd w:val="clear" w:color="auto" w:fill="DBE5F1" w:themeFill="accent1" w:themeFillTint="33"/>
          </w:tcPr>
          <w:p w14:paraId="7DA98C5C" w14:textId="48D9D1E6" w:rsidR="00F6138C" w:rsidRPr="0042387B" w:rsidRDefault="0024313D" w:rsidP="00070BB9">
            <w:pPr>
              <w:spacing w:before="120" w:after="120"/>
              <w:jc w:val="center"/>
              <w:rPr>
                <w:rFonts w:asciiTheme="minorHAnsi" w:hAnsiTheme="minorHAnsi"/>
                <w:b/>
              </w:rPr>
            </w:pPr>
            <w:r>
              <w:rPr>
                <w:rFonts w:asciiTheme="minorHAnsi" w:hAnsiTheme="minorHAnsi"/>
                <w:b/>
              </w:rPr>
              <w:lastRenderedPageBreak/>
              <w:t>BIBLIOGRAPHY</w:t>
            </w:r>
          </w:p>
        </w:tc>
      </w:tr>
      <w:tr w:rsidR="0024313D" w:rsidRPr="0024313D" w14:paraId="1B775C67" w14:textId="77777777" w:rsidTr="0024313D">
        <w:tc>
          <w:tcPr>
            <w:tcW w:w="5000" w:type="pct"/>
            <w:shd w:val="clear" w:color="auto" w:fill="auto"/>
          </w:tcPr>
          <w:p w14:paraId="6F18861F" w14:textId="77777777" w:rsidR="0024313D" w:rsidRPr="0024313D" w:rsidRDefault="0024313D" w:rsidP="0024313D">
            <w:pPr>
              <w:spacing w:after="150"/>
              <w:rPr>
                <w:rFonts w:asciiTheme="minorHAnsi" w:eastAsia="Times New Roman" w:hAnsiTheme="minorHAnsi" w:cs="Helvetica"/>
                <w:color w:val="333333"/>
                <w:sz w:val="21"/>
                <w:szCs w:val="21"/>
                <w:lang w:eastAsia="en-AU"/>
              </w:rPr>
            </w:pPr>
            <w:proofErr w:type="spellStart"/>
            <w:r w:rsidRPr="0024313D">
              <w:rPr>
                <w:rFonts w:asciiTheme="minorHAnsi" w:eastAsia="Times New Roman" w:hAnsiTheme="minorHAnsi" w:cs="Helvetica"/>
                <w:color w:val="333333"/>
                <w:sz w:val="21"/>
                <w:szCs w:val="21"/>
                <w:lang w:eastAsia="en-AU"/>
              </w:rPr>
              <w:t>Arlet</w:t>
            </w:r>
            <w:proofErr w:type="spellEnd"/>
            <w:r w:rsidRPr="0024313D">
              <w:rPr>
                <w:rFonts w:asciiTheme="minorHAnsi" w:eastAsia="Times New Roman" w:hAnsiTheme="minorHAnsi" w:cs="Helvetica"/>
                <w:color w:val="333333"/>
                <w:sz w:val="21"/>
                <w:szCs w:val="21"/>
                <w:lang w:eastAsia="en-AU"/>
              </w:rPr>
              <w:t xml:space="preserve">, JB, Le, TH, </w:t>
            </w:r>
            <w:proofErr w:type="spellStart"/>
            <w:r w:rsidRPr="0024313D">
              <w:rPr>
                <w:rFonts w:asciiTheme="minorHAnsi" w:eastAsia="Times New Roman" w:hAnsiTheme="minorHAnsi" w:cs="Helvetica"/>
                <w:color w:val="333333"/>
                <w:sz w:val="21"/>
                <w:szCs w:val="21"/>
                <w:lang w:eastAsia="en-AU"/>
              </w:rPr>
              <w:t>Marinho</w:t>
            </w:r>
            <w:proofErr w:type="spellEnd"/>
            <w:r w:rsidRPr="0024313D">
              <w:rPr>
                <w:rFonts w:asciiTheme="minorHAnsi" w:eastAsia="Times New Roman" w:hAnsiTheme="minorHAnsi" w:cs="Helvetica"/>
                <w:color w:val="333333"/>
                <w:sz w:val="21"/>
                <w:szCs w:val="21"/>
                <w:lang w:eastAsia="en-AU"/>
              </w:rPr>
              <w:t xml:space="preserve">, A, et al 2006, ‘Reactive </w:t>
            </w:r>
            <w:proofErr w:type="spellStart"/>
            <w:r w:rsidRPr="0024313D">
              <w:rPr>
                <w:rFonts w:asciiTheme="minorHAnsi" w:eastAsia="Times New Roman" w:hAnsiTheme="minorHAnsi" w:cs="Helvetica"/>
                <w:color w:val="333333"/>
                <w:sz w:val="21"/>
                <w:szCs w:val="21"/>
                <w:lang w:eastAsia="en-AU"/>
              </w:rPr>
              <w:t>haemophagocytic</w:t>
            </w:r>
            <w:proofErr w:type="spellEnd"/>
            <w:r w:rsidRPr="0024313D">
              <w:rPr>
                <w:rFonts w:asciiTheme="minorHAnsi" w:eastAsia="Times New Roman" w:hAnsiTheme="minorHAnsi" w:cs="Helvetica"/>
                <w:color w:val="333333"/>
                <w:sz w:val="21"/>
                <w:szCs w:val="21"/>
                <w:lang w:eastAsia="en-AU"/>
              </w:rPr>
              <w:t xml:space="preserve"> syndrome in adult onset Still’s disease: report of six patients and review of the literature’, </w:t>
            </w:r>
            <w:r w:rsidRPr="0024313D">
              <w:rPr>
                <w:rFonts w:asciiTheme="minorHAnsi" w:eastAsia="Times New Roman" w:hAnsiTheme="minorHAnsi" w:cs="Helvetica"/>
                <w:i/>
                <w:iCs/>
                <w:color w:val="333333"/>
                <w:sz w:val="21"/>
                <w:szCs w:val="21"/>
                <w:lang w:eastAsia="en-AU"/>
              </w:rPr>
              <w:t>Annals of the Rheumatic Diseases</w:t>
            </w:r>
            <w:r w:rsidRPr="0024313D">
              <w:rPr>
                <w:rFonts w:asciiTheme="minorHAnsi" w:eastAsia="Times New Roman" w:hAnsiTheme="minorHAnsi" w:cs="Helvetica"/>
                <w:color w:val="333333"/>
                <w:sz w:val="21"/>
                <w:szCs w:val="21"/>
                <w:lang w:eastAsia="en-AU"/>
              </w:rPr>
              <w:t>, vol. 65, no. 12, pp. 1596–601.</w:t>
            </w:r>
          </w:p>
          <w:p w14:paraId="1ADE4EE5" w14:textId="77777777" w:rsidR="0024313D" w:rsidRPr="0024313D" w:rsidRDefault="0024313D" w:rsidP="0024313D">
            <w:pPr>
              <w:spacing w:after="150"/>
              <w:rPr>
                <w:rFonts w:asciiTheme="minorHAnsi" w:eastAsia="Times New Roman" w:hAnsiTheme="minorHAnsi" w:cs="Helvetica"/>
                <w:color w:val="333333"/>
                <w:sz w:val="21"/>
                <w:szCs w:val="21"/>
                <w:lang w:eastAsia="en-AU"/>
              </w:rPr>
            </w:pPr>
            <w:proofErr w:type="spellStart"/>
            <w:r w:rsidRPr="0024313D">
              <w:rPr>
                <w:rFonts w:asciiTheme="minorHAnsi" w:eastAsia="Times New Roman" w:hAnsiTheme="minorHAnsi" w:cs="Helvetica"/>
                <w:color w:val="333333"/>
                <w:sz w:val="21"/>
                <w:szCs w:val="21"/>
                <w:lang w:eastAsia="en-AU"/>
              </w:rPr>
              <w:t>Asci</w:t>
            </w:r>
            <w:proofErr w:type="spellEnd"/>
            <w:r w:rsidRPr="0024313D">
              <w:rPr>
                <w:rFonts w:asciiTheme="minorHAnsi" w:eastAsia="Times New Roman" w:hAnsiTheme="minorHAnsi" w:cs="Helvetica"/>
                <w:color w:val="333333"/>
                <w:sz w:val="21"/>
                <w:szCs w:val="21"/>
                <w:lang w:eastAsia="en-AU"/>
              </w:rPr>
              <w:t xml:space="preserve">, G, </w:t>
            </w:r>
            <w:proofErr w:type="spellStart"/>
            <w:r w:rsidRPr="0024313D">
              <w:rPr>
                <w:rFonts w:asciiTheme="minorHAnsi" w:eastAsia="Times New Roman" w:hAnsiTheme="minorHAnsi" w:cs="Helvetica"/>
                <w:color w:val="333333"/>
                <w:sz w:val="21"/>
                <w:szCs w:val="21"/>
                <w:lang w:eastAsia="en-AU"/>
              </w:rPr>
              <w:t>Toz</w:t>
            </w:r>
            <w:proofErr w:type="spellEnd"/>
            <w:r w:rsidRPr="0024313D">
              <w:rPr>
                <w:rFonts w:asciiTheme="minorHAnsi" w:eastAsia="Times New Roman" w:hAnsiTheme="minorHAnsi" w:cs="Helvetica"/>
                <w:color w:val="333333"/>
                <w:sz w:val="21"/>
                <w:szCs w:val="21"/>
                <w:lang w:eastAsia="en-AU"/>
              </w:rPr>
              <w:t xml:space="preserve">, H, </w:t>
            </w:r>
            <w:proofErr w:type="spellStart"/>
            <w:r w:rsidRPr="0024313D">
              <w:rPr>
                <w:rFonts w:asciiTheme="minorHAnsi" w:eastAsia="Times New Roman" w:hAnsiTheme="minorHAnsi" w:cs="Helvetica"/>
                <w:color w:val="333333"/>
                <w:sz w:val="21"/>
                <w:szCs w:val="21"/>
                <w:lang w:eastAsia="en-AU"/>
              </w:rPr>
              <w:t>Ozkahya</w:t>
            </w:r>
            <w:proofErr w:type="spellEnd"/>
            <w:r w:rsidRPr="0024313D">
              <w:rPr>
                <w:rFonts w:asciiTheme="minorHAnsi" w:eastAsia="Times New Roman" w:hAnsiTheme="minorHAnsi" w:cs="Helvetica"/>
                <w:color w:val="333333"/>
                <w:sz w:val="21"/>
                <w:szCs w:val="21"/>
                <w:lang w:eastAsia="en-AU"/>
              </w:rPr>
              <w:t xml:space="preserve">, M, et al 2006, ‘High-dose immunoglobulin therapy in renal transplant recipients with </w:t>
            </w:r>
            <w:proofErr w:type="spellStart"/>
            <w:r w:rsidRPr="0024313D">
              <w:rPr>
                <w:rFonts w:asciiTheme="minorHAnsi" w:eastAsia="Times New Roman" w:hAnsiTheme="minorHAnsi" w:cs="Helvetica"/>
                <w:color w:val="333333"/>
                <w:sz w:val="21"/>
                <w:szCs w:val="21"/>
                <w:lang w:eastAsia="en-AU"/>
              </w:rPr>
              <w:t>hemophagocytic</w:t>
            </w:r>
            <w:proofErr w:type="spellEnd"/>
            <w:r w:rsidRPr="0024313D">
              <w:rPr>
                <w:rFonts w:asciiTheme="minorHAnsi" w:eastAsia="Times New Roman" w:hAnsiTheme="minorHAnsi" w:cs="Helvetica"/>
                <w:color w:val="333333"/>
                <w:sz w:val="21"/>
                <w:szCs w:val="21"/>
                <w:lang w:eastAsia="en-AU"/>
              </w:rPr>
              <w:t xml:space="preserve"> </w:t>
            </w:r>
            <w:proofErr w:type="spellStart"/>
            <w:r w:rsidRPr="0024313D">
              <w:rPr>
                <w:rFonts w:asciiTheme="minorHAnsi" w:eastAsia="Times New Roman" w:hAnsiTheme="minorHAnsi" w:cs="Helvetica"/>
                <w:color w:val="333333"/>
                <w:sz w:val="21"/>
                <w:szCs w:val="21"/>
                <w:lang w:eastAsia="en-AU"/>
              </w:rPr>
              <w:t>histiocytic</w:t>
            </w:r>
            <w:proofErr w:type="spellEnd"/>
            <w:r w:rsidRPr="0024313D">
              <w:rPr>
                <w:rFonts w:asciiTheme="minorHAnsi" w:eastAsia="Times New Roman" w:hAnsiTheme="minorHAnsi" w:cs="Helvetica"/>
                <w:color w:val="333333"/>
                <w:sz w:val="21"/>
                <w:szCs w:val="21"/>
                <w:lang w:eastAsia="en-AU"/>
              </w:rPr>
              <w:t xml:space="preserve"> syndrome’, </w:t>
            </w:r>
            <w:r w:rsidRPr="0024313D">
              <w:rPr>
                <w:rFonts w:asciiTheme="minorHAnsi" w:eastAsia="Times New Roman" w:hAnsiTheme="minorHAnsi" w:cs="Helvetica"/>
                <w:i/>
                <w:iCs/>
                <w:color w:val="333333"/>
                <w:sz w:val="21"/>
                <w:szCs w:val="21"/>
                <w:lang w:eastAsia="en-AU"/>
              </w:rPr>
              <w:t>Journal of Nephrology</w:t>
            </w:r>
            <w:r w:rsidRPr="0024313D">
              <w:rPr>
                <w:rFonts w:asciiTheme="minorHAnsi" w:eastAsia="Times New Roman" w:hAnsiTheme="minorHAnsi" w:cs="Helvetica"/>
                <w:color w:val="333333"/>
                <w:sz w:val="21"/>
                <w:szCs w:val="21"/>
                <w:lang w:eastAsia="en-AU"/>
              </w:rPr>
              <w:t>, vol. 19, no. 3, pp. 322–6.</w:t>
            </w:r>
          </w:p>
          <w:p w14:paraId="5D8575F1" w14:textId="77777777" w:rsidR="0024313D" w:rsidRPr="0024313D" w:rsidRDefault="0024313D" w:rsidP="0024313D">
            <w:pPr>
              <w:spacing w:after="150"/>
              <w:rPr>
                <w:rFonts w:asciiTheme="minorHAnsi" w:eastAsia="Times New Roman" w:hAnsiTheme="minorHAnsi" w:cs="Helvetica"/>
                <w:color w:val="333333"/>
                <w:sz w:val="21"/>
                <w:szCs w:val="21"/>
                <w:lang w:eastAsia="en-AU"/>
              </w:rPr>
            </w:pPr>
            <w:r w:rsidRPr="0024313D">
              <w:rPr>
                <w:rFonts w:asciiTheme="minorHAnsi" w:eastAsia="Times New Roman" w:hAnsiTheme="minorHAnsi" w:cs="Helvetica"/>
                <w:color w:val="333333"/>
                <w:sz w:val="21"/>
                <w:szCs w:val="21"/>
                <w:lang w:eastAsia="en-AU"/>
              </w:rPr>
              <w:t xml:space="preserve">Chen, RL, Lin, KH, Lin, DT, et al 1995, ‘Immunomodulation treatment for childhood virus-associated </w:t>
            </w:r>
            <w:proofErr w:type="spellStart"/>
            <w:r w:rsidRPr="0024313D">
              <w:rPr>
                <w:rFonts w:asciiTheme="minorHAnsi" w:eastAsia="Times New Roman" w:hAnsiTheme="minorHAnsi" w:cs="Helvetica"/>
                <w:color w:val="333333"/>
                <w:sz w:val="21"/>
                <w:szCs w:val="21"/>
                <w:lang w:eastAsia="en-AU"/>
              </w:rPr>
              <w:t>haemophagocytic</w:t>
            </w:r>
            <w:proofErr w:type="spellEnd"/>
            <w:r w:rsidRPr="0024313D">
              <w:rPr>
                <w:rFonts w:asciiTheme="minorHAnsi" w:eastAsia="Times New Roman" w:hAnsiTheme="minorHAnsi" w:cs="Helvetica"/>
                <w:color w:val="333333"/>
                <w:sz w:val="21"/>
                <w:szCs w:val="21"/>
                <w:lang w:eastAsia="en-AU"/>
              </w:rPr>
              <w:t xml:space="preserve"> </w:t>
            </w:r>
            <w:proofErr w:type="spellStart"/>
            <w:r w:rsidRPr="0024313D">
              <w:rPr>
                <w:rFonts w:asciiTheme="minorHAnsi" w:eastAsia="Times New Roman" w:hAnsiTheme="minorHAnsi" w:cs="Helvetica"/>
                <w:color w:val="333333"/>
                <w:sz w:val="21"/>
                <w:szCs w:val="21"/>
                <w:lang w:eastAsia="en-AU"/>
              </w:rPr>
              <w:t>lymphohistiocytosis</w:t>
            </w:r>
            <w:proofErr w:type="spellEnd"/>
            <w:r w:rsidRPr="0024313D">
              <w:rPr>
                <w:rFonts w:asciiTheme="minorHAnsi" w:eastAsia="Times New Roman" w:hAnsiTheme="minorHAnsi" w:cs="Helvetica"/>
                <w:color w:val="333333"/>
                <w:sz w:val="21"/>
                <w:szCs w:val="21"/>
                <w:lang w:eastAsia="en-AU"/>
              </w:rPr>
              <w:t xml:space="preserve">’, </w:t>
            </w:r>
            <w:r w:rsidRPr="0024313D">
              <w:rPr>
                <w:rFonts w:asciiTheme="minorHAnsi" w:eastAsia="Times New Roman" w:hAnsiTheme="minorHAnsi" w:cs="Helvetica"/>
                <w:i/>
                <w:iCs/>
                <w:color w:val="333333"/>
                <w:sz w:val="21"/>
                <w:szCs w:val="21"/>
                <w:lang w:eastAsia="en-AU"/>
              </w:rPr>
              <w:t>British Journal of Haematology</w:t>
            </w:r>
            <w:r w:rsidRPr="0024313D">
              <w:rPr>
                <w:rFonts w:asciiTheme="minorHAnsi" w:eastAsia="Times New Roman" w:hAnsiTheme="minorHAnsi" w:cs="Helvetica"/>
                <w:color w:val="333333"/>
                <w:sz w:val="21"/>
                <w:szCs w:val="21"/>
                <w:lang w:eastAsia="en-AU"/>
              </w:rPr>
              <w:t>, vol. 89, no. 2, pp. 282–90.</w:t>
            </w:r>
          </w:p>
          <w:p w14:paraId="640A74B7" w14:textId="77777777" w:rsidR="0024313D" w:rsidRPr="0024313D" w:rsidRDefault="0024313D" w:rsidP="0024313D">
            <w:pPr>
              <w:spacing w:after="150"/>
              <w:rPr>
                <w:rFonts w:asciiTheme="minorHAnsi" w:eastAsia="Times New Roman" w:hAnsiTheme="minorHAnsi" w:cs="Helvetica"/>
                <w:color w:val="333333"/>
                <w:sz w:val="21"/>
                <w:szCs w:val="21"/>
                <w:lang w:eastAsia="en-AU"/>
              </w:rPr>
            </w:pPr>
            <w:proofErr w:type="spellStart"/>
            <w:r w:rsidRPr="0024313D">
              <w:rPr>
                <w:rFonts w:asciiTheme="minorHAnsi" w:eastAsia="Times New Roman" w:hAnsiTheme="minorHAnsi" w:cs="Helvetica"/>
                <w:color w:val="333333"/>
                <w:sz w:val="21"/>
                <w:szCs w:val="21"/>
                <w:lang w:eastAsia="en-AU"/>
              </w:rPr>
              <w:t>Emmenegger</w:t>
            </w:r>
            <w:proofErr w:type="spellEnd"/>
            <w:r w:rsidRPr="0024313D">
              <w:rPr>
                <w:rFonts w:asciiTheme="minorHAnsi" w:eastAsia="Times New Roman" w:hAnsiTheme="minorHAnsi" w:cs="Helvetica"/>
                <w:color w:val="333333"/>
                <w:sz w:val="21"/>
                <w:szCs w:val="21"/>
                <w:lang w:eastAsia="en-AU"/>
              </w:rPr>
              <w:t xml:space="preserve">, U, Frey, U, </w:t>
            </w:r>
            <w:proofErr w:type="spellStart"/>
            <w:r w:rsidRPr="0024313D">
              <w:rPr>
                <w:rFonts w:asciiTheme="minorHAnsi" w:eastAsia="Times New Roman" w:hAnsiTheme="minorHAnsi" w:cs="Helvetica"/>
                <w:color w:val="333333"/>
                <w:sz w:val="21"/>
                <w:szCs w:val="21"/>
                <w:lang w:eastAsia="en-AU"/>
              </w:rPr>
              <w:t>Reimers</w:t>
            </w:r>
            <w:proofErr w:type="spellEnd"/>
            <w:r w:rsidRPr="0024313D">
              <w:rPr>
                <w:rFonts w:asciiTheme="minorHAnsi" w:eastAsia="Times New Roman" w:hAnsiTheme="minorHAnsi" w:cs="Helvetica"/>
                <w:color w:val="333333"/>
                <w:sz w:val="21"/>
                <w:szCs w:val="21"/>
                <w:lang w:eastAsia="en-AU"/>
              </w:rPr>
              <w:t>, A, et al 2001, ‘</w:t>
            </w:r>
            <w:proofErr w:type="spellStart"/>
            <w:r w:rsidRPr="0024313D">
              <w:rPr>
                <w:rFonts w:asciiTheme="minorHAnsi" w:eastAsia="Times New Roman" w:hAnsiTheme="minorHAnsi" w:cs="Helvetica"/>
                <w:color w:val="333333"/>
                <w:sz w:val="21"/>
                <w:szCs w:val="21"/>
                <w:lang w:eastAsia="en-AU"/>
              </w:rPr>
              <w:t>Hyperferritinemia</w:t>
            </w:r>
            <w:proofErr w:type="spellEnd"/>
            <w:r w:rsidRPr="0024313D">
              <w:rPr>
                <w:rFonts w:asciiTheme="minorHAnsi" w:eastAsia="Times New Roman" w:hAnsiTheme="minorHAnsi" w:cs="Helvetica"/>
                <w:color w:val="333333"/>
                <w:sz w:val="21"/>
                <w:szCs w:val="21"/>
                <w:lang w:eastAsia="en-AU"/>
              </w:rPr>
              <w:t xml:space="preserve"> as indicator for intravenous immunoglobulin treatment in reactive macrophage activation syndromes’, </w:t>
            </w:r>
            <w:r w:rsidRPr="0024313D">
              <w:rPr>
                <w:rFonts w:asciiTheme="minorHAnsi" w:eastAsia="Times New Roman" w:hAnsiTheme="minorHAnsi" w:cs="Helvetica"/>
                <w:i/>
                <w:iCs/>
                <w:color w:val="333333"/>
                <w:sz w:val="21"/>
                <w:szCs w:val="21"/>
                <w:lang w:eastAsia="en-AU"/>
              </w:rPr>
              <w:t>American Journal of Haematology</w:t>
            </w:r>
            <w:r w:rsidRPr="0024313D">
              <w:rPr>
                <w:rFonts w:asciiTheme="minorHAnsi" w:eastAsia="Times New Roman" w:hAnsiTheme="minorHAnsi" w:cs="Helvetica"/>
                <w:color w:val="333333"/>
                <w:sz w:val="21"/>
                <w:szCs w:val="21"/>
                <w:lang w:eastAsia="en-AU"/>
              </w:rPr>
              <w:t>, vol. 68, no. 1, pp. 4–10.</w:t>
            </w:r>
          </w:p>
          <w:p w14:paraId="002C8C57" w14:textId="77777777" w:rsidR="0024313D" w:rsidRPr="0024313D" w:rsidRDefault="0024313D" w:rsidP="0024313D">
            <w:pPr>
              <w:spacing w:after="150"/>
              <w:rPr>
                <w:rFonts w:asciiTheme="minorHAnsi" w:eastAsia="Times New Roman" w:hAnsiTheme="minorHAnsi" w:cs="Helvetica"/>
                <w:color w:val="333333"/>
                <w:sz w:val="21"/>
                <w:szCs w:val="21"/>
                <w:lang w:eastAsia="en-AU"/>
              </w:rPr>
            </w:pPr>
            <w:proofErr w:type="spellStart"/>
            <w:r w:rsidRPr="0024313D">
              <w:rPr>
                <w:rFonts w:asciiTheme="minorHAnsi" w:eastAsia="Times New Roman" w:hAnsiTheme="minorHAnsi" w:cs="Helvetica"/>
                <w:color w:val="333333"/>
                <w:sz w:val="21"/>
                <w:szCs w:val="21"/>
                <w:lang w:eastAsia="en-AU"/>
              </w:rPr>
              <w:t>Fisman</w:t>
            </w:r>
            <w:proofErr w:type="spellEnd"/>
            <w:r w:rsidRPr="0024313D">
              <w:rPr>
                <w:rFonts w:asciiTheme="minorHAnsi" w:eastAsia="Times New Roman" w:hAnsiTheme="minorHAnsi" w:cs="Helvetica"/>
                <w:color w:val="333333"/>
                <w:sz w:val="21"/>
                <w:szCs w:val="21"/>
                <w:lang w:eastAsia="en-AU"/>
              </w:rPr>
              <w:t>, D, 2000, ‘</w:t>
            </w:r>
            <w:proofErr w:type="spellStart"/>
            <w:r w:rsidRPr="0024313D">
              <w:rPr>
                <w:rFonts w:asciiTheme="minorHAnsi" w:eastAsia="Times New Roman" w:hAnsiTheme="minorHAnsi" w:cs="Helvetica"/>
                <w:color w:val="333333"/>
                <w:sz w:val="21"/>
                <w:szCs w:val="21"/>
                <w:lang w:eastAsia="en-AU"/>
              </w:rPr>
              <w:t>Hemophagocytic</w:t>
            </w:r>
            <w:proofErr w:type="spellEnd"/>
            <w:r w:rsidRPr="0024313D">
              <w:rPr>
                <w:rFonts w:asciiTheme="minorHAnsi" w:eastAsia="Times New Roman" w:hAnsiTheme="minorHAnsi" w:cs="Helvetica"/>
                <w:color w:val="333333"/>
                <w:sz w:val="21"/>
                <w:szCs w:val="21"/>
                <w:lang w:eastAsia="en-AU"/>
              </w:rPr>
              <w:t xml:space="preserve"> syndromes and infection’, </w:t>
            </w:r>
            <w:r w:rsidRPr="0024313D">
              <w:rPr>
                <w:rFonts w:asciiTheme="minorHAnsi" w:eastAsia="Times New Roman" w:hAnsiTheme="minorHAnsi" w:cs="Helvetica"/>
                <w:i/>
                <w:iCs/>
                <w:color w:val="333333"/>
                <w:sz w:val="21"/>
                <w:szCs w:val="21"/>
                <w:lang w:eastAsia="en-AU"/>
              </w:rPr>
              <w:t>Emerging Infectious Diseases</w:t>
            </w:r>
            <w:r w:rsidRPr="0024313D">
              <w:rPr>
                <w:rFonts w:asciiTheme="minorHAnsi" w:eastAsia="Times New Roman" w:hAnsiTheme="minorHAnsi" w:cs="Helvetica"/>
                <w:color w:val="333333"/>
                <w:sz w:val="21"/>
                <w:szCs w:val="21"/>
                <w:lang w:eastAsia="en-AU"/>
              </w:rPr>
              <w:t xml:space="preserve">. Available from: www.cdc.gov/ncidod/ </w:t>
            </w:r>
            <w:proofErr w:type="spellStart"/>
            <w:r w:rsidRPr="0024313D">
              <w:rPr>
                <w:rFonts w:asciiTheme="minorHAnsi" w:eastAsia="Times New Roman" w:hAnsiTheme="minorHAnsi" w:cs="Helvetica"/>
                <w:color w:val="333333"/>
                <w:sz w:val="21"/>
                <w:szCs w:val="21"/>
                <w:lang w:eastAsia="en-AU"/>
              </w:rPr>
              <w:t>eid</w:t>
            </w:r>
            <w:proofErr w:type="spellEnd"/>
            <w:r w:rsidRPr="0024313D">
              <w:rPr>
                <w:rFonts w:asciiTheme="minorHAnsi" w:eastAsia="Times New Roman" w:hAnsiTheme="minorHAnsi" w:cs="Helvetica"/>
                <w:color w:val="333333"/>
                <w:sz w:val="21"/>
                <w:szCs w:val="21"/>
                <w:lang w:eastAsia="en-AU"/>
              </w:rPr>
              <w:t>/vol6no6/fisman.htm [cited 7 Dec 2007]</w:t>
            </w:r>
          </w:p>
          <w:p w14:paraId="4810A2BF" w14:textId="77777777" w:rsidR="0024313D" w:rsidRPr="0024313D" w:rsidRDefault="0024313D" w:rsidP="0024313D">
            <w:pPr>
              <w:spacing w:after="150"/>
              <w:rPr>
                <w:rFonts w:asciiTheme="minorHAnsi" w:eastAsia="Times New Roman" w:hAnsiTheme="minorHAnsi" w:cs="Helvetica"/>
                <w:color w:val="333333"/>
                <w:sz w:val="21"/>
                <w:szCs w:val="21"/>
                <w:lang w:eastAsia="en-AU"/>
              </w:rPr>
            </w:pPr>
            <w:r w:rsidRPr="0024313D">
              <w:rPr>
                <w:rFonts w:asciiTheme="minorHAnsi" w:eastAsia="Times New Roman" w:hAnsiTheme="minorHAnsi" w:cs="Helvetica"/>
                <w:color w:val="333333"/>
                <w:sz w:val="21"/>
                <w:szCs w:val="21"/>
                <w:lang w:eastAsia="en-AU"/>
              </w:rPr>
              <w:t xml:space="preserve">Freeman, B, </w:t>
            </w:r>
            <w:proofErr w:type="spellStart"/>
            <w:r w:rsidRPr="0024313D">
              <w:rPr>
                <w:rFonts w:asciiTheme="minorHAnsi" w:eastAsia="Times New Roman" w:hAnsiTheme="minorHAnsi" w:cs="Helvetica"/>
                <w:color w:val="333333"/>
                <w:sz w:val="21"/>
                <w:szCs w:val="21"/>
                <w:lang w:eastAsia="en-AU"/>
              </w:rPr>
              <w:t>Rathore</w:t>
            </w:r>
            <w:proofErr w:type="spellEnd"/>
            <w:r w:rsidRPr="0024313D">
              <w:rPr>
                <w:rFonts w:asciiTheme="minorHAnsi" w:eastAsia="Times New Roman" w:hAnsiTheme="minorHAnsi" w:cs="Helvetica"/>
                <w:color w:val="333333"/>
                <w:sz w:val="21"/>
                <w:szCs w:val="21"/>
                <w:lang w:eastAsia="en-AU"/>
              </w:rPr>
              <w:t xml:space="preserve">, MH, Salman, E, et al 1993, ‘Intravenously administered immune globulin for the treatment of infection-associated </w:t>
            </w:r>
            <w:proofErr w:type="spellStart"/>
            <w:r w:rsidRPr="0024313D">
              <w:rPr>
                <w:rFonts w:asciiTheme="minorHAnsi" w:eastAsia="Times New Roman" w:hAnsiTheme="minorHAnsi" w:cs="Helvetica"/>
                <w:color w:val="333333"/>
                <w:sz w:val="21"/>
                <w:szCs w:val="21"/>
                <w:lang w:eastAsia="en-AU"/>
              </w:rPr>
              <w:t>hemophagocytic</w:t>
            </w:r>
            <w:proofErr w:type="spellEnd"/>
            <w:r w:rsidRPr="0024313D">
              <w:rPr>
                <w:rFonts w:asciiTheme="minorHAnsi" w:eastAsia="Times New Roman" w:hAnsiTheme="minorHAnsi" w:cs="Helvetica"/>
                <w:color w:val="333333"/>
                <w:sz w:val="21"/>
                <w:szCs w:val="21"/>
                <w:lang w:eastAsia="en-AU"/>
              </w:rPr>
              <w:t xml:space="preserve"> syndrome’, </w:t>
            </w:r>
            <w:r w:rsidRPr="0024313D">
              <w:rPr>
                <w:rFonts w:asciiTheme="minorHAnsi" w:eastAsia="Times New Roman" w:hAnsiTheme="minorHAnsi" w:cs="Helvetica"/>
                <w:i/>
                <w:iCs/>
                <w:color w:val="333333"/>
                <w:sz w:val="21"/>
                <w:szCs w:val="21"/>
                <w:lang w:eastAsia="en-AU"/>
              </w:rPr>
              <w:t xml:space="preserve">Journal of </w:t>
            </w:r>
            <w:proofErr w:type="spellStart"/>
            <w:r w:rsidRPr="0024313D">
              <w:rPr>
                <w:rFonts w:asciiTheme="minorHAnsi" w:eastAsia="Times New Roman" w:hAnsiTheme="minorHAnsi" w:cs="Helvetica"/>
                <w:i/>
                <w:iCs/>
                <w:color w:val="333333"/>
                <w:sz w:val="21"/>
                <w:szCs w:val="21"/>
                <w:lang w:eastAsia="en-AU"/>
              </w:rPr>
              <w:t>Pediatrics</w:t>
            </w:r>
            <w:proofErr w:type="spellEnd"/>
            <w:r w:rsidRPr="0024313D">
              <w:rPr>
                <w:rFonts w:asciiTheme="minorHAnsi" w:eastAsia="Times New Roman" w:hAnsiTheme="minorHAnsi" w:cs="Helvetica"/>
                <w:color w:val="333333"/>
                <w:sz w:val="21"/>
                <w:szCs w:val="21"/>
                <w:lang w:eastAsia="en-AU"/>
              </w:rPr>
              <w:t>, vol. 123, no. 3, pp. 479–81.</w:t>
            </w:r>
          </w:p>
          <w:p w14:paraId="1DD1FA2D" w14:textId="1780617F" w:rsidR="0024313D" w:rsidRPr="0024313D" w:rsidRDefault="0024313D" w:rsidP="00514A0D">
            <w:pPr>
              <w:spacing w:after="150"/>
              <w:rPr>
                <w:rFonts w:asciiTheme="minorHAnsi" w:hAnsiTheme="minorHAnsi"/>
                <w:b/>
              </w:rPr>
            </w:pPr>
            <w:proofErr w:type="spellStart"/>
            <w:r w:rsidRPr="0024313D">
              <w:rPr>
                <w:rFonts w:asciiTheme="minorHAnsi" w:eastAsia="Times New Roman" w:hAnsiTheme="minorHAnsi" w:cs="Helvetica"/>
                <w:color w:val="333333"/>
                <w:sz w:val="21"/>
                <w:szCs w:val="21"/>
                <w:lang w:eastAsia="en-AU"/>
              </w:rPr>
              <w:t>Ostronoff</w:t>
            </w:r>
            <w:proofErr w:type="spellEnd"/>
            <w:r w:rsidRPr="0024313D">
              <w:rPr>
                <w:rFonts w:asciiTheme="minorHAnsi" w:eastAsia="Times New Roman" w:hAnsiTheme="minorHAnsi" w:cs="Helvetica"/>
                <w:color w:val="333333"/>
                <w:sz w:val="21"/>
                <w:szCs w:val="21"/>
                <w:lang w:eastAsia="en-AU"/>
              </w:rPr>
              <w:t xml:space="preserve">, M, </w:t>
            </w:r>
            <w:proofErr w:type="spellStart"/>
            <w:r w:rsidRPr="0024313D">
              <w:rPr>
                <w:rFonts w:asciiTheme="minorHAnsi" w:eastAsia="Times New Roman" w:hAnsiTheme="minorHAnsi" w:cs="Helvetica"/>
                <w:color w:val="333333"/>
                <w:sz w:val="21"/>
                <w:szCs w:val="21"/>
                <w:lang w:eastAsia="en-AU"/>
              </w:rPr>
              <w:t>Ostronoff</w:t>
            </w:r>
            <w:proofErr w:type="spellEnd"/>
            <w:r w:rsidRPr="0024313D">
              <w:rPr>
                <w:rFonts w:asciiTheme="minorHAnsi" w:eastAsia="Times New Roman" w:hAnsiTheme="minorHAnsi" w:cs="Helvetica"/>
                <w:color w:val="333333"/>
                <w:sz w:val="21"/>
                <w:szCs w:val="21"/>
                <w:lang w:eastAsia="en-AU"/>
              </w:rPr>
              <w:t xml:space="preserve">, F, </w:t>
            </w:r>
            <w:proofErr w:type="spellStart"/>
            <w:r w:rsidRPr="0024313D">
              <w:rPr>
                <w:rFonts w:asciiTheme="minorHAnsi" w:eastAsia="Times New Roman" w:hAnsiTheme="minorHAnsi" w:cs="Helvetica"/>
                <w:color w:val="333333"/>
                <w:sz w:val="21"/>
                <w:szCs w:val="21"/>
                <w:lang w:eastAsia="en-AU"/>
              </w:rPr>
              <w:t>Coutinho</w:t>
            </w:r>
            <w:proofErr w:type="spellEnd"/>
            <w:r w:rsidRPr="0024313D">
              <w:rPr>
                <w:rFonts w:asciiTheme="minorHAnsi" w:eastAsia="Times New Roman" w:hAnsiTheme="minorHAnsi" w:cs="Helvetica"/>
                <w:color w:val="333333"/>
                <w:sz w:val="21"/>
                <w:szCs w:val="21"/>
                <w:lang w:eastAsia="en-AU"/>
              </w:rPr>
              <w:t>, M, et al 2006, ‘</w:t>
            </w:r>
            <w:proofErr w:type="spellStart"/>
            <w:r w:rsidRPr="0024313D">
              <w:rPr>
                <w:rFonts w:asciiTheme="minorHAnsi" w:eastAsia="Times New Roman" w:hAnsiTheme="minorHAnsi" w:cs="Helvetica"/>
                <w:color w:val="333333"/>
                <w:sz w:val="21"/>
                <w:szCs w:val="21"/>
                <w:lang w:eastAsia="en-AU"/>
              </w:rPr>
              <w:t>Haemophagocytic</w:t>
            </w:r>
            <w:proofErr w:type="spellEnd"/>
            <w:r w:rsidRPr="0024313D">
              <w:rPr>
                <w:rFonts w:asciiTheme="minorHAnsi" w:eastAsia="Times New Roman" w:hAnsiTheme="minorHAnsi" w:cs="Helvetica"/>
                <w:color w:val="333333"/>
                <w:sz w:val="21"/>
                <w:szCs w:val="21"/>
                <w:lang w:eastAsia="en-AU"/>
              </w:rPr>
              <w:t xml:space="preserve"> syndrome after autologous peripheral blood stem cell transplantation for multiple myeloma; successful treatment with high-dose intravenous immunoglobulin’, </w:t>
            </w:r>
            <w:r w:rsidRPr="0024313D">
              <w:rPr>
                <w:rFonts w:asciiTheme="minorHAnsi" w:eastAsia="Times New Roman" w:hAnsiTheme="minorHAnsi" w:cs="Helvetica"/>
                <w:i/>
                <w:iCs/>
                <w:color w:val="333333"/>
                <w:sz w:val="21"/>
                <w:szCs w:val="21"/>
                <w:lang w:eastAsia="en-AU"/>
              </w:rPr>
              <w:t>Bone Marrow Transplantation</w:t>
            </w:r>
            <w:r w:rsidRPr="0024313D">
              <w:rPr>
                <w:rFonts w:asciiTheme="minorHAnsi" w:eastAsia="Times New Roman" w:hAnsiTheme="minorHAnsi" w:cs="Helvetica"/>
                <w:color w:val="333333"/>
                <w:sz w:val="21"/>
                <w:szCs w:val="21"/>
                <w:lang w:eastAsia="en-AU"/>
              </w:rPr>
              <w:t>, vol. 37, no. 8, pp. 797–8.</w:t>
            </w:r>
          </w:p>
        </w:tc>
      </w:tr>
      <w:tr w:rsidR="0024313D" w:rsidRPr="0024313D" w14:paraId="3727B4D1" w14:textId="77777777" w:rsidTr="0024313D">
        <w:tc>
          <w:tcPr>
            <w:tcW w:w="5000" w:type="pct"/>
            <w:shd w:val="clear" w:color="auto" w:fill="DBE5F1" w:themeFill="accent1" w:themeFillTint="33"/>
          </w:tcPr>
          <w:p w14:paraId="1E1217CC" w14:textId="44FED129" w:rsidR="0024313D" w:rsidRPr="0024313D" w:rsidRDefault="0024313D" w:rsidP="0024313D">
            <w:pPr>
              <w:spacing w:after="150"/>
              <w:jc w:val="center"/>
              <w:rPr>
                <w:rFonts w:asciiTheme="minorHAnsi" w:eastAsia="Times New Roman" w:hAnsiTheme="minorHAnsi" w:cs="Helvetica"/>
                <w:color w:val="333333"/>
                <w:sz w:val="21"/>
                <w:szCs w:val="21"/>
                <w:lang w:eastAsia="en-AU"/>
              </w:rPr>
            </w:pPr>
            <w:r w:rsidRPr="0042387B">
              <w:rPr>
                <w:rFonts w:asciiTheme="minorHAnsi" w:hAnsiTheme="minorHAnsi"/>
                <w:b/>
              </w:rPr>
              <w:t>END OF DOCUMENT</w:t>
            </w:r>
          </w:p>
        </w:tc>
      </w:tr>
    </w:tbl>
    <w:p w14:paraId="5031E256" w14:textId="4BD51329" w:rsidR="00F6138C" w:rsidRDefault="002355FB" w:rsidP="0018546B">
      <w:pPr>
        <w:spacing w:before="100" w:beforeAutospacing="1" w:after="100" w:afterAutospacing="1" w:line="360" w:lineRule="atLeast"/>
        <w:rPr>
          <w:rFonts w:ascii="Lucida Sans" w:hAnsi="Lucida Sans"/>
          <w:b/>
          <w:bCs/>
          <w:color w:val="FFFFFF"/>
        </w:rPr>
      </w:pPr>
      <w:proofErr w:type="gramStart"/>
      <w:r>
        <w:rPr>
          <w:rFonts w:ascii="Lucida Sans" w:hAnsi="Lucida Sans"/>
          <w:b/>
          <w:bCs/>
          <w:color w:val="FFFFFF"/>
        </w:rPr>
        <w:t>lympho</w:t>
      </w:r>
      <w:r w:rsidR="00F6138C">
        <w:rPr>
          <w:rFonts w:ascii="Lucida Sans" w:hAnsi="Lucida Sans"/>
          <w:b/>
          <w:bCs/>
          <w:color w:val="FFFFFF"/>
        </w:rPr>
        <w:t>ma</w:t>
      </w:r>
      <w:proofErr w:type="gramEnd"/>
      <w:r w:rsidR="00F6138C">
        <w:rPr>
          <w:rFonts w:ascii="Lucida Sans" w:hAnsi="Lucida Sans"/>
          <w:b/>
          <w:bCs/>
          <w:color w:val="FFFFFF"/>
        </w:rPr>
        <w:t xml:space="preserve"> (NHL) and other relevant ma</w:t>
      </w:r>
    </w:p>
    <w:sectPr w:rsidR="00F6138C" w:rsidSect="00F6138C">
      <w:type w:val="continuous"/>
      <w:pgSz w:w="16839" w:h="11907" w:orient="landscape" w:code="9"/>
      <w:pgMar w:top="720" w:right="720" w:bottom="720" w:left="720" w:header="708" w:footer="1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F0C8" w14:textId="77777777" w:rsidR="00942B34" w:rsidRDefault="00942B34" w:rsidP="00856708">
      <w:pPr>
        <w:spacing w:after="0"/>
      </w:pPr>
      <w:r>
        <w:separator/>
      </w:r>
    </w:p>
  </w:endnote>
  <w:endnote w:type="continuationSeparator" w:id="0">
    <w:p w14:paraId="20DC5362" w14:textId="77777777" w:rsidR="00942B34" w:rsidRDefault="00942B34"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B9BE0" w14:textId="77777777" w:rsidR="00942B34" w:rsidRPr="00856708" w:rsidRDefault="00942B34" w:rsidP="00AF650A">
    <w:pPr>
      <w:pStyle w:val="Footer"/>
      <w:tabs>
        <w:tab w:val="clear" w:pos="9026"/>
        <w:tab w:val="right" w:pos="14034"/>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514A0D">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142B" w14:textId="77777777" w:rsidR="00942B34" w:rsidRDefault="00942B34" w:rsidP="00856708">
      <w:pPr>
        <w:spacing w:after="0"/>
      </w:pPr>
      <w:r>
        <w:separator/>
      </w:r>
    </w:p>
  </w:footnote>
  <w:footnote w:type="continuationSeparator" w:id="0">
    <w:p w14:paraId="3C4C62EE" w14:textId="77777777" w:rsidR="00942B34" w:rsidRDefault="00942B34"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DA1B" w14:textId="77777777" w:rsidR="00942B34" w:rsidRDefault="00514A0D">
    <w:pPr>
      <w:pStyle w:val="Header"/>
    </w:pPr>
    <w:sdt>
      <w:sdtPr>
        <w:id w:val="171999623"/>
        <w:placeholder>
          <w:docPart w:val="4318DC39B0B5714AA1272BAEF2DE62E2"/>
        </w:placeholder>
        <w:temporary/>
        <w:showingPlcHdr/>
      </w:sdtPr>
      <w:sdtEndPr/>
      <w:sdtContent>
        <w:r w:rsidR="00942B34">
          <w:t>[Type text]</w:t>
        </w:r>
      </w:sdtContent>
    </w:sdt>
    <w:r w:rsidR="00942B34">
      <w:ptab w:relativeTo="margin" w:alignment="center" w:leader="none"/>
    </w:r>
    <w:sdt>
      <w:sdtPr>
        <w:id w:val="171999624"/>
        <w:placeholder>
          <w:docPart w:val="255F24039E3CD646BF4EC89E9F52221B"/>
        </w:placeholder>
        <w:temporary/>
        <w:showingPlcHdr/>
      </w:sdtPr>
      <w:sdtEndPr/>
      <w:sdtContent>
        <w:r w:rsidR="00942B34">
          <w:t>[Type text]</w:t>
        </w:r>
      </w:sdtContent>
    </w:sdt>
    <w:r w:rsidR="00942B34">
      <w:ptab w:relativeTo="margin" w:alignment="right" w:leader="none"/>
    </w:r>
    <w:sdt>
      <w:sdtPr>
        <w:id w:val="171999625"/>
        <w:placeholder>
          <w:docPart w:val="B2E672F6A46DC34D85472E78455D4ECB"/>
        </w:placeholder>
        <w:temporary/>
        <w:showingPlcHdr/>
      </w:sdtPr>
      <w:sdtEndPr/>
      <w:sdtContent>
        <w:r w:rsidR="00942B34">
          <w:t>[Type text]</w:t>
        </w:r>
      </w:sdtContent>
    </w:sdt>
  </w:p>
  <w:p w14:paraId="095C2597" w14:textId="77777777" w:rsidR="00942B34" w:rsidRDefault="00942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B58"/>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1777EB"/>
    <w:multiLevelType w:val="multilevel"/>
    <w:tmpl w:val="AA145D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93DCF"/>
    <w:multiLevelType w:val="hybridMultilevel"/>
    <w:tmpl w:val="892A7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C2554"/>
    <w:multiLevelType w:val="multilevel"/>
    <w:tmpl w:val="74B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F0119D"/>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823F84"/>
    <w:multiLevelType w:val="hybridMultilevel"/>
    <w:tmpl w:val="EE98E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20191D"/>
    <w:multiLevelType w:val="multilevel"/>
    <w:tmpl w:val="5418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CD38F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8">
    <w:nsid w:val="2A6A5C88"/>
    <w:multiLevelType w:val="hybridMultilevel"/>
    <w:tmpl w:val="11F2B5CA"/>
    <w:lvl w:ilvl="0" w:tplc="0C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E43441"/>
    <w:multiLevelType w:val="hybridMultilevel"/>
    <w:tmpl w:val="39B09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95E1C"/>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B591E79"/>
    <w:multiLevelType w:val="hybridMultilevel"/>
    <w:tmpl w:val="7EBE9F0E"/>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B6E5A2B"/>
    <w:multiLevelType w:val="multilevel"/>
    <w:tmpl w:val="CBE8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3235B5"/>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32B877CF"/>
    <w:multiLevelType w:val="hybridMultilevel"/>
    <w:tmpl w:val="D4EE39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568D95E">
      <w:numFmt w:val="bullet"/>
      <w:lvlText w:val="-"/>
      <w:lvlJc w:val="left"/>
      <w:pPr>
        <w:ind w:left="4140" w:hanging="360"/>
      </w:pPr>
      <w:rPr>
        <w:rFonts w:ascii="Calibri" w:eastAsia="Dotum" w:hAnsi="Calibri" w:cs="Calibr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E8F2341"/>
    <w:multiLevelType w:val="hybridMultilevel"/>
    <w:tmpl w:val="4D94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5A04B3"/>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222136"/>
    <w:multiLevelType w:val="hybridMultilevel"/>
    <w:tmpl w:val="8E3E8778"/>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82D29FC"/>
    <w:multiLevelType w:val="hybridMultilevel"/>
    <w:tmpl w:val="AC5CF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E8789F"/>
    <w:multiLevelType w:val="hybridMultilevel"/>
    <w:tmpl w:val="693A5DD4"/>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B066B30"/>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094B45"/>
    <w:multiLevelType w:val="hybridMultilevel"/>
    <w:tmpl w:val="A74213EA"/>
    <w:lvl w:ilvl="0" w:tplc="0C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B7D4C70"/>
    <w:multiLevelType w:val="hybridMultilevel"/>
    <w:tmpl w:val="5B82FA96"/>
    <w:lvl w:ilvl="0" w:tplc="0409001B">
      <w:start w:val="1"/>
      <w:numFmt w:val="lowerRoman"/>
      <w:lvlText w:val="%1."/>
      <w:lvlJc w:val="right"/>
      <w:pPr>
        <w:ind w:left="720" w:hanging="360"/>
      </w:p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4">
    <w:nsid w:val="4B9D0D0F"/>
    <w:multiLevelType w:val="hybridMultilevel"/>
    <w:tmpl w:val="5B82FA96"/>
    <w:lvl w:ilvl="0" w:tplc="0409001B">
      <w:start w:val="1"/>
      <w:numFmt w:val="lowerRoman"/>
      <w:lvlText w:val="%1."/>
      <w:lvlJc w:val="right"/>
      <w:pPr>
        <w:ind w:left="720" w:hanging="360"/>
      </w:pPr>
    </w:lvl>
    <w:lvl w:ilvl="1" w:tplc="04090019" w:tentative="1">
      <w:start w:val="1"/>
      <w:numFmt w:val="lowerLetter"/>
      <w:lvlText w:val="%2."/>
      <w:lvlJc w:val="left"/>
      <w:pPr>
        <w:ind w:left="666" w:hanging="360"/>
      </w:pPr>
    </w:lvl>
    <w:lvl w:ilvl="2" w:tplc="0409001B" w:tentative="1">
      <w:start w:val="1"/>
      <w:numFmt w:val="lowerRoman"/>
      <w:lvlText w:val="%3."/>
      <w:lvlJc w:val="right"/>
      <w:pPr>
        <w:ind w:left="1386" w:hanging="180"/>
      </w:pPr>
    </w:lvl>
    <w:lvl w:ilvl="3" w:tplc="0409000F" w:tentative="1">
      <w:start w:val="1"/>
      <w:numFmt w:val="decimal"/>
      <w:lvlText w:val="%4."/>
      <w:lvlJc w:val="left"/>
      <w:pPr>
        <w:ind w:left="2106" w:hanging="360"/>
      </w:pPr>
    </w:lvl>
    <w:lvl w:ilvl="4" w:tplc="04090019" w:tentative="1">
      <w:start w:val="1"/>
      <w:numFmt w:val="lowerLetter"/>
      <w:lvlText w:val="%5."/>
      <w:lvlJc w:val="left"/>
      <w:pPr>
        <w:ind w:left="2826" w:hanging="360"/>
      </w:pPr>
    </w:lvl>
    <w:lvl w:ilvl="5" w:tplc="0409001B" w:tentative="1">
      <w:start w:val="1"/>
      <w:numFmt w:val="lowerRoman"/>
      <w:lvlText w:val="%6."/>
      <w:lvlJc w:val="right"/>
      <w:pPr>
        <w:ind w:left="3546" w:hanging="180"/>
      </w:pPr>
    </w:lvl>
    <w:lvl w:ilvl="6" w:tplc="0409000F" w:tentative="1">
      <w:start w:val="1"/>
      <w:numFmt w:val="decimal"/>
      <w:lvlText w:val="%7."/>
      <w:lvlJc w:val="left"/>
      <w:pPr>
        <w:ind w:left="4266" w:hanging="360"/>
      </w:pPr>
    </w:lvl>
    <w:lvl w:ilvl="7" w:tplc="04090019" w:tentative="1">
      <w:start w:val="1"/>
      <w:numFmt w:val="lowerLetter"/>
      <w:lvlText w:val="%8."/>
      <w:lvlJc w:val="left"/>
      <w:pPr>
        <w:ind w:left="4986" w:hanging="360"/>
      </w:pPr>
    </w:lvl>
    <w:lvl w:ilvl="8" w:tplc="0409001B" w:tentative="1">
      <w:start w:val="1"/>
      <w:numFmt w:val="lowerRoman"/>
      <w:lvlText w:val="%9."/>
      <w:lvlJc w:val="right"/>
      <w:pPr>
        <w:ind w:left="5706" w:hanging="180"/>
      </w:pPr>
    </w:lvl>
  </w:abstractNum>
  <w:abstractNum w:abstractNumId="25">
    <w:nsid w:val="4CF048D4"/>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6C5A20"/>
    <w:multiLevelType w:val="hybridMultilevel"/>
    <w:tmpl w:val="AF280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821C0B"/>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5ED1FC2"/>
    <w:multiLevelType w:val="hybridMultilevel"/>
    <w:tmpl w:val="ED0A25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484F61"/>
    <w:multiLevelType w:val="hybridMultilevel"/>
    <w:tmpl w:val="EF88EE9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925604"/>
    <w:multiLevelType w:val="hybridMultilevel"/>
    <w:tmpl w:val="51DE2CAC"/>
    <w:lvl w:ilvl="0" w:tplc="0C09001B">
      <w:start w:val="1"/>
      <w:numFmt w:val="lowerRoman"/>
      <w:lvlText w:val="%1."/>
      <w:lvlJc w:val="righ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31">
    <w:nsid w:val="56E30CB8"/>
    <w:multiLevelType w:val="hybridMultilevel"/>
    <w:tmpl w:val="46D4AF1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E756FC"/>
    <w:multiLevelType w:val="hybridMultilevel"/>
    <w:tmpl w:val="7DD27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D73B67"/>
    <w:multiLevelType w:val="multilevel"/>
    <w:tmpl w:val="2D1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920B44"/>
    <w:multiLevelType w:val="multilevel"/>
    <w:tmpl w:val="DDA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12652"/>
    <w:multiLevelType w:val="multilevel"/>
    <w:tmpl w:val="9DBC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4E5B34"/>
    <w:multiLevelType w:val="hybridMultilevel"/>
    <w:tmpl w:val="3CAAC5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D2705C"/>
    <w:multiLevelType w:val="hybridMultilevel"/>
    <w:tmpl w:val="DF98894C"/>
    <w:lvl w:ilvl="0" w:tplc="EEF4CBBC">
      <w:start w:val="1"/>
      <w:numFmt w:val="bullet"/>
      <w:lvlText w:val="–"/>
      <w:lvlJc w:val="left"/>
      <w:pPr>
        <w:ind w:left="1080" w:hanging="360"/>
      </w:pPr>
      <w:rPr>
        <w:rFonts w:ascii="Times New Roman" w:hAnsi="Times New Roman" w:cs="Times New Roman"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6EDE7C7C"/>
    <w:multiLevelType w:val="hybridMultilevel"/>
    <w:tmpl w:val="067AB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E77D1D"/>
    <w:multiLevelType w:val="multilevel"/>
    <w:tmpl w:val="32E0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03581F"/>
    <w:multiLevelType w:val="hybridMultilevel"/>
    <w:tmpl w:val="AC5CF1D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521186"/>
    <w:multiLevelType w:val="hybridMultilevel"/>
    <w:tmpl w:val="ED8CD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F74734"/>
    <w:multiLevelType w:val="multilevel"/>
    <w:tmpl w:val="B96E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2329E7"/>
    <w:multiLevelType w:val="hybridMultilevel"/>
    <w:tmpl w:val="1DA4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CD0942"/>
    <w:multiLevelType w:val="multilevel"/>
    <w:tmpl w:val="9D2A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715626"/>
    <w:multiLevelType w:val="hybridMultilevel"/>
    <w:tmpl w:val="91B2C4BC"/>
    <w:lvl w:ilvl="0" w:tplc="EEF4CBBC">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
  </w:num>
  <w:num w:numId="3">
    <w:abstractNumId w:val="39"/>
  </w:num>
  <w:num w:numId="4">
    <w:abstractNumId w:val="6"/>
  </w:num>
  <w:num w:numId="5">
    <w:abstractNumId w:val="1"/>
  </w:num>
  <w:num w:numId="6">
    <w:abstractNumId w:val="42"/>
  </w:num>
  <w:num w:numId="7">
    <w:abstractNumId w:val="33"/>
  </w:num>
  <w:num w:numId="8">
    <w:abstractNumId w:val="44"/>
  </w:num>
  <w:num w:numId="9">
    <w:abstractNumId w:val="34"/>
  </w:num>
  <w:num w:numId="10">
    <w:abstractNumId w:val="12"/>
  </w:num>
  <w:num w:numId="11">
    <w:abstractNumId w:val="35"/>
  </w:num>
  <w:num w:numId="12">
    <w:abstractNumId w:val="9"/>
  </w:num>
  <w:num w:numId="13">
    <w:abstractNumId w:val="32"/>
  </w:num>
  <w:num w:numId="14">
    <w:abstractNumId w:val="36"/>
  </w:num>
  <w:num w:numId="15">
    <w:abstractNumId w:val="31"/>
  </w:num>
  <w:num w:numId="16">
    <w:abstractNumId w:val="28"/>
  </w:num>
  <w:num w:numId="17">
    <w:abstractNumId w:val="25"/>
  </w:num>
  <w:num w:numId="18">
    <w:abstractNumId w:val="21"/>
  </w:num>
  <w:num w:numId="19">
    <w:abstractNumId w:val="43"/>
  </w:num>
  <w:num w:numId="20">
    <w:abstractNumId w:val="30"/>
  </w:num>
  <w:num w:numId="21">
    <w:abstractNumId w:val="22"/>
  </w:num>
  <w:num w:numId="22">
    <w:abstractNumId w:val="18"/>
  </w:num>
  <w:num w:numId="23">
    <w:abstractNumId w:val="8"/>
  </w:num>
  <w:num w:numId="24">
    <w:abstractNumId w:val="20"/>
  </w:num>
  <w:num w:numId="25">
    <w:abstractNumId w:val="11"/>
  </w:num>
  <w:num w:numId="26">
    <w:abstractNumId w:val="10"/>
  </w:num>
  <w:num w:numId="27">
    <w:abstractNumId w:val="7"/>
  </w:num>
  <w:num w:numId="28">
    <w:abstractNumId w:val="23"/>
  </w:num>
  <w:num w:numId="29">
    <w:abstractNumId w:val="26"/>
  </w:num>
  <w:num w:numId="30">
    <w:abstractNumId w:val="40"/>
  </w:num>
  <w:num w:numId="31">
    <w:abstractNumId w:val="29"/>
  </w:num>
  <w:num w:numId="32">
    <w:abstractNumId w:val="19"/>
  </w:num>
  <w:num w:numId="33">
    <w:abstractNumId w:val="27"/>
  </w:num>
  <w:num w:numId="34">
    <w:abstractNumId w:val="41"/>
  </w:num>
  <w:num w:numId="35">
    <w:abstractNumId w:val="0"/>
  </w:num>
  <w:num w:numId="36">
    <w:abstractNumId w:val="17"/>
  </w:num>
  <w:num w:numId="37">
    <w:abstractNumId w:val="13"/>
  </w:num>
  <w:num w:numId="38">
    <w:abstractNumId w:val="4"/>
  </w:num>
  <w:num w:numId="39">
    <w:abstractNumId w:val="15"/>
  </w:num>
  <w:num w:numId="40">
    <w:abstractNumId w:val="24"/>
  </w:num>
  <w:num w:numId="41">
    <w:abstractNumId w:val="5"/>
  </w:num>
  <w:num w:numId="42">
    <w:abstractNumId w:val="16"/>
  </w:num>
  <w:num w:numId="43">
    <w:abstractNumId w:val="37"/>
  </w:num>
  <w:num w:numId="44">
    <w:abstractNumId w:val="45"/>
  </w:num>
  <w:num w:numId="45">
    <w:abstractNumId w:val="2"/>
  </w:num>
  <w:num w:numId="46">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BD"/>
    <w:rsid w:val="00011339"/>
    <w:rsid w:val="0002479D"/>
    <w:rsid w:val="00036EDC"/>
    <w:rsid w:val="0004066E"/>
    <w:rsid w:val="00040E71"/>
    <w:rsid w:val="000648B7"/>
    <w:rsid w:val="000666FC"/>
    <w:rsid w:val="0006713B"/>
    <w:rsid w:val="00070ABB"/>
    <w:rsid w:val="00070BB9"/>
    <w:rsid w:val="000725A5"/>
    <w:rsid w:val="000860B9"/>
    <w:rsid w:val="000879F5"/>
    <w:rsid w:val="000B12CB"/>
    <w:rsid w:val="000B40A7"/>
    <w:rsid w:val="000C033B"/>
    <w:rsid w:val="000D2614"/>
    <w:rsid w:val="000E2EB1"/>
    <w:rsid w:val="00100457"/>
    <w:rsid w:val="00105D8F"/>
    <w:rsid w:val="00116B21"/>
    <w:rsid w:val="001247EB"/>
    <w:rsid w:val="00125082"/>
    <w:rsid w:val="00126E6D"/>
    <w:rsid w:val="00133F9F"/>
    <w:rsid w:val="00154F1C"/>
    <w:rsid w:val="00167FA6"/>
    <w:rsid w:val="001845E1"/>
    <w:rsid w:val="0018546B"/>
    <w:rsid w:val="00195DF7"/>
    <w:rsid w:val="001971B4"/>
    <w:rsid w:val="001A3C47"/>
    <w:rsid w:val="001A59EA"/>
    <w:rsid w:val="001A7757"/>
    <w:rsid w:val="001B270E"/>
    <w:rsid w:val="001B603B"/>
    <w:rsid w:val="001D21E9"/>
    <w:rsid w:val="001D2781"/>
    <w:rsid w:val="001E3320"/>
    <w:rsid w:val="001E6F4E"/>
    <w:rsid w:val="001F20F5"/>
    <w:rsid w:val="001F5884"/>
    <w:rsid w:val="00202137"/>
    <w:rsid w:val="00215448"/>
    <w:rsid w:val="00221C9F"/>
    <w:rsid w:val="00225477"/>
    <w:rsid w:val="0023523E"/>
    <w:rsid w:val="002355FB"/>
    <w:rsid w:val="0024313D"/>
    <w:rsid w:val="002443F8"/>
    <w:rsid w:val="002537F2"/>
    <w:rsid w:val="002608B9"/>
    <w:rsid w:val="00260AB3"/>
    <w:rsid w:val="00271AA0"/>
    <w:rsid w:val="00275108"/>
    <w:rsid w:val="00287F96"/>
    <w:rsid w:val="00295CD3"/>
    <w:rsid w:val="002C17DE"/>
    <w:rsid w:val="002D0D26"/>
    <w:rsid w:val="002E7263"/>
    <w:rsid w:val="002F2EF0"/>
    <w:rsid w:val="002F3C9E"/>
    <w:rsid w:val="003135AA"/>
    <w:rsid w:val="0032018C"/>
    <w:rsid w:val="00325297"/>
    <w:rsid w:val="003279B9"/>
    <w:rsid w:val="003440C1"/>
    <w:rsid w:val="00345163"/>
    <w:rsid w:val="003512A4"/>
    <w:rsid w:val="00371798"/>
    <w:rsid w:val="00375B4C"/>
    <w:rsid w:val="00396DC9"/>
    <w:rsid w:val="003A1CDF"/>
    <w:rsid w:val="003A331F"/>
    <w:rsid w:val="003B28FA"/>
    <w:rsid w:val="003D1E94"/>
    <w:rsid w:val="003D27F1"/>
    <w:rsid w:val="00405321"/>
    <w:rsid w:val="0042387B"/>
    <w:rsid w:val="00427894"/>
    <w:rsid w:val="004464E3"/>
    <w:rsid w:val="00460480"/>
    <w:rsid w:val="004607DE"/>
    <w:rsid w:val="00461AB0"/>
    <w:rsid w:val="00477865"/>
    <w:rsid w:val="004825CB"/>
    <w:rsid w:val="004971CE"/>
    <w:rsid w:val="004B3F94"/>
    <w:rsid w:val="004B4B9A"/>
    <w:rsid w:val="004D4636"/>
    <w:rsid w:val="004D4A55"/>
    <w:rsid w:val="004E1EB3"/>
    <w:rsid w:val="004F320E"/>
    <w:rsid w:val="00502186"/>
    <w:rsid w:val="00502A94"/>
    <w:rsid w:val="00507C8F"/>
    <w:rsid w:val="0051064D"/>
    <w:rsid w:val="00514A0D"/>
    <w:rsid w:val="005250DB"/>
    <w:rsid w:val="00525D15"/>
    <w:rsid w:val="00530153"/>
    <w:rsid w:val="00532B5F"/>
    <w:rsid w:val="00533313"/>
    <w:rsid w:val="00540020"/>
    <w:rsid w:val="00544A38"/>
    <w:rsid w:val="005533AE"/>
    <w:rsid w:val="00555B41"/>
    <w:rsid w:val="005571FD"/>
    <w:rsid w:val="00562489"/>
    <w:rsid w:val="00571E8E"/>
    <w:rsid w:val="00572393"/>
    <w:rsid w:val="0058089D"/>
    <w:rsid w:val="00586D24"/>
    <w:rsid w:val="005938D0"/>
    <w:rsid w:val="0059569A"/>
    <w:rsid w:val="005A2874"/>
    <w:rsid w:val="005B1275"/>
    <w:rsid w:val="005C23AD"/>
    <w:rsid w:val="005C55D0"/>
    <w:rsid w:val="005D41A3"/>
    <w:rsid w:val="005E0B4A"/>
    <w:rsid w:val="005E2598"/>
    <w:rsid w:val="005E3562"/>
    <w:rsid w:val="005F6D36"/>
    <w:rsid w:val="006134F8"/>
    <w:rsid w:val="006542B9"/>
    <w:rsid w:val="006562E8"/>
    <w:rsid w:val="00671C69"/>
    <w:rsid w:val="006771CE"/>
    <w:rsid w:val="00685779"/>
    <w:rsid w:val="006909F4"/>
    <w:rsid w:val="00695F52"/>
    <w:rsid w:val="00696339"/>
    <w:rsid w:val="006B0F84"/>
    <w:rsid w:val="006B2B0F"/>
    <w:rsid w:val="006C3D7C"/>
    <w:rsid w:val="006C4643"/>
    <w:rsid w:val="006E434F"/>
    <w:rsid w:val="006F0196"/>
    <w:rsid w:val="00704DAE"/>
    <w:rsid w:val="007153DA"/>
    <w:rsid w:val="00717D84"/>
    <w:rsid w:val="007322C3"/>
    <w:rsid w:val="007342DB"/>
    <w:rsid w:val="00735A76"/>
    <w:rsid w:val="00741030"/>
    <w:rsid w:val="00741E56"/>
    <w:rsid w:val="00742B78"/>
    <w:rsid w:val="00742CD1"/>
    <w:rsid w:val="0074479F"/>
    <w:rsid w:val="0074490E"/>
    <w:rsid w:val="00744CEC"/>
    <w:rsid w:val="007528F5"/>
    <w:rsid w:val="00780598"/>
    <w:rsid w:val="0078301C"/>
    <w:rsid w:val="00785DA4"/>
    <w:rsid w:val="00795ACA"/>
    <w:rsid w:val="007A2B44"/>
    <w:rsid w:val="007B4075"/>
    <w:rsid w:val="007B71C8"/>
    <w:rsid w:val="007C2551"/>
    <w:rsid w:val="007C37E1"/>
    <w:rsid w:val="007D35FB"/>
    <w:rsid w:val="007D5647"/>
    <w:rsid w:val="007D6EF3"/>
    <w:rsid w:val="007F3DB8"/>
    <w:rsid w:val="007F52A4"/>
    <w:rsid w:val="007F60CE"/>
    <w:rsid w:val="00814EBA"/>
    <w:rsid w:val="00814FA0"/>
    <w:rsid w:val="00816C49"/>
    <w:rsid w:val="0082430E"/>
    <w:rsid w:val="00825AF2"/>
    <w:rsid w:val="0082663A"/>
    <w:rsid w:val="00842D03"/>
    <w:rsid w:val="00842FFC"/>
    <w:rsid w:val="00847293"/>
    <w:rsid w:val="008545CC"/>
    <w:rsid w:val="00856708"/>
    <w:rsid w:val="00856779"/>
    <w:rsid w:val="00867F13"/>
    <w:rsid w:val="008824FB"/>
    <w:rsid w:val="00883368"/>
    <w:rsid w:val="00885B04"/>
    <w:rsid w:val="00893E0A"/>
    <w:rsid w:val="00896B16"/>
    <w:rsid w:val="008A1091"/>
    <w:rsid w:val="008A5596"/>
    <w:rsid w:val="008A56E9"/>
    <w:rsid w:val="008B3C9E"/>
    <w:rsid w:val="008B5F91"/>
    <w:rsid w:val="008B6271"/>
    <w:rsid w:val="008B7ED3"/>
    <w:rsid w:val="008C4459"/>
    <w:rsid w:val="008C51F9"/>
    <w:rsid w:val="008C7A1A"/>
    <w:rsid w:val="00900274"/>
    <w:rsid w:val="00935A91"/>
    <w:rsid w:val="00940140"/>
    <w:rsid w:val="009404B2"/>
    <w:rsid w:val="009421A4"/>
    <w:rsid w:val="00942B34"/>
    <w:rsid w:val="00951B85"/>
    <w:rsid w:val="009715A9"/>
    <w:rsid w:val="009836EC"/>
    <w:rsid w:val="00991FB8"/>
    <w:rsid w:val="009A7641"/>
    <w:rsid w:val="009C2E16"/>
    <w:rsid w:val="009C4CA4"/>
    <w:rsid w:val="009D19EE"/>
    <w:rsid w:val="009D2865"/>
    <w:rsid w:val="009E38CC"/>
    <w:rsid w:val="009E5588"/>
    <w:rsid w:val="009E5681"/>
    <w:rsid w:val="00A1080E"/>
    <w:rsid w:val="00A138FA"/>
    <w:rsid w:val="00A23319"/>
    <w:rsid w:val="00A25340"/>
    <w:rsid w:val="00A445C4"/>
    <w:rsid w:val="00A50F36"/>
    <w:rsid w:val="00A5345D"/>
    <w:rsid w:val="00A57A03"/>
    <w:rsid w:val="00A60FCB"/>
    <w:rsid w:val="00A71FD8"/>
    <w:rsid w:val="00A77FB6"/>
    <w:rsid w:val="00A95E26"/>
    <w:rsid w:val="00A96745"/>
    <w:rsid w:val="00AB465F"/>
    <w:rsid w:val="00AB75DD"/>
    <w:rsid w:val="00AC5F0B"/>
    <w:rsid w:val="00AC612A"/>
    <w:rsid w:val="00AD389B"/>
    <w:rsid w:val="00AE0DE0"/>
    <w:rsid w:val="00AF5B79"/>
    <w:rsid w:val="00AF650A"/>
    <w:rsid w:val="00B10F26"/>
    <w:rsid w:val="00B11B17"/>
    <w:rsid w:val="00B23E0C"/>
    <w:rsid w:val="00B27962"/>
    <w:rsid w:val="00B32820"/>
    <w:rsid w:val="00B32CBE"/>
    <w:rsid w:val="00B3726E"/>
    <w:rsid w:val="00B37382"/>
    <w:rsid w:val="00B4181A"/>
    <w:rsid w:val="00B44EA3"/>
    <w:rsid w:val="00B4755B"/>
    <w:rsid w:val="00B52FBD"/>
    <w:rsid w:val="00B57717"/>
    <w:rsid w:val="00B77CE3"/>
    <w:rsid w:val="00B8323E"/>
    <w:rsid w:val="00B926C4"/>
    <w:rsid w:val="00B94604"/>
    <w:rsid w:val="00BA1EBD"/>
    <w:rsid w:val="00BA313A"/>
    <w:rsid w:val="00BC7BCC"/>
    <w:rsid w:val="00BD3040"/>
    <w:rsid w:val="00BD341A"/>
    <w:rsid w:val="00BD3E6B"/>
    <w:rsid w:val="00BD637C"/>
    <w:rsid w:val="00BF23E8"/>
    <w:rsid w:val="00BF336E"/>
    <w:rsid w:val="00C05E1D"/>
    <w:rsid w:val="00C06419"/>
    <w:rsid w:val="00C07E96"/>
    <w:rsid w:val="00C11767"/>
    <w:rsid w:val="00C24D0D"/>
    <w:rsid w:val="00C34033"/>
    <w:rsid w:val="00C42E96"/>
    <w:rsid w:val="00C4553C"/>
    <w:rsid w:val="00C4753A"/>
    <w:rsid w:val="00C54282"/>
    <w:rsid w:val="00C806D0"/>
    <w:rsid w:val="00C92A1E"/>
    <w:rsid w:val="00C97D3F"/>
    <w:rsid w:val="00CA345D"/>
    <w:rsid w:val="00CA3850"/>
    <w:rsid w:val="00CB430E"/>
    <w:rsid w:val="00CB5E24"/>
    <w:rsid w:val="00CD6196"/>
    <w:rsid w:val="00CE0277"/>
    <w:rsid w:val="00CE1966"/>
    <w:rsid w:val="00D13700"/>
    <w:rsid w:val="00D173B0"/>
    <w:rsid w:val="00D27B52"/>
    <w:rsid w:val="00D32D84"/>
    <w:rsid w:val="00D44C43"/>
    <w:rsid w:val="00D467E3"/>
    <w:rsid w:val="00D512C9"/>
    <w:rsid w:val="00D55166"/>
    <w:rsid w:val="00D62F40"/>
    <w:rsid w:val="00D63549"/>
    <w:rsid w:val="00D66EE0"/>
    <w:rsid w:val="00D75182"/>
    <w:rsid w:val="00D764F3"/>
    <w:rsid w:val="00D9319E"/>
    <w:rsid w:val="00D93EFB"/>
    <w:rsid w:val="00DA75F5"/>
    <w:rsid w:val="00DC55D3"/>
    <w:rsid w:val="00E0042B"/>
    <w:rsid w:val="00E05871"/>
    <w:rsid w:val="00E05EF5"/>
    <w:rsid w:val="00E14773"/>
    <w:rsid w:val="00E231E3"/>
    <w:rsid w:val="00E24316"/>
    <w:rsid w:val="00E256D0"/>
    <w:rsid w:val="00E34794"/>
    <w:rsid w:val="00E414E1"/>
    <w:rsid w:val="00E61C55"/>
    <w:rsid w:val="00E65624"/>
    <w:rsid w:val="00E70092"/>
    <w:rsid w:val="00E70A2E"/>
    <w:rsid w:val="00E70ACC"/>
    <w:rsid w:val="00E70FDC"/>
    <w:rsid w:val="00E745E8"/>
    <w:rsid w:val="00E75953"/>
    <w:rsid w:val="00E802C0"/>
    <w:rsid w:val="00E9170D"/>
    <w:rsid w:val="00EA59F1"/>
    <w:rsid w:val="00EA78D0"/>
    <w:rsid w:val="00EB63D4"/>
    <w:rsid w:val="00EB7EA5"/>
    <w:rsid w:val="00EE096A"/>
    <w:rsid w:val="00EE0E57"/>
    <w:rsid w:val="00EE517D"/>
    <w:rsid w:val="00EE5F65"/>
    <w:rsid w:val="00EF0457"/>
    <w:rsid w:val="00EF3986"/>
    <w:rsid w:val="00F247F3"/>
    <w:rsid w:val="00F26FF4"/>
    <w:rsid w:val="00F31D02"/>
    <w:rsid w:val="00F42BA9"/>
    <w:rsid w:val="00F4386E"/>
    <w:rsid w:val="00F4409C"/>
    <w:rsid w:val="00F45071"/>
    <w:rsid w:val="00F56889"/>
    <w:rsid w:val="00F6138C"/>
    <w:rsid w:val="00F620F9"/>
    <w:rsid w:val="00F62275"/>
    <w:rsid w:val="00F71D24"/>
    <w:rsid w:val="00F873C6"/>
    <w:rsid w:val="00F97569"/>
    <w:rsid w:val="00FA743D"/>
    <w:rsid w:val="00FB4AB8"/>
    <w:rsid w:val="00FC1F65"/>
    <w:rsid w:val="00FC49EB"/>
    <w:rsid w:val="00FC6796"/>
    <w:rsid w:val="00FD0B58"/>
    <w:rsid w:val="00FE25FE"/>
    <w:rsid w:val="00FE3A39"/>
    <w:rsid w:val="00FF3D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9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F6138C"/>
    <w:pPr>
      <w:spacing w:before="100" w:beforeAutospacing="1" w:after="100" w:afterAutospacing="1" w:line="360" w:lineRule="atLeast"/>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7B40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75"/>
    <w:rPr>
      <w:rFonts w:ascii="Tahoma" w:eastAsia="Dotum" w:hAnsi="Tahoma" w:cs="Tahoma"/>
      <w:sz w:val="16"/>
      <w:szCs w:val="16"/>
    </w:rPr>
  </w:style>
  <w:style w:type="character" w:styleId="CommentReference">
    <w:name w:val="annotation reference"/>
    <w:basedOn w:val="DefaultParagraphFont"/>
    <w:uiPriority w:val="99"/>
    <w:semiHidden/>
    <w:unhideWhenUsed/>
    <w:rsid w:val="001D2781"/>
    <w:rPr>
      <w:sz w:val="18"/>
      <w:szCs w:val="18"/>
    </w:rPr>
  </w:style>
  <w:style w:type="paragraph" w:styleId="CommentText">
    <w:name w:val="annotation text"/>
    <w:basedOn w:val="Normal"/>
    <w:link w:val="CommentTextChar"/>
    <w:uiPriority w:val="99"/>
    <w:unhideWhenUsed/>
    <w:rsid w:val="001D2781"/>
    <w:rPr>
      <w:sz w:val="24"/>
      <w:szCs w:val="24"/>
    </w:rPr>
  </w:style>
  <w:style w:type="character" w:customStyle="1" w:styleId="CommentTextChar">
    <w:name w:val="Comment Text Char"/>
    <w:basedOn w:val="DefaultParagraphFont"/>
    <w:link w:val="CommentText"/>
    <w:uiPriority w:val="99"/>
    <w:rsid w:val="001D2781"/>
    <w:rPr>
      <w:rFonts w:ascii="Calibri" w:eastAsia="Dotum" w:hAnsi="Calibri" w:cs="Calibri"/>
      <w:sz w:val="24"/>
      <w:szCs w:val="24"/>
    </w:rPr>
  </w:style>
  <w:style w:type="table" w:customStyle="1" w:styleId="IgTable">
    <w:name w:val="Ig Table"/>
    <w:basedOn w:val="LightList"/>
    <w:uiPriority w:val="99"/>
    <w:rsid w:val="00FB4AB8"/>
    <w:rPr>
      <w:sz w:val="20"/>
      <w:szCs w:val="20"/>
      <w:lang w:eastAsia="en-A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sz w:val="22"/>
      </w:rPr>
      <w:tblPr/>
      <w:tcPr>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FB4A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74479F"/>
    <w:rPr>
      <w:b/>
      <w:bCs/>
      <w:sz w:val="20"/>
      <w:szCs w:val="20"/>
    </w:rPr>
  </w:style>
  <w:style w:type="character" w:customStyle="1" w:styleId="CommentSubjectChar">
    <w:name w:val="Comment Subject Char"/>
    <w:basedOn w:val="CommentTextChar"/>
    <w:link w:val="CommentSubject"/>
    <w:uiPriority w:val="99"/>
    <w:semiHidden/>
    <w:rsid w:val="0074479F"/>
    <w:rPr>
      <w:rFonts w:ascii="Calibri" w:eastAsia="Dotum" w:hAnsi="Calibri" w:cs="Calibri"/>
      <w:b/>
      <w:bCs/>
      <w:sz w:val="20"/>
      <w:szCs w:val="20"/>
    </w:rPr>
  </w:style>
  <w:style w:type="paragraph" w:styleId="NormalWeb">
    <w:name w:val="Normal (Web)"/>
    <w:basedOn w:val="Normal"/>
    <w:autoRedefine/>
    <w:uiPriority w:val="99"/>
    <w:unhideWhenUsed/>
    <w:rsid w:val="00F6138C"/>
    <w:pPr>
      <w:spacing w:before="100" w:beforeAutospacing="1" w:after="100" w:afterAutospacing="1" w:line="360" w:lineRule="atLeast"/>
    </w:pPr>
    <w:rPr>
      <w:rFonts w:asciiTheme="minorHAnsi" w:eastAsiaTheme="minorHAnsi" w:hAnsiTheme="minorHAnsi" w:cs="Times New Roman"/>
      <w:sz w:val="20"/>
      <w:szCs w:val="20"/>
    </w:rPr>
  </w:style>
  <w:style w:type="paragraph" w:customStyle="1" w:styleId="heading10">
    <w:name w:val="heading1"/>
    <w:basedOn w:val="Normal"/>
    <w:rsid w:val="00B94604"/>
    <w:pPr>
      <w:spacing w:after="225"/>
    </w:pPr>
    <w:rPr>
      <w:rFonts w:ascii="Times New Roman" w:eastAsia="Times New Roman" w:hAnsi="Times New Roman" w:cs="Times New Roman"/>
      <w:b/>
      <w:bCs/>
      <w:color w:val="000000"/>
      <w:sz w:val="21"/>
      <w:szCs w:val="21"/>
      <w:lang w:eastAsia="en-AU"/>
    </w:rPr>
  </w:style>
  <w:style w:type="character" w:customStyle="1" w:styleId="reference">
    <w:name w:val="reference"/>
    <w:basedOn w:val="DefaultParagraphFont"/>
    <w:rsid w:val="00B94604"/>
  </w:style>
  <w:style w:type="character" w:styleId="Emphasis">
    <w:name w:val="Emphasis"/>
    <w:basedOn w:val="DefaultParagraphFont"/>
    <w:uiPriority w:val="20"/>
    <w:qFormat/>
    <w:rsid w:val="00B94604"/>
    <w:rPr>
      <w:i/>
      <w:iCs/>
    </w:rPr>
  </w:style>
  <w:style w:type="character" w:customStyle="1" w:styleId="referenc">
    <w:name w:val="referenc"/>
    <w:basedOn w:val="DefaultParagraphFont"/>
    <w:rsid w:val="00B94604"/>
  </w:style>
  <w:style w:type="character" w:styleId="Hyperlink">
    <w:name w:val="Hyperlink"/>
    <w:basedOn w:val="DefaultParagraphFont"/>
    <w:uiPriority w:val="99"/>
    <w:semiHidden/>
    <w:unhideWhenUsed/>
    <w:rsid w:val="00B94604"/>
    <w:rPr>
      <w:color w:val="00335E"/>
      <w:u w:val="single"/>
    </w:rPr>
  </w:style>
  <w:style w:type="character" w:styleId="Strong">
    <w:name w:val="Strong"/>
    <w:basedOn w:val="DefaultParagraphFont"/>
    <w:uiPriority w:val="22"/>
    <w:qFormat/>
    <w:rsid w:val="00B94604"/>
    <w:rPr>
      <w:b/>
      <w:bCs/>
    </w:rPr>
  </w:style>
  <w:style w:type="paragraph" w:customStyle="1" w:styleId="heading">
    <w:name w:val="heading"/>
    <w:basedOn w:val="Normal"/>
    <w:rsid w:val="00B94604"/>
    <w:pPr>
      <w:spacing w:before="100" w:beforeAutospacing="1" w:after="100" w:afterAutospacing="1"/>
    </w:pPr>
    <w:rPr>
      <w:rFonts w:ascii="Times New Roman" w:eastAsia="Times New Roman" w:hAnsi="Times New Roman" w:cs="Times New Roman"/>
      <w:b/>
      <w:bCs/>
      <w:color w:val="000000"/>
      <w:sz w:val="21"/>
      <w:szCs w:val="21"/>
      <w:lang w:eastAsia="en-AU"/>
    </w:rPr>
  </w:style>
  <w:style w:type="paragraph" w:customStyle="1" w:styleId="Default">
    <w:name w:val="Default"/>
    <w:rsid w:val="00D44C43"/>
    <w:pPr>
      <w:widowControl w:val="0"/>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6">
      <w:bodyDiv w:val="1"/>
      <w:marLeft w:val="0"/>
      <w:marRight w:val="0"/>
      <w:marTop w:val="0"/>
      <w:marBottom w:val="0"/>
      <w:divBdr>
        <w:top w:val="none" w:sz="0" w:space="0" w:color="auto"/>
        <w:left w:val="none" w:sz="0" w:space="0" w:color="auto"/>
        <w:bottom w:val="none" w:sz="0" w:space="0" w:color="auto"/>
        <w:right w:val="none" w:sz="0" w:space="0" w:color="auto"/>
      </w:divBdr>
      <w:divsChild>
        <w:div w:id="1877234290">
          <w:marLeft w:val="0"/>
          <w:marRight w:val="0"/>
          <w:marTop w:val="0"/>
          <w:marBottom w:val="0"/>
          <w:divBdr>
            <w:top w:val="none" w:sz="0" w:space="0" w:color="auto"/>
            <w:left w:val="none" w:sz="0" w:space="0" w:color="auto"/>
            <w:bottom w:val="none" w:sz="0" w:space="0" w:color="auto"/>
            <w:right w:val="none" w:sz="0" w:space="0" w:color="auto"/>
          </w:divBdr>
          <w:divsChild>
            <w:div w:id="181741123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348682129">
      <w:bodyDiv w:val="1"/>
      <w:marLeft w:val="0"/>
      <w:marRight w:val="0"/>
      <w:marTop w:val="0"/>
      <w:marBottom w:val="0"/>
      <w:divBdr>
        <w:top w:val="none" w:sz="0" w:space="0" w:color="auto"/>
        <w:left w:val="none" w:sz="0" w:space="0" w:color="auto"/>
        <w:bottom w:val="none" w:sz="0" w:space="0" w:color="auto"/>
        <w:right w:val="none" w:sz="0" w:space="0" w:color="auto"/>
      </w:divBdr>
      <w:divsChild>
        <w:div w:id="1673339200">
          <w:marLeft w:val="0"/>
          <w:marRight w:val="0"/>
          <w:marTop w:val="0"/>
          <w:marBottom w:val="0"/>
          <w:divBdr>
            <w:top w:val="none" w:sz="0" w:space="0" w:color="auto"/>
            <w:left w:val="none" w:sz="0" w:space="0" w:color="auto"/>
            <w:bottom w:val="none" w:sz="0" w:space="0" w:color="auto"/>
            <w:right w:val="none" w:sz="0" w:space="0" w:color="auto"/>
          </w:divBdr>
          <w:divsChild>
            <w:div w:id="104081840">
              <w:marLeft w:val="0"/>
              <w:marRight w:val="0"/>
              <w:marTop w:val="0"/>
              <w:marBottom w:val="0"/>
              <w:divBdr>
                <w:top w:val="none" w:sz="0" w:space="0" w:color="auto"/>
                <w:left w:val="none" w:sz="0" w:space="0" w:color="auto"/>
                <w:bottom w:val="none" w:sz="0" w:space="0" w:color="auto"/>
                <w:right w:val="none" w:sz="0" w:space="0" w:color="auto"/>
              </w:divBdr>
              <w:divsChild>
                <w:div w:id="15131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8627">
      <w:bodyDiv w:val="1"/>
      <w:marLeft w:val="0"/>
      <w:marRight w:val="0"/>
      <w:marTop w:val="0"/>
      <w:marBottom w:val="0"/>
      <w:divBdr>
        <w:top w:val="none" w:sz="0" w:space="0" w:color="auto"/>
        <w:left w:val="none" w:sz="0" w:space="0" w:color="auto"/>
        <w:bottom w:val="none" w:sz="0" w:space="0" w:color="auto"/>
        <w:right w:val="none" w:sz="0" w:space="0" w:color="auto"/>
      </w:divBdr>
      <w:divsChild>
        <w:div w:id="841237726">
          <w:marLeft w:val="0"/>
          <w:marRight w:val="0"/>
          <w:marTop w:val="0"/>
          <w:marBottom w:val="0"/>
          <w:divBdr>
            <w:top w:val="none" w:sz="0" w:space="0" w:color="auto"/>
            <w:left w:val="none" w:sz="0" w:space="0" w:color="auto"/>
            <w:bottom w:val="none" w:sz="0" w:space="0" w:color="auto"/>
            <w:right w:val="none" w:sz="0" w:space="0" w:color="auto"/>
          </w:divBdr>
          <w:divsChild>
            <w:div w:id="962080552">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013414595">
      <w:bodyDiv w:val="1"/>
      <w:marLeft w:val="0"/>
      <w:marRight w:val="0"/>
      <w:marTop w:val="0"/>
      <w:marBottom w:val="0"/>
      <w:divBdr>
        <w:top w:val="none" w:sz="0" w:space="0" w:color="auto"/>
        <w:left w:val="none" w:sz="0" w:space="0" w:color="auto"/>
        <w:bottom w:val="none" w:sz="0" w:space="0" w:color="auto"/>
        <w:right w:val="none" w:sz="0" w:space="0" w:color="auto"/>
      </w:divBdr>
      <w:divsChild>
        <w:div w:id="285047755">
          <w:marLeft w:val="0"/>
          <w:marRight w:val="0"/>
          <w:marTop w:val="0"/>
          <w:marBottom w:val="0"/>
          <w:divBdr>
            <w:top w:val="none" w:sz="0" w:space="0" w:color="auto"/>
            <w:left w:val="none" w:sz="0" w:space="0" w:color="auto"/>
            <w:bottom w:val="none" w:sz="0" w:space="0" w:color="auto"/>
            <w:right w:val="none" w:sz="0" w:space="0" w:color="auto"/>
          </w:divBdr>
          <w:divsChild>
            <w:div w:id="70144193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224636132">
      <w:bodyDiv w:val="1"/>
      <w:marLeft w:val="0"/>
      <w:marRight w:val="0"/>
      <w:marTop w:val="0"/>
      <w:marBottom w:val="0"/>
      <w:divBdr>
        <w:top w:val="none" w:sz="0" w:space="0" w:color="auto"/>
        <w:left w:val="none" w:sz="0" w:space="0" w:color="auto"/>
        <w:bottom w:val="none" w:sz="0" w:space="0" w:color="auto"/>
        <w:right w:val="none" w:sz="0" w:space="0" w:color="auto"/>
      </w:divBdr>
      <w:divsChild>
        <w:div w:id="1050883261">
          <w:marLeft w:val="0"/>
          <w:marRight w:val="0"/>
          <w:marTop w:val="0"/>
          <w:marBottom w:val="0"/>
          <w:divBdr>
            <w:top w:val="none" w:sz="0" w:space="0" w:color="auto"/>
            <w:left w:val="none" w:sz="0" w:space="0" w:color="auto"/>
            <w:bottom w:val="none" w:sz="0" w:space="0" w:color="auto"/>
            <w:right w:val="none" w:sz="0" w:space="0" w:color="auto"/>
          </w:divBdr>
          <w:divsChild>
            <w:div w:id="399644875">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352221387">
      <w:bodyDiv w:val="1"/>
      <w:marLeft w:val="0"/>
      <w:marRight w:val="0"/>
      <w:marTop w:val="0"/>
      <w:marBottom w:val="0"/>
      <w:divBdr>
        <w:top w:val="none" w:sz="0" w:space="0" w:color="auto"/>
        <w:left w:val="none" w:sz="0" w:space="0" w:color="auto"/>
        <w:bottom w:val="none" w:sz="0" w:space="0" w:color="auto"/>
        <w:right w:val="none" w:sz="0" w:space="0" w:color="auto"/>
      </w:divBdr>
      <w:divsChild>
        <w:div w:id="282545146">
          <w:marLeft w:val="0"/>
          <w:marRight w:val="0"/>
          <w:marTop w:val="0"/>
          <w:marBottom w:val="0"/>
          <w:divBdr>
            <w:top w:val="none" w:sz="0" w:space="0" w:color="auto"/>
            <w:left w:val="none" w:sz="0" w:space="0" w:color="auto"/>
            <w:bottom w:val="none" w:sz="0" w:space="0" w:color="auto"/>
            <w:right w:val="none" w:sz="0" w:space="0" w:color="auto"/>
          </w:divBdr>
          <w:divsChild>
            <w:div w:id="1317220572">
              <w:marLeft w:val="0"/>
              <w:marRight w:val="0"/>
              <w:marTop w:val="0"/>
              <w:marBottom w:val="0"/>
              <w:divBdr>
                <w:top w:val="none" w:sz="0" w:space="0" w:color="auto"/>
                <w:left w:val="none" w:sz="0" w:space="0" w:color="auto"/>
                <w:bottom w:val="none" w:sz="0" w:space="0" w:color="auto"/>
                <w:right w:val="none" w:sz="0" w:space="0" w:color="auto"/>
              </w:divBdr>
              <w:divsChild>
                <w:div w:id="1998217178">
                  <w:marLeft w:val="0"/>
                  <w:marRight w:val="0"/>
                  <w:marTop w:val="0"/>
                  <w:marBottom w:val="0"/>
                  <w:divBdr>
                    <w:top w:val="none" w:sz="0" w:space="0" w:color="auto"/>
                    <w:left w:val="none" w:sz="0" w:space="0" w:color="auto"/>
                    <w:bottom w:val="none" w:sz="0" w:space="0" w:color="auto"/>
                    <w:right w:val="none" w:sz="0" w:space="0" w:color="auto"/>
                  </w:divBdr>
                  <w:divsChild>
                    <w:div w:id="644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sChild>
        <w:div w:id="604733148">
          <w:marLeft w:val="0"/>
          <w:marRight w:val="0"/>
          <w:marTop w:val="0"/>
          <w:marBottom w:val="0"/>
          <w:divBdr>
            <w:top w:val="none" w:sz="0" w:space="0" w:color="auto"/>
            <w:left w:val="none" w:sz="0" w:space="0" w:color="auto"/>
            <w:bottom w:val="none" w:sz="0" w:space="0" w:color="auto"/>
            <w:right w:val="none" w:sz="0" w:space="0" w:color="auto"/>
          </w:divBdr>
          <w:divsChild>
            <w:div w:id="726414674">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558399202">
      <w:bodyDiv w:val="1"/>
      <w:marLeft w:val="0"/>
      <w:marRight w:val="0"/>
      <w:marTop w:val="0"/>
      <w:marBottom w:val="0"/>
      <w:divBdr>
        <w:top w:val="none" w:sz="0" w:space="0" w:color="auto"/>
        <w:left w:val="none" w:sz="0" w:space="0" w:color="auto"/>
        <w:bottom w:val="none" w:sz="0" w:space="0" w:color="auto"/>
        <w:right w:val="none" w:sz="0" w:space="0" w:color="auto"/>
      </w:divBdr>
      <w:divsChild>
        <w:div w:id="80106537">
          <w:marLeft w:val="0"/>
          <w:marRight w:val="0"/>
          <w:marTop w:val="0"/>
          <w:marBottom w:val="0"/>
          <w:divBdr>
            <w:top w:val="none" w:sz="0" w:space="0" w:color="auto"/>
            <w:left w:val="none" w:sz="0" w:space="0" w:color="auto"/>
            <w:bottom w:val="none" w:sz="0" w:space="0" w:color="auto"/>
            <w:right w:val="none" w:sz="0" w:space="0" w:color="auto"/>
          </w:divBdr>
          <w:divsChild>
            <w:div w:id="1277908071">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95737526">
          <w:marLeft w:val="0"/>
          <w:marRight w:val="0"/>
          <w:marTop w:val="0"/>
          <w:marBottom w:val="0"/>
          <w:divBdr>
            <w:top w:val="none" w:sz="0" w:space="0" w:color="auto"/>
            <w:left w:val="none" w:sz="0" w:space="0" w:color="auto"/>
            <w:bottom w:val="none" w:sz="0" w:space="0" w:color="auto"/>
            <w:right w:val="none" w:sz="0" w:space="0" w:color="auto"/>
          </w:divBdr>
          <w:divsChild>
            <w:div w:id="1496408768">
              <w:marLeft w:val="39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ood.gov.au/pubs/ivig/development-and-maintenance-of-the-criteri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ood.gov.au/pubs/ivig/development-and-maintenance-of-the-criteria.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grieve\AppData\Roaming\Microsoft\Templates\Condition%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8DC39B0B5714AA1272BAEF2DE62E2"/>
        <w:category>
          <w:name w:val="General"/>
          <w:gallery w:val="placeholder"/>
        </w:category>
        <w:types>
          <w:type w:val="bbPlcHdr"/>
        </w:types>
        <w:behaviors>
          <w:behavior w:val="content"/>
        </w:behaviors>
        <w:guid w:val="{8CFB87B5-81CE-5A48-93F8-E68766C3D29F}"/>
      </w:docPartPr>
      <w:docPartBody>
        <w:p w:rsidR="0084452C" w:rsidRDefault="0084452C" w:rsidP="0084452C">
          <w:pPr>
            <w:pStyle w:val="4318DC39B0B5714AA1272BAEF2DE62E2"/>
          </w:pPr>
          <w:r>
            <w:t>[Type text]</w:t>
          </w:r>
        </w:p>
      </w:docPartBody>
    </w:docPart>
    <w:docPart>
      <w:docPartPr>
        <w:name w:val="255F24039E3CD646BF4EC89E9F52221B"/>
        <w:category>
          <w:name w:val="General"/>
          <w:gallery w:val="placeholder"/>
        </w:category>
        <w:types>
          <w:type w:val="bbPlcHdr"/>
        </w:types>
        <w:behaviors>
          <w:behavior w:val="content"/>
        </w:behaviors>
        <w:guid w:val="{ACF4724C-60D2-9C41-9A7F-EE9B28A2D528}"/>
      </w:docPartPr>
      <w:docPartBody>
        <w:p w:rsidR="0084452C" w:rsidRDefault="0084452C" w:rsidP="0084452C">
          <w:pPr>
            <w:pStyle w:val="255F24039E3CD646BF4EC89E9F52221B"/>
          </w:pPr>
          <w:r>
            <w:t>[Type text]</w:t>
          </w:r>
        </w:p>
      </w:docPartBody>
    </w:docPart>
    <w:docPart>
      <w:docPartPr>
        <w:name w:val="B2E672F6A46DC34D85472E78455D4ECB"/>
        <w:category>
          <w:name w:val="General"/>
          <w:gallery w:val="placeholder"/>
        </w:category>
        <w:types>
          <w:type w:val="bbPlcHdr"/>
        </w:types>
        <w:behaviors>
          <w:behavior w:val="content"/>
        </w:behaviors>
        <w:guid w:val="{AEE9104C-F3A3-D444-B691-11FCA5A92FEF}"/>
      </w:docPartPr>
      <w:docPartBody>
        <w:p w:rsidR="0084452C" w:rsidRDefault="0084452C" w:rsidP="0084452C">
          <w:pPr>
            <w:pStyle w:val="B2E672F6A46DC34D85472E78455D4E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2C"/>
    <w:rsid w:val="0002513F"/>
    <w:rsid w:val="00171125"/>
    <w:rsid w:val="001D4FD8"/>
    <w:rsid w:val="00403A9A"/>
    <w:rsid w:val="00473D89"/>
    <w:rsid w:val="00803D61"/>
    <w:rsid w:val="0084452C"/>
    <w:rsid w:val="00967E05"/>
    <w:rsid w:val="00B20720"/>
    <w:rsid w:val="00CE16DD"/>
    <w:rsid w:val="00DA74F2"/>
    <w:rsid w:val="00E2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0F88091608E14D86696A8D5AA272DD">
    <w:name w:val="090F88091608E14D86696A8D5AA272DD"/>
    <w:rsid w:val="0084452C"/>
  </w:style>
  <w:style w:type="paragraph" w:customStyle="1" w:styleId="531AC282C5BDB541BE95917AB1E11A8A">
    <w:name w:val="531AC282C5BDB541BE95917AB1E11A8A"/>
    <w:rsid w:val="0084452C"/>
  </w:style>
  <w:style w:type="paragraph" w:customStyle="1" w:styleId="65B7A3000A0A0D48971C75EE9D592FDD">
    <w:name w:val="65B7A3000A0A0D48971C75EE9D592FDD"/>
    <w:rsid w:val="0084452C"/>
  </w:style>
  <w:style w:type="paragraph" w:customStyle="1" w:styleId="4318DC39B0B5714AA1272BAEF2DE62E2">
    <w:name w:val="4318DC39B0B5714AA1272BAEF2DE62E2"/>
    <w:rsid w:val="0084452C"/>
  </w:style>
  <w:style w:type="paragraph" w:customStyle="1" w:styleId="255F24039E3CD646BF4EC89E9F52221B">
    <w:name w:val="255F24039E3CD646BF4EC89E9F52221B"/>
    <w:rsid w:val="0084452C"/>
  </w:style>
  <w:style w:type="paragraph" w:customStyle="1" w:styleId="B2E672F6A46DC34D85472E78455D4ECB">
    <w:name w:val="B2E672F6A46DC34D85472E78455D4ECB"/>
    <w:rsid w:val="0084452C"/>
  </w:style>
  <w:style w:type="paragraph" w:customStyle="1" w:styleId="2D1E2D33BAA25A4B95A9E52968F0114C">
    <w:name w:val="2D1E2D33BAA25A4B95A9E52968F0114C"/>
    <w:rsid w:val="0084452C"/>
  </w:style>
  <w:style w:type="paragraph" w:customStyle="1" w:styleId="7DC1B5B6429F2C488DE8FE0676129F85">
    <w:name w:val="7DC1B5B6429F2C488DE8FE0676129F85"/>
    <w:rsid w:val="0084452C"/>
  </w:style>
  <w:style w:type="paragraph" w:customStyle="1" w:styleId="019F644F8264DF4EBAA6AC0FE3F8E1C2">
    <w:name w:val="019F644F8264DF4EBAA6AC0FE3F8E1C2"/>
    <w:rsid w:val="00844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69D6B4AFBD1458332EA9A08A41BF4" ma:contentTypeVersion="0" ma:contentTypeDescription="Create a new document." ma:contentTypeScope="" ma:versionID="ee55a4627d56a27ed3de3ac4d9b1835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D848-B8BA-4AF8-BCCE-5984EB9113AE}">
  <ds:schemaRefs>
    <ds:schemaRef ds:uri="http://schemas.microsoft.com/sharepoint/v3/contenttype/forms"/>
  </ds:schemaRefs>
</ds:datastoreItem>
</file>

<file path=customXml/itemProps2.xml><?xml version="1.0" encoding="utf-8"?>
<ds:datastoreItem xmlns:ds="http://schemas.openxmlformats.org/officeDocument/2006/customXml" ds:itemID="{EAADA4C5-577E-454C-A36E-4CD955373D2E}">
  <ds:schemaRef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FFE93E7-81D6-49F1-BEA8-4A7E595A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EB9E83-7FE1-46D6-ADED-071136F0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Condition Proforma.dotx</Template>
  <TotalTime>3</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Grieve, Ean</dc:creator>
  <cp:lastModifiedBy>Melody Black</cp:lastModifiedBy>
  <cp:revision>4</cp:revision>
  <cp:lastPrinted>2014-11-11T01:42:00Z</cp:lastPrinted>
  <dcterms:created xsi:type="dcterms:W3CDTF">2015-06-12T04:32:00Z</dcterms:created>
  <dcterms:modified xsi:type="dcterms:W3CDTF">2015-06-13T13:14:00Z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0x01010085969D6B4AFBD1458332EA9A08A41BF4</vt:lpwstr>
  </property>
</Properties>
</file>