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A633A" w14:textId="1414896A" w:rsidR="00C92D1B" w:rsidRPr="00C92D1B" w:rsidRDefault="00D243A4" w:rsidP="001024B4">
      <w:pPr>
        <w:pStyle w:val="Heading3"/>
        <w:ind w:left="567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14:paraId="1DE23F79" w14:textId="661D8B33" w:rsidR="001024B4" w:rsidRPr="00C92D1B" w:rsidRDefault="001024B4" w:rsidP="001024B4">
      <w:pPr>
        <w:pStyle w:val="Heading3"/>
        <w:ind w:left="567"/>
        <w:rPr>
          <w:rFonts w:asciiTheme="minorHAnsi" w:hAnsiTheme="minorHAnsi"/>
          <w:sz w:val="22"/>
          <w:szCs w:val="22"/>
        </w:rPr>
      </w:pPr>
      <w:r w:rsidRPr="00C92D1B">
        <w:rPr>
          <w:rFonts w:asciiTheme="minorHAnsi" w:hAnsiTheme="minorHAnsi"/>
          <w:sz w:val="22"/>
          <w:szCs w:val="22"/>
        </w:rPr>
        <w:t>Specialist Working Group for Neurology</w:t>
      </w:r>
    </w:p>
    <w:p w14:paraId="0BA9BD75" w14:textId="77777777" w:rsidR="001024B4" w:rsidRPr="00C92D1B" w:rsidRDefault="001024B4" w:rsidP="001024B4">
      <w:pPr>
        <w:pStyle w:val="Heading4"/>
        <w:ind w:left="567"/>
        <w:rPr>
          <w:rFonts w:asciiTheme="minorHAnsi" w:hAnsiTheme="minorHAnsi"/>
          <w:i/>
        </w:rPr>
      </w:pPr>
      <w:r w:rsidRPr="00C92D1B">
        <w:rPr>
          <w:rFonts w:asciiTheme="minorHAnsi" w:hAnsiTheme="minorHAnsi"/>
        </w:rPr>
        <w:t xml:space="preserve">Proposed changes to the </w:t>
      </w:r>
      <w:r w:rsidRPr="00C92D1B">
        <w:rPr>
          <w:rFonts w:asciiTheme="minorHAnsi" w:hAnsiTheme="minorHAnsi"/>
          <w:i/>
        </w:rPr>
        <w:t>Criteria for the clinical use of intravenous immunoglobulin in Australia, Second Edition</w:t>
      </w:r>
    </w:p>
    <w:tbl>
      <w:tblPr>
        <w:tblStyle w:val="TableGrid"/>
        <w:tblpPr w:leftFromText="181" w:rightFromText="181" w:vertAnchor="text" w:horzAnchor="page" w:tblpX="1093" w:tblpY="471"/>
        <w:tblOverlap w:val="never"/>
        <w:tblW w:w="4720" w:type="pct"/>
        <w:tblLook w:val="0680" w:firstRow="0" w:lastRow="0" w:firstColumn="1" w:lastColumn="0" w:noHBand="1" w:noVBand="1"/>
      </w:tblPr>
      <w:tblGrid>
        <w:gridCol w:w="1701"/>
        <w:gridCol w:w="4539"/>
        <w:gridCol w:w="672"/>
        <w:gridCol w:w="1134"/>
        <w:gridCol w:w="2834"/>
        <w:gridCol w:w="4149"/>
      </w:tblGrid>
      <w:tr w:rsidR="00110EC2" w14:paraId="7120ADCA" w14:textId="77777777" w:rsidTr="00110EC2">
        <w:tc>
          <w:tcPr>
            <w:tcW w:w="1701" w:type="dxa"/>
            <w:shd w:val="clear" w:color="auto" w:fill="DBE5F1" w:themeFill="accent1" w:themeFillTint="33"/>
          </w:tcPr>
          <w:p w14:paraId="0A1CB416" w14:textId="6A1B8204" w:rsidR="00110EC2" w:rsidRPr="00275679" w:rsidRDefault="00110EC2" w:rsidP="00110EC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47869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4539" w:type="dxa"/>
            <w:shd w:val="clear" w:color="auto" w:fill="DBE5F1" w:themeFill="accent1" w:themeFillTint="33"/>
          </w:tcPr>
          <w:p w14:paraId="0A356F9C" w14:textId="70594E57" w:rsidR="00110EC2" w:rsidRPr="000E0203" w:rsidRDefault="00110EC2" w:rsidP="00110EC2">
            <w:pPr>
              <w:spacing w:before="120" w:after="120"/>
              <w:jc w:val="center"/>
            </w:pPr>
            <w:r w:rsidRPr="00447869">
              <w:rPr>
                <w:rFonts w:asciiTheme="minorHAnsi" w:hAnsiTheme="minorHAnsi"/>
                <w:b/>
              </w:rPr>
              <w:t>CRITERIA FOR THE CLINICAL USE OF INTRAVENOUS IMMUNOGLOBULIN IN AUSTRALIA, SECOND EDITION (CRITERIA)</w:t>
            </w:r>
          </w:p>
        </w:tc>
        <w:tc>
          <w:tcPr>
            <w:tcW w:w="4640" w:type="dxa"/>
            <w:gridSpan w:val="3"/>
            <w:shd w:val="clear" w:color="auto" w:fill="DBE5F1" w:themeFill="accent1" w:themeFillTint="33"/>
          </w:tcPr>
          <w:p w14:paraId="3F076F51" w14:textId="21447175" w:rsidR="00110EC2" w:rsidRDefault="00110EC2" w:rsidP="00110EC2">
            <w:pPr>
              <w:spacing w:before="120" w:after="120"/>
            </w:pPr>
            <w:r w:rsidRPr="00447869">
              <w:rPr>
                <w:rFonts w:asciiTheme="minorHAnsi" w:hAnsiTheme="minorHAnsi"/>
                <w:b/>
              </w:rPr>
              <w:t>PROPOSED REVISIONS TO THE CRITERIA</w:t>
            </w:r>
          </w:p>
          <w:p w14:paraId="51DB243D" w14:textId="5F0A17EB" w:rsidR="00110EC2" w:rsidRPr="00110EC2" w:rsidRDefault="00110EC2" w:rsidP="00110EC2">
            <w:pPr>
              <w:tabs>
                <w:tab w:val="left" w:pos="1185"/>
              </w:tabs>
              <w:spacing w:before="120" w:after="120"/>
            </w:pPr>
            <w:r>
              <w:tab/>
            </w:r>
          </w:p>
        </w:tc>
        <w:tc>
          <w:tcPr>
            <w:tcW w:w="4149" w:type="dxa"/>
            <w:shd w:val="clear" w:color="auto" w:fill="DBE5F1" w:themeFill="accent1" w:themeFillTint="33"/>
          </w:tcPr>
          <w:p w14:paraId="6B280454" w14:textId="77777777" w:rsidR="00110EC2" w:rsidRPr="00447869" w:rsidRDefault="00110EC2" w:rsidP="00110EC2">
            <w:pPr>
              <w:spacing w:before="120" w:after="120"/>
              <w:jc w:val="center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 w:rsidRPr="00447869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SWG RATIONALE FOR PROPOSED CHANGE</w:t>
            </w:r>
          </w:p>
          <w:p w14:paraId="793B0086" w14:textId="77777777" w:rsidR="00110EC2" w:rsidRPr="00447869" w:rsidRDefault="00110EC2" w:rsidP="00110EC2">
            <w:pPr>
              <w:spacing w:before="120" w:after="120"/>
              <w:jc w:val="center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 w:rsidRPr="00447869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(A) Administrative)</w:t>
            </w:r>
          </w:p>
          <w:p w14:paraId="6790182D" w14:textId="77777777" w:rsidR="00110EC2" w:rsidRPr="00447869" w:rsidRDefault="00110EC2" w:rsidP="00110EC2">
            <w:pPr>
              <w:spacing w:before="120" w:after="120"/>
              <w:jc w:val="center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 w:rsidRPr="00447869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(B) Progressive</w:t>
            </w:r>
          </w:p>
          <w:p w14:paraId="1B464062" w14:textId="1DFC6E29" w:rsidR="00110EC2" w:rsidRDefault="00110EC2" w:rsidP="00110EC2">
            <w:pPr>
              <w:spacing w:before="120" w:after="120"/>
              <w:jc w:val="center"/>
            </w:pPr>
            <w:r w:rsidRPr="00447869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(C) Programmed</w:t>
            </w:r>
          </w:p>
        </w:tc>
      </w:tr>
      <w:tr w:rsidR="001024B4" w14:paraId="1427F168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4697FF78" w14:textId="77777777" w:rsidR="001024B4" w:rsidRPr="00275679" w:rsidRDefault="001024B4" w:rsidP="00110EC2">
            <w:pPr>
              <w:spacing w:before="120" w:after="120"/>
              <w:rPr>
                <w:b/>
                <w:sz w:val="18"/>
                <w:szCs w:val="18"/>
              </w:rPr>
            </w:pPr>
            <w:r w:rsidRPr="00275679">
              <w:rPr>
                <w:b/>
                <w:sz w:val="18"/>
                <w:szCs w:val="18"/>
              </w:rPr>
              <w:t>Condition Name</w:t>
            </w:r>
          </w:p>
        </w:tc>
        <w:tc>
          <w:tcPr>
            <w:tcW w:w="4539" w:type="dxa"/>
          </w:tcPr>
          <w:p w14:paraId="503073DD" w14:textId="77777777" w:rsidR="001024B4" w:rsidRPr="009D6E34" w:rsidRDefault="001024B4" w:rsidP="00110EC2">
            <w:pPr>
              <w:spacing w:before="120" w:after="120"/>
              <w:rPr>
                <w:b/>
              </w:rPr>
            </w:pPr>
            <w:r w:rsidRPr="009D6E34">
              <w:rPr>
                <w:b/>
              </w:rPr>
              <w:t>Inflammatory myopathies: polymyositis (PM),</w:t>
            </w:r>
          </w:p>
          <w:p w14:paraId="6DD9B3E2" w14:textId="77777777" w:rsidR="001024B4" w:rsidRPr="009D6E34" w:rsidRDefault="001024B4" w:rsidP="00110EC2">
            <w:pPr>
              <w:spacing w:before="120" w:after="120"/>
              <w:rPr>
                <w:b/>
              </w:rPr>
            </w:pPr>
            <w:r w:rsidRPr="009D6E34">
              <w:rPr>
                <w:b/>
              </w:rPr>
              <w:t>dermatomyositis (DM) and inclusion body</w:t>
            </w:r>
          </w:p>
          <w:p w14:paraId="53D6D3B2" w14:textId="77777777" w:rsidR="001024B4" w:rsidRPr="009D6E34" w:rsidRDefault="001024B4" w:rsidP="00110EC2">
            <w:pPr>
              <w:spacing w:before="120" w:after="120"/>
              <w:rPr>
                <w:b/>
              </w:rPr>
            </w:pPr>
            <w:r w:rsidRPr="009D6E34">
              <w:rPr>
                <w:b/>
              </w:rPr>
              <w:t>myositis (IBM)</w:t>
            </w:r>
          </w:p>
        </w:tc>
        <w:tc>
          <w:tcPr>
            <w:tcW w:w="4640" w:type="dxa"/>
            <w:gridSpan w:val="3"/>
          </w:tcPr>
          <w:p w14:paraId="73843166" w14:textId="77777777" w:rsidR="001024B4" w:rsidRPr="009D6E34" w:rsidRDefault="001024B4" w:rsidP="00110EC2">
            <w:pPr>
              <w:spacing w:before="120" w:after="120"/>
              <w:rPr>
                <w:b/>
              </w:rPr>
            </w:pPr>
            <w:r w:rsidRPr="009D6E34">
              <w:rPr>
                <w:b/>
              </w:rPr>
              <w:t>Inflammatory myopathies: inclusion body myositis (IBM)</w:t>
            </w:r>
          </w:p>
          <w:p w14:paraId="3167F8D0" w14:textId="77777777" w:rsidR="001024B4" w:rsidRPr="009D6E34" w:rsidRDefault="001024B4" w:rsidP="00110EC2">
            <w:pPr>
              <w:spacing w:before="120" w:after="120"/>
              <w:rPr>
                <w:b/>
              </w:rPr>
            </w:pPr>
          </w:p>
        </w:tc>
        <w:tc>
          <w:tcPr>
            <w:tcW w:w="4149" w:type="dxa"/>
          </w:tcPr>
          <w:p w14:paraId="7CC1069F" w14:textId="77777777" w:rsidR="001024B4" w:rsidRPr="006747C4" w:rsidRDefault="001024B4" w:rsidP="00110EC2">
            <w:pPr>
              <w:spacing w:before="120" w:after="120"/>
            </w:pPr>
            <w:r>
              <w:t xml:space="preserve">SWG recommends the separation of IBM from other inflammatory myopathies because </w:t>
            </w:r>
            <w:r w:rsidRPr="00DF0736">
              <w:t xml:space="preserve">the response to treatment and monitoring are quite different for IBM </w:t>
            </w:r>
            <w:r>
              <w:t xml:space="preserve">patients </w:t>
            </w:r>
            <w:r w:rsidRPr="00DF0736">
              <w:t>compared with other forms of myositis.</w:t>
            </w:r>
          </w:p>
        </w:tc>
      </w:tr>
      <w:tr w:rsidR="001024B4" w14:paraId="01B31717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5B64EF22" w14:textId="77777777" w:rsidR="001024B4" w:rsidRDefault="001024B4" w:rsidP="00110EC2">
            <w:pPr>
              <w:spacing w:before="120" w:after="120"/>
            </w:pPr>
            <w:r w:rsidRPr="007B4075">
              <w:rPr>
                <w:b/>
                <w:sz w:val="18"/>
                <w:szCs w:val="18"/>
              </w:rPr>
              <w:t>Specialty</w:t>
            </w:r>
          </w:p>
        </w:tc>
        <w:tc>
          <w:tcPr>
            <w:tcW w:w="4539" w:type="dxa"/>
          </w:tcPr>
          <w:p w14:paraId="4A36C8B6" w14:textId="77777777" w:rsidR="001024B4" w:rsidRPr="00DB1925" w:rsidRDefault="001024B4" w:rsidP="00110EC2">
            <w:pPr>
              <w:spacing w:before="120" w:after="120"/>
            </w:pPr>
            <w:r>
              <w:t>Neurology</w:t>
            </w:r>
          </w:p>
        </w:tc>
        <w:tc>
          <w:tcPr>
            <w:tcW w:w="4640" w:type="dxa"/>
            <w:gridSpan w:val="3"/>
          </w:tcPr>
          <w:p w14:paraId="32BED465" w14:textId="607E6C25" w:rsidR="001024B4" w:rsidRPr="006747C4" w:rsidRDefault="00896672" w:rsidP="00110EC2">
            <w:pPr>
              <w:spacing w:before="120" w:after="120"/>
            </w:pPr>
            <w:r>
              <w:t>Neurology</w:t>
            </w:r>
          </w:p>
        </w:tc>
        <w:tc>
          <w:tcPr>
            <w:tcW w:w="4149" w:type="dxa"/>
          </w:tcPr>
          <w:p w14:paraId="5DE6FE35" w14:textId="77777777" w:rsidR="001024B4" w:rsidRPr="006747C4" w:rsidRDefault="001024B4" w:rsidP="00110EC2">
            <w:pPr>
              <w:spacing w:before="120" w:after="120"/>
            </w:pPr>
          </w:p>
        </w:tc>
      </w:tr>
      <w:tr w:rsidR="001024B4" w14:paraId="05664D2E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4E898D0B" w14:textId="77777777" w:rsidR="001024B4" w:rsidRDefault="001024B4" w:rsidP="00110EC2">
            <w:pPr>
              <w:spacing w:before="120" w:after="120"/>
            </w:pPr>
            <w:r w:rsidRPr="007B4075">
              <w:rPr>
                <w:b/>
                <w:sz w:val="18"/>
                <w:szCs w:val="18"/>
              </w:rPr>
              <w:t>Chapter</w:t>
            </w:r>
          </w:p>
        </w:tc>
        <w:tc>
          <w:tcPr>
            <w:tcW w:w="4539" w:type="dxa"/>
          </w:tcPr>
          <w:p w14:paraId="0DF4C7FA" w14:textId="77777777" w:rsidR="001024B4" w:rsidRDefault="001024B4" w:rsidP="00110EC2">
            <w:pPr>
              <w:spacing w:before="120" w:after="120"/>
            </w:pPr>
            <w:r>
              <w:t>5</w:t>
            </w:r>
          </w:p>
        </w:tc>
        <w:tc>
          <w:tcPr>
            <w:tcW w:w="4640" w:type="dxa"/>
            <w:gridSpan w:val="3"/>
          </w:tcPr>
          <w:p w14:paraId="02A8784C" w14:textId="40C6C215" w:rsidR="001024B4" w:rsidRPr="006747C4" w:rsidRDefault="00896672" w:rsidP="00110EC2">
            <w:pPr>
              <w:spacing w:before="120" w:after="120"/>
            </w:pPr>
            <w:r>
              <w:t>5</w:t>
            </w:r>
          </w:p>
        </w:tc>
        <w:tc>
          <w:tcPr>
            <w:tcW w:w="4149" w:type="dxa"/>
          </w:tcPr>
          <w:p w14:paraId="141BB11C" w14:textId="77777777" w:rsidR="001024B4" w:rsidRPr="006747C4" w:rsidRDefault="001024B4" w:rsidP="00110EC2">
            <w:pPr>
              <w:spacing w:before="120" w:after="120"/>
            </w:pPr>
          </w:p>
        </w:tc>
      </w:tr>
      <w:tr w:rsidR="001024B4" w14:paraId="2385FD18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40AB8533" w14:textId="77777777" w:rsidR="001024B4" w:rsidRPr="007B4075" w:rsidRDefault="001024B4" w:rsidP="00110EC2">
            <w:pPr>
              <w:spacing w:before="120" w:after="120"/>
              <w:rPr>
                <w:b/>
                <w:sz w:val="18"/>
                <w:szCs w:val="18"/>
              </w:rPr>
            </w:pPr>
            <w:r w:rsidRPr="007B4075">
              <w:rPr>
                <w:b/>
                <w:sz w:val="18"/>
                <w:szCs w:val="18"/>
              </w:rPr>
              <w:t>Specific Conditions</w:t>
            </w:r>
          </w:p>
          <w:p w14:paraId="1D87CD0F" w14:textId="77777777" w:rsidR="001024B4" w:rsidRDefault="001024B4" w:rsidP="00110EC2">
            <w:pPr>
              <w:spacing w:before="120" w:after="120"/>
            </w:pPr>
          </w:p>
        </w:tc>
        <w:tc>
          <w:tcPr>
            <w:tcW w:w="4539" w:type="dxa"/>
          </w:tcPr>
          <w:p w14:paraId="7DD27117" w14:textId="77777777" w:rsidR="001024B4" w:rsidRDefault="001024B4" w:rsidP="00110EC2">
            <w:pPr>
              <w:spacing w:before="120" w:after="120"/>
            </w:pPr>
            <w:r w:rsidRPr="001024B4">
              <w:t>Polymyositis (PM);l Dermatomyositis (DM);</w:t>
            </w:r>
            <w:r>
              <w:t xml:space="preserve"> Inclusion body myositis (IBM)</w:t>
            </w:r>
          </w:p>
        </w:tc>
        <w:tc>
          <w:tcPr>
            <w:tcW w:w="4640" w:type="dxa"/>
            <w:gridSpan w:val="3"/>
          </w:tcPr>
          <w:p w14:paraId="0D498BD9" w14:textId="77777777" w:rsidR="001024B4" w:rsidRPr="006747C4" w:rsidRDefault="001024B4" w:rsidP="00110EC2">
            <w:pPr>
              <w:spacing w:before="120" w:after="120"/>
            </w:pPr>
          </w:p>
        </w:tc>
        <w:tc>
          <w:tcPr>
            <w:tcW w:w="4149" w:type="dxa"/>
          </w:tcPr>
          <w:p w14:paraId="5986CD7C" w14:textId="77777777" w:rsidR="001024B4" w:rsidRPr="006747C4" w:rsidRDefault="001024B4" w:rsidP="00110EC2">
            <w:pPr>
              <w:spacing w:before="120" w:after="120"/>
            </w:pPr>
          </w:p>
        </w:tc>
      </w:tr>
      <w:tr w:rsidR="001024B4" w14:paraId="609BB977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664B3C89" w14:textId="77777777" w:rsidR="001024B4" w:rsidRPr="00644285" w:rsidRDefault="001024B4" w:rsidP="00110EC2">
            <w:pPr>
              <w:spacing w:before="120" w:after="120"/>
              <w:rPr>
                <w:b/>
                <w:sz w:val="18"/>
                <w:szCs w:val="18"/>
              </w:rPr>
            </w:pPr>
            <w:r w:rsidRPr="00644285">
              <w:rPr>
                <w:b/>
                <w:sz w:val="18"/>
                <w:szCs w:val="18"/>
              </w:rPr>
              <w:t>Level of Evidence</w:t>
            </w:r>
          </w:p>
          <w:p w14:paraId="6F5E4429" w14:textId="77777777" w:rsidR="001024B4" w:rsidRDefault="001024B4" w:rsidP="00110EC2">
            <w:pPr>
              <w:spacing w:before="120" w:after="120"/>
            </w:pPr>
          </w:p>
        </w:tc>
        <w:tc>
          <w:tcPr>
            <w:tcW w:w="4539" w:type="dxa"/>
          </w:tcPr>
          <w:p w14:paraId="0E69C46C" w14:textId="77777777" w:rsidR="001024B4" w:rsidRPr="00463B0C" w:rsidRDefault="001024B4" w:rsidP="00110EC2">
            <w:pPr>
              <w:spacing w:before="120" w:after="120"/>
              <w:rPr>
                <w:rFonts w:asciiTheme="minorHAnsi" w:hAnsiTheme="minorHAnsi" w:cs="DIN-Light"/>
                <w:color w:val="000000"/>
              </w:rPr>
            </w:pPr>
            <w:r w:rsidRPr="000E0203">
              <w:rPr>
                <w:rFonts w:asciiTheme="minorHAnsi" w:hAnsiTheme="minorHAnsi" w:cs="DIN-Light"/>
                <w:color w:val="000000"/>
              </w:rPr>
              <w:t>Evidence of probable benefit (Category 2a).</w:t>
            </w:r>
          </w:p>
        </w:tc>
        <w:tc>
          <w:tcPr>
            <w:tcW w:w="4640" w:type="dxa"/>
            <w:gridSpan w:val="3"/>
          </w:tcPr>
          <w:p w14:paraId="0AA10987" w14:textId="77777777" w:rsidR="001024B4" w:rsidRPr="00DF0736" w:rsidRDefault="001024B4" w:rsidP="00110EC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F0736">
              <w:rPr>
                <w:rFonts w:asciiTheme="minorHAnsi" w:hAnsiTheme="minorHAnsi" w:cstheme="minorHAnsi"/>
              </w:rPr>
              <w:t>Evidence of probable benefit (Category 2a) for dysphagia</w:t>
            </w:r>
          </w:p>
          <w:p w14:paraId="5EF72C8C" w14:textId="77777777" w:rsidR="001024B4" w:rsidRPr="006747C4" w:rsidRDefault="001024B4" w:rsidP="00110EC2">
            <w:pPr>
              <w:spacing w:before="120" w:after="120"/>
            </w:pPr>
            <w:r w:rsidRPr="00DF0736">
              <w:rPr>
                <w:rFonts w:asciiTheme="minorHAnsi" w:hAnsiTheme="minorHAnsi" w:cstheme="minorHAnsi"/>
              </w:rPr>
              <w:t>Evidence of no probable benefit – more research needed (Category 2b) for muscle weakness</w:t>
            </w:r>
          </w:p>
        </w:tc>
        <w:tc>
          <w:tcPr>
            <w:tcW w:w="4149" w:type="dxa"/>
          </w:tcPr>
          <w:p w14:paraId="4B74F304" w14:textId="77777777" w:rsidR="001024B4" w:rsidRPr="006747C4" w:rsidRDefault="001024B4" w:rsidP="00110EC2">
            <w:pPr>
              <w:spacing w:before="120" w:after="120"/>
            </w:pPr>
            <w:r>
              <w:t>Distinction to be provided between different symptoms of IBM and to indicate that muscle weakness alone is not supported. This was not clear in current version. (A)</w:t>
            </w:r>
          </w:p>
        </w:tc>
      </w:tr>
      <w:tr w:rsidR="001024B4" w14:paraId="4D8436C9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51270257" w14:textId="77777777" w:rsidR="001024B4" w:rsidRPr="00644285" w:rsidRDefault="001024B4" w:rsidP="00110EC2">
            <w:pPr>
              <w:spacing w:before="120" w:after="120"/>
              <w:rPr>
                <w:b/>
                <w:sz w:val="18"/>
                <w:szCs w:val="18"/>
              </w:rPr>
            </w:pPr>
            <w:r w:rsidRPr="00644285">
              <w:rPr>
                <w:b/>
                <w:sz w:val="18"/>
                <w:szCs w:val="18"/>
              </w:rPr>
              <w:t>Justification for Evidence Category</w:t>
            </w:r>
          </w:p>
          <w:p w14:paraId="6091A3F6" w14:textId="77777777" w:rsidR="001024B4" w:rsidRDefault="001024B4" w:rsidP="00110EC2">
            <w:pPr>
              <w:spacing w:before="120" w:after="120"/>
            </w:pPr>
          </w:p>
        </w:tc>
        <w:tc>
          <w:tcPr>
            <w:tcW w:w="4539" w:type="dxa"/>
          </w:tcPr>
          <w:p w14:paraId="4E4C04D6" w14:textId="77777777" w:rsidR="001024B4" w:rsidRDefault="001024B4" w:rsidP="00110EC2">
            <w:pPr>
              <w:spacing w:before="120" w:after="120"/>
              <w:rPr>
                <w:rFonts w:cs="DIN-Light"/>
                <w:color w:val="000000"/>
              </w:rPr>
            </w:pPr>
            <w:r w:rsidRPr="000E0203">
              <w:rPr>
                <w:rFonts w:cs="DIN-Light"/>
                <w:color w:val="000000"/>
              </w:rPr>
              <w:t>PM: The Biotext (2004) review included one</w:t>
            </w:r>
            <w:r>
              <w:rPr>
                <w:rFonts w:cs="DIN-Light"/>
                <w:color w:val="000000"/>
              </w:rPr>
              <w:t xml:space="preserve"> </w:t>
            </w:r>
            <w:r w:rsidRPr="000E0203">
              <w:rPr>
                <w:rFonts w:cs="DIN-Light"/>
                <w:color w:val="000000"/>
              </w:rPr>
              <w:t>prospective case</w:t>
            </w:r>
            <w:r>
              <w:rPr>
                <w:rFonts w:cs="DIN-Light"/>
                <w:color w:val="000000"/>
              </w:rPr>
              <w:t xml:space="preserve">-series study of 35 adults with </w:t>
            </w:r>
            <w:r w:rsidRPr="000E0203">
              <w:rPr>
                <w:rFonts w:cs="DIN-Light"/>
                <w:color w:val="000000"/>
              </w:rPr>
              <w:t>chronic refractory polym</w:t>
            </w:r>
            <w:r>
              <w:rPr>
                <w:rFonts w:cs="DIN-Light"/>
                <w:color w:val="000000"/>
              </w:rPr>
              <w:t xml:space="preserve">yositis. IVIg may be of benefit </w:t>
            </w:r>
            <w:r w:rsidRPr="000E0203">
              <w:rPr>
                <w:rFonts w:cs="DIN-Light"/>
                <w:color w:val="000000"/>
              </w:rPr>
              <w:t>in these patients</w:t>
            </w:r>
            <w:r>
              <w:rPr>
                <w:rFonts w:cs="DIN-Light"/>
                <w:color w:val="000000"/>
              </w:rPr>
              <w:t xml:space="preserve">, improve mean muscle power and </w:t>
            </w:r>
            <w:r w:rsidRPr="000E0203">
              <w:rPr>
                <w:rFonts w:cs="DIN-Light"/>
                <w:color w:val="000000"/>
              </w:rPr>
              <w:t xml:space="preserve">allow reduction in </w:t>
            </w:r>
            <w:r>
              <w:rPr>
                <w:rFonts w:cs="DIN-Light"/>
                <w:color w:val="000000"/>
              </w:rPr>
              <w:t xml:space="preserve">dose of corticosteroid. Further </w:t>
            </w:r>
            <w:r w:rsidRPr="000E0203">
              <w:rPr>
                <w:rFonts w:cs="DIN-Light"/>
                <w:color w:val="000000"/>
              </w:rPr>
              <w:t>research is needed.</w:t>
            </w:r>
          </w:p>
          <w:p w14:paraId="556251DE" w14:textId="77777777" w:rsidR="001024B4" w:rsidRDefault="001024B4" w:rsidP="00110EC2">
            <w:pPr>
              <w:spacing w:before="120" w:after="120"/>
            </w:pPr>
          </w:p>
          <w:p w14:paraId="37EBA078" w14:textId="77777777" w:rsidR="001024B4" w:rsidRDefault="001024B4" w:rsidP="00110EC2">
            <w:pPr>
              <w:spacing w:before="120" w:after="120"/>
            </w:pPr>
            <w:r>
              <w:t>DM: The Biotext (2004) review included one double-blind, placebo-controlled trial considered of low quality of 15 patients with biopsy-confirmed, treatment-resistant dermatomyositis. IVIg treatment combined with prednisone led to significant improvement in muscle strength and neuromuscular symptoms of patients in the intervention group (n=8).</w:t>
            </w:r>
          </w:p>
          <w:p w14:paraId="6577E7DE" w14:textId="77777777" w:rsidR="001024B4" w:rsidRDefault="001024B4" w:rsidP="00110EC2">
            <w:pPr>
              <w:spacing w:before="120" w:after="120"/>
            </w:pPr>
          </w:p>
          <w:p w14:paraId="44072C67" w14:textId="77777777" w:rsidR="001024B4" w:rsidRDefault="001024B4" w:rsidP="00110EC2">
            <w:pPr>
              <w:spacing w:before="120" w:after="120"/>
            </w:pPr>
            <w:r>
              <w:t>IBM: The Biotext (2004) review included three small controlled studies, two of which had a crossover design. A total sample of 77 patients diagnosed with IBM was followed for between 4 and 12 months. The three studies showed possible slight benefit in reducing endomysial inflammation, disease progression and severity of IBM. Further research is needed.</w:t>
            </w:r>
          </w:p>
          <w:p w14:paraId="623F55D0" w14:textId="77777777" w:rsidR="001024B4" w:rsidRDefault="001024B4" w:rsidP="00110EC2">
            <w:pPr>
              <w:spacing w:before="120" w:after="120"/>
            </w:pPr>
          </w:p>
          <w:p w14:paraId="32CC0A12" w14:textId="77777777" w:rsidR="001024B4" w:rsidRDefault="001024B4" w:rsidP="00110EC2">
            <w:pPr>
              <w:spacing w:before="120" w:after="120"/>
              <w:ind w:left="-142"/>
            </w:pPr>
            <w:r>
              <w:t>One submission reported the effectiveness of</w:t>
            </w:r>
          </w:p>
          <w:p w14:paraId="58AB1188" w14:textId="77777777" w:rsidR="001024B4" w:rsidRDefault="001024B4" w:rsidP="00110EC2">
            <w:pPr>
              <w:spacing w:before="120" w:after="120"/>
            </w:pPr>
            <w:r>
              <w:t>IVIg therapy for PM and DM as add-on therapy for patients who have not responded to steroids and immunosuppression (NSW IVIg User Group).</w:t>
            </w:r>
          </w:p>
          <w:p w14:paraId="35CC62B4" w14:textId="77777777" w:rsidR="001024B4" w:rsidRDefault="001024B4" w:rsidP="00110EC2">
            <w:pPr>
              <w:spacing w:before="120" w:after="120"/>
            </w:pPr>
            <w:r>
              <w:t>A further submission confirms a role for IVIg as add-on maintenance therapy in some patients resulting in an increased chance of complete remission and reduction in corticosteroid dose.</w:t>
            </w:r>
          </w:p>
          <w:p w14:paraId="7CF35420" w14:textId="77777777" w:rsidR="001024B4" w:rsidRDefault="001024B4" w:rsidP="00110EC2">
            <w:pPr>
              <w:spacing w:before="120" w:after="120"/>
            </w:pPr>
            <w:r>
              <w:t>A third submission suggests that IVIg can be tried as add-on treatment for patients with PM or DM who have not responded adequately to corticosteroids and second-line immunosuppressive agents (Asia–Pacific IVIg Advisory Board 2004).</w:t>
            </w:r>
          </w:p>
          <w:p w14:paraId="1DEF4D6F" w14:textId="77777777" w:rsidR="001024B4" w:rsidRDefault="001024B4" w:rsidP="00110EC2">
            <w:pPr>
              <w:spacing w:before="120" w:after="120"/>
            </w:pPr>
          </w:p>
          <w:p w14:paraId="007A4DE8" w14:textId="77777777" w:rsidR="001024B4" w:rsidRPr="000E0203" w:rsidRDefault="001024B4" w:rsidP="00110EC2">
            <w:pPr>
              <w:spacing w:before="120" w:after="120"/>
            </w:pPr>
            <w:r>
              <w:t>Weak evidence suggests that it may benefit patients with dysphagia associated with IBM (Asia–Pacific IVIg Advisory Board 2004).</w:t>
            </w:r>
          </w:p>
        </w:tc>
        <w:tc>
          <w:tcPr>
            <w:tcW w:w="4640" w:type="dxa"/>
            <w:gridSpan w:val="3"/>
          </w:tcPr>
          <w:p w14:paraId="6F0B61B2" w14:textId="77777777" w:rsidR="001024B4" w:rsidRPr="00DF0736" w:rsidRDefault="001024B4" w:rsidP="00110EC2">
            <w:pPr>
              <w:spacing w:before="120" w:after="120"/>
            </w:pP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lastRenderedPageBreak/>
              <w:t>IBM: The Biotext (2004) review identified three small controlled studies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.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Two were crossover trials comparing </w:t>
            </w:r>
            <w:r>
              <w:t>intravenous immunoglobulin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(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IVIg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)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to placebo in 19 patients and 22 patients. The outcome was negative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,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even if some symptomatic positive effects were recorded. In one </w:t>
            </w:r>
            <w:r w:rsidRPr="00FD522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randomized controlled trial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(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RCT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)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IVIg plus 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lastRenderedPageBreak/>
              <w:t>prednisolone was compared with placebo plus prednisolone in 35 patients – the outcome was negative. Overall a small number of patients reported benefits regarding swallowing difficulties. IVIg in IBM continues to be controversial. Since there is a question about regional differences in response to IVIg, and persistent case reports about the efficacy of IVIg in IBM, further research is required to determine if a small subset of patients respond. Long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-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term treatment does not appear justified. However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,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there may be an exception with regards to treating dysphagia.</w:t>
            </w:r>
          </w:p>
        </w:tc>
        <w:tc>
          <w:tcPr>
            <w:tcW w:w="4149" w:type="dxa"/>
          </w:tcPr>
          <w:p w14:paraId="22AFCE25" w14:textId="77777777" w:rsidR="001024B4" w:rsidRPr="006747C4" w:rsidRDefault="001024B4" w:rsidP="00110EC2">
            <w:pPr>
              <w:spacing w:before="120" w:after="120"/>
            </w:pPr>
            <w:r>
              <w:lastRenderedPageBreak/>
              <w:t>Justification for evidence section revised and updated. (A)</w:t>
            </w:r>
          </w:p>
        </w:tc>
      </w:tr>
      <w:tr w:rsidR="001024B4" w14:paraId="03A23C02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64369296" w14:textId="77777777" w:rsidR="001024B4" w:rsidRPr="00644285" w:rsidRDefault="001024B4" w:rsidP="00110EC2">
            <w:pPr>
              <w:spacing w:before="120" w:after="120"/>
              <w:rPr>
                <w:b/>
                <w:sz w:val="18"/>
                <w:szCs w:val="18"/>
              </w:rPr>
            </w:pPr>
            <w:r w:rsidRPr="00644285">
              <w:rPr>
                <w:b/>
                <w:sz w:val="18"/>
                <w:szCs w:val="18"/>
              </w:rPr>
              <w:lastRenderedPageBreak/>
              <w:t>Description and Diagnostic Criteria</w:t>
            </w:r>
          </w:p>
          <w:p w14:paraId="1CA26EF8" w14:textId="77777777" w:rsidR="001024B4" w:rsidRDefault="001024B4" w:rsidP="00110EC2">
            <w:pPr>
              <w:spacing w:before="120" w:after="120"/>
            </w:pPr>
          </w:p>
        </w:tc>
        <w:tc>
          <w:tcPr>
            <w:tcW w:w="4539" w:type="dxa"/>
          </w:tcPr>
          <w:p w14:paraId="1E87D7D8" w14:textId="77777777" w:rsidR="001024B4" w:rsidRPr="00331F28" w:rsidRDefault="001024B4" w:rsidP="00110EC2">
            <w:pPr>
              <w:spacing w:before="120" w:after="120"/>
            </w:pPr>
            <w:r w:rsidRPr="00331F28">
              <w:t>The inflammatory myopathies are a group of three</w:t>
            </w:r>
            <w:r>
              <w:t xml:space="preserve"> </w:t>
            </w:r>
            <w:r w:rsidRPr="00331F28">
              <w:t>discrete disor</w:t>
            </w:r>
            <w:r>
              <w:t xml:space="preserve">ders of skeletal muscle: DM, PM </w:t>
            </w:r>
            <w:r w:rsidRPr="00331F28">
              <w:t>and IBM.</w:t>
            </w:r>
          </w:p>
          <w:p w14:paraId="5C703257" w14:textId="77777777" w:rsidR="001024B4" w:rsidRPr="00331F28" w:rsidRDefault="001024B4" w:rsidP="00110EC2">
            <w:pPr>
              <w:spacing w:before="120" w:after="120"/>
            </w:pPr>
            <w:r w:rsidRPr="00331F28">
              <w:t xml:space="preserve">These disorders </w:t>
            </w:r>
            <w:r>
              <w:t xml:space="preserve">are acquired and have in common </w:t>
            </w:r>
            <w:r w:rsidRPr="00331F28">
              <w:t xml:space="preserve">the occurrence of </w:t>
            </w:r>
            <w:r>
              <w:t xml:space="preserve">significant muscle weakness and </w:t>
            </w:r>
            <w:r w:rsidRPr="00331F28">
              <w:t xml:space="preserve">the presence of </w:t>
            </w:r>
            <w:r>
              <w:t xml:space="preserve">an inflammatory response within </w:t>
            </w:r>
            <w:r w:rsidRPr="00331F28">
              <w:t>the muscle.</w:t>
            </w:r>
          </w:p>
          <w:p w14:paraId="57480846" w14:textId="77777777" w:rsidR="001024B4" w:rsidRPr="00331F28" w:rsidRDefault="001024B4" w:rsidP="00110EC2">
            <w:pPr>
              <w:spacing w:before="120" w:after="120"/>
            </w:pPr>
            <w:r w:rsidRPr="00331F28">
              <w:t>The diagnosis of DM, PM or IBM is usually made</w:t>
            </w:r>
          </w:p>
          <w:p w14:paraId="01724903" w14:textId="77777777" w:rsidR="001024B4" w:rsidRPr="00331F28" w:rsidRDefault="001024B4" w:rsidP="00110EC2">
            <w:pPr>
              <w:spacing w:before="120" w:after="120"/>
            </w:pPr>
            <w:r w:rsidRPr="00331F28">
              <w:t>by neurologists or rheumatologists, and relies on</w:t>
            </w:r>
          </w:p>
          <w:p w14:paraId="1867BAEE" w14:textId="77777777" w:rsidR="001024B4" w:rsidRDefault="001024B4" w:rsidP="00110EC2">
            <w:pPr>
              <w:spacing w:before="120" w:after="120"/>
            </w:pPr>
            <w:r w:rsidRPr="00331F28">
              <w:t xml:space="preserve">the combination of </w:t>
            </w:r>
            <w:r>
              <w:t xml:space="preserve">careful clinical evaluation, an </w:t>
            </w:r>
            <w:r w:rsidRPr="00331F28">
              <w:t>elevated creatine</w:t>
            </w:r>
            <w:r>
              <w:t xml:space="preserve"> kinase level, electromyography </w:t>
            </w:r>
            <w:r w:rsidRPr="00331F28">
              <w:t>and muscle biopsy.</w:t>
            </w:r>
          </w:p>
        </w:tc>
        <w:tc>
          <w:tcPr>
            <w:tcW w:w="4640" w:type="dxa"/>
            <w:gridSpan w:val="3"/>
          </w:tcPr>
          <w:p w14:paraId="5E7AF0D6" w14:textId="77777777" w:rsidR="001024B4" w:rsidRPr="006747C4" w:rsidRDefault="001024B4" w:rsidP="00110EC2">
            <w:pPr>
              <w:spacing w:before="120" w:after="120"/>
            </w:pPr>
            <w:r>
              <w:t>I</w:t>
            </w:r>
            <w:r w:rsidRPr="00DF0736">
              <w:t>BM is an idiopathic inflammatory disorder of muscle. It is the most common inflammatory myopathy in individuals older than 50 y</w:t>
            </w:r>
            <w:r>
              <w:t>ea</w:t>
            </w:r>
            <w:r w:rsidRPr="00DF0736">
              <w:t>rs. Clinically IBM presents with slowly progressive weakness. It is more common in men than women (3:1). Along with proximal muscle weakness, distal muscles are commonly involved. The disease has a predilection for certain muscles, especially the quadriceps and long finger flexors, with prominent atrophy of the quadriceps muscle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149" w:type="dxa"/>
          </w:tcPr>
          <w:p w14:paraId="2D7625CF" w14:textId="77777777" w:rsidR="001024B4" w:rsidRPr="00DF0736" w:rsidRDefault="001024B4" w:rsidP="00110EC2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t xml:space="preserve">Diagnostic criteria section has been revised and updated. 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SWG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observed that 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IVIg in IBM continues to be controversial. Although initial trials looked promising, long term treatment does not appear justified. However there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is</w:t>
            </w:r>
            <w:r w:rsidRPr="00DF0736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an exception with regards to treating dysphagia which affects up to 70% IBM patients. This may even apply with the use of subcutaneous IVIg. (Muscle &amp; nerve 2013;48(5):839-9. </w:t>
            </w:r>
          </w:p>
          <w:p w14:paraId="2895531D" w14:textId="77777777" w:rsidR="001024B4" w:rsidRPr="006747C4" w:rsidRDefault="001024B4" w:rsidP="00110EC2">
            <w:pPr>
              <w:spacing w:before="120" w:after="120"/>
            </w:pPr>
          </w:p>
        </w:tc>
      </w:tr>
      <w:tr w:rsidR="001024B4" w14:paraId="545986AC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01E4BC3F" w14:textId="77777777" w:rsidR="001024B4" w:rsidRPr="001849B2" w:rsidRDefault="001024B4" w:rsidP="00110EC2">
            <w:pPr>
              <w:spacing w:before="120" w:after="120"/>
              <w:rPr>
                <w:b/>
                <w:sz w:val="18"/>
                <w:szCs w:val="18"/>
              </w:rPr>
            </w:pPr>
            <w:r w:rsidRPr="001849B2">
              <w:rPr>
                <w:b/>
                <w:sz w:val="18"/>
                <w:szCs w:val="18"/>
              </w:rPr>
              <w:t>Diagnosis is required</w:t>
            </w:r>
          </w:p>
        </w:tc>
        <w:tc>
          <w:tcPr>
            <w:tcW w:w="4539" w:type="dxa"/>
          </w:tcPr>
          <w:p w14:paraId="3F16741C" w14:textId="77777777" w:rsidR="001024B4" w:rsidRPr="009D714F" w:rsidRDefault="001024B4" w:rsidP="00110EC2">
            <w:pPr>
              <w:spacing w:before="120" w:after="120"/>
            </w:pPr>
            <w:r w:rsidRPr="00331F28">
              <w:t>Diagnosis made by a neurologist, rheumatologist or</w:t>
            </w:r>
            <w:r>
              <w:t xml:space="preserve"> </w:t>
            </w:r>
            <w:r w:rsidRPr="00331F28">
              <w:t>immunologist</w:t>
            </w:r>
          </w:p>
        </w:tc>
        <w:tc>
          <w:tcPr>
            <w:tcW w:w="672" w:type="dxa"/>
          </w:tcPr>
          <w:p w14:paraId="5B712AFE" w14:textId="77777777" w:rsidR="001024B4" w:rsidRPr="006747C4" w:rsidRDefault="001024B4" w:rsidP="00110EC2">
            <w:pPr>
              <w:spacing w:before="120" w:after="120"/>
            </w:pPr>
            <w:r>
              <w:t>Yes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F8B346F" w14:textId="77777777" w:rsidR="001024B4" w:rsidRPr="006747C4" w:rsidRDefault="001024B4" w:rsidP="00110EC2">
            <w:pPr>
              <w:spacing w:before="120" w:after="120"/>
            </w:pPr>
            <w:r w:rsidRPr="006A4A3F">
              <w:rPr>
                <w:b/>
                <w:sz w:val="18"/>
                <w:szCs w:val="18"/>
              </w:rPr>
              <w:t>By which speciality</w:t>
            </w:r>
          </w:p>
        </w:tc>
        <w:tc>
          <w:tcPr>
            <w:tcW w:w="2834" w:type="dxa"/>
          </w:tcPr>
          <w:p w14:paraId="3A6737DA" w14:textId="77777777" w:rsidR="001024B4" w:rsidRPr="006747C4" w:rsidRDefault="001024B4" w:rsidP="00110EC2">
            <w:pPr>
              <w:spacing w:before="120" w:after="120"/>
              <w:jc w:val="center"/>
            </w:pPr>
            <w:r w:rsidRPr="00C36D2D">
              <w:rPr>
                <w:sz w:val="18"/>
                <w:szCs w:val="18"/>
              </w:rPr>
              <w:t xml:space="preserve">Neurologist, </w:t>
            </w:r>
            <w:r w:rsidRPr="008143C8">
              <w:rPr>
                <w:sz w:val="18"/>
                <w:szCs w:val="18"/>
              </w:rPr>
              <w:t>rheumatologist</w:t>
            </w:r>
            <w:r w:rsidRPr="00C36D2D">
              <w:rPr>
                <w:sz w:val="18"/>
                <w:szCs w:val="18"/>
              </w:rPr>
              <w:t xml:space="preserve"> or</w:t>
            </w:r>
            <w:r>
              <w:rPr>
                <w:sz w:val="18"/>
                <w:szCs w:val="18"/>
              </w:rPr>
              <w:t xml:space="preserve"> clinical</w:t>
            </w:r>
            <w:r w:rsidRPr="00C36D2D">
              <w:rPr>
                <w:sz w:val="18"/>
                <w:szCs w:val="18"/>
              </w:rPr>
              <w:t xml:space="preserve"> immunologist</w:t>
            </w:r>
          </w:p>
        </w:tc>
        <w:tc>
          <w:tcPr>
            <w:tcW w:w="4149" w:type="dxa"/>
            <w:vMerge w:val="restart"/>
          </w:tcPr>
          <w:p w14:paraId="24D68282" w14:textId="77777777" w:rsidR="001024B4" w:rsidRPr="006747C4" w:rsidRDefault="001024B4" w:rsidP="00110EC2">
            <w:pPr>
              <w:spacing w:before="120" w:after="120"/>
            </w:pPr>
            <w:r>
              <w:t xml:space="preserve">Unchanged. </w:t>
            </w:r>
          </w:p>
        </w:tc>
      </w:tr>
      <w:tr w:rsidR="001024B4" w14:paraId="11847DD9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09905F56" w14:textId="77777777" w:rsidR="001024B4" w:rsidRPr="00644285" w:rsidRDefault="001024B4" w:rsidP="00110EC2">
            <w:pPr>
              <w:spacing w:before="120" w:after="120"/>
              <w:rPr>
                <w:b/>
                <w:sz w:val="18"/>
                <w:szCs w:val="18"/>
              </w:rPr>
            </w:pPr>
            <w:r w:rsidRPr="00644285">
              <w:rPr>
                <w:b/>
                <w:sz w:val="18"/>
                <w:szCs w:val="18"/>
              </w:rPr>
              <w:t>Diagnosis must be verified</w:t>
            </w:r>
          </w:p>
        </w:tc>
        <w:tc>
          <w:tcPr>
            <w:tcW w:w="4539" w:type="dxa"/>
          </w:tcPr>
          <w:p w14:paraId="02A61A79" w14:textId="77777777" w:rsidR="001024B4" w:rsidRPr="009D714F" w:rsidRDefault="001024B4" w:rsidP="00110EC2">
            <w:pPr>
              <w:spacing w:before="120" w:after="120"/>
            </w:pPr>
          </w:p>
        </w:tc>
        <w:tc>
          <w:tcPr>
            <w:tcW w:w="672" w:type="dxa"/>
          </w:tcPr>
          <w:p w14:paraId="39523839" w14:textId="77777777" w:rsidR="001024B4" w:rsidRPr="006747C4" w:rsidRDefault="001024B4" w:rsidP="00110EC2">
            <w:pPr>
              <w:spacing w:before="120" w:after="120"/>
            </w:pPr>
            <w:r>
              <w:t>No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243B941" w14:textId="77777777" w:rsidR="001024B4" w:rsidRPr="006747C4" w:rsidRDefault="001024B4" w:rsidP="00110EC2">
            <w:pPr>
              <w:spacing w:before="120" w:after="120"/>
            </w:pPr>
            <w:r w:rsidRPr="006A4A3F">
              <w:rPr>
                <w:b/>
                <w:sz w:val="18"/>
                <w:szCs w:val="18"/>
              </w:rPr>
              <w:t>By which speciality</w:t>
            </w:r>
          </w:p>
        </w:tc>
        <w:tc>
          <w:tcPr>
            <w:tcW w:w="2834" w:type="dxa"/>
          </w:tcPr>
          <w:p w14:paraId="1B26B53A" w14:textId="77777777" w:rsidR="001024B4" w:rsidRPr="006747C4" w:rsidRDefault="001024B4" w:rsidP="00110EC2">
            <w:pPr>
              <w:spacing w:before="120" w:after="120"/>
            </w:pPr>
          </w:p>
        </w:tc>
        <w:tc>
          <w:tcPr>
            <w:tcW w:w="4149" w:type="dxa"/>
            <w:vMerge/>
          </w:tcPr>
          <w:p w14:paraId="370337E8" w14:textId="77777777" w:rsidR="001024B4" w:rsidRPr="006747C4" w:rsidRDefault="001024B4" w:rsidP="00110EC2">
            <w:pPr>
              <w:spacing w:before="120" w:after="120"/>
            </w:pPr>
          </w:p>
        </w:tc>
      </w:tr>
      <w:tr w:rsidR="001024B4" w14:paraId="08E12E2B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22DCBB03" w14:textId="77777777" w:rsidR="001024B4" w:rsidRPr="001849B2" w:rsidRDefault="001024B4" w:rsidP="00110EC2">
            <w:pPr>
              <w:spacing w:before="120" w:after="120"/>
              <w:rPr>
                <w:b/>
                <w:sz w:val="18"/>
                <w:szCs w:val="18"/>
              </w:rPr>
            </w:pPr>
            <w:r w:rsidRPr="001849B2">
              <w:rPr>
                <w:b/>
                <w:sz w:val="18"/>
                <w:szCs w:val="18"/>
              </w:rPr>
              <w:t>Exclusion Criteria</w:t>
            </w:r>
          </w:p>
          <w:p w14:paraId="08FF1904" w14:textId="77777777" w:rsidR="001024B4" w:rsidRDefault="001024B4" w:rsidP="00110EC2">
            <w:pPr>
              <w:spacing w:before="120" w:after="120"/>
            </w:pPr>
          </w:p>
        </w:tc>
        <w:tc>
          <w:tcPr>
            <w:tcW w:w="4539" w:type="dxa"/>
          </w:tcPr>
          <w:p w14:paraId="3D6F6766" w14:textId="77777777" w:rsidR="001024B4" w:rsidRDefault="001024B4" w:rsidP="00110EC2">
            <w:pPr>
              <w:spacing w:before="120" w:after="120"/>
            </w:pPr>
            <w:r>
              <w:t>Expert consensus does not recommend IVIg to treat the limb weakness of IBM.</w:t>
            </w:r>
          </w:p>
        </w:tc>
        <w:tc>
          <w:tcPr>
            <w:tcW w:w="4640" w:type="dxa"/>
            <w:gridSpan w:val="3"/>
          </w:tcPr>
          <w:p w14:paraId="75DE8FB0" w14:textId="77777777" w:rsidR="001024B4" w:rsidRPr="00DF0736" w:rsidRDefault="001024B4" w:rsidP="00110EC2">
            <w:pPr>
              <w:spacing w:before="120" w:after="120"/>
            </w:pPr>
            <w:r w:rsidRPr="00DF0736">
              <w:t>IBM with limb weakness without dysphagia affecting function</w:t>
            </w:r>
          </w:p>
          <w:p w14:paraId="763B58C2" w14:textId="77777777" w:rsidR="001024B4" w:rsidRPr="006747C4" w:rsidRDefault="001024B4" w:rsidP="00110EC2">
            <w:pPr>
              <w:spacing w:before="120" w:after="120"/>
            </w:pPr>
          </w:p>
        </w:tc>
        <w:tc>
          <w:tcPr>
            <w:tcW w:w="4149" w:type="dxa"/>
          </w:tcPr>
          <w:p w14:paraId="5DC8F433" w14:textId="77777777" w:rsidR="001024B4" w:rsidRPr="00DF0736" w:rsidRDefault="001024B4" w:rsidP="00110EC2">
            <w:pPr>
              <w:spacing w:before="120" w:after="120"/>
            </w:pPr>
            <w:r w:rsidRPr="00DF0736">
              <w:t>This exclusion criterion has been reworded for consistency with other exclusion criteria.</w:t>
            </w:r>
          </w:p>
          <w:p w14:paraId="014D2DC2" w14:textId="77777777" w:rsidR="001024B4" w:rsidRPr="006747C4" w:rsidRDefault="001024B4" w:rsidP="00110EC2">
            <w:pPr>
              <w:spacing w:before="120" w:after="120"/>
            </w:pPr>
          </w:p>
        </w:tc>
      </w:tr>
      <w:tr w:rsidR="001024B4" w14:paraId="6014B095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41B4CE10" w14:textId="77777777" w:rsidR="001024B4" w:rsidRPr="001024B4" w:rsidRDefault="001024B4" w:rsidP="00110EC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Indications</w:t>
            </w:r>
          </w:p>
        </w:tc>
        <w:tc>
          <w:tcPr>
            <w:tcW w:w="4539" w:type="dxa"/>
          </w:tcPr>
          <w:p w14:paraId="505201C2" w14:textId="77777777" w:rsidR="001024B4" w:rsidRPr="00110EC2" w:rsidRDefault="001024B4" w:rsidP="00110EC2">
            <w:pPr>
              <w:spacing w:before="120" w:after="120"/>
            </w:pPr>
            <w:r w:rsidRPr="00110EC2">
              <w:t>Patients with PM or DM with significant muscle weakness unresponsive to corticosteroids and other immunosuppressive agents.</w:t>
            </w:r>
          </w:p>
          <w:p w14:paraId="751A4BA3" w14:textId="77777777" w:rsidR="001024B4" w:rsidRDefault="001024B4" w:rsidP="00110EC2">
            <w:pPr>
              <w:spacing w:before="120" w:after="120"/>
            </w:pPr>
          </w:p>
          <w:p w14:paraId="0CD49618" w14:textId="77777777" w:rsidR="001024B4" w:rsidRDefault="001024B4" w:rsidP="00110EC2">
            <w:pPr>
              <w:spacing w:before="120" w:after="120"/>
            </w:pPr>
            <w:r>
              <w:t xml:space="preserve">Patients with IBM who have dysphagia affecting </w:t>
            </w:r>
            <w:r>
              <w:lastRenderedPageBreak/>
              <w:t>function.</w:t>
            </w:r>
          </w:p>
          <w:p w14:paraId="528EBD28" w14:textId="77777777" w:rsidR="001024B4" w:rsidRDefault="001024B4" w:rsidP="00110EC2">
            <w:pPr>
              <w:spacing w:before="120" w:after="120"/>
            </w:pPr>
          </w:p>
          <w:p w14:paraId="48FB8857" w14:textId="77777777" w:rsidR="001024B4" w:rsidRDefault="001024B4" w:rsidP="00110EC2">
            <w:pPr>
              <w:spacing w:before="120" w:after="120"/>
            </w:pPr>
            <w:r>
              <w:t>Patients with rapidly progressive IBM.</w:t>
            </w:r>
          </w:p>
        </w:tc>
        <w:tc>
          <w:tcPr>
            <w:tcW w:w="4640" w:type="dxa"/>
            <w:gridSpan w:val="3"/>
          </w:tcPr>
          <w:p w14:paraId="4CFD494B" w14:textId="391778EE" w:rsidR="001024B4" w:rsidRPr="000E7AF0" w:rsidRDefault="001024B4" w:rsidP="00110EC2">
            <w:pPr>
              <w:spacing w:before="120" w:after="120"/>
              <w:rPr>
                <w:strike/>
              </w:rPr>
            </w:pPr>
            <w:r w:rsidRPr="001024B4">
              <w:rPr>
                <w:b/>
              </w:rPr>
              <w:lastRenderedPageBreak/>
              <w:t>Patients with IBM who have dysphagia limiting dietary intake</w:t>
            </w:r>
          </w:p>
        </w:tc>
        <w:tc>
          <w:tcPr>
            <w:tcW w:w="4149" w:type="dxa"/>
          </w:tcPr>
          <w:p w14:paraId="2BF19BC9" w14:textId="77777777" w:rsidR="001024B4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Indication reworded to require biopsy confirmation and clearer definition of degree of dysphagia. </w:t>
            </w:r>
          </w:p>
          <w:p w14:paraId="6EF24A2E" w14:textId="77777777" w:rsidR="001024B4" w:rsidRPr="000E7AF0" w:rsidRDefault="001024B4" w:rsidP="00110EC2">
            <w:pPr>
              <w:spacing w:before="120" w:after="120"/>
            </w:pPr>
            <w:r w:rsidRPr="000E7AF0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SWG confirmed that there is no evidence that can be used to verify rapidly progressive IBM and noted that the criteria </w:t>
            </w:r>
            <w:r w:rsidRPr="000E7AF0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lastRenderedPageBreak/>
              <w:t>for rapidly progressive IBM is not clear, and that the indication should be deleted.</w:t>
            </w:r>
          </w:p>
        </w:tc>
      </w:tr>
      <w:tr w:rsidR="001024B4" w14:paraId="42E40CC9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14C7374C" w14:textId="77777777" w:rsidR="001024B4" w:rsidRPr="001024B4" w:rsidRDefault="001024B4" w:rsidP="00110EC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Qualifying Criteria</w:t>
            </w:r>
          </w:p>
        </w:tc>
        <w:tc>
          <w:tcPr>
            <w:tcW w:w="4539" w:type="dxa"/>
          </w:tcPr>
          <w:p w14:paraId="39A1190E" w14:textId="77777777" w:rsidR="001024B4" w:rsidRPr="00331F28" w:rsidRDefault="001024B4" w:rsidP="00110EC2">
            <w:pPr>
              <w:spacing w:before="120" w:after="120"/>
            </w:pPr>
            <w:r w:rsidRPr="00331F28">
              <w:t>Diagnosis made by a neurologist, rheumatologist or</w:t>
            </w:r>
            <w:r>
              <w:t xml:space="preserve"> </w:t>
            </w:r>
            <w:r w:rsidRPr="00331F28">
              <w:t>immunologist of:</w:t>
            </w:r>
          </w:p>
          <w:p w14:paraId="744AFBA2" w14:textId="77777777" w:rsidR="001024B4" w:rsidRDefault="001024B4" w:rsidP="00110EC2">
            <w:pPr>
              <w:spacing w:before="120" w:after="120"/>
            </w:pPr>
          </w:p>
          <w:p w14:paraId="7BA475FA" w14:textId="77777777" w:rsidR="001024B4" w:rsidRPr="00331F28" w:rsidRDefault="001024B4" w:rsidP="00110EC2">
            <w:pPr>
              <w:spacing w:before="120" w:after="120"/>
            </w:pPr>
            <w:r w:rsidRPr="00331F28">
              <w:t>Patients with PM or DM who have significant</w:t>
            </w:r>
          </w:p>
          <w:p w14:paraId="6F4EE909" w14:textId="77777777" w:rsidR="001024B4" w:rsidRPr="00331F28" w:rsidRDefault="001024B4" w:rsidP="00110EC2">
            <w:pPr>
              <w:spacing w:before="120" w:after="120"/>
            </w:pPr>
            <w:r w:rsidRPr="00331F28">
              <w:t>muscle weakness or dysphagia and have</w:t>
            </w:r>
          </w:p>
          <w:p w14:paraId="414EE9CB" w14:textId="77777777" w:rsidR="001024B4" w:rsidRPr="00331F28" w:rsidRDefault="001024B4" w:rsidP="00110EC2">
            <w:pPr>
              <w:spacing w:before="120" w:after="120"/>
            </w:pPr>
            <w:r w:rsidRPr="00331F28">
              <w:t>not responded to corticosteroids and other</w:t>
            </w:r>
          </w:p>
          <w:p w14:paraId="0B6BDD67" w14:textId="77777777" w:rsidR="001024B4" w:rsidRPr="00331F28" w:rsidRDefault="001024B4" w:rsidP="00110EC2">
            <w:pPr>
              <w:spacing w:before="120" w:after="120"/>
            </w:pPr>
            <w:r w:rsidRPr="00331F28">
              <w:t>immunosuppressive agents;</w:t>
            </w:r>
          </w:p>
          <w:p w14:paraId="441964ED" w14:textId="77777777" w:rsidR="001024B4" w:rsidRPr="00331F28" w:rsidRDefault="001024B4" w:rsidP="00110EC2">
            <w:pPr>
              <w:spacing w:before="120" w:after="120"/>
            </w:pPr>
            <w:r w:rsidRPr="00331F28">
              <w:t>OR</w:t>
            </w:r>
          </w:p>
          <w:p w14:paraId="1D41ADE5" w14:textId="77777777" w:rsidR="001024B4" w:rsidRDefault="001024B4" w:rsidP="00110EC2">
            <w:pPr>
              <w:spacing w:before="120" w:after="120"/>
            </w:pPr>
          </w:p>
          <w:p w14:paraId="7BB8DCD7" w14:textId="77777777" w:rsidR="001024B4" w:rsidRPr="00331F28" w:rsidRDefault="001024B4" w:rsidP="00110EC2">
            <w:pPr>
              <w:spacing w:before="120" w:after="120"/>
            </w:pPr>
            <w:r w:rsidRPr="00331F28">
              <w:t>Patients with IBM who have dysphagia</w:t>
            </w:r>
          </w:p>
          <w:p w14:paraId="7DFD1C36" w14:textId="77777777" w:rsidR="001024B4" w:rsidRPr="00331F28" w:rsidRDefault="001024B4" w:rsidP="00110EC2">
            <w:pPr>
              <w:spacing w:before="120" w:after="120"/>
            </w:pPr>
            <w:r w:rsidRPr="00331F28">
              <w:t>affecting function;</w:t>
            </w:r>
          </w:p>
          <w:p w14:paraId="72304A69" w14:textId="77777777" w:rsidR="001024B4" w:rsidRPr="00331F28" w:rsidRDefault="001024B4" w:rsidP="00110EC2">
            <w:pPr>
              <w:spacing w:before="120" w:after="120"/>
            </w:pPr>
            <w:r w:rsidRPr="00331F28">
              <w:t>OR</w:t>
            </w:r>
          </w:p>
          <w:p w14:paraId="41A395A8" w14:textId="77777777" w:rsidR="001024B4" w:rsidRDefault="001024B4" w:rsidP="00110EC2">
            <w:pPr>
              <w:spacing w:before="120" w:after="120"/>
            </w:pPr>
          </w:p>
          <w:p w14:paraId="3BB11D15" w14:textId="77777777" w:rsidR="001024B4" w:rsidRPr="002936DD" w:rsidRDefault="001024B4" w:rsidP="00110EC2">
            <w:pPr>
              <w:spacing w:before="120" w:after="120"/>
            </w:pPr>
            <w:r w:rsidRPr="00331F28">
              <w:t>Patients with rapidly progressive IBM.</w:t>
            </w:r>
          </w:p>
        </w:tc>
        <w:tc>
          <w:tcPr>
            <w:tcW w:w="4640" w:type="dxa"/>
            <w:gridSpan w:val="3"/>
          </w:tcPr>
          <w:p w14:paraId="5DA91DC1" w14:textId="77777777" w:rsidR="001024B4" w:rsidRPr="00273864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Biopsy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-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proven IBM with dysphagia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.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</w:t>
            </w:r>
          </w:p>
          <w:p w14:paraId="3BE76F9F" w14:textId="77777777" w:rsidR="001024B4" w:rsidRPr="00273864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AND </w:t>
            </w:r>
          </w:p>
          <w:p w14:paraId="38B1FFED" w14:textId="77777777" w:rsidR="001024B4" w:rsidRPr="00273864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Dyspha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g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ia limiting dietary intake with involvement of pharyngeal muscles as demonstrated by videofluoroscopy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.</w:t>
            </w:r>
          </w:p>
          <w:p w14:paraId="1FB406C9" w14:textId="77777777" w:rsidR="001024B4" w:rsidRDefault="001024B4" w:rsidP="00110EC2">
            <w:pPr>
              <w:spacing w:before="120" w:after="12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AND</w:t>
            </w:r>
          </w:p>
          <w:p w14:paraId="5874FEC5" w14:textId="77777777" w:rsidR="001024B4" w:rsidRPr="00273864" w:rsidRDefault="001024B4" w:rsidP="00110EC2">
            <w:pPr>
              <w:spacing w:before="120" w:after="12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</w:p>
          <w:p w14:paraId="1B5EBCC9" w14:textId="77777777" w:rsidR="001024B4" w:rsidRPr="00273864" w:rsidRDefault="001024B4" w:rsidP="00110EC2">
            <w:pPr>
              <w:spacing w:before="120" w:after="12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Patient intolerance for 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solid 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dietary textures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.</w:t>
            </w:r>
          </w:p>
          <w:p w14:paraId="1C7D301B" w14:textId="77777777" w:rsidR="001024B4" w:rsidRPr="00273864" w:rsidRDefault="001024B4" w:rsidP="00110EC2">
            <w:pPr>
              <w:spacing w:before="120" w:after="12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OR</w:t>
            </w:r>
          </w:p>
          <w:p w14:paraId="09AB416C" w14:textId="0E14E255" w:rsidR="001024B4" w:rsidRDefault="00451F66" w:rsidP="00110EC2">
            <w:pPr>
              <w:spacing w:before="120" w:after="120" w:line="276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At least two</w:t>
            </w:r>
            <w:r w:rsidR="001024B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d</w:t>
            </w:r>
            <w:r w:rsidR="001024B4"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ocumented ep</w:t>
            </w:r>
            <w:r w:rsidR="001024B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is</w:t>
            </w:r>
            <w:r w:rsidR="001024B4"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odes of aspiration for which there is no better explanation</w:t>
            </w:r>
            <w:r w:rsidR="001024B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. </w:t>
            </w:r>
          </w:p>
          <w:p w14:paraId="09F975E6" w14:textId="77777777" w:rsidR="001024B4" w:rsidRPr="006747C4" w:rsidRDefault="001024B4" w:rsidP="00110EC2">
            <w:pPr>
              <w:spacing w:before="120" w:after="120"/>
            </w:pPr>
          </w:p>
        </w:tc>
        <w:tc>
          <w:tcPr>
            <w:tcW w:w="4149" w:type="dxa"/>
          </w:tcPr>
          <w:p w14:paraId="422CABBB" w14:textId="77777777" w:rsidR="001024B4" w:rsidRPr="00273864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0E7AF0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The qualifying criteria 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include demonstration of pharyngeal muscular involvement </w:t>
            </w:r>
            <w:r w:rsidRPr="000E7AF0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by video fl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u</w:t>
            </w:r>
            <w:r w:rsidRPr="000E7AF0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oroscopy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but not 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be 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repeated to demonstrate response at review.  </w:t>
            </w:r>
          </w:p>
          <w:p w14:paraId="46C50118" w14:textId="77777777" w:rsidR="001024B4" w:rsidRPr="00273864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While it was acknowledged that access to video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fluo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ro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scopy is not routine in rural centres, when neurologists review these patients, these investigations can be performed. It was also noted that 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such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investigations have been used in formal IVIg studies. </w:t>
            </w:r>
          </w:p>
          <w:p w14:paraId="0EC7DF99" w14:textId="77777777" w:rsidR="001024B4" w:rsidRPr="00273864" w:rsidRDefault="001024B4" w:rsidP="00110EC2">
            <w:pPr>
              <w:spacing w:before="120" w:after="12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Given that once these</w:t>
            </w:r>
            <w:r w:rsidRPr="000E7AF0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patients are prescribed Ig treatment for dysphagia – they are likely to remain on Ig for a long time, so documented evidence 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should be required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. </w:t>
            </w:r>
          </w:p>
          <w:p w14:paraId="24D996F3" w14:textId="77777777" w:rsidR="001024B4" w:rsidRPr="00273864" w:rsidRDefault="001024B4" w:rsidP="00110EC2">
            <w:pPr>
              <w:spacing w:before="120" w:after="120" w:line="276" w:lineRule="auto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Also, IBM is not that uncommon in the elderly –so there is a need to document the requirem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ent. Food tolerance will be confirmed to be m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inced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,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p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uree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d or 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Liquids 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food </w:t>
            </w:r>
            <w:r w:rsidRPr="0027386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only </w:t>
            </w:r>
          </w:p>
          <w:p w14:paraId="4A809BC1" w14:textId="77777777" w:rsidR="001024B4" w:rsidRPr="006747C4" w:rsidRDefault="001024B4" w:rsidP="00110EC2">
            <w:pPr>
              <w:spacing w:before="120" w:after="120"/>
            </w:pPr>
          </w:p>
        </w:tc>
      </w:tr>
      <w:tr w:rsidR="001024B4" w14:paraId="2105675D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41CB5469" w14:textId="77777777" w:rsidR="001024B4" w:rsidRPr="001024B4" w:rsidRDefault="001024B4" w:rsidP="00110EC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Criteria</w:t>
            </w:r>
          </w:p>
        </w:tc>
        <w:tc>
          <w:tcPr>
            <w:tcW w:w="4539" w:type="dxa"/>
          </w:tcPr>
          <w:p w14:paraId="5818DF3C" w14:textId="311CEA49" w:rsidR="001024B4" w:rsidRPr="00331F28" w:rsidRDefault="00110EC2" w:rsidP="00110EC2">
            <w:pPr>
              <w:spacing w:before="120" w:after="120"/>
            </w:pPr>
            <w:r>
              <w:t>IVI</w:t>
            </w:r>
            <w:r w:rsidR="001024B4" w:rsidRPr="00331F28">
              <w:t>g should be used for three to six months (three to</w:t>
            </w:r>
            <w:r w:rsidR="001024B4">
              <w:t xml:space="preserve"> </w:t>
            </w:r>
            <w:r w:rsidR="001024B4" w:rsidRPr="00331F28">
              <w:t xml:space="preserve">six courses) before </w:t>
            </w:r>
            <w:r w:rsidR="001024B4">
              <w:t xml:space="preserve">determining whether the patient </w:t>
            </w:r>
            <w:r w:rsidR="001024B4" w:rsidRPr="00331F28">
              <w:t>has responded. If there is no be</w:t>
            </w:r>
            <w:r w:rsidR="001024B4">
              <w:t xml:space="preserve">nefit after three to </w:t>
            </w:r>
            <w:r w:rsidR="001024B4" w:rsidRPr="00331F28">
              <w:t>six courses, IVIg therapy should be abandoned.</w:t>
            </w:r>
          </w:p>
          <w:p w14:paraId="4D38D996" w14:textId="77777777" w:rsidR="001024B4" w:rsidRDefault="001024B4" w:rsidP="00110EC2">
            <w:pPr>
              <w:spacing w:before="120" w:after="120"/>
            </w:pPr>
          </w:p>
          <w:p w14:paraId="190032B3" w14:textId="77777777" w:rsidR="001024B4" w:rsidRPr="00331F28" w:rsidRDefault="001024B4" w:rsidP="00110EC2">
            <w:pPr>
              <w:spacing w:before="120" w:after="120"/>
              <w:rPr>
                <w:b/>
              </w:rPr>
            </w:pPr>
            <w:r w:rsidRPr="00331F28">
              <w:rPr>
                <w:b/>
              </w:rPr>
              <w:t>Review</w:t>
            </w:r>
          </w:p>
          <w:p w14:paraId="37A5C363" w14:textId="77777777" w:rsidR="001024B4" w:rsidRPr="00331F28" w:rsidRDefault="001024B4" w:rsidP="00110EC2">
            <w:pPr>
              <w:spacing w:before="120" w:after="120"/>
            </w:pPr>
            <w:r w:rsidRPr="00331F28">
              <w:t>Regular review by</w:t>
            </w:r>
            <w:r>
              <w:t xml:space="preserve"> a neurologist, rheumatologist, </w:t>
            </w:r>
            <w:r w:rsidRPr="00331F28">
              <w:t>or clinical immunol</w:t>
            </w:r>
            <w:r>
              <w:t xml:space="preserve">ogist is required; frequency as </w:t>
            </w:r>
            <w:r w:rsidRPr="00331F28">
              <w:t>determined by clinical status of patient.</w:t>
            </w:r>
          </w:p>
          <w:p w14:paraId="6D4575F1" w14:textId="77777777" w:rsidR="001024B4" w:rsidRDefault="001024B4" w:rsidP="00110EC2">
            <w:pPr>
              <w:spacing w:before="120" w:after="120"/>
            </w:pPr>
            <w:r w:rsidRPr="00331F28">
              <w:t>For stable patients o</w:t>
            </w:r>
            <w:r>
              <w:t xml:space="preserve">n maintenance treatment, review </w:t>
            </w:r>
            <w:r w:rsidRPr="00331F28">
              <w:t>by a specialist is required at least annually.</w:t>
            </w:r>
          </w:p>
          <w:p w14:paraId="1CCA9B9C" w14:textId="77777777" w:rsidR="001024B4" w:rsidRDefault="001024B4" w:rsidP="00110EC2">
            <w:pPr>
              <w:spacing w:before="120" w:after="120"/>
              <w:rPr>
                <w:b/>
              </w:rPr>
            </w:pPr>
          </w:p>
          <w:p w14:paraId="23C0694B" w14:textId="77777777" w:rsidR="001024B4" w:rsidRPr="00331F28" w:rsidRDefault="001024B4" w:rsidP="00110EC2">
            <w:pPr>
              <w:spacing w:before="120" w:after="120"/>
              <w:rPr>
                <w:b/>
              </w:rPr>
            </w:pPr>
            <w:r w:rsidRPr="00331F28">
              <w:rPr>
                <w:b/>
              </w:rPr>
              <w:t>Effectiveness</w:t>
            </w:r>
          </w:p>
          <w:p w14:paraId="27942FE0" w14:textId="77777777" w:rsidR="001024B4" w:rsidRPr="00331F28" w:rsidRDefault="001024B4" w:rsidP="00110EC2">
            <w:pPr>
              <w:spacing w:before="120" w:after="120"/>
            </w:pPr>
            <w:r w:rsidRPr="00331F28">
              <w:t>Clinical documentation of effectiveness is necessary for continuation of IVIg therapy.</w:t>
            </w:r>
          </w:p>
          <w:p w14:paraId="7AFD5EBE" w14:textId="77777777" w:rsidR="001024B4" w:rsidRPr="00331F28" w:rsidRDefault="001024B4" w:rsidP="00110EC2">
            <w:pPr>
              <w:spacing w:before="120" w:after="120"/>
            </w:pPr>
            <w:r w:rsidRPr="00331F28">
              <w:t>Effectiveness can be demonstrated by objective findings of either:</w:t>
            </w:r>
          </w:p>
          <w:p w14:paraId="65288BF8" w14:textId="77777777" w:rsidR="001024B4" w:rsidRDefault="001024B4" w:rsidP="00110EC2">
            <w:pPr>
              <w:spacing w:before="120" w:after="120"/>
            </w:pPr>
          </w:p>
          <w:p w14:paraId="5F8E8721" w14:textId="77777777" w:rsidR="001024B4" w:rsidRDefault="001024B4" w:rsidP="00110EC2">
            <w:pPr>
              <w:spacing w:before="120" w:after="120"/>
            </w:pPr>
          </w:p>
          <w:p w14:paraId="79E2D540" w14:textId="77777777" w:rsidR="001024B4" w:rsidRDefault="001024B4" w:rsidP="00110EC2">
            <w:pPr>
              <w:spacing w:before="120" w:after="120"/>
            </w:pPr>
          </w:p>
          <w:p w14:paraId="0E1BF768" w14:textId="77777777" w:rsidR="001024B4" w:rsidRPr="00331F28" w:rsidRDefault="001024B4" w:rsidP="00110EC2">
            <w:pPr>
              <w:spacing w:before="120" w:after="120"/>
            </w:pPr>
          </w:p>
          <w:p w14:paraId="61EF0DB2" w14:textId="77777777" w:rsidR="001024B4" w:rsidRPr="00331F28" w:rsidRDefault="001024B4" w:rsidP="00110EC2">
            <w:pPr>
              <w:spacing w:before="120" w:after="120"/>
            </w:pPr>
            <w:r w:rsidRPr="00331F28">
              <w:t>Improvement in functional scores activities of daily living (ADL) or quantitative muscle scores or Medical Research Council (MRC) muscle assessment;</w:t>
            </w:r>
          </w:p>
          <w:p w14:paraId="2AED595B" w14:textId="77777777" w:rsidR="001024B4" w:rsidRPr="00331F28" w:rsidRDefault="001024B4" w:rsidP="00110EC2">
            <w:pPr>
              <w:spacing w:before="120" w:after="120"/>
            </w:pPr>
            <w:r w:rsidRPr="00331F28">
              <w:t>OR</w:t>
            </w:r>
          </w:p>
          <w:p w14:paraId="6E89BCEA" w14:textId="77777777" w:rsidR="001024B4" w:rsidRPr="00331F28" w:rsidRDefault="001024B4" w:rsidP="00110EC2">
            <w:pPr>
              <w:spacing w:before="120" w:after="120"/>
            </w:pPr>
          </w:p>
          <w:p w14:paraId="35215A70" w14:textId="77777777" w:rsidR="001024B4" w:rsidRDefault="001024B4" w:rsidP="00110EC2">
            <w:pPr>
              <w:spacing w:before="120" w:after="120"/>
            </w:pPr>
            <w:r w:rsidRPr="00331F28">
              <w:t>Stabilisation of disease as defined by stable functional scores (ADLs) or quantitative muscle scores or MRC muscle assessment after previous evidence of deterioration in one of these scores.</w:t>
            </w:r>
          </w:p>
        </w:tc>
        <w:tc>
          <w:tcPr>
            <w:tcW w:w="4640" w:type="dxa"/>
            <w:gridSpan w:val="3"/>
          </w:tcPr>
          <w:p w14:paraId="6D942DE2" w14:textId="0E391CFB" w:rsidR="001024B4" w:rsidRPr="00D341FA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D341F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lastRenderedPageBreak/>
              <w:t xml:space="preserve">IVIg should be used for up to four months </w:t>
            </w:r>
            <w:r w:rsidR="004C01DC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(induction </w:t>
            </w:r>
            <w:r w:rsidR="00292CA0"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plus</w:t>
            </w:r>
            <w:r w:rsidR="004C01DC"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three</w:t>
            </w:r>
            <w:r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maintenance cycles) before determining whether the patient has responded. If there is no benefit after </w:t>
            </w:r>
            <w:r w:rsidR="008558B9"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this treatment</w:t>
            </w:r>
            <w:r w:rsidR="004C01DC"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, </w:t>
            </w:r>
            <w:r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IVIg therapy should be abandoned.</w:t>
            </w:r>
          </w:p>
          <w:p w14:paraId="68B11D4D" w14:textId="77777777" w:rsidR="001024B4" w:rsidRPr="00D341FA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</w:p>
          <w:p w14:paraId="6DBE09E2" w14:textId="566669C6" w:rsidR="001024B4" w:rsidRPr="00D341FA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Review by a neurologist, rheumatologist, or clinical immunologist is required</w:t>
            </w:r>
            <w:ins w:id="0" w:author="Philippa Hetzel" w:date="2015-06-04T15:12:00Z">
              <w:r w:rsidR="004C01DC" w:rsidRPr="008143C8">
                <w:rPr>
                  <w:rFonts w:asciiTheme="minorHAnsi" w:eastAsia="Times New Roman" w:hAnsiTheme="minorHAnsi" w:cs="Times New Roman"/>
                  <w:color w:val="000000"/>
                  <w:lang w:eastAsia="en-AU"/>
                </w:rPr>
                <w:t xml:space="preserve"> </w:t>
              </w:r>
            </w:ins>
            <w:r w:rsidR="00292CA0"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within</w:t>
            </w:r>
            <w:r w:rsidR="008558B9"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four months and</w:t>
            </w:r>
            <w:r w:rsidR="00110EC2" w:rsidRPr="008143C8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annually thereafter.</w:t>
            </w:r>
          </w:p>
          <w:p w14:paraId="2E8E070F" w14:textId="77777777" w:rsidR="001024B4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</w:p>
          <w:p w14:paraId="770EF9AB" w14:textId="1475632E" w:rsidR="001024B4" w:rsidRPr="00D341FA" w:rsidRDefault="00110EC2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C</w:t>
            </w:r>
            <w:r w:rsidR="001024B4" w:rsidRPr="00D341F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linical documentation of effectiveness is necessary for continuation of IVIg therapy.</w:t>
            </w:r>
          </w:p>
          <w:p w14:paraId="148D133A" w14:textId="40198DBE" w:rsidR="001024B4" w:rsidRPr="00D341FA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D341F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Effectiveness can be demonstrated by objective findings of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i</w:t>
            </w:r>
            <w:r w:rsidRPr="00D341F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mprovement in dysphagia</w:t>
            </w:r>
            <w:r w:rsidR="00292CA0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.</w:t>
            </w:r>
          </w:p>
          <w:p w14:paraId="03276686" w14:textId="77777777" w:rsidR="001024B4" w:rsidRPr="00D341FA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</w:p>
          <w:p w14:paraId="1994DCFA" w14:textId="5AF780ED" w:rsidR="001024B4" w:rsidRPr="00110EC2" w:rsidRDefault="001024B4" w:rsidP="00110EC2">
            <w:pPr>
              <w:spacing w:before="120" w:after="120" w:line="0" w:lineRule="atLeast"/>
              <w:rPr>
                <w:rFonts w:asciiTheme="minorHAnsi" w:eastAsia="Times New Roman" w:hAnsiTheme="minorHAnsi" w:cs="Times New Roman"/>
                <w:b/>
                <w:lang w:eastAsia="en-AU"/>
              </w:rPr>
            </w:pPr>
            <w:r w:rsidRPr="00110EC2">
              <w:rPr>
                <w:rFonts w:asciiTheme="minorHAnsi" w:hAnsiTheme="minorHAnsi"/>
                <w:b/>
              </w:rPr>
              <w:t>On review of an Initial</w:t>
            </w:r>
            <w:r w:rsidR="00110EC2" w:rsidRPr="00110EC2">
              <w:rPr>
                <w:rFonts w:asciiTheme="minorHAnsi" w:eastAsia="Times New Roman" w:hAnsiTheme="minorHAnsi" w:cs="Times New Roman"/>
                <w:b/>
                <w:lang w:eastAsia="en-AU"/>
              </w:rPr>
              <w:t xml:space="preserve"> authorisation period</w:t>
            </w:r>
          </w:p>
          <w:p w14:paraId="10ABF556" w14:textId="58135E87" w:rsidR="001024B4" w:rsidRPr="00D341FA" w:rsidRDefault="001024B4" w:rsidP="00110EC2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D341FA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Improvement in dysphagia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,</w:t>
            </w:r>
            <w:r w:rsidRPr="00D341FA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including as assessed by speech therapist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, improvemen</w:t>
            </w:r>
            <w:r w:rsidRPr="008143C8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t in dietary intake and aspiration episodes</w:t>
            </w:r>
            <w:r w:rsidR="004C01DC" w:rsidRPr="008143C8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, </w:t>
            </w:r>
            <w:r w:rsidR="00525F2A" w:rsidRPr="008143C8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as</w:t>
            </w:r>
            <w:r w:rsidRPr="008143C8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relev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ant. </w:t>
            </w:r>
          </w:p>
          <w:p w14:paraId="72B356B0" w14:textId="77777777" w:rsidR="001024B4" w:rsidRPr="00110EC2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lang w:eastAsia="en-AU"/>
              </w:rPr>
            </w:pPr>
          </w:p>
          <w:p w14:paraId="6511A255" w14:textId="0638CC80" w:rsidR="001024B4" w:rsidRPr="00110EC2" w:rsidRDefault="001024B4" w:rsidP="00110EC2">
            <w:pPr>
              <w:spacing w:before="120" w:after="120" w:line="0" w:lineRule="atLeast"/>
              <w:rPr>
                <w:rFonts w:asciiTheme="minorHAnsi" w:eastAsia="Times New Roman" w:hAnsiTheme="minorHAnsi" w:cs="Times New Roman"/>
                <w:b/>
                <w:lang w:eastAsia="en-AU"/>
              </w:rPr>
            </w:pPr>
            <w:r w:rsidRPr="00110EC2">
              <w:rPr>
                <w:rFonts w:asciiTheme="minorHAnsi" w:eastAsia="Times New Roman" w:hAnsiTheme="minorHAnsi" w:cs="Times New Roman"/>
                <w:b/>
                <w:lang w:eastAsia="en-AU"/>
              </w:rPr>
              <w:t xml:space="preserve">On review of a continuing authorisation period  </w:t>
            </w:r>
          </w:p>
          <w:p w14:paraId="708D9594" w14:textId="384260B6" w:rsidR="001024B4" w:rsidRPr="00110EC2" w:rsidRDefault="001024B4" w:rsidP="00110EC2">
            <w:pPr>
              <w:spacing w:before="120" w:after="120"/>
              <w:rPr>
                <w:rFonts w:asciiTheme="minorHAnsi" w:eastAsia="Times New Roman" w:hAnsiTheme="minorHAnsi" w:cs="Times New Roman"/>
                <w:lang w:eastAsia="en-AU"/>
              </w:rPr>
            </w:pPr>
          </w:p>
          <w:p w14:paraId="02B054E4" w14:textId="77777777" w:rsidR="001024B4" w:rsidRPr="00D341FA" w:rsidRDefault="001024B4" w:rsidP="00110EC2">
            <w:pPr>
              <w:spacing w:before="120" w:after="12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D341FA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Continued improvement or stabilisation in symptoms of dysphagia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,</w:t>
            </w:r>
            <w:r w:rsidRPr="00D341FA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including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improvement in</w:t>
            </w:r>
            <w:r w:rsidRPr="00D341FA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speech therapy assessment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and improvement</w:t>
            </w:r>
            <w:r w:rsidRPr="00D341FA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in dietary intake or </w:t>
            </w:r>
            <w:r w:rsidRPr="00D341FA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aspiration episodes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, as relevant. </w:t>
            </w:r>
          </w:p>
          <w:p w14:paraId="41B567B3" w14:textId="77777777" w:rsidR="001024B4" w:rsidRPr="00525F2A" w:rsidRDefault="001024B4" w:rsidP="00110EC2">
            <w:pPr>
              <w:spacing w:before="120" w:after="120" w:line="20" w:lineRule="atLeast"/>
              <w:rPr>
                <w:rFonts w:asciiTheme="minorHAnsi" w:eastAsia="Times New Roman" w:hAnsiTheme="minorHAnsi" w:cs="Times New Roman"/>
                <w:lang w:eastAsia="en-AU"/>
              </w:rPr>
            </w:pPr>
            <w:r w:rsidRPr="00525F2A">
              <w:rPr>
                <w:rFonts w:asciiTheme="minorHAnsi" w:eastAsia="Times New Roman" w:hAnsiTheme="minorHAnsi" w:cs="Times New Roman"/>
                <w:lang w:eastAsia="en-AU"/>
              </w:rPr>
              <w:t>AND</w:t>
            </w:r>
          </w:p>
          <w:p w14:paraId="675812B2" w14:textId="77777777" w:rsidR="001024B4" w:rsidRPr="00D341FA" w:rsidRDefault="001024B4" w:rsidP="00110EC2">
            <w:pPr>
              <w:spacing w:before="120" w:after="120" w:line="20" w:lineRule="atLeast"/>
              <w:rPr>
                <w:rFonts w:asciiTheme="minorHAnsi" w:eastAsia="Times New Roman" w:hAnsiTheme="minorHAnsi" w:cs="Times New Roman"/>
                <w:b/>
                <w:color w:val="808080" w:themeColor="background1" w:themeShade="80"/>
                <w:lang w:eastAsia="en-AU"/>
              </w:rPr>
            </w:pPr>
          </w:p>
          <w:p w14:paraId="41AD1302" w14:textId="4CA75936" w:rsidR="001024B4" w:rsidRPr="006747C4" w:rsidRDefault="001024B4" w:rsidP="00451F66">
            <w:pPr>
              <w:spacing w:before="120" w:after="120" w:line="20" w:lineRule="atLeast"/>
            </w:pP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Once stable, a</w:t>
            </w:r>
            <w:r w:rsidRPr="00D341F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trial off Ig therapy 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may be considered. </w:t>
            </w:r>
          </w:p>
        </w:tc>
        <w:tc>
          <w:tcPr>
            <w:tcW w:w="4149" w:type="dxa"/>
          </w:tcPr>
          <w:p w14:paraId="27BF0254" w14:textId="77777777" w:rsidR="001024B4" w:rsidRDefault="001024B4" w:rsidP="00110EC2">
            <w:pPr>
              <w:spacing w:before="120" w:after="120"/>
            </w:pPr>
          </w:p>
          <w:p w14:paraId="65C918BF" w14:textId="77777777" w:rsidR="001024B4" w:rsidRDefault="001024B4" w:rsidP="00110EC2">
            <w:pPr>
              <w:spacing w:before="120" w:after="120"/>
            </w:pPr>
          </w:p>
          <w:p w14:paraId="6EC7351F" w14:textId="77777777" w:rsidR="001024B4" w:rsidRDefault="001024B4" w:rsidP="00110EC2">
            <w:pPr>
              <w:spacing w:before="120" w:after="120"/>
            </w:pPr>
          </w:p>
          <w:p w14:paraId="6B4DC904" w14:textId="77777777" w:rsidR="001024B4" w:rsidRDefault="001024B4" w:rsidP="00110EC2">
            <w:pPr>
              <w:spacing w:before="120" w:after="120"/>
            </w:pPr>
          </w:p>
          <w:p w14:paraId="53A30881" w14:textId="77777777" w:rsidR="001024B4" w:rsidRPr="00F2615C" w:rsidRDefault="001024B4" w:rsidP="00110EC2">
            <w:pPr>
              <w:spacing w:before="120" w:after="120"/>
              <w:rPr>
                <w:rFonts w:asciiTheme="minorHAnsi" w:hAnsiTheme="minorHAnsi"/>
              </w:rPr>
            </w:pPr>
            <w:r w:rsidRPr="00F2615C">
              <w:rPr>
                <w:rFonts w:asciiTheme="minorHAnsi" w:hAnsiTheme="minorHAnsi"/>
              </w:rPr>
              <w:lastRenderedPageBreak/>
              <w:t xml:space="preserve">The initial assessment timeframe is reduced from a maximum of 6 months to 4 months (induction plus 3 months or courses).  </w:t>
            </w:r>
          </w:p>
          <w:p w14:paraId="308A0D90" w14:textId="77777777" w:rsidR="001024B4" w:rsidRDefault="001024B4" w:rsidP="00110EC2">
            <w:pPr>
              <w:spacing w:before="120" w:after="120"/>
            </w:pPr>
          </w:p>
          <w:p w14:paraId="3B3718D7" w14:textId="77777777" w:rsidR="001024B4" w:rsidRDefault="001024B4" w:rsidP="00110EC2">
            <w:pPr>
              <w:spacing w:before="120" w:after="120"/>
            </w:pPr>
          </w:p>
          <w:p w14:paraId="6144F6A8" w14:textId="77777777" w:rsidR="001024B4" w:rsidRDefault="001024B4" w:rsidP="00110EC2">
            <w:pPr>
              <w:spacing w:before="120" w:after="120"/>
            </w:pPr>
          </w:p>
          <w:p w14:paraId="2DB78564" w14:textId="77777777" w:rsidR="001024B4" w:rsidRDefault="001024B4" w:rsidP="00110EC2">
            <w:pPr>
              <w:spacing w:before="120" w:after="120"/>
            </w:pPr>
          </w:p>
          <w:p w14:paraId="7485188E" w14:textId="77777777" w:rsidR="001024B4" w:rsidRDefault="001024B4" w:rsidP="00110EC2">
            <w:pPr>
              <w:spacing w:before="120" w:after="120"/>
            </w:pPr>
          </w:p>
          <w:p w14:paraId="310BE783" w14:textId="77777777" w:rsidR="001024B4" w:rsidRDefault="001024B4" w:rsidP="00110EC2">
            <w:pPr>
              <w:spacing w:before="120" w:after="120"/>
            </w:pPr>
          </w:p>
          <w:p w14:paraId="30BD6408" w14:textId="77777777" w:rsidR="001024B4" w:rsidRDefault="001024B4" w:rsidP="00110EC2">
            <w:pPr>
              <w:spacing w:before="120" w:after="120"/>
            </w:pPr>
          </w:p>
          <w:p w14:paraId="6CB35FC5" w14:textId="77777777" w:rsidR="001024B4" w:rsidRDefault="001024B4" w:rsidP="00110EC2">
            <w:pPr>
              <w:spacing w:before="120" w:after="120"/>
            </w:pPr>
          </w:p>
          <w:p w14:paraId="386DF2BE" w14:textId="77777777" w:rsidR="001024B4" w:rsidRDefault="001024B4" w:rsidP="00110EC2">
            <w:pPr>
              <w:spacing w:before="120" w:after="120"/>
            </w:pPr>
            <w:r w:rsidRPr="00F2615C">
              <w:rPr>
                <w:rFonts w:asciiTheme="minorHAnsi" w:hAnsiTheme="minorHAnsi"/>
              </w:rPr>
              <w:t xml:space="preserve">Clear definition of demonstrated response to </w:t>
            </w:r>
            <w:r>
              <w:rPr>
                <w:rFonts w:asciiTheme="minorHAnsi" w:hAnsiTheme="minorHAnsi"/>
              </w:rPr>
              <w:t xml:space="preserve">Ig </w:t>
            </w:r>
            <w:r w:rsidRPr="00F2615C">
              <w:rPr>
                <w:rFonts w:asciiTheme="minorHAnsi" w:hAnsiTheme="minorHAnsi"/>
              </w:rPr>
              <w:t xml:space="preserve">therapy is </w:t>
            </w:r>
            <w:r>
              <w:rPr>
                <w:rFonts w:asciiTheme="minorHAnsi" w:hAnsiTheme="minorHAnsi"/>
              </w:rPr>
              <w:t>defined</w:t>
            </w:r>
            <w:r w:rsidRPr="00F2615C">
              <w:rPr>
                <w:rFonts w:asciiTheme="minorHAnsi" w:hAnsiTheme="minorHAnsi"/>
              </w:rPr>
              <w:t xml:space="preserve"> for re-authorisation.</w:t>
            </w:r>
            <w:r>
              <w:rPr>
                <w:rFonts w:asciiTheme="minorHAnsi" w:hAnsiTheme="minorHAnsi"/>
              </w:rPr>
              <w:t xml:space="preserve"> (A)</w:t>
            </w:r>
          </w:p>
          <w:p w14:paraId="6D062555" w14:textId="77777777" w:rsidR="001024B4" w:rsidRDefault="001024B4" w:rsidP="00110EC2">
            <w:pPr>
              <w:spacing w:before="120" w:after="120"/>
            </w:pPr>
          </w:p>
          <w:p w14:paraId="1FD32491" w14:textId="77777777" w:rsidR="001024B4" w:rsidRDefault="001024B4" w:rsidP="00110EC2">
            <w:pPr>
              <w:spacing w:before="120" w:after="120"/>
            </w:pPr>
          </w:p>
          <w:p w14:paraId="022E9DBB" w14:textId="77777777" w:rsidR="001024B4" w:rsidRDefault="001024B4" w:rsidP="00110EC2">
            <w:pPr>
              <w:spacing w:before="120" w:after="120"/>
            </w:pPr>
          </w:p>
          <w:p w14:paraId="5165B43F" w14:textId="77777777" w:rsidR="001024B4" w:rsidRDefault="001024B4" w:rsidP="00110EC2">
            <w:pPr>
              <w:spacing w:before="120" w:after="120"/>
            </w:pPr>
          </w:p>
          <w:p w14:paraId="38F2411D" w14:textId="77777777" w:rsidR="001024B4" w:rsidRDefault="001024B4" w:rsidP="00110EC2">
            <w:pPr>
              <w:spacing w:before="120" w:after="120"/>
            </w:pPr>
          </w:p>
          <w:p w14:paraId="40B8D525" w14:textId="77777777" w:rsidR="001024B4" w:rsidRDefault="001024B4" w:rsidP="00110EC2">
            <w:pPr>
              <w:spacing w:before="120" w:after="120"/>
            </w:pPr>
          </w:p>
          <w:p w14:paraId="5BD718D4" w14:textId="77777777" w:rsidR="001024B4" w:rsidRDefault="001024B4" w:rsidP="00110EC2">
            <w:pPr>
              <w:spacing w:before="120" w:after="120"/>
            </w:pPr>
          </w:p>
          <w:p w14:paraId="65E06816" w14:textId="77777777" w:rsidR="001024B4" w:rsidRPr="00F2615C" w:rsidRDefault="001024B4" w:rsidP="00110EC2">
            <w:pPr>
              <w:spacing w:before="120" w:after="120"/>
              <w:rPr>
                <w:rFonts w:asciiTheme="minorHAnsi" w:hAnsiTheme="minorHAnsi"/>
              </w:rPr>
            </w:pPr>
            <w:r w:rsidRPr="00F2615C">
              <w:rPr>
                <w:rFonts w:asciiTheme="minorHAnsi" w:hAnsiTheme="minorHAnsi"/>
              </w:rPr>
              <w:t xml:space="preserve">Continued improvement or stabilisation in symptoms. Once stable, a trial off therapy is prompted to be considered. </w:t>
            </w:r>
            <w:r>
              <w:rPr>
                <w:rFonts w:asciiTheme="minorHAnsi" w:hAnsiTheme="minorHAnsi"/>
              </w:rPr>
              <w:t>(B)</w:t>
            </w:r>
          </w:p>
          <w:p w14:paraId="0BD5B820" w14:textId="67E04D41" w:rsidR="001024B4" w:rsidRPr="006747C4" w:rsidRDefault="001024B4" w:rsidP="00110EC2">
            <w:pPr>
              <w:spacing w:before="120" w:after="120"/>
            </w:pPr>
            <w:r w:rsidRPr="009C20E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SWG noted that these patients do not go into remission, so are unlikely to cease IVIg if it has been effective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. SWG confirmed that it was</w:t>
            </w:r>
            <w:r w:rsidRPr="009C20E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 reasonable to consider trial but should not be mandated and no justification </w:t>
            </w:r>
            <w:r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is </w:t>
            </w:r>
            <w:r w:rsidRPr="009C20E6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required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en-AU"/>
              </w:rPr>
              <w:t xml:space="preserve">. </w:t>
            </w:r>
          </w:p>
        </w:tc>
      </w:tr>
      <w:tr w:rsidR="001024B4" w14:paraId="004B3A8E" w14:textId="77777777" w:rsidTr="00110EC2">
        <w:tc>
          <w:tcPr>
            <w:tcW w:w="1701" w:type="dxa"/>
            <w:shd w:val="clear" w:color="auto" w:fill="D9D9D9" w:themeFill="background1" w:themeFillShade="D9"/>
          </w:tcPr>
          <w:p w14:paraId="675B160D" w14:textId="77777777" w:rsidR="001024B4" w:rsidRPr="001024B4" w:rsidRDefault="001024B4" w:rsidP="00110EC2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Dose</w:t>
            </w:r>
          </w:p>
        </w:tc>
        <w:tc>
          <w:tcPr>
            <w:tcW w:w="4539" w:type="dxa"/>
          </w:tcPr>
          <w:p w14:paraId="2C69E490" w14:textId="77777777" w:rsidR="001024B4" w:rsidRPr="00331F28" w:rsidRDefault="001024B4" w:rsidP="00110EC2">
            <w:pPr>
              <w:spacing w:before="120" w:after="120"/>
            </w:pPr>
            <w:r w:rsidRPr="00331F28">
              <w:rPr>
                <w:b/>
              </w:rPr>
              <w:t>Induction:</w:t>
            </w:r>
            <w:r w:rsidRPr="00331F28">
              <w:t xml:space="preserve"> 2 g/kg in 2 to 5 divided doses.</w:t>
            </w:r>
          </w:p>
          <w:p w14:paraId="75723B1B" w14:textId="77777777" w:rsidR="001024B4" w:rsidRPr="00331F28" w:rsidRDefault="001024B4" w:rsidP="00110EC2">
            <w:pPr>
              <w:spacing w:before="120" w:after="120"/>
            </w:pPr>
            <w:r w:rsidRPr="00331F28">
              <w:rPr>
                <w:b/>
              </w:rPr>
              <w:t>Maintenance:</w:t>
            </w:r>
            <w:r w:rsidRPr="00331F28">
              <w:t xml:space="preserve"> 0.4–1 g/kg, 4–6 weekly.</w:t>
            </w:r>
          </w:p>
          <w:p w14:paraId="3A526FFF" w14:textId="77777777" w:rsidR="001024B4" w:rsidRPr="00331F28" w:rsidRDefault="001024B4" w:rsidP="00110EC2">
            <w:pPr>
              <w:spacing w:before="120" w:after="120"/>
            </w:pPr>
            <w:r w:rsidRPr="00331F28">
              <w:t>Aim for the minimum dose to maintain optimal functional status.</w:t>
            </w:r>
          </w:p>
          <w:p w14:paraId="079F66C7" w14:textId="77777777" w:rsidR="001024B4" w:rsidRPr="00331F28" w:rsidRDefault="001024B4" w:rsidP="00110EC2">
            <w:pPr>
              <w:spacing w:before="120" w:after="120"/>
              <w:rPr>
                <w:b/>
              </w:rPr>
            </w:pPr>
            <w:r w:rsidRPr="00331F28">
              <w:rPr>
                <w:b/>
              </w:rPr>
              <w:t>Dosing above 1 g/kg per day is contraindicated for some IVIg products.</w:t>
            </w:r>
          </w:p>
          <w:p w14:paraId="09368B4E" w14:textId="77777777" w:rsidR="001024B4" w:rsidRDefault="001024B4" w:rsidP="00110EC2">
            <w:pPr>
              <w:spacing w:before="120" w:after="120"/>
              <w:rPr>
                <w:b/>
              </w:rPr>
            </w:pPr>
          </w:p>
          <w:p w14:paraId="0C8AECDB" w14:textId="77777777" w:rsidR="001024B4" w:rsidRPr="00331F28" w:rsidRDefault="001024B4" w:rsidP="00110EC2">
            <w:pPr>
              <w:spacing w:before="120" w:after="120"/>
              <w:rPr>
                <w:b/>
              </w:rPr>
            </w:pPr>
            <w:r w:rsidRPr="00331F28">
              <w:rPr>
                <w:b/>
              </w:rPr>
              <w:t>Refer to the current product information sheet for further information.</w:t>
            </w:r>
          </w:p>
          <w:p w14:paraId="48AD45E8" w14:textId="77777777" w:rsidR="001024B4" w:rsidRDefault="001024B4" w:rsidP="00110EC2">
            <w:pPr>
              <w:spacing w:before="120" w:after="120"/>
              <w:rPr>
                <w:b/>
              </w:rPr>
            </w:pPr>
          </w:p>
          <w:p w14:paraId="3A5F9F89" w14:textId="77777777" w:rsidR="001024B4" w:rsidRDefault="001024B4" w:rsidP="00110EC2">
            <w:pPr>
              <w:spacing w:before="120" w:after="120"/>
            </w:pPr>
            <w:r w:rsidRPr="00331F28">
              <w:rPr>
                <w:b/>
              </w:rPr>
              <w:t>The aim should be to use the lowest dose possible that achieves the appropriate clinical outcome for each patient.</w:t>
            </w:r>
          </w:p>
        </w:tc>
        <w:tc>
          <w:tcPr>
            <w:tcW w:w="4640" w:type="dxa"/>
            <w:gridSpan w:val="3"/>
          </w:tcPr>
          <w:p w14:paraId="5767B508" w14:textId="77777777" w:rsidR="001024B4" w:rsidRPr="009C20E6" w:rsidRDefault="001024B4" w:rsidP="00110EC2">
            <w:pPr>
              <w:spacing w:before="120" w:after="120"/>
              <w:ind w:left="34" w:hanging="34"/>
              <w:rPr>
                <w:rFonts w:asciiTheme="minorHAnsi" w:hAnsiTheme="minorHAnsi" w:cstheme="minorHAnsi"/>
              </w:rPr>
            </w:pPr>
            <w:r w:rsidRPr="009C20E6">
              <w:rPr>
                <w:rFonts w:asciiTheme="minorHAnsi" w:eastAsia="Times New Roman" w:hAnsiTheme="minorHAnsi" w:cstheme="minorHAnsi"/>
                <w:b/>
                <w:color w:val="000000"/>
              </w:rPr>
              <w:t>Induction</w:t>
            </w:r>
            <w:r w:rsidRPr="009C20E6">
              <w:rPr>
                <w:rFonts w:asciiTheme="minorHAnsi" w:eastAsia="Times New Roman" w:hAnsiTheme="minorHAnsi" w:cstheme="minorHAnsi"/>
                <w:color w:val="000000"/>
              </w:rPr>
              <w:t xml:space="preserve"> - </w:t>
            </w:r>
            <w:r w:rsidRPr="009C20E6">
              <w:rPr>
                <w:rFonts w:asciiTheme="minorHAnsi" w:hAnsiTheme="minorHAnsi" w:cstheme="minorHAnsi"/>
              </w:rPr>
              <w:t>2 g/kg in 2 to 5 divided doses.</w:t>
            </w:r>
          </w:p>
          <w:p w14:paraId="63841F8B" w14:textId="77777777" w:rsidR="001024B4" w:rsidRPr="009C20E6" w:rsidRDefault="001024B4" w:rsidP="00110EC2">
            <w:pPr>
              <w:spacing w:before="120" w:after="120"/>
              <w:ind w:left="34" w:hanging="34"/>
              <w:rPr>
                <w:rFonts w:asciiTheme="minorHAnsi" w:eastAsia="Times New Roman" w:hAnsiTheme="minorHAnsi" w:cstheme="minorHAnsi"/>
                <w:color w:val="000000"/>
              </w:rPr>
            </w:pPr>
            <w:r w:rsidRPr="009C20E6">
              <w:rPr>
                <w:rFonts w:asciiTheme="minorHAnsi" w:eastAsia="Times New Roman" w:hAnsiTheme="minorHAnsi" w:cstheme="minorHAnsi"/>
                <w:b/>
                <w:color w:val="000000"/>
              </w:rPr>
              <w:t>Maintenance</w:t>
            </w:r>
            <w:r w:rsidRPr="009C20E6">
              <w:rPr>
                <w:rFonts w:asciiTheme="minorHAnsi" w:eastAsia="Times New Roman" w:hAnsiTheme="minorHAnsi" w:cstheme="minorHAnsi"/>
                <w:color w:val="000000"/>
              </w:rPr>
              <w:t xml:space="preserve"> - 0.4–1 g/kg, 4–6 weekly</w:t>
            </w:r>
          </w:p>
          <w:p w14:paraId="5EBB032B" w14:textId="77777777" w:rsidR="001024B4" w:rsidRPr="009C20E6" w:rsidRDefault="001024B4" w:rsidP="00110EC2">
            <w:pPr>
              <w:spacing w:before="120" w:after="120"/>
              <w:ind w:left="34" w:hanging="34"/>
            </w:pPr>
            <w:r w:rsidRPr="00525F2A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A maximum total dose of 1g/kg </w:t>
            </w:r>
            <w:r w:rsidRPr="00525F2A">
              <w:t xml:space="preserve">may </w:t>
            </w:r>
            <w:r w:rsidRPr="009C20E6">
              <w:t xml:space="preserve">be given in any </w:t>
            </w:r>
            <w:r>
              <w:t>four</w:t>
            </w:r>
            <w:r w:rsidRPr="009C20E6">
              <w:t xml:space="preserve"> week period. This can be administered in weekly divided doses, provided total maximum is not exceeded.</w:t>
            </w:r>
          </w:p>
          <w:p w14:paraId="2D720559" w14:textId="77777777" w:rsidR="00110EC2" w:rsidRPr="00110EC2" w:rsidRDefault="00110EC2" w:rsidP="00110EC2">
            <w:pPr>
              <w:spacing w:before="120" w:after="120"/>
              <w:ind w:left="34" w:hanging="34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110EC2">
              <w:rPr>
                <w:rFonts w:asciiTheme="minorHAnsi" w:eastAsia="Times New Roman" w:hAnsiTheme="minorHAnsi" w:cstheme="minorHAnsi"/>
                <w:bCs/>
                <w:color w:val="000000"/>
              </w:rPr>
              <w:t>The aim should be to use the lowest dose possible that achieves the appropriate clinical outcome for each patient.</w:t>
            </w:r>
          </w:p>
          <w:p w14:paraId="271C4FEA" w14:textId="77777777" w:rsidR="001024B4" w:rsidRPr="00110EC2" w:rsidRDefault="001024B4" w:rsidP="00110EC2">
            <w:pPr>
              <w:spacing w:before="120" w:after="120"/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110EC2">
              <w:rPr>
                <w:rFonts w:asciiTheme="minorHAnsi" w:eastAsia="Times New Roman" w:hAnsiTheme="minorHAnsi" w:cstheme="minorHAnsi"/>
                <w:bCs/>
                <w:color w:val="000000"/>
              </w:rPr>
              <w:t>Dosing above 1 g/kg per day is contraindicated for some IVIg products.</w:t>
            </w:r>
          </w:p>
          <w:p w14:paraId="0432984E" w14:textId="77777777" w:rsidR="001024B4" w:rsidRPr="009C20E6" w:rsidRDefault="001024B4" w:rsidP="00110EC2">
            <w:pPr>
              <w:spacing w:before="120" w:after="12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C20E6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Refer to the current product information sheet for further information.</w:t>
            </w:r>
          </w:p>
          <w:p w14:paraId="21A81559" w14:textId="77777777" w:rsidR="001024B4" w:rsidRPr="006747C4" w:rsidRDefault="001024B4" w:rsidP="00110EC2">
            <w:pPr>
              <w:spacing w:before="120" w:after="120"/>
              <w:ind w:left="34" w:hanging="34"/>
            </w:pPr>
          </w:p>
        </w:tc>
        <w:tc>
          <w:tcPr>
            <w:tcW w:w="4149" w:type="dxa"/>
          </w:tcPr>
          <w:p w14:paraId="4847A9D5" w14:textId="77777777" w:rsidR="001024B4" w:rsidRPr="006747C4" w:rsidRDefault="001024B4" w:rsidP="00110EC2">
            <w:pPr>
              <w:spacing w:before="120" w:after="120"/>
            </w:pPr>
            <w:r>
              <w:t xml:space="preserve">Dosing unchanged however has been notation added that weekly doses can be supported provided that the total maximum dose is not exceeded. </w:t>
            </w:r>
          </w:p>
        </w:tc>
      </w:tr>
      <w:tr w:rsidR="00451F66" w:rsidRPr="00451F66" w14:paraId="6C1FBA9F" w14:textId="77777777" w:rsidTr="00451F66">
        <w:tc>
          <w:tcPr>
            <w:tcW w:w="15029" w:type="dxa"/>
            <w:gridSpan w:val="6"/>
            <w:shd w:val="clear" w:color="auto" w:fill="DBE5F1" w:themeFill="accent1" w:themeFillTint="33"/>
          </w:tcPr>
          <w:p w14:paraId="692C860E" w14:textId="21D72453" w:rsidR="00451F66" w:rsidRPr="00451F66" w:rsidRDefault="00451F66" w:rsidP="00451F66">
            <w:pPr>
              <w:spacing w:before="120" w:after="120"/>
              <w:jc w:val="center"/>
              <w:rPr>
                <w:b/>
              </w:rPr>
            </w:pPr>
            <w:r w:rsidRPr="00451F66">
              <w:rPr>
                <w:b/>
              </w:rPr>
              <w:t>BIBLIOGRAPHY</w:t>
            </w:r>
          </w:p>
        </w:tc>
      </w:tr>
      <w:tr w:rsidR="00451F66" w14:paraId="789A4462" w14:textId="77777777" w:rsidTr="00451F66">
        <w:tc>
          <w:tcPr>
            <w:tcW w:w="15029" w:type="dxa"/>
            <w:gridSpan w:val="6"/>
            <w:shd w:val="clear" w:color="auto" w:fill="auto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13"/>
            </w:tblGrid>
            <w:tr w:rsidR="00451F66" w:rsidRPr="00451F66" w14:paraId="13651429" w14:textId="77777777" w:rsidTr="00451F66">
              <w:trPr>
                <w:tblHeader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7ED959" w14:textId="58764E35" w:rsidR="00451F66" w:rsidRPr="00451F66" w:rsidRDefault="00451F66" w:rsidP="00451F66">
                  <w:pPr>
                    <w:framePr w:hSpace="181" w:wrap="around" w:vAnchor="text" w:hAnchor="page" w:x="1093" w:y="471"/>
                    <w:spacing w:after="0"/>
                    <w:suppressOverlap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en-AU"/>
                    </w:rPr>
                  </w:pPr>
                </w:p>
              </w:tc>
            </w:tr>
            <w:tr w:rsidR="00451F66" w:rsidRPr="00451F66" w14:paraId="5FFF1931" w14:textId="77777777" w:rsidTr="00451F66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C320DE" w14:textId="77777777" w:rsidR="00451F66" w:rsidRPr="00451F66" w:rsidRDefault="00451F66" w:rsidP="00451F66">
                  <w:pPr>
                    <w:framePr w:hSpace="181" w:wrap="around" w:vAnchor="text" w:hAnchor="page" w:x="1093" w:y="471"/>
                    <w:spacing w:after="150"/>
                    <w:suppressOverlap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</w:pP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Association of British Neurologists 2005, </w:t>
                  </w:r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 xml:space="preserve">Guidelines for the use of intravenous immunoglobulin in neurological diseases, </w:t>
                  </w: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The Association, London. Available from: www.theabn.org/abn/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userfiles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/file/IVIg-guidelines-final-July05.pdf. [cited 7 Dec 2007]</w:t>
                  </w:r>
                </w:p>
                <w:p w14:paraId="03D0B26E" w14:textId="77777777" w:rsidR="00451F66" w:rsidRPr="00451F66" w:rsidRDefault="00451F66" w:rsidP="00451F66">
                  <w:pPr>
                    <w:framePr w:hSpace="181" w:wrap="around" w:vAnchor="text" w:hAnchor="page" w:x="1093" w:y="471"/>
                    <w:spacing w:after="150"/>
                    <w:suppressOverlap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</w:pP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Cherin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, P, Pelletier, S,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Teixeira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, A, et al 2002, ‘Results and long-term follow up of intravenous immunoglobulin infusions in chronic, refractory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polymyositis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: an open study with thirty-five adult patients’, </w:t>
                  </w:r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>Arthritis &amp; Rheumatism</w:t>
                  </w: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, vol. 46, no. 2, pp. 467–74.</w:t>
                  </w:r>
                </w:p>
                <w:p w14:paraId="7859C7E6" w14:textId="77777777" w:rsidR="00451F66" w:rsidRPr="00451F66" w:rsidRDefault="00451F66" w:rsidP="00451F66">
                  <w:pPr>
                    <w:framePr w:hSpace="181" w:wrap="around" w:vAnchor="text" w:hAnchor="page" w:x="1093" w:y="471"/>
                    <w:spacing w:after="150"/>
                    <w:suppressOverlap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</w:pP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Choy, EHS,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Hoogendijk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, JE, Lecky, B, et al 2005, ‘Immunosuppressant and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immunomodulatory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 treatment for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dermatomyositis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 and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polymyositis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 (Cochrane Review)’, in </w:t>
                  </w:r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>The Cochrane Library</w:t>
                  </w: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, Issue 3, John Wiley &amp; Sons, Ltd, Chichester, UK.</w:t>
                  </w:r>
                </w:p>
                <w:p w14:paraId="2756CDA0" w14:textId="77777777" w:rsidR="00451F66" w:rsidRPr="00451F66" w:rsidRDefault="00451F66" w:rsidP="00451F66">
                  <w:pPr>
                    <w:framePr w:hSpace="181" w:wrap="around" w:vAnchor="text" w:hAnchor="page" w:x="1093" w:y="471"/>
                    <w:spacing w:after="150"/>
                    <w:suppressOverlap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</w:pP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Dalakas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, MC 2004, ‘The use of intravenous immunoglobulin in the treatment of autoimmune neuromuscular diseases: evidence-based indications and safety profile’, </w:t>
                  </w:r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>Pharmacology &amp; Therapeutics</w:t>
                  </w: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, vol. 102, no. 3, pp. 177–93.</w:t>
                  </w:r>
                </w:p>
                <w:p w14:paraId="481B2B65" w14:textId="77777777" w:rsidR="00451F66" w:rsidRPr="00451F66" w:rsidRDefault="00451F66" w:rsidP="00451F66">
                  <w:pPr>
                    <w:framePr w:hSpace="181" w:wrap="around" w:vAnchor="text" w:hAnchor="page" w:x="1093" w:y="471"/>
                    <w:spacing w:after="150"/>
                    <w:suppressOverlap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</w:pP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Dalakas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, MC 2005, ‘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Polymyositis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,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dermatomyositis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, and inclusion body myositis’, in DL Kasper, E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Braunwald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, AS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Fauci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, et al (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eds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), </w:t>
                  </w:r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>Harrison’s Textbook of Medicine</w:t>
                  </w: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, 16th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edn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, McGraw-Hill, New York, pp. 2540–45.</w:t>
                  </w:r>
                </w:p>
                <w:p w14:paraId="555CAB57" w14:textId="77777777" w:rsidR="00451F66" w:rsidRPr="00451F66" w:rsidRDefault="00451F66" w:rsidP="00451F66">
                  <w:pPr>
                    <w:framePr w:hSpace="181" w:wrap="around" w:vAnchor="text" w:hAnchor="page" w:x="1093" w:y="471"/>
                    <w:spacing w:after="150"/>
                    <w:suppressOverlap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</w:pP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Dalakas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, MC,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Illa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, I,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Dambrosia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,</w:t>
                  </w:r>
                  <w:bookmarkStart w:id="1" w:name="_GoBack"/>
                  <w:bookmarkEnd w:id="1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 JM, et al 1993, ‘A controlled trial of high-dose intravenous immune globulin infusions as treatment for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dermatomyositis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’, </w:t>
                  </w:r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>New England Journal of Medicine</w:t>
                  </w: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, vol. 329, no. 27, pp. 1993–2000.</w:t>
                  </w:r>
                </w:p>
                <w:p w14:paraId="5F2606CA" w14:textId="77777777" w:rsidR="00451F66" w:rsidRPr="00451F66" w:rsidRDefault="00451F66" w:rsidP="00451F66">
                  <w:pPr>
                    <w:framePr w:hSpace="181" w:wrap="around" w:vAnchor="text" w:hAnchor="page" w:x="1093" w:y="471"/>
                    <w:spacing w:after="150"/>
                    <w:suppressOverlap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</w:pP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Dalakas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, MC,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Koffman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, B,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Fujii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, M, et al 2001, ‘A controlled study of intravenous immunoglobulin combined with prednisone in the treatment of IBM’, </w:t>
                  </w:r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>Neurology</w:t>
                  </w: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, vol. 56, no. 3, pp. 323–7.</w:t>
                  </w:r>
                </w:p>
                <w:p w14:paraId="50DF5996" w14:textId="77777777" w:rsidR="00451F66" w:rsidRPr="00451F66" w:rsidRDefault="00451F66" w:rsidP="00451F66">
                  <w:pPr>
                    <w:framePr w:hSpace="181" w:wrap="around" w:vAnchor="text" w:hAnchor="page" w:x="1093" w:y="471"/>
                    <w:spacing w:after="150"/>
                    <w:suppressOverlap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</w:pP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Dalakas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, MC,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Sonies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, B,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Dambrosia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, J, et al 1997, ‘Treatment of inclusion body myositis with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IVIg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: a double-blind, placebo-controlled study’, </w:t>
                  </w:r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>Neurology</w:t>
                  </w: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, vol. 48, </w:t>
                  </w: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lastRenderedPageBreak/>
                    <w:t>no. 3, pp. 712–6.</w:t>
                  </w:r>
                </w:p>
                <w:p w14:paraId="237CA00B" w14:textId="77777777" w:rsidR="00451F66" w:rsidRPr="00451F66" w:rsidRDefault="00451F66" w:rsidP="00451F66">
                  <w:pPr>
                    <w:framePr w:hSpace="181" w:wrap="around" w:vAnchor="text" w:hAnchor="page" w:x="1093" w:y="471"/>
                    <w:spacing w:after="150"/>
                    <w:suppressOverlap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</w:pP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Kornberg, AJ, for the Asia–Pacific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IVIg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 Advisory Board 2004, </w:t>
                  </w:r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 xml:space="preserve">Bringing consensus to the use of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>IVIg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 xml:space="preserve"> in neurology. Expert consensus statements on the use of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>IVIg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 xml:space="preserve"> in neurology</w:t>
                  </w: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, 1st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edn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, Asia–Pacific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IVIg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 Advisory Board, Melbourne.</w:t>
                  </w:r>
                </w:p>
                <w:p w14:paraId="7F148395" w14:textId="77777777" w:rsidR="00451F66" w:rsidRPr="00451F66" w:rsidRDefault="00451F66" w:rsidP="00451F66">
                  <w:pPr>
                    <w:framePr w:hSpace="181" w:wrap="around" w:vAnchor="text" w:hAnchor="page" w:x="1093" w:y="471"/>
                    <w:spacing w:after="150"/>
                    <w:suppressOverlap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</w:pP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Walter, MC,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Lochmuller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, H,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Toepfer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, M, et al 2000, ‘High-dose immunoglobulin therapy in sporadic inclusion body myositis: a double-blind, placebo-controlled study’, </w:t>
                  </w:r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 xml:space="preserve">Journal of </w:t>
                  </w:r>
                  <w:proofErr w:type="spellStart"/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>Neurolology</w:t>
                  </w:r>
                  <w:proofErr w:type="spellEnd"/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, vol. 247, no. 1, pp. 22–8.</w:t>
                  </w:r>
                </w:p>
                <w:p w14:paraId="5108F72B" w14:textId="77777777" w:rsidR="00451F66" w:rsidRPr="00451F66" w:rsidRDefault="00451F66" w:rsidP="00451F66">
                  <w:pPr>
                    <w:framePr w:hSpace="181" w:wrap="around" w:vAnchor="text" w:hAnchor="page" w:x="1093" w:y="471"/>
                    <w:spacing w:after="150"/>
                    <w:suppressOverlap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</w:pP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 xml:space="preserve">Wiles, CM, Brown, P, Chapel, H, et al 2002, ‘Intravenous immunoglobulin in neurological disease: a specialist review’, </w:t>
                  </w:r>
                  <w:r w:rsidRPr="00451F66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szCs w:val="21"/>
                      <w:lang w:eastAsia="en-AU"/>
                    </w:rPr>
                    <w:t>Journal of Neurology, Neurosurgery and Psychiatry</w:t>
                  </w:r>
                  <w:r w:rsidRPr="00451F6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AU"/>
                    </w:rPr>
                    <w:t>, vol. 72, no. 4, pp. 440–8.</w:t>
                  </w:r>
                </w:p>
              </w:tc>
            </w:tr>
          </w:tbl>
          <w:p w14:paraId="62A89648" w14:textId="77777777" w:rsidR="00451F66" w:rsidRDefault="00451F66" w:rsidP="00110EC2">
            <w:pPr>
              <w:spacing w:before="120" w:after="120"/>
            </w:pPr>
          </w:p>
        </w:tc>
      </w:tr>
      <w:tr w:rsidR="00451F66" w:rsidRPr="00451F66" w14:paraId="6E8D78B1" w14:textId="77777777" w:rsidTr="00451F66">
        <w:tc>
          <w:tcPr>
            <w:tcW w:w="15029" w:type="dxa"/>
            <w:gridSpan w:val="6"/>
            <w:shd w:val="clear" w:color="auto" w:fill="DBE5F1" w:themeFill="accent1" w:themeFillTint="33"/>
          </w:tcPr>
          <w:p w14:paraId="3341635B" w14:textId="4E9FCE18" w:rsidR="00451F66" w:rsidRPr="00451F66" w:rsidRDefault="00451F66" w:rsidP="00451F66">
            <w:pPr>
              <w:spacing w:before="120" w:after="120"/>
              <w:jc w:val="center"/>
              <w:rPr>
                <w:b/>
              </w:rPr>
            </w:pPr>
            <w:r w:rsidRPr="00451F66">
              <w:rPr>
                <w:b/>
              </w:rPr>
              <w:lastRenderedPageBreak/>
              <w:t>END OF DOCUMENT</w:t>
            </w:r>
          </w:p>
        </w:tc>
      </w:tr>
    </w:tbl>
    <w:p w14:paraId="525BE819" w14:textId="019A1274" w:rsidR="00651A67" w:rsidRDefault="00651A67" w:rsidP="00451F66"/>
    <w:sectPr w:rsidR="00651A67" w:rsidSect="001024B4">
      <w:footerReference w:type="default" r:id="rId8"/>
      <w:pgSz w:w="16839" w:h="11907" w:orient="landscape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47A7A" w14:textId="77777777" w:rsidR="00525F2A" w:rsidRDefault="00525F2A" w:rsidP="00856708">
      <w:pPr>
        <w:spacing w:after="0"/>
      </w:pPr>
      <w:r>
        <w:separator/>
      </w:r>
    </w:p>
  </w:endnote>
  <w:endnote w:type="continuationSeparator" w:id="0">
    <w:p w14:paraId="654ED734" w14:textId="77777777" w:rsidR="00525F2A" w:rsidRDefault="00525F2A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N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58F49" w14:textId="77777777" w:rsidR="00525F2A" w:rsidRPr="00856708" w:rsidRDefault="00525F2A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451F66">
      <w:rPr>
        <w:noProof/>
        <w:sz w:val="20"/>
        <w:szCs w:val="20"/>
      </w:rPr>
      <w:t>6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2360D" w14:textId="77777777" w:rsidR="00525F2A" w:rsidRDefault="00525F2A" w:rsidP="00856708">
      <w:pPr>
        <w:spacing w:after="0"/>
      </w:pPr>
      <w:r>
        <w:separator/>
      </w:r>
    </w:p>
  </w:footnote>
  <w:footnote w:type="continuationSeparator" w:id="0">
    <w:p w14:paraId="5EB84A62" w14:textId="77777777" w:rsidR="00525F2A" w:rsidRDefault="00525F2A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A87F28"/>
    <w:multiLevelType w:val="hybridMultilevel"/>
    <w:tmpl w:val="6EBF54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DB7B68"/>
    <w:multiLevelType w:val="hybridMultilevel"/>
    <w:tmpl w:val="B68855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BC2D58"/>
    <w:multiLevelType w:val="hybridMultilevel"/>
    <w:tmpl w:val="B6886A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3A2298"/>
    <w:multiLevelType w:val="hybridMultilevel"/>
    <w:tmpl w:val="BF88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570CC"/>
    <w:multiLevelType w:val="hybridMultilevel"/>
    <w:tmpl w:val="6117DE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882520"/>
    <w:multiLevelType w:val="hybridMultilevel"/>
    <w:tmpl w:val="E570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12602"/>
    <w:multiLevelType w:val="hybridMultilevel"/>
    <w:tmpl w:val="A4E0BB0C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1963238D"/>
    <w:multiLevelType w:val="hybridMultilevel"/>
    <w:tmpl w:val="3E08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A486B"/>
    <w:multiLevelType w:val="hybridMultilevel"/>
    <w:tmpl w:val="77B0F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EF4699"/>
    <w:multiLevelType w:val="hybridMultilevel"/>
    <w:tmpl w:val="2C58B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90E38"/>
    <w:multiLevelType w:val="hybridMultilevel"/>
    <w:tmpl w:val="4CBC22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0BCE719"/>
    <w:multiLevelType w:val="hybridMultilevel"/>
    <w:tmpl w:val="3D5A057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E6CD1"/>
    <w:multiLevelType w:val="hybridMultilevel"/>
    <w:tmpl w:val="160134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E5F5ACC"/>
    <w:multiLevelType w:val="hybridMultilevel"/>
    <w:tmpl w:val="F3A6CF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12"/>
  </w:num>
  <w:num w:numId="4">
    <w:abstractNumId w:val="15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16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9"/>
  </w:num>
  <w:num w:numId="16">
    <w:abstractNumId w:val="13"/>
  </w:num>
  <w:num w:numId="17">
    <w:abstractNumId w:val="7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0F"/>
    <w:rsid w:val="00022FE6"/>
    <w:rsid w:val="00036EDC"/>
    <w:rsid w:val="000E0203"/>
    <w:rsid w:val="000E7AF0"/>
    <w:rsid w:val="001024B4"/>
    <w:rsid w:val="00110EC2"/>
    <w:rsid w:val="00165F48"/>
    <w:rsid w:val="0017270F"/>
    <w:rsid w:val="001849B2"/>
    <w:rsid w:val="001A2460"/>
    <w:rsid w:val="00226561"/>
    <w:rsid w:val="00240825"/>
    <w:rsid w:val="002537F2"/>
    <w:rsid w:val="00273864"/>
    <w:rsid w:val="00275679"/>
    <w:rsid w:val="00292CA0"/>
    <w:rsid w:val="002936DD"/>
    <w:rsid w:val="00295CD3"/>
    <w:rsid w:val="00305725"/>
    <w:rsid w:val="00331F28"/>
    <w:rsid w:val="003D27F1"/>
    <w:rsid w:val="00451F66"/>
    <w:rsid w:val="00460325"/>
    <w:rsid w:val="00463B0C"/>
    <w:rsid w:val="00493F52"/>
    <w:rsid w:val="004C01DC"/>
    <w:rsid w:val="004D4636"/>
    <w:rsid w:val="00525F2A"/>
    <w:rsid w:val="00531E6D"/>
    <w:rsid w:val="00540020"/>
    <w:rsid w:val="005A555C"/>
    <w:rsid w:val="005D2C3D"/>
    <w:rsid w:val="0064406E"/>
    <w:rsid w:val="00644285"/>
    <w:rsid w:val="00651A67"/>
    <w:rsid w:val="00657F36"/>
    <w:rsid w:val="00670D34"/>
    <w:rsid w:val="006747C4"/>
    <w:rsid w:val="006A2E96"/>
    <w:rsid w:val="006A3180"/>
    <w:rsid w:val="006A4A3F"/>
    <w:rsid w:val="00766E9A"/>
    <w:rsid w:val="00795564"/>
    <w:rsid w:val="007B2100"/>
    <w:rsid w:val="008143C8"/>
    <w:rsid w:val="008558B9"/>
    <w:rsid w:val="00856708"/>
    <w:rsid w:val="00893E0A"/>
    <w:rsid w:val="008945E7"/>
    <w:rsid w:val="00896672"/>
    <w:rsid w:val="00917F75"/>
    <w:rsid w:val="00951B85"/>
    <w:rsid w:val="00953430"/>
    <w:rsid w:val="009C20E6"/>
    <w:rsid w:val="009D569D"/>
    <w:rsid w:val="009D6E34"/>
    <w:rsid w:val="009D714F"/>
    <w:rsid w:val="009E38CC"/>
    <w:rsid w:val="009F5377"/>
    <w:rsid w:val="00B3726E"/>
    <w:rsid w:val="00C34D27"/>
    <w:rsid w:val="00C92D1B"/>
    <w:rsid w:val="00CD5856"/>
    <w:rsid w:val="00CD5EBE"/>
    <w:rsid w:val="00D24193"/>
    <w:rsid w:val="00D243A4"/>
    <w:rsid w:val="00D341FA"/>
    <w:rsid w:val="00DB1925"/>
    <w:rsid w:val="00DD166F"/>
    <w:rsid w:val="00DF0736"/>
    <w:rsid w:val="00E1322D"/>
    <w:rsid w:val="00E252A8"/>
    <w:rsid w:val="00E57C0B"/>
    <w:rsid w:val="00EB78FB"/>
    <w:rsid w:val="00EE6126"/>
    <w:rsid w:val="00F1516D"/>
    <w:rsid w:val="00F2615C"/>
    <w:rsid w:val="00F35363"/>
    <w:rsid w:val="00F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58AA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0F"/>
    <w:rPr>
      <w:rFonts w:ascii="Tahoma" w:eastAsia="Dotum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172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172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Pa17">
    <w:name w:val="Pa17"/>
    <w:basedOn w:val="Normal"/>
    <w:next w:val="Normal"/>
    <w:uiPriority w:val="99"/>
    <w:rsid w:val="00DD166F"/>
    <w:pPr>
      <w:autoSpaceDE w:val="0"/>
      <w:autoSpaceDN w:val="0"/>
      <w:adjustRightInd w:val="0"/>
      <w:spacing w:after="0" w:line="181" w:lineRule="atLeast"/>
    </w:pPr>
    <w:rPr>
      <w:rFonts w:ascii="DIN-Medium" w:eastAsiaTheme="minorHAnsi" w:hAnsi="DIN-Medium" w:cstheme="minorBidi"/>
      <w:sz w:val="24"/>
      <w:szCs w:val="24"/>
    </w:rPr>
  </w:style>
  <w:style w:type="paragraph" w:customStyle="1" w:styleId="Default">
    <w:name w:val="Default"/>
    <w:rsid w:val="00DD166F"/>
    <w:pPr>
      <w:autoSpaceDE w:val="0"/>
      <w:autoSpaceDN w:val="0"/>
      <w:adjustRightInd w:val="0"/>
      <w:spacing w:after="0" w:line="240" w:lineRule="auto"/>
    </w:pPr>
    <w:rPr>
      <w:rFonts w:ascii="DIN-Light" w:hAnsi="DIN-Light" w:cs="DIN-Light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character" w:styleId="Emphasis">
    <w:name w:val="Emphasis"/>
    <w:basedOn w:val="DefaultParagraphFont"/>
    <w:uiPriority w:val="20"/>
    <w:qFormat/>
    <w:rsid w:val="00651A67"/>
    <w:rPr>
      <w:i/>
      <w:iCs/>
    </w:rPr>
  </w:style>
  <w:style w:type="paragraph" w:styleId="NormalWeb">
    <w:name w:val="Normal (Web)"/>
    <w:basedOn w:val="Normal"/>
    <w:uiPriority w:val="99"/>
    <w:unhideWhenUsed/>
    <w:rsid w:val="00651A67"/>
    <w:pPr>
      <w:spacing w:after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25F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F2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F2A"/>
    <w:rPr>
      <w:rFonts w:ascii="Calibri" w:eastAsia="Dotum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F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F2A"/>
    <w:rPr>
      <w:rFonts w:ascii="Calibri" w:eastAsia="Dotum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0F"/>
    <w:rPr>
      <w:rFonts w:ascii="Tahoma" w:eastAsia="Dotum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172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172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Pa17">
    <w:name w:val="Pa17"/>
    <w:basedOn w:val="Normal"/>
    <w:next w:val="Normal"/>
    <w:uiPriority w:val="99"/>
    <w:rsid w:val="00DD166F"/>
    <w:pPr>
      <w:autoSpaceDE w:val="0"/>
      <w:autoSpaceDN w:val="0"/>
      <w:adjustRightInd w:val="0"/>
      <w:spacing w:after="0" w:line="181" w:lineRule="atLeast"/>
    </w:pPr>
    <w:rPr>
      <w:rFonts w:ascii="DIN-Medium" w:eastAsiaTheme="minorHAnsi" w:hAnsi="DIN-Medium" w:cstheme="minorBidi"/>
      <w:sz w:val="24"/>
      <w:szCs w:val="24"/>
    </w:rPr>
  </w:style>
  <w:style w:type="paragraph" w:customStyle="1" w:styleId="Default">
    <w:name w:val="Default"/>
    <w:rsid w:val="00DD166F"/>
    <w:pPr>
      <w:autoSpaceDE w:val="0"/>
      <w:autoSpaceDN w:val="0"/>
      <w:adjustRightInd w:val="0"/>
      <w:spacing w:after="0" w:line="240" w:lineRule="auto"/>
    </w:pPr>
    <w:rPr>
      <w:rFonts w:ascii="DIN-Light" w:hAnsi="DIN-Light" w:cs="DIN-Light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character" w:styleId="Emphasis">
    <w:name w:val="Emphasis"/>
    <w:basedOn w:val="DefaultParagraphFont"/>
    <w:uiPriority w:val="20"/>
    <w:qFormat/>
    <w:rsid w:val="00651A67"/>
    <w:rPr>
      <w:i/>
      <w:iCs/>
    </w:rPr>
  </w:style>
  <w:style w:type="paragraph" w:styleId="NormalWeb">
    <w:name w:val="Normal (Web)"/>
    <w:basedOn w:val="Normal"/>
    <w:uiPriority w:val="99"/>
    <w:unhideWhenUsed/>
    <w:rsid w:val="00651A67"/>
    <w:pPr>
      <w:spacing w:after="15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25F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F2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F2A"/>
    <w:rPr>
      <w:rFonts w:ascii="Calibri" w:eastAsia="Dotum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F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F2A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7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62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Melody Black</cp:lastModifiedBy>
  <cp:revision>6</cp:revision>
  <dcterms:created xsi:type="dcterms:W3CDTF">2015-06-12T02:21:00Z</dcterms:created>
  <dcterms:modified xsi:type="dcterms:W3CDTF">2015-06-13T08:59:00Z</dcterms:modified>
</cp:coreProperties>
</file>