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5070" w14:textId="6B6319F6" w:rsidR="00825D29" w:rsidRDefault="00825D29" w:rsidP="00825D29">
      <w:pPr>
        <w:pStyle w:val="Heading3"/>
      </w:pPr>
      <w:bookmarkStart w:id="0" w:name="_GoBack"/>
      <w:bookmarkEnd w:id="0"/>
      <w:r w:rsidRPr="00183EC7">
        <w:t xml:space="preserve">Specialist </w:t>
      </w:r>
      <w:r>
        <w:t>Working Group for Immunology</w:t>
      </w:r>
    </w:p>
    <w:p w14:paraId="7606A809" w14:textId="77777777" w:rsidR="00825D29" w:rsidRDefault="00825D29" w:rsidP="00825D29">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7A1B7B53" w14:textId="4371ADD4" w:rsidR="00825D29" w:rsidRPr="00C63942" w:rsidRDefault="00825D29" w:rsidP="00825D29">
      <w:pPr>
        <w:rPr>
          <w:rFonts w:asciiTheme="minorHAnsi" w:hAnsiTheme="minorHAnsi"/>
        </w:rPr>
      </w:pPr>
    </w:p>
    <w:tbl>
      <w:tblPr>
        <w:tblStyle w:val="TableGrid"/>
        <w:tblW w:w="15310" w:type="dxa"/>
        <w:tblInd w:w="-34" w:type="dxa"/>
        <w:tblLayout w:type="fixed"/>
        <w:tblLook w:val="04A0" w:firstRow="1" w:lastRow="0" w:firstColumn="1" w:lastColumn="0" w:noHBand="0" w:noVBand="1"/>
      </w:tblPr>
      <w:tblGrid>
        <w:gridCol w:w="26"/>
        <w:gridCol w:w="8"/>
        <w:gridCol w:w="1655"/>
        <w:gridCol w:w="863"/>
        <w:gridCol w:w="2977"/>
        <w:gridCol w:w="709"/>
        <w:gridCol w:w="1535"/>
        <w:gridCol w:w="1242"/>
        <w:gridCol w:w="1651"/>
        <w:gridCol w:w="108"/>
        <w:gridCol w:w="4536"/>
      </w:tblGrid>
      <w:tr w:rsidR="000D02AB" w:rsidRPr="00972449" w14:paraId="3725DA58" w14:textId="77777777" w:rsidTr="00825D29">
        <w:trPr>
          <w:trHeight w:val="699"/>
          <w:tblHeader/>
        </w:trPr>
        <w:tc>
          <w:tcPr>
            <w:tcW w:w="1689" w:type="dxa"/>
            <w:gridSpan w:val="3"/>
            <w:shd w:val="clear" w:color="auto" w:fill="DBE5F1" w:themeFill="accent1" w:themeFillTint="33"/>
          </w:tcPr>
          <w:p w14:paraId="47640AC7" w14:textId="67C64B23" w:rsidR="000D02AB" w:rsidRPr="00972449" w:rsidRDefault="000D02AB" w:rsidP="00D764F3">
            <w:pPr>
              <w:rPr>
                <w:rFonts w:asciiTheme="minorHAnsi" w:hAnsiTheme="minorHAnsi"/>
                <w:b/>
              </w:rPr>
            </w:pPr>
            <w:r w:rsidRPr="00972449">
              <w:rPr>
                <w:rFonts w:asciiTheme="minorHAnsi" w:hAnsiTheme="minorHAnsi"/>
                <w:b/>
              </w:rPr>
              <w:t>ITEM</w:t>
            </w:r>
          </w:p>
        </w:tc>
        <w:tc>
          <w:tcPr>
            <w:tcW w:w="4549" w:type="dxa"/>
            <w:gridSpan w:val="3"/>
            <w:shd w:val="clear" w:color="auto" w:fill="DBE5F1" w:themeFill="accent1" w:themeFillTint="33"/>
          </w:tcPr>
          <w:p w14:paraId="63FE4344" w14:textId="2DE931F6" w:rsidR="000D02AB" w:rsidRPr="00972449" w:rsidRDefault="00825D29"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4"/>
            <w:shd w:val="clear" w:color="auto" w:fill="DBE5F1" w:themeFill="accent1" w:themeFillTint="33"/>
          </w:tcPr>
          <w:p w14:paraId="2C6772C7" w14:textId="77777777" w:rsidR="000D02AB" w:rsidRPr="00972449" w:rsidRDefault="000D02AB" w:rsidP="008A5596">
            <w:pPr>
              <w:rPr>
                <w:rFonts w:asciiTheme="minorHAnsi" w:hAnsiTheme="minorHAnsi"/>
                <w:b/>
              </w:rPr>
            </w:pPr>
            <w:r w:rsidRPr="00972449">
              <w:rPr>
                <w:rFonts w:asciiTheme="minorHAnsi" w:hAnsiTheme="minorHAnsi"/>
                <w:b/>
              </w:rPr>
              <w:t>PROPOSED REVISIONS TO THE CRITERIA (INCLUDING ADAPTATION TO THE IG SYSTEM)</w:t>
            </w:r>
          </w:p>
        </w:tc>
        <w:tc>
          <w:tcPr>
            <w:tcW w:w="4536" w:type="dxa"/>
            <w:shd w:val="clear" w:color="auto" w:fill="DBE5F1" w:themeFill="accent1" w:themeFillTint="33"/>
          </w:tcPr>
          <w:p w14:paraId="17AB056D" w14:textId="77777777" w:rsidR="000D02AB" w:rsidRPr="00972449" w:rsidRDefault="000D02AB" w:rsidP="000D02AB">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SWG RATIONALE FOR PROPOSED CHANGE</w:t>
            </w:r>
          </w:p>
          <w:p w14:paraId="16FBE4DE"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(A) Administrative)</w:t>
            </w:r>
          </w:p>
          <w:p w14:paraId="5887C9F3"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 xml:space="preserve">(B) Progressive </w:t>
            </w:r>
          </w:p>
          <w:p w14:paraId="6C5B5D0B"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(C) Programmed</w:t>
            </w:r>
          </w:p>
        </w:tc>
      </w:tr>
      <w:tr w:rsidR="000D02AB" w:rsidRPr="00972449" w14:paraId="2F0E948A" w14:textId="77777777" w:rsidTr="00825D29">
        <w:trPr>
          <w:trHeight w:val="699"/>
        </w:trPr>
        <w:tc>
          <w:tcPr>
            <w:tcW w:w="1689" w:type="dxa"/>
            <w:gridSpan w:val="3"/>
            <w:shd w:val="clear" w:color="auto" w:fill="D9D9D9" w:themeFill="background1" w:themeFillShade="D9"/>
          </w:tcPr>
          <w:p w14:paraId="423632E4" w14:textId="77777777" w:rsidR="000D02AB" w:rsidRPr="00972449" w:rsidRDefault="000D02AB" w:rsidP="00D764F3">
            <w:pPr>
              <w:rPr>
                <w:rFonts w:asciiTheme="minorHAnsi" w:hAnsiTheme="minorHAnsi"/>
                <w:b/>
              </w:rPr>
            </w:pPr>
            <w:r w:rsidRPr="00972449">
              <w:rPr>
                <w:rFonts w:asciiTheme="minorHAnsi" w:hAnsiTheme="minorHAnsi"/>
                <w:b/>
              </w:rPr>
              <w:t>Condition Name</w:t>
            </w:r>
          </w:p>
        </w:tc>
        <w:tc>
          <w:tcPr>
            <w:tcW w:w="4549" w:type="dxa"/>
            <w:gridSpan w:val="3"/>
          </w:tcPr>
          <w:p w14:paraId="344B3543" w14:textId="77777777" w:rsidR="000D02AB" w:rsidRPr="00972449" w:rsidRDefault="000D02AB" w:rsidP="00A23319">
            <w:pPr>
              <w:rPr>
                <w:rFonts w:asciiTheme="minorHAnsi" w:eastAsia="Times New Roman" w:hAnsiTheme="minorHAnsi" w:cs="Times New Roman"/>
                <w:bCs/>
                <w:lang w:eastAsia="en-AU"/>
              </w:rPr>
            </w:pPr>
            <w:r w:rsidRPr="00972449">
              <w:rPr>
                <w:rFonts w:asciiTheme="minorHAnsi" w:hAnsiTheme="minorHAnsi"/>
                <w:b/>
                <w:bCs/>
              </w:rPr>
              <w:t>Kawasaki disease (mucocutaneous lymph node syndrome)</w:t>
            </w:r>
          </w:p>
        </w:tc>
        <w:tc>
          <w:tcPr>
            <w:tcW w:w="4536" w:type="dxa"/>
            <w:gridSpan w:val="4"/>
          </w:tcPr>
          <w:p w14:paraId="44471C6A" w14:textId="77777777" w:rsidR="000D02AB" w:rsidRPr="00972449" w:rsidRDefault="000D02AB" w:rsidP="008A5596">
            <w:pPr>
              <w:rPr>
                <w:rFonts w:asciiTheme="minorHAnsi" w:hAnsiTheme="minorHAnsi"/>
              </w:rPr>
            </w:pPr>
            <w:r w:rsidRPr="00972449">
              <w:rPr>
                <w:rFonts w:asciiTheme="minorHAnsi" w:hAnsiTheme="minorHAnsi"/>
                <w:b/>
                <w:bCs/>
              </w:rPr>
              <w:t>Kawasaki disease (mucocutaneous lymph node syndrome)</w:t>
            </w:r>
          </w:p>
        </w:tc>
        <w:tc>
          <w:tcPr>
            <w:tcW w:w="4536" w:type="dxa"/>
          </w:tcPr>
          <w:p w14:paraId="7719D683" w14:textId="77777777" w:rsidR="000D02AB" w:rsidRPr="00972449" w:rsidRDefault="000D02AB" w:rsidP="004971CE">
            <w:pPr>
              <w:rPr>
                <w:rFonts w:asciiTheme="minorHAnsi" w:eastAsia="Times New Roman" w:hAnsiTheme="minorHAnsi" w:cs="Times New Roman"/>
                <w:b/>
                <w:bCs/>
                <w:lang w:eastAsia="en-AU"/>
              </w:rPr>
            </w:pPr>
          </w:p>
        </w:tc>
      </w:tr>
      <w:tr w:rsidR="000D02AB" w:rsidRPr="00972449" w14:paraId="6371A23C" w14:textId="77777777" w:rsidTr="00825D29">
        <w:trPr>
          <w:trHeight w:val="406"/>
        </w:trPr>
        <w:tc>
          <w:tcPr>
            <w:tcW w:w="1689" w:type="dxa"/>
            <w:gridSpan w:val="3"/>
            <w:shd w:val="clear" w:color="auto" w:fill="D9D9D9" w:themeFill="background1" w:themeFillShade="D9"/>
          </w:tcPr>
          <w:p w14:paraId="19088A85" w14:textId="77777777" w:rsidR="000D02AB" w:rsidRPr="00972449" w:rsidRDefault="000D02AB" w:rsidP="00D764F3">
            <w:pPr>
              <w:rPr>
                <w:rFonts w:asciiTheme="minorHAnsi" w:hAnsiTheme="minorHAnsi"/>
                <w:b/>
              </w:rPr>
            </w:pPr>
            <w:r w:rsidRPr="00972449">
              <w:rPr>
                <w:rFonts w:asciiTheme="minorHAnsi" w:hAnsiTheme="minorHAnsi"/>
                <w:b/>
              </w:rPr>
              <w:t>Specialty</w:t>
            </w:r>
          </w:p>
        </w:tc>
        <w:tc>
          <w:tcPr>
            <w:tcW w:w="4549" w:type="dxa"/>
            <w:gridSpan w:val="3"/>
          </w:tcPr>
          <w:p w14:paraId="77B6BDDF" w14:textId="77777777" w:rsidR="000D02AB" w:rsidRPr="00972449" w:rsidRDefault="000D02AB" w:rsidP="00D764F3">
            <w:pPr>
              <w:rPr>
                <w:rFonts w:asciiTheme="minorHAnsi" w:hAnsiTheme="minorHAnsi"/>
              </w:rPr>
            </w:pPr>
          </w:p>
        </w:tc>
        <w:tc>
          <w:tcPr>
            <w:tcW w:w="4536" w:type="dxa"/>
            <w:gridSpan w:val="4"/>
          </w:tcPr>
          <w:p w14:paraId="389EFEA3" w14:textId="77777777" w:rsidR="000D02AB" w:rsidRPr="00972449" w:rsidRDefault="000D02AB" w:rsidP="00D764F3">
            <w:pPr>
              <w:rPr>
                <w:rFonts w:asciiTheme="minorHAnsi" w:hAnsiTheme="minorHAnsi"/>
              </w:rPr>
            </w:pPr>
            <w:r>
              <w:rPr>
                <w:rFonts w:asciiTheme="minorHAnsi" w:hAnsiTheme="minorHAnsi"/>
              </w:rPr>
              <w:t>Immunology</w:t>
            </w:r>
          </w:p>
        </w:tc>
        <w:tc>
          <w:tcPr>
            <w:tcW w:w="4536" w:type="dxa"/>
          </w:tcPr>
          <w:p w14:paraId="469B78F9" w14:textId="77777777" w:rsidR="000D02AB" w:rsidRPr="00972449" w:rsidRDefault="000D02AB" w:rsidP="00D764F3">
            <w:pPr>
              <w:rPr>
                <w:rFonts w:asciiTheme="minorHAnsi" w:hAnsiTheme="minorHAnsi"/>
              </w:rPr>
            </w:pPr>
          </w:p>
        </w:tc>
      </w:tr>
      <w:tr w:rsidR="000D02AB" w:rsidRPr="00972449" w14:paraId="0B19D5B0" w14:textId="77777777" w:rsidTr="00825D29">
        <w:trPr>
          <w:trHeight w:val="417"/>
        </w:trPr>
        <w:tc>
          <w:tcPr>
            <w:tcW w:w="1689" w:type="dxa"/>
            <w:gridSpan w:val="3"/>
            <w:shd w:val="clear" w:color="auto" w:fill="D9D9D9" w:themeFill="background1" w:themeFillShade="D9"/>
          </w:tcPr>
          <w:p w14:paraId="69FCAC0C" w14:textId="77777777" w:rsidR="000D02AB" w:rsidRPr="00972449" w:rsidRDefault="000D02AB" w:rsidP="00D764F3">
            <w:pPr>
              <w:rPr>
                <w:rFonts w:asciiTheme="minorHAnsi" w:hAnsiTheme="minorHAnsi"/>
                <w:b/>
              </w:rPr>
            </w:pPr>
            <w:r w:rsidRPr="00972449">
              <w:rPr>
                <w:rFonts w:asciiTheme="minorHAnsi" w:hAnsiTheme="minorHAnsi"/>
                <w:b/>
              </w:rPr>
              <w:t>Chapter</w:t>
            </w:r>
          </w:p>
        </w:tc>
        <w:tc>
          <w:tcPr>
            <w:tcW w:w="4549" w:type="dxa"/>
            <w:gridSpan w:val="3"/>
          </w:tcPr>
          <w:p w14:paraId="1D61256C" w14:textId="77777777" w:rsidR="000D02AB" w:rsidRPr="00972449" w:rsidRDefault="000D02AB" w:rsidP="00D764F3">
            <w:pPr>
              <w:rPr>
                <w:rFonts w:asciiTheme="minorHAnsi" w:hAnsiTheme="minorHAnsi"/>
              </w:rPr>
            </w:pPr>
            <w:r>
              <w:rPr>
                <w:rFonts w:asciiTheme="minorHAnsi" w:hAnsiTheme="minorHAnsi"/>
              </w:rPr>
              <w:t>5</w:t>
            </w:r>
          </w:p>
        </w:tc>
        <w:tc>
          <w:tcPr>
            <w:tcW w:w="4536" w:type="dxa"/>
            <w:gridSpan w:val="4"/>
            <w:shd w:val="clear" w:color="auto" w:fill="auto"/>
          </w:tcPr>
          <w:p w14:paraId="32E56AA4" w14:textId="77777777" w:rsidR="000D02AB" w:rsidRPr="00972449" w:rsidRDefault="000D02AB" w:rsidP="00D764F3">
            <w:pPr>
              <w:rPr>
                <w:rFonts w:asciiTheme="minorHAnsi" w:hAnsiTheme="minorHAnsi"/>
              </w:rPr>
            </w:pPr>
            <w:r>
              <w:rPr>
                <w:rFonts w:asciiTheme="minorHAnsi" w:hAnsiTheme="minorHAnsi"/>
              </w:rPr>
              <w:t>5</w:t>
            </w:r>
          </w:p>
        </w:tc>
        <w:tc>
          <w:tcPr>
            <w:tcW w:w="4536" w:type="dxa"/>
          </w:tcPr>
          <w:p w14:paraId="2638D738" w14:textId="77777777" w:rsidR="000D02AB" w:rsidRPr="00972449" w:rsidRDefault="000D02AB" w:rsidP="00D764F3">
            <w:pPr>
              <w:rPr>
                <w:rFonts w:asciiTheme="minorHAnsi" w:hAnsiTheme="minorHAnsi"/>
              </w:rPr>
            </w:pPr>
          </w:p>
        </w:tc>
      </w:tr>
      <w:tr w:rsidR="000D02AB" w:rsidRPr="00972449" w14:paraId="090E13DC" w14:textId="77777777" w:rsidTr="00825D29">
        <w:tc>
          <w:tcPr>
            <w:tcW w:w="1689" w:type="dxa"/>
            <w:gridSpan w:val="3"/>
            <w:shd w:val="clear" w:color="auto" w:fill="D9D9D9" w:themeFill="background1" w:themeFillShade="D9"/>
          </w:tcPr>
          <w:p w14:paraId="792777EF" w14:textId="77777777" w:rsidR="000D02AB" w:rsidRPr="00972449" w:rsidRDefault="000D02AB" w:rsidP="00D764F3">
            <w:pPr>
              <w:rPr>
                <w:rFonts w:asciiTheme="minorHAnsi" w:hAnsiTheme="minorHAnsi"/>
                <w:b/>
              </w:rPr>
            </w:pPr>
            <w:r w:rsidRPr="00972449">
              <w:rPr>
                <w:rFonts w:asciiTheme="minorHAnsi" w:hAnsiTheme="minorHAnsi"/>
                <w:b/>
              </w:rPr>
              <w:t>Specific Conditions</w:t>
            </w:r>
          </w:p>
          <w:p w14:paraId="42C4A709" w14:textId="77777777" w:rsidR="000D02AB" w:rsidRPr="00972449" w:rsidRDefault="000D02AB" w:rsidP="000D02AB">
            <w:pPr>
              <w:rPr>
                <w:rFonts w:asciiTheme="minorHAnsi" w:hAnsiTheme="minorHAnsi"/>
                <w:b/>
              </w:rPr>
            </w:pPr>
          </w:p>
        </w:tc>
        <w:tc>
          <w:tcPr>
            <w:tcW w:w="4549" w:type="dxa"/>
            <w:gridSpan w:val="3"/>
          </w:tcPr>
          <w:p w14:paraId="0D48EB26" w14:textId="77777777" w:rsidR="000D02AB" w:rsidRPr="00972449" w:rsidRDefault="000D02AB" w:rsidP="00A23319">
            <w:pPr>
              <w:rPr>
                <w:rFonts w:asciiTheme="minorHAnsi" w:eastAsia="Times New Roman" w:hAnsiTheme="minorHAnsi" w:cs="Times New Roman"/>
                <w:bCs/>
                <w:lang w:eastAsia="en-AU"/>
              </w:rPr>
            </w:pPr>
          </w:p>
        </w:tc>
        <w:tc>
          <w:tcPr>
            <w:tcW w:w="4536" w:type="dxa"/>
            <w:gridSpan w:val="4"/>
            <w:shd w:val="clear" w:color="auto" w:fill="auto"/>
          </w:tcPr>
          <w:p w14:paraId="4171D357" w14:textId="77777777" w:rsidR="000D02AB" w:rsidRPr="00972449" w:rsidRDefault="000D02AB" w:rsidP="001E6F4E">
            <w:pPr>
              <w:rPr>
                <w:rFonts w:asciiTheme="minorHAnsi" w:hAnsiTheme="minorHAnsi"/>
              </w:rPr>
            </w:pPr>
          </w:p>
        </w:tc>
        <w:tc>
          <w:tcPr>
            <w:tcW w:w="4536" w:type="dxa"/>
          </w:tcPr>
          <w:p w14:paraId="46C595D5" w14:textId="77777777" w:rsidR="000D02AB" w:rsidRPr="00972449" w:rsidRDefault="000D02AB" w:rsidP="00780598">
            <w:pPr>
              <w:rPr>
                <w:rFonts w:asciiTheme="minorHAnsi" w:eastAsia="Times New Roman" w:hAnsiTheme="minorHAnsi" w:cs="Times New Roman"/>
                <w:bCs/>
                <w:lang w:eastAsia="en-AU"/>
              </w:rPr>
            </w:pPr>
          </w:p>
        </w:tc>
      </w:tr>
      <w:tr w:rsidR="000D02AB" w:rsidRPr="00972449" w14:paraId="158EA9CA" w14:textId="77777777" w:rsidTr="00825D29">
        <w:trPr>
          <w:trHeight w:val="424"/>
        </w:trPr>
        <w:tc>
          <w:tcPr>
            <w:tcW w:w="1689" w:type="dxa"/>
            <w:gridSpan w:val="3"/>
            <w:shd w:val="clear" w:color="auto" w:fill="D9D9D9" w:themeFill="background1" w:themeFillShade="D9"/>
          </w:tcPr>
          <w:p w14:paraId="7C1C9265" w14:textId="77777777" w:rsidR="000D02AB" w:rsidRPr="00972449" w:rsidRDefault="000D02AB" w:rsidP="00D764F3">
            <w:pPr>
              <w:rPr>
                <w:rFonts w:asciiTheme="minorHAnsi" w:hAnsiTheme="minorHAnsi"/>
                <w:b/>
              </w:rPr>
            </w:pPr>
            <w:r w:rsidRPr="00972449">
              <w:rPr>
                <w:rFonts w:asciiTheme="minorHAnsi" w:hAnsiTheme="minorHAnsi"/>
                <w:b/>
              </w:rPr>
              <w:t>Level of Evidence</w:t>
            </w:r>
          </w:p>
          <w:p w14:paraId="6F2924B9" w14:textId="4AF76F48" w:rsidR="000D02AB" w:rsidRPr="00972449" w:rsidRDefault="000D02AB" w:rsidP="00D764F3">
            <w:pPr>
              <w:rPr>
                <w:rFonts w:asciiTheme="minorHAnsi" w:hAnsiTheme="minorHAnsi"/>
              </w:rPr>
            </w:pPr>
          </w:p>
        </w:tc>
        <w:tc>
          <w:tcPr>
            <w:tcW w:w="4549" w:type="dxa"/>
            <w:gridSpan w:val="3"/>
          </w:tcPr>
          <w:p w14:paraId="1872CD1D" w14:textId="77777777" w:rsidR="000D02AB" w:rsidRPr="00972449" w:rsidRDefault="000D02AB" w:rsidP="00D764F3">
            <w:pPr>
              <w:rPr>
                <w:rFonts w:asciiTheme="minorHAnsi" w:eastAsia="Times New Roman" w:hAnsiTheme="minorHAnsi" w:cs="Times New Roman"/>
                <w:color w:val="000000"/>
                <w:lang w:eastAsia="en-AU"/>
              </w:rPr>
            </w:pPr>
            <w:r w:rsidRPr="00972449">
              <w:rPr>
                <w:rFonts w:asciiTheme="minorHAnsi" w:hAnsiTheme="minorHAnsi"/>
                <w:color w:val="000000"/>
              </w:rPr>
              <w:t>Clear evidence of benefit (</w:t>
            </w:r>
            <w:hyperlink r:id="rId12" w:anchor="el-1" w:history="1">
              <w:r w:rsidRPr="00972449">
                <w:rPr>
                  <w:rStyle w:val="Hyperlink"/>
                  <w:rFonts w:asciiTheme="minorHAnsi" w:hAnsiTheme="minorHAnsi"/>
                </w:rPr>
                <w:t>Category 1</w:t>
              </w:r>
            </w:hyperlink>
            <w:r w:rsidRPr="00972449">
              <w:rPr>
                <w:rFonts w:asciiTheme="minorHAnsi" w:hAnsiTheme="minorHAnsi"/>
                <w:color w:val="000000"/>
              </w:rPr>
              <w:t>).</w:t>
            </w:r>
          </w:p>
        </w:tc>
        <w:tc>
          <w:tcPr>
            <w:tcW w:w="4536" w:type="dxa"/>
            <w:gridSpan w:val="4"/>
            <w:shd w:val="clear" w:color="auto" w:fill="auto"/>
          </w:tcPr>
          <w:p w14:paraId="0733876A" w14:textId="77777777" w:rsidR="000D02AB" w:rsidRPr="00972449" w:rsidRDefault="000D02AB" w:rsidP="00D764F3">
            <w:pPr>
              <w:rPr>
                <w:rFonts w:asciiTheme="minorHAnsi" w:hAnsiTheme="minorHAnsi" w:cstheme="minorHAnsi"/>
              </w:rPr>
            </w:pPr>
            <w:r w:rsidRPr="00972449">
              <w:rPr>
                <w:rFonts w:asciiTheme="minorHAnsi" w:hAnsiTheme="minorHAnsi"/>
                <w:color w:val="000000"/>
              </w:rPr>
              <w:t>Clear evidence of benefit (</w:t>
            </w:r>
            <w:hyperlink r:id="rId13" w:anchor="el-1" w:history="1">
              <w:r w:rsidRPr="00972449">
                <w:rPr>
                  <w:rStyle w:val="Hyperlink"/>
                  <w:rFonts w:asciiTheme="minorHAnsi" w:hAnsiTheme="minorHAnsi"/>
                </w:rPr>
                <w:t>Category 1</w:t>
              </w:r>
            </w:hyperlink>
            <w:r w:rsidRPr="00972449">
              <w:rPr>
                <w:rFonts w:asciiTheme="minorHAnsi" w:hAnsiTheme="minorHAnsi"/>
                <w:color w:val="000000"/>
              </w:rPr>
              <w:t>).</w:t>
            </w:r>
          </w:p>
        </w:tc>
        <w:tc>
          <w:tcPr>
            <w:tcW w:w="4536" w:type="dxa"/>
          </w:tcPr>
          <w:p w14:paraId="5EDE919F" w14:textId="77777777" w:rsidR="000D02AB" w:rsidRPr="00972449" w:rsidRDefault="000D02AB" w:rsidP="00D764F3">
            <w:pPr>
              <w:rPr>
                <w:rFonts w:asciiTheme="minorHAnsi" w:eastAsia="Times New Roman" w:hAnsiTheme="minorHAnsi" w:cs="Times New Roman"/>
                <w:color w:val="000000"/>
                <w:lang w:eastAsia="en-AU"/>
              </w:rPr>
            </w:pPr>
          </w:p>
        </w:tc>
      </w:tr>
      <w:tr w:rsidR="000D02AB" w:rsidRPr="00972449" w14:paraId="3B322E18" w14:textId="77777777" w:rsidTr="00825D29">
        <w:trPr>
          <w:trHeight w:val="984"/>
        </w:trPr>
        <w:tc>
          <w:tcPr>
            <w:tcW w:w="1689" w:type="dxa"/>
            <w:gridSpan w:val="3"/>
            <w:shd w:val="clear" w:color="auto" w:fill="D9D9D9" w:themeFill="background1" w:themeFillShade="D9"/>
          </w:tcPr>
          <w:p w14:paraId="1D147AA2" w14:textId="77777777" w:rsidR="000D02AB" w:rsidRPr="00972449" w:rsidRDefault="000D02AB" w:rsidP="00D764F3">
            <w:pPr>
              <w:rPr>
                <w:rFonts w:asciiTheme="minorHAnsi" w:hAnsiTheme="minorHAnsi"/>
                <w:b/>
              </w:rPr>
            </w:pPr>
            <w:r w:rsidRPr="00972449">
              <w:rPr>
                <w:rFonts w:asciiTheme="minorHAnsi" w:hAnsiTheme="minorHAnsi"/>
                <w:b/>
              </w:rPr>
              <w:t>Justification for Evidence Category</w:t>
            </w:r>
          </w:p>
          <w:p w14:paraId="35B160EF" w14:textId="1174E9BD" w:rsidR="000D02AB" w:rsidRPr="00972449" w:rsidRDefault="000D02AB" w:rsidP="00D764F3">
            <w:pPr>
              <w:rPr>
                <w:rFonts w:asciiTheme="minorHAnsi" w:hAnsiTheme="minorHAnsi"/>
                <w:b/>
              </w:rPr>
            </w:pPr>
          </w:p>
        </w:tc>
        <w:tc>
          <w:tcPr>
            <w:tcW w:w="4549" w:type="dxa"/>
            <w:gridSpan w:val="3"/>
          </w:tcPr>
          <w:p w14:paraId="70E0809F" w14:textId="77777777" w:rsidR="000D02AB" w:rsidRPr="00972449" w:rsidRDefault="000D02AB" w:rsidP="00040E71">
            <w:pPr>
              <w:spacing w:after="225" w:line="360" w:lineRule="atLeast"/>
              <w:rPr>
                <w:rFonts w:asciiTheme="minorHAnsi" w:eastAsia="Times New Roman" w:hAnsiTheme="minorHAnsi" w:cs="Times New Roman"/>
                <w:color w:val="000000"/>
                <w:lang w:eastAsia="en-AU"/>
              </w:rPr>
            </w:pPr>
            <w:r w:rsidRPr="00972449">
              <w:rPr>
                <w:rFonts w:asciiTheme="minorHAnsi" w:hAnsiTheme="minorHAnsi"/>
                <w:color w:val="000000"/>
              </w:rPr>
              <w:t>One high-quality systematic review of 16 RCTs that showed that IVIg is of benefit in treating Kawasaki disease (Biotext 2004).</w:t>
            </w:r>
          </w:p>
        </w:tc>
        <w:tc>
          <w:tcPr>
            <w:tcW w:w="4536" w:type="dxa"/>
            <w:gridSpan w:val="4"/>
            <w:shd w:val="clear" w:color="auto" w:fill="auto"/>
          </w:tcPr>
          <w:p w14:paraId="6FB33EC2" w14:textId="5DA3D8CD" w:rsidR="000D02AB" w:rsidRPr="00972449" w:rsidRDefault="000D02AB" w:rsidP="005E0B4A">
            <w:pPr>
              <w:rPr>
                <w:rFonts w:asciiTheme="minorHAnsi" w:hAnsiTheme="minorHAnsi"/>
                <w:strike/>
              </w:rPr>
            </w:pPr>
            <w:r w:rsidRPr="00972449">
              <w:rPr>
                <w:rFonts w:asciiTheme="minorHAnsi" w:hAnsiTheme="minorHAnsi"/>
                <w:color w:val="000000"/>
              </w:rPr>
              <w:t xml:space="preserve">One high-quality systematic review of 16 </w:t>
            </w:r>
            <w:r w:rsidRPr="00E1054A">
              <w:rPr>
                <w:rFonts w:asciiTheme="minorHAnsi" w:hAnsiTheme="minorHAnsi"/>
                <w:color w:val="000000"/>
              </w:rPr>
              <w:t>randomised controlled trial</w:t>
            </w:r>
            <w:r>
              <w:rPr>
                <w:rFonts w:asciiTheme="minorHAnsi" w:hAnsiTheme="minorHAnsi"/>
                <w:color w:val="000000"/>
              </w:rPr>
              <w:t>s</w:t>
            </w:r>
            <w:r w:rsidRPr="00E1054A">
              <w:rPr>
                <w:rFonts w:asciiTheme="minorHAnsi" w:hAnsiTheme="minorHAnsi"/>
                <w:color w:val="000000"/>
              </w:rPr>
              <w:t xml:space="preserve"> </w:t>
            </w:r>
            <w:r>
              <w:rPr>
                <w:rFonts w:asciiTheme="minorHAnsi" w:hAnsiTheme="minorHAnsi"/>
                <w:color w:val="000000"/>
              </w:rPr>
              <w:t>(</w:t>
            </w:r>
            <w:r w:rsidRPr="00972449">
              <w:rPr>
                <w:rFonts w:asciiTheme="minorHAnsi" w:hAnsiTheme="minorHAnsi"/>
                <w:color w:val="000000"/>
              </w:rPr>
              <w:t>RCTs</w:t>
            </w:r>
            <w:r>
              <w:rPr>
                <w:rFonts w:asciiTheme="minorHAnsi" w:hAnsiTheme="minorHAnsi"/>
                <w:color w:val="000000"/>
              </w:rPr>
              <w:t>)</w:t>
            </w:r>
            <w:r w:rsidRPr="00972449">
              <w:rPr>
                <w:rFonts w:asciiTheme="minorHAnsi" w:hAnsiTheme="minorHAnsi"/>
                <w:color w:val="000000"/>
              </w:rPr>
              <w:t xml:space="preserve"> that showed that IVIg is of benefit in treating Kawasaki disease (Biotext 2004).</w:t>
            </w:r>
          </w:p>
        </w:tc>
        <w:tc>
          <w:tcPr>
            <w:tcW w:w="4536" w:type="dxa"/>
          </w:tcPr>
          <w:p w14:paraId="4A7B8100" w14:textId="77777777" w:rsidR="000D02AB" w:rsidRPr="00972449" w:rsidRDefault="000D02AB"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Unchanged</w:t>
            </w:r>
          </w:p>
        </w:tc>
      </w:tr>
      <w:tr w:rsidR="000D02AB" w:rsidRPr="00972449" w14:paraId="1AA09F83" w14:textId="77777777" w:rsidTr="00825D29">
        <w:trPr>
          <w:trHeight w:val="984"/>
        </w:trPr>
        <w:tc>
          <w:tcPr>
            <w:tcW w:w="1689" w:type="dxa"/>
            <w:gridSpan w:val="3"/>
            <w:shd w:val="clear" w:color="auto" w:fill="D9D9D9" w:themeFill="background1" w:themeFillShade="D9"/>
          </w:tcPr>
          <w:p w14:paraId="0F1F2ACF" w14:textId="77777777" w:rsidR="000D02AB" w:rsidRPr="00972449" w:rsidRDefault="000D02AB" w:rsidP="00D764F3">
            <w:pPr>
              <w:rPr>
                <w:rFonts w:asciiTheme="minorHAnsi" w:hAnsiTheme="minorHAnsi"/>
                <w:b/>
              </w:rPr>
            </w:pPr>
            <w:r w:rsidRPr="00972449">
              <w:rPr>
                <w:rFonts w:asciiTheme="minorHAnsi" w:hAnsiTheme="minorHAnsi"/>
                <w:b/>
              </w:rPr>
              <w:t>Description and Diagnostic Criteria</w:t>
            </w:r>
          </w:p>
          <w:p w14:paraId="39BA03BE" w14:textId="4D37B434" w:rsidR="000D02AB" w:rsidRPr="00972449" w:rsidRDefault="000D02AB" w:rsidP="00D764F3">
            <w:pPr>
              <w:rPr>
                <w:rFonts w:asciiTheme="minorHAnsi" w:hAnsiTheme="minorHAnsi"/>
                <w:b/>
              </w:rPr>
            </w:pPr>
          </w:p>
        </w:tc>
        <w:tc>
          <w:tcPr>
            <w:tcW w:w="4549" w:type="dxa"/>
            <w:gridSpan w:val="3"/>
          </w:tcPr>
          <w:p w14:paraId="302E60DF"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Kawasaki disease is an acute, febrile, multi-system disease of children and young infants often involving the coronary arteries. Coronary artery aneurysms may occur from the second week of illness during the convalescent stage.</w:t>
            </w:r>
          </w:p>
          <w:p w14:paraId="7E472479"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The cause of the condition is unknown but there is evidence that the characteristic vasculitis results from an immune reaction characterised by T-cell and macrophage activation to an unknown antigen, secretion of cytokines, </w:t>
            </w:r>
            <w:r w:rsidRPr="000324DD">
              <w:rPr>
                <w:rFonts w:asciiTheme="minorHAnsi" w:eastAsia="Times New Roman" w:hAnsiTheme="minorHAnsi" w:cs="Times New Roman"/>
                <w:color w:val="000000"/>
                <w:lang w:eastAsia="en-AU"/>
              </w:rPr>
              <w:lastRenderedPageBreak/>
              <w:t>polyclonal B-cell hyperactivity, and the formation of autoantibodies to endothelial cells and smooth muscle cells. It is likely that in genetically susceptible individuals, one or more uncharacterised common infectious agents, possibly with super-antigen activity, may trigger the disease.</w:t>
            </w:r>
          </w:p>
          <w:p w14:paraId="0A4F3184" w14:textId="77777777" w:rsidR="000D02AB" w:rsidRPr="000324DD" w:rsidRDefault="000D02AB" w:rsidP="000D02AB">
            <w:pPr>
              <w:spacing w:after="225" w:line="276" w:lineRule="auto"/>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Diagnosis</w:t>
            </w:r>
          </w:p>
          <w:p w14:paraId="1B2B5CA9"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is generally made if fever of four or more days’ duration is associated with at least four of the following changes, which often appear sequentially:</w:t>
            </w:r>
          </w:p>
          <w:p w14:paraId="698E92B6"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bilateral (non-purulent) conjunctival injection; </w:t>
            </w:r>
          </w:p>
          <w:p w14:paraId="1D9F4FB9"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changes of the mucous membranes of the upper respiratory tract and oropharynx, including diffuse redness of pharyngeal mucosa, dry fissured lips, red fissured lips, and/or ‘strawberry tongue’; </w:t>
            </w:r>
          </w:p>
          <w:p w14:paraId="03C22C80"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changes of the extremities, including peripheral erythema, peripheral oedema, and subsequent periungual or more generalised desquamation; </w:t>
            </w:r>
          </w:p>
          <w:p w14:paraId="4B31D822"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t>polymorphous rash</w:t>
            </w:r>
            <w:r w:rsidRPr="000324DD">
              <w:rPr>
                <w:rFonts w:asciiTheme="minorHAnsi" w:eastAsia="Times New Roman" w:hAnsiTheme="minorHAnsi" w:cs="Times New Roman"/>
                <w:color w:val="000000"/>
                <w:lang w:eastAsia="en-AU"/>
              </w:rPr>
              <w:t xml:space="preserve">; </w:t>
            </w:r>
          </w:p>
          <w:p w14:paraId="523D5B94"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lastRenderedPageBreak/>
              <w:t>cervical lymphadenopathy</w:t>
            </w:r>
            <w:r w:rsidRPr="000324DD">
              <w:rPr>
                <w:rFonts w:asciiTheme="minorHAnsi" w:eastAsia="Times New Roman" w:hAnsiTheme="minorHAnsi" w:cs="Times New Roman"/>
                <w:color w:val="000000"/>
                <w:lang w:eastAsia="en-AU"/>
              </w:rPr>
              <w:t xml:space="preserve">. </w:t>
            </w:r>
          </w:p>
          <w:p w14:paraId="16EF24B2"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may be made if fever and fewer than four of the changes listed above are present where there is strong clinical suspicion of Kawasaki disease (refer to Newburger 2004). Between 10% and 20% of cases, particularly in younger infants, present with fever and fewer than four of the listed criteria. Expert advice should be sought.</w:t>
            </w:r>
          </w:p>
          <w:p w14:paraId="6F5F71AA"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Data support the use of IVIg while there is ongoing inflammation (usually taken as ongoing fever or raised acute inflammatory markers). Prognosis is worse if IVIg is used 10 days post-onset, but should be used at any time if there is evidence of inflammation. Up to 15% of patients do not respond to initial IVIg therapy. Consensus is for re-treatment with 2 g/kg of IVIg before considering steroids.</w:t>
            </w:r>
          </w:p>
          <w:p w14:paraId="3B987F05" w14:textId="77777777" w:rsidR="000D02AB" w:rsidRPr="00972449" w:rsidRDefault="000D02AB" w:rsidP="009715A9">
            <w:pPr>
              <w:spacing w:after="240" w:line="20" w:lineRule="atLeast"/>
              <w:ind w:firstLine="720"/>
              <w:rPr>
                <w:rFonts w:asciiTheme="minorHAnsi" w:eastAsia="Times New Roman" w:hAnsiTheme="minorHAnsi" w:cs="Times New Roman"/>
                <w:color w:val="000000"/>
                <w:lang w:eastAsia="en-AU"/>
              </w:rPr>
            </w:pPr>
          </w:p>
        </w:tc>
        <w:tc>
          <w:tcPr>
            <w:tcW w:w="4536" w:type="dxa"/>
            <w:gridSpan w:val="4"/>
            <w:shd w:val="clear" w:color="auto" w:fill="auto"/>
          </w:tcPr>
          <w:p w14:paraId="644DAAD2" w14:textId="00C11F53"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lastRenderedPageBreak/>
              <w:t>Kawasaki disease is an acute, febrile, multi-system disease of children and young infants</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often involving the coronary arteries. Coronary artery aneurysms may occur from the second week of illness during the convalescent stage.</w:t>
            </w:r>
          </w:p>
          <w:p w14:paraId="129F297C" w14:textId="0BDB5865"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The cause of the condition is unknown</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but there is evidence that the characteristic vasculitis results from an immune reaction characterised by T-cell and macrophage activation to an unknown antigen, secretion of </w:t>
            </w:r>
            <w:r w:rsidRPr="000324DD">
              <w:rPr>
                <w:rFonts w:asciiTheme="minorHAnsi" w:eastAsia="Times New Roman" w:hAnsiTheme="minorHAnsi" w:cs="Times New Roman"/>
                <w:color w:val="000000"/>
                <w:lang w:eastAsia="en-AU"/>
              </w:rPr>
              <w:lastRenderedPageBreak/>
              <w:t>cytokines, polyclonal B-cell hyperactivity, and the formation of autoantibodies to endothelial cells and smooth muscle cells. It is likely that in genetically susceptible individuals, one or more uncharacterised common infectious agents, possibly with super-antigen activity, may trigger the disease.</w:t>
            </w:r>
          </w:p>
          <w:p w14:paraId="7F0742CC" w14:textId="77777777" w:rsidR="000D02AB" w:rsidRPr="000324DD" w:rsidRDefault="000D02AB" w:rsidP="000D02AB">
            <w:pPr>
              <w:spacing w:after="225" w:line="276" w:lineRule="auto"/>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Diagnosis</w:t>
            </w:r>
          </w:p>
          <w:p w14:paraId="549A9A9F" w14:textId="14527C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is generally made if fever of four or more days’ duration is associated with at least four of the following changes, which often appear sequentially</w:t>
            </w:r>
            <w:r>
              <w:rPr>
                <w:rFonts w:asciiTheme="minorHAnsi" w:eastAsia="Times New Roman" w:hAnsiTheme="minorHAnsi" w:cs="Times New Roman"/>
                <w:color w:val="000000"/>
                <w:lang w:eastAsia="en-AU"/>
              </w:rPr>
              <w:t>,</w:t>
            </w:r>
            <w:r w:rsidRPr="008C4D02">
              <w:rPr>
                <w:rFonts w:asciiTheme="minorHAnsi" w:eastAsia="Times New Roman" w:hAnsiTheme="minorHAnsi" w:cs="Times New Roman"/>
                <w:color w:val="000000"/>
                <w:lang w:eastAsia="en-AU"/>
              </w:rPr>
              <w:t xml:space="preserve"> or three if coronary abnormalities are evident on echocardiogram</w:t>
            </w:r>
            <w:r w:rsidRPr="000324DD">
              <w:rPr>
                <w:rFonts w:asciiTheme="minorHAnsi" w:eastAsia="Times New Roman" w:hAnsiTheme="minorHAnsi" w:cs="Times New Roman"/>
                <w:color w:val="000000"/>
                <w:lang w:eastAsia="en-AU"/>
              </w:rPr>
              <w:t>:</w:t>
            </w:r>
          </w:p>
          <w:p w14:paraId="4A2AB22F" w14:textId="48850EEB"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bilateral (non-purulent) conjunctival injection</w:t>
            </w:r>
          </w:p>
          <w:p w14:paraId="6302888B" w14:textId="339A3838"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changes of the mucous membranes of the upper respiratory tract and oropharynx, including diffuse redness of pharyngeal mucosa, dry fissured lips, red fissured lips, and/or ‘strawberry tongue’</w:t>
            </w:r>
          </w:p>
          <w:p w14:paraId="733D23AB" w14:textId="3E6B96EF"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changes of the extremities, including peripheral erythema, peripheral oedema, and subsequent periungual or more generalised desquamation</w:t>
            </w:r>
          </w:p>
          <w:p w14:paraId="0B8E5BE6" w14:textId="408A1974"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lastRenderedPageBreak/>
              <w:t>polymorphous rash</w:t>
            </w:r>
          </w:p>
          <w:p w14:paraId="6F6834EF"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t>cervical lymphadenopathy</w:t>
            </w:r>
            <w:r w:rsidRPr="000324DD">
              <w:rPr>
                <w:rFonts w:asciiTheme="minorHAnsi" w:eastAsia="Times New Roman" w:hAnsiTheme="minorHAnsi" w:cs="Times New Roman"/>
                <w:color w:val="000000"/>
                <w:lang w:eastAsia="en-AU"/>
              </w:rPr>
              <w:t xml:space="preserve">. </w:t>
            </w:r>
          </w:p>
          <w:p w14:paraId="0BC39F60"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may be made if fever and fewer than four of the changes listed above are present where there is strong clinical suspicion of Kawasaki disease (refer to Newburger 2004). Between 10% and 20% of cases, particularly in younger infants, present with fever and fewer than four of the listed criteria. Expert advice should be sought.</w:t>
            </w:r>
          </w:p>
          <w:p w14:paraId="6AC5E4BD" w14:textId="4757721A" w:rsidR="000D02AB" w:rsidRPr="00972449" w:rsidRDefault="000D02AB" w:rsidP="000D02AB">
            <w:pPr>
              <w:spacing w:line="276" w:lineRule="auto"/>
              <w:rPr>
                <w:rFonts w:asciiTheme="minorHAnsi" w:hAnsiTheme="minorHAnsi"/>
              </w:rPr>
            </w:pPr>
            <w:r w:rsidRPr="000324DD">
              <w:rPr>
                <w:rFonts w:asciiTheme="minorHAnsi" w:eastAsia="Times New Roman" w:hAnsiTheme="minorHAnsi" w:cs="Times New Roman"/>
                <w:color w:val="000000"/>
                <w:lang w:eastAsia="en-AU"/>
              </w:rPr>
              <w:t xml:space="preserve">Data support the use of </w:t>
            </w:r>
            <w:r w:rsidRPr="00E1054A">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while there is ongoing inflammation (usually taken as ongoing fever or raised acute inflammatory markers). Prognosis is worse if IVIg is used 10 days post-onset, but should be used at any time if there is evidence of inflammation. Up to 15% of patients do not respond to initial IVIg therapy. Consensus is for re-treatment with 2 g/kg of IVIg before considering steroids.</w:t>
            </w:r>
          </w:p>
        </w:tc>
        <w:tc>
          <w:tcPr>
            <w:tcW w:w="4536" w:type="dxa"/>
          </w:tcPr>
          <w:p w14:paraId="44E50FB6" w14:textId="0D47CF21" w:rsidR="000D02AB" w:rsidRPr="00972449" w:rsidRDefault="000D02AB" w:rsidP="0001123A">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Updated to address revised diagnostic criteria when there is cardiac involvement. (A) </w:t>
            </w:r>
          </w:p>
        </w:tc>
      </w:tr>
      <w:tr w:rsidR="000D02AB" w:rsidRPr="00972449" w14:paraId="6927B3AA" w14:textId="77777777" w:rsidTr="00825D29">
        <w:tc>
          <w:tcPr>
            <w:tcW w:w="1689" w:type="dxa"/>
            <w:gridSpan w:val="3"/>
            <w:shd w:val="clear" w:color="auto" w:fill="D9D9D9" w:themeFill="background1" w:themeFillShade="D9"/>
          </w:tcPr>
          <w:p w14:paraId="1F142841" w14:textId="77777777" w:rsidR="000D02AB" w:rsidRPr="00972449" w:rsidRDefault="000D02AB" w:rsidP="00D764F3">
            <w:pPr>
              <w:rPr>
                <w:rFonts w:asciiTheme="minorHAnsi" w:hAnsiTheme="minorHAnsi"/>
                <w:b/>
              </w:rPr>
            </w:pPr>
            <w:r w:rsidRPr="00972449">
              <w:rPr>
                <w:rFonts w:asciiTheme="minorHAnsi" w:hAnsiTheme="minorHAnsi"/>
                <w:b/>
              </w:rPr>
              <w:lastRenderedPageBreak/>
              <w:t>Diagnosis is required</w:t>
            </w:r>
          </w:p>
        </w:tc>
        <w:tc>
          <w:tcPr>
            <w:tcW w:w="4549" w:type="dxa"/>
            <w:gridSpan w:val="3"/>
          </w:tcPr>
          <w:p w14:paraId="6358F9E9" w14:textId="77777777" w:rsidR="000D02AB" w:rsidRPr="00972449" w:rsidRDefault="000D02AB" w:rsidP="00D764F3">
            <w:pPr>
              <w:rPr>
                <w:rFonts w:asciiTheme="minorHAnsi" w:hAnsiTheme="minorHAnsi"/>
              </w:rPr>
            </w:pPr>
            <w:r w:rsidRPr="00972449">
              <w:rPr>
                <w:rFonts w:asciiTheme="minorHAnsi" w:hAnsiTheme="minorHAnsi"/>
                <w:color w:val="000000"/>
              </w:rPr>
              <w:t>Clinical diagnosis of Kawasaki disease by a paediatrician or immunologist.</w:t>
            </w:r>
          </w:p>
        </w:tc>
        <w:tc>
          <w:tcPr>
            <w:tcW w:w="1535" w:type="dxa"/>
          </w:tcPr>
          <w:p w14:paraId="6778579A" w14:textId="77777777" w:rsidR="000D02AB" w:rsidRPr="00972449" w:rsidRDefault="000D02AB" w:rsidP="00D764F3">
            <w:pPr>
              <w:rPr>
                <w:rFonts w:asciiTheme="minorHAnsi" w:hAnsiTheme="minorHAnsi"/>
              </w:rPr>
            </w:pPr>
            <w:r w:rsidRPr="00972449">
              <w:rPr>
                <w:rFonts w:asciiTheme="minorHAnsi" w:hAnsiTheme="minorHAnsi"/>
              </w:rPr>
              <w:t>Yes</w:t>
            </w:r>
          </w:p>
        </w:tc>
        <w:tc>
          <w:tcPr>
            <w:tcW w:w="1242" w:type="dxa"/>
            <w:shd w:val="clear" w:color="auto" w:fill="BFBFBF" w:themeFill="background1" w:themeFillShade="BF"/>
          </w:tcPr>
          <w:p w14:paraId="0EC5A7BC" w14:textId="77777777" w:rsidR="000D02AB" w:rsidRPr="00972449" w:rsidRDefault="000D02AB">
            <w:pPr>
              <w:spacing w:line="276" w:lineRule="auto"/>
              <w:rPr>
                <w:rFonts w:asciiTheme="minorHAnsi" w:hAnsiTheme="minorHAnsi"/>
              </w:rPr>
            </w:pPr>
            <w:r w:rsidRPr="00972449">
              <w:rPr>
                <w:rFonts w:asciiTheme="minorHAnsi" w:hAnsiTheme="minorHAnsi"/>
              </w:rPr>
              <w:t>Which Speciality</w:t>
            </w:r>
          </w:p>
        </w:tc>
        <w:tc>
          <w:tcPr>
            <w:tcW w:w="1759" w:type="dxa"/>
            <w:gridSpan w:val="2"/>
          </w:tcPr>
          <w:p w14:paraId="4FC08347" w14:textId="3954048C" w:rsidR="000D02AB" w:rsidRPr="008C4D02" w:rsidRDefault="000D02AB" w:rsidP="0048456B">
            <w:pPr>
              <w:jc w:val="center"/>
              <w:rPr>
                <w:rFonts w:asciiTheme="minorHAnsi" w:hAnsiTheme="minorHAnsi"/>
              </w:rPr>
            </w:pPr>
            <w:r w:rsidRPr="008C4D02">
              <w:t xml:space="preserve">General paediatrician or </w:t>
            </w:r>
            <w:r>
              <w:t>i</w:t>
            </w:r>
            <w:r w:rsidRPr="008C4D02">
              <w:t xml:space="preserve">mmunologist </w:t>
            </w:r>
            <w:r>
              <w:t>or r</w:t>
            </w:r>
            <w:r w:rsidRPr="008C4D02">
              <w:t>heumatologist</w:t>
            </w:r>
          </w:p>
        </w:tc>
        <w:tc>
          <w:tcPr>
            <w:tcW w:w="4536" w:type="dxa"/>
          </w:tcPr>
          <w:p w14:paraId="27792C89" w14:textId="77777777" w:rsidR="000D02AB" w:rsidRPr="00972449" w:rsidRDefault="000D02AB" w:rsidP="004F320E">
            <w:pPr>
              <w:spacing w:line="276" w:lineRule="auto"/>
              <w:rPr>
                <w:rFonts w:asciiTheme="minorHAnsi" w:hAnsiTheme="minorHAnsi"/>
              </w:rPr>
            </w:pPr>
            <w:r>
              <w:rPr>
                <w:rFonts w:asciiTheme="minorHAnsi" w:hAnsiTheme="minorHAnsi"/>
              </w:rPr>
              <w:t>Rheumatologist added as can be the treating specialist (A)</w:t>
            </w:r>
          </w:p>
        </w:tc>
      </w:tr>
      <w:tr w:rsidR="000D02AB" w:rsidRPr="00972449" w14:paraId="37356A99" w14:textId="77777777" w:rsidTr="00825D29">
        <w:tc>
          <w:tcPr>
            <w:tcW w:w="1689" w:type="dxa"/>
            <w:gridSpan w:val="3"/>
            <w:shd w:val="clear" w:color="auto" w:fill="D9D9D9" w:themeFill="background1" w:themeFillShade="D9"/>
          </w:tcPr>
          <w:p w14:paraId="33246623" w14:textId="77777777" w:rsidR="000D02AB" w:rsidRPr="00972449" w:rsidRDefault="000D02AB" w:rsidP="00F873C6">
            <w:pPr>
              <w:rPr>
                <w:rFonts w:asciiTheme="minorHAnsi" w:hAnsiTheme="minorHAnsi"/>
                <w:b/>
              </w:rPr>
            </w:pPr>
            <w:r w:rsidRPr="00972449">
              <w:rPr>
                <w:rFonts w:asciiTheme="minorHAnsi" w:hAnsiTheme="minorHAnsi"/>
                <w:b/>
              </w:rPr>
              <w:t>Diagnosis must be verified</w:t>
            </w:r>
          </w:p>
        </w:tc>
        <w:tc>
          <w:tcPr>
            <w:tcW w:w="4549" w:type="dxa"/>
            <w:gridSpan w:val="3"/>
          </w:tcPr>
          <w:p w14:paraId="166F1D57" w14:textId="77777777" w:rsidR="000D02AB" w:rsidRPr="00972449" w:rsidRDefault="000D02AB" w:rsidP="00F873C6">
            <w:pPr>
              <w:rPr>
                <w:rFonts w:asciiTheme="minorHAnsi" w:hAnsiTheme="minorHAnsi"/>
              </w:rPr>
            </w:pPr>
          </w:p>
        </w:tc>
        <w:tc>
          <w:tcPr>
            <w:tcW w:w="1535" w:type="dxa"/>
          </w:tcPr>
          <w:p w14:paraId="3FC5572A" w14:textId="77777777" w:rsidR="000D02AB" w:rsidRPr="00972449" w:rsidRDefault="000D02AB" w:rsidP="00F873C6">
            <w:pPr>
              <w:rPr>
                <w:rFonts w:asciiTheme="minorHAnsi" w:hAnsiTheme="minorHAnsi"/>
              </w:rPr>
            </w:pPr>
            <w:r w:rsidRPr="00972449">
              <w:rPr>
                <w:rFonts w:asciiTheme="minorHAnsi" w:hAnsiTheme="minorHAnsi"/>
              </w:rPr>
              <w:t>No</w:t>
            </w:r>
          </w:p>
        </w:tc>
        <w:tc>
          <w:tcPr>
            <w:tcW w:w="1242" w:type="dxa"/>
            <w:shd w:val="clear" w:color="auto" w:fill="BFBFBF" w:themeFill="background1" w:themeFillShade="BF"/>
          </w:tcPr>
          <w:p w14:paraId="10ADC7D1" w14:textId="77777777" w:rsidR="000D02AB" w:rsidRPr="00972449" w:rsidRDefault="000D02AB" w:rsidP="00F873C6">
            <w:pPr>
              <w:spacing w:line="276" w:lineRule="auto"/>
              <w:rPr>
                <w:rFonts w:asciiTheme="minorHAnsi" w:hAnsiTheme="minorHAnsi"/>
                <w:b/>
              </w:rPr>
            </w:pPr>
            <w:r w:rsidRPr="00972449">
              <w:rPr>
                <w:rFonts w:asciiTheme="minorHAnsi" w:hAnsiTheme="minorHAnsi"/>
              </w:rPr>
              <w:t>Which Specialty</w:t>
            </w:r>
          </w:p>
        </w:tc>
        <w:tc>
          <w:tcPr>
            <w:tcW w:w="1759" w:type="dxa"/>
            <w:gridSpan w:val="2"/>
          </w:tcPr>
          <w:p w14:paraId="75D7636E" w14:textId="77777777" w:rsidR="000D02AB" w:rsidRPr="00972449" w:rsidRDefault="000D02AB" w:rsidP="00F873C6">
            <w:pPr>
              <w:spacing w:line="276" w:lineRule="auto"/>
              <w:rPr>
                <w:rFonts w:asciiTheme="minorHAnsi" w:hAnsiTheme="minorHAnsi"/>
              </w:rPr>
            </w:pPr>
          </w:p>
        </w:tc>
        <w:tc>
          <w:tcPr>
            <w:tcW w:w="4536" w:type="dxa"/>
          </w:tcPr>
          <w:p w14:paraId="630E703D" w14:textId="77777777" w:rsidR="000D02AB" w:rsidRPr="00972449" w:rsidRDefault="000D02AB" w:rsidP="006562E8">
            <w:pPr>
              <w:spacing w:line="276" w:lineRule="auto"/>
              <w:ind w:left="175"/>
              <w:rPr>
                <w:rFonts w:asciiTheme="minorHAnsi" w:hAnsiTheme="minorHAnsi"/>
              </w:rPr>
            </w:pPr>
          </w:p>
        </w:tc>
      </w:tr>
      <w:tr w:rsidR="000D02AB" w:rsidRPr="00972449" w14:paraId="2570C435" w14:textId="77777777" w:rsidTr="00825D29">
        <w:tc>
          <w:tcPr>
            <w:tcW w:w="1689" w:type="dxa"/>
            <w:gridSpan w:val="3"/>
            <w:shd w:val="clear" w:color="auto" w:fill="D9D9D9" w:themeFill="background1" w:themeFillShade="D9"/>
          </w:tcPr>
          <w:p w14:paraId="1747398A" w14:textId="77777777" w:rsidR="000D02AB" w:rsidRPr="00972449" w:rsidRDefault="000D02AB" w:rsidP="00D764F3">
            <w:pPr>
              <w:rPr>
                <w:rFonts w:asciiTheme="minorHAnsi" w:hAnsiTheme="minorHAnsi"/>
                <w:b/>
              </w:rPr>
            </w:pPr>
            <w:r w:rsidRPr="00972449">
              <w:rPr>
                <w:rFonts w:asciiTheme="minorHAnsi" w:hAnsiTheme="minorHAnsi"/>
                <w:b/>
              </w:rPr>
              <w:t>Exclusion Criteria</w:t>
            </w:r>
          </w:p>
          <w:p w14:paraId="22772153" w14:textId="16E1D3F9" w:rsidR="000D02AB" w:rsidRPr="00972449" w:rsidRDefault="000D02AB" w:rsidP="00D764F3">
            <w:pPr>
              <w:rPr>
                <w:rFonts w:asciiTheme="minorHAnsi" w:hAnsiTheme="minorHAnsi"/>
              </w:rPr>
            </w:pPr>
          </w:p>
        </w:tc>
        <w:tc>
          <w:tcPr>
            <w:tcW w:w="4549" w:type="dxa"/>
            <w:gridSpan w:val="3"/>
          </w:tcPr>
          <w:p w14:paraId="4F463DD9" w14:textId="77777777" w:rsidR="000D02AB" w:rsidRPr="00972449" w:rsidRDefault="000D02AB" w:rsidP="00D764F3">
            <w:pPr>
              <w:rPr>
                <w:rFonts w:asciiTheme="minorHAnsi" w:hAnsiTheme="minorHAnsi"/>
              </w:rPr>
            </w:pPr>
          </w:p>
        </w:tc>
        <w:tc>
          <w:tcPr>
            <w:tcW w:w="4536" w:type="dxa"/>
            <w:gridSpan w:val="4"/>
          </w:tcPr>
          <w:p w14:paraId="54BF9FB9" w14:textId="77777777" w:rsidR="000D02AB" w:rsidRPr="00972449" w:rsidRDefault="000D02AB" w:rsidP="00D764F3">
            <w:pPr>
              <w:rPr>
                <w:rFonts w:asciiTheme="minorHAnsi" w:hAnsiTheme="minorHAnsi"/>
              </w:rPr>
            </w:pPr>
          </w:p>
        </w:tc>
        <w:tc>
          <w:tcPr>
            <w:tcW w:w="4536" w:type="dxa"/>
          </w:tcPr>
          <w:p w14:paraId="565F59A4" w14:textId="77777777" w:rsidR="000D02AB" w:rsidRPr="00972449" w:rsidRDefault="000D02AB" w:rsidP="001E6F4E">
            <w:pPr>
              <w:ind w:right="-1100"/>
              <w:rPr>
                <w:rFonts w:asciiTheme="minorHAnsi" w:hAnsiTheme="minorHAnsi"/>
              </w:rPr>
            </w:pPr>
          </w:p>
        </w:tc>
      </w:tr>
      <w:tr w:rsidR="000D02AB" w:rsidRPr="00972449" w14:paraId="35D9AB6F" w14:textId="77777777" w:rsidTr="00825D29">
        <w:tc>
          <w:tcPr>
            <w:tcW w:w="1689" w:type="dxa"/>
            <w:gridSpan w:val="3"/>
            <w:shd w:val="clear" w:color="auto" w:fill="D9D9D9" w:themeFill="background1" w:themeFillShade="D9"/>
          </w:tcPr>
          <w:p w14:paraId="7223F99F" w14:textId="77777777" w:rsidR="000D02AB" w:rsidRPr="00972449" w:rsidRDefault="000D02AB" w:rsidP="00D764F3">
            <w:pPr>
              <w:rPr>
                <w:rFonts w:asciiTheme="minorHAnsi" w:hAnsiTheme="minorHAnsi"/>
                <w:b/>
              </w:rPr>
            </w:pPr>
            <w:r w:rsidRPr="00972449">
              <w:rPr>
                <w:rFonts w:asciiTheme="minorHAnsi" w:hAnsiTheme="minorHAnsi"/>
                <w:b/>
              </w:rPr>
              <w:lastRenderedPageBreak/>
              <w:t>Indications</w:t>
            </w:r>
          </w:p>
        </w:tc>
        <w:tc>
          <w:tcPr>
            <w:tcW w:w="4549" w:type="dxa"/>
            <w:gridSpan w:val="3"/>
          </w:tcPr>
          <w:p w14:paraId="692C36D4" w14:textId="77777777" w:rsidR="000D02AB" w:rsidRPr="00972449" w:rsidRDefault="000D02AB" w:rsidP="000D2614">
            <w:pPr>
              <w:rPr>
                <w:rFonts w:asciiTheme="minorHAnsi" w:hAnsiTheme="minorHAnsi"/>
              </w:rPr>
            </w:pPr>
            <w:r>
              <w:rPr>
                <w:rFonts w:asciiTheme="minorHAnsi" w:hAnsiTheme="minorHAnsi"/>
              </w:rPr>
              <w:t>Early Kawasaki Disease to prevent coronary artery pathology</w:t>
            </w:r>
          </w:p>
        </w:tc>
        <w:tc>
          <w:tcPr>
            <w:tcW w:w="4536" w:type="dxa"/>
            <w:gridSpan w:val="4"/>
          </w:tcPr>
          <w:p w14:paraId="60405CC6" w14:textId="673F3DC2" w:rsidR="000D02AB" w:rsidRDefault="000D02AB" w:rsidP="008C4D02">
            <w:pPr>
              <w:rPr>
                <w:rFonts w:asciiTheme="minorHAnsi" w:hAnsiTheme="minorHAnsi"/>
                <w:b/>
              </w:rPr>
            </w:pPr>
            <w:r w:rsidRPr="008C4D02">
              <w:rPr>
                <w:rFonts w:asciiTheme="minorHAnsi" w:hAnsiTheme="minorHAnsi"/>
                <w:b/>
              </w:rPr>
              <w:t xml:space="preserve">Early Kawasaki </w:t>
            </w:r>
            <w:r>
              <w:rPr>
                <w:rFonts w:asciiTheme="minorHAnsi" w:hAnsiTheme="minorHAnsi"/>
                <w:b/>
              </w:rPr>
              <w:t>d</w:t>
            </w:r>
            <w:r w:rsidRPr="008C4D02">
              <w:rPr>
                <w:rFonts w:asciiTheme="minorHAnsi" w:hAnsiTheme="minorHAnsi"/>
                <w:b/>
              </w:rPr>
              <w:t>isease to prevent coronary artery pathology</w:t>
            </w:r>
            <w:r>
              <w:rPr>
                <w:rFonts w:asciiTheme="minorHAnsi" w:hAnsiTheme="minorHAnsi"/>
                <w:b/>
              </w:rPr>
              <w:t>.</w:t>
            </w:r>
          </w:p>
          <w:p w14:paraId="027FA10B" w14:textId="77777777" w:rsidR="000D02AB" w:rsidRPr="008C4D02" w:rsidRDefault="000D02AB" w:rsidP="008C4D02">
            <w:pPr>
              <w:rPr>
                <w:rFonts w:asciiTheme="minorHAnsi" w:hAnsiTheme="minorHAnsi"/>
                <w:b/>
              </w:rPr>
            </w:pPr>
          </w:p>
          <w:p w14:paraId="2033F824" w14:textId="00311F96" w:rsidR="000D02AB" w:rsidRPr="00972449" w:rsidRDefault="000D02AB" w:rsidP="0048456B">
            <w:pPr>
              <w:rPr>
                <w:rFonts w:asciiTheme="minorHAnsi" w:hAnsiTheme="minorHAnsi"/>
                <w:b/>
              </w:rPr>
            </w:pPr>
            <w:r w:rsidRPr="008C4D02">
              <w:rPr>
                <w:rFonts w:asciiTheme="minorHAnsi" w:hAnsiTheme="minorHAnsi"/>
                <w:b/>
              </w:rPr>
              <w:t xml:space="preserve">Continued inflammation </w:t>
            </w:r>
            <w:r>
              <w:rPr>
                <w:rFonts w:asciiTheme="minorHAnsi" w:hAnsiTheme="minorHAnsi"/>
                <w:b/>
              </w:rPr>
              <w:t xml:space="preserve">more than </w:t>
            </w:r>
            <w:r w:rsidRPr="008C4D02">
              <w:rPr>
                <w:rFonts w:asciiTheme="minorHAnsi" w:hAnsiTheme="minorHAnsi"/>
                <w:b/>
              </w:rPr>
              <w:t xml:space="preserve">36 hours after </w:t>
            </w:r>
            <w:r>
              <w:rPr>
                <w:rFonts w:asciiTheme="minorHAnsi" w:hAnsiTheme="minorHAnsi"/>
                <w:b/>
              </w:rPr>
              <w:t xml:space="preserve">the initial </w:t>
            </w:r>
            <w:r w:rsidRPr="008C4D02">
              <w:rPr>
                <w:rFonts w:asciiTheme="minorHAnsi" w:hAnsiTheme="minorHAnsi"/>
                <w:b/>
              </w:rPr>
              <w:t xml:space="preserve">dose of Ig therapy in early Kawasaki </w:t>
            </w:r>
            <w:r>
              <w:rPr>
                <w:rFonts w:asciiTheme="minorHAnsi" w:hAnsiTheme="minorHAnsi"/>
                <w:b/>
              </w:rPr>
              <w:t>d</w:t>
            </w:r>
            <w:r w:rsidRPr="008C4D02">
              <w:rPr>
                <w:rFonts w:asciiTheme="minorHAnsi" w:hAnsiTheme="minorHAnsi"/>
                <w:b/>
              </w:rPr>
              <w:t>isease</w:t>
            </w:r>
            <w:r>
              <w:rPr>
                <w:rFonts w:asciiTheme="minorHAnsi" w:hAnsiTheme="minorHAnsi"/>
                <w:b/>
              </w:rPr>
              <w:t>.</w:t>
            </w:r>
          </w:p>
        </w:tc>
        <w:tc>
          <w:tcPr>
            <w:tcW w:w="4536" w:type="dxa"/>
          </w:tcPr>
          <w:p w14:paraId="04C33940" w14:textId="77777777" w:rsidR="000D02AB" w:rsidRPr="00972449" w:rsidRDefault="000D02AB" w:rsidP="004F320E">
            <w:pPr>
              <w:rPr>
                <w:rFonts w:asciiTheme="minorHAnsi" w:hAnsiTheme="minorHAnsi"/>
              </w:rPr>
            </w:pPr>
            <w:r>
              <w:rPr>
                <w:rFonts w:asciiTheme="minorHAnsi" w:hAnsiTheme="minorHAnsi"/>
              </w:rPr>
              <w:t>Second indication added to provide controlled access to a second dose. (A)</w:t>
            </w:r>
          </w:p>
        </w:tc>
      </w:tr>
      <w:tr w:rsidR="000D02AB" w:rsidRPr="00972449" w14:paraId="2B0D3B28" w14:textId="77777777" w:rsidTr="00825D29">
        <w:tc>
          <w:tcPr>
            <w:tcW w:w="1689" w:type="dxa"/>
            <w:gridSpan w:val="3"/>
            <w:shd w:val="clear" w:color="auto" w:fill="D9D9D9" w:themeFill="background1" w:themeFillShade="D9"/>
          </w:tcPr>
          <w:p w14:paraId="7A92819C" w14:textId="7551C6BC" w:rsidR="000D02AB" w:rsidRPr="00972449" w:rsidRDefault="000D02AB" w:rsidP="00D764F3">
            <w:pPr>
              <w:rPr>
                <w:rFonts w:asciiTheme="minorHAnsi" w:hAnsiTheme="minorHAnsi"/>
                <w:b/>
              </w:rPr>
            </w:pPr>
            <w:r w:rsidRPr="00972449">
              <w:rPr>
                <w:rFonts w:asciiTheme="minorHAnsi" w:hAnsiTheme="minorHAnsi"/>
              </w:rPr>
              <w:br w:type="page"/>
            </w:r>
            <w:r w:rsidRPr="00972449">
              <w:rPr>
                <w:rFonts w:asciiTheme="minorHAnsi" w:hAnsiTheme="minorHAnsi"/>
                <w:b/>
              </w:rPr>
              <w:t>Qualifying Criteria</w:t>
            </w:r>
          </w:p>
        </w:tc>
        <w:tc>
          <w:tcPr>
            <w:tcW w:w="4549" w:type="dxa"/>
            <w:gridSpan w:val="3"/>
          </w:tcPr>
          <w:p w14:paraId="61833807" w14:textId="77777777" w:rsidR="000D02AB" w:rsidRPr="00972449" w:rsidRDefault="000D02AB" w:rsidP="00CA345D">
            <w:pPr>
              <w:rPr>
                <w:rFonts w:asciiTheme="minorHAnsi" w:hAnsiTheme="minorHAnsi"/>
                <w:b/>
              </w:rPr>
            </w:pPr>
            <w:r w:rsidRPr="00972449">
              <w:rPr>
                <w:rFonts w:asciiTheme="minorHAnsi" w:hAnsiTheme="minorHAnsi"/>
                <w:color w:val="000000"/>
              </w:rPr>
              <w:t>Clinical diagnosis of Kawasaki disease by a paediatrician or immunologist.</w:t>
            </w:r>
          </w:p>
        </w:tc>
        <w:tc>
          <w:tcPr>
            <w:tcW w:w="4536" w:type="dxa"/>
            <w:gridSpan w:val="4"/>
          </w:tcPr>
          <w:p w14:paraId="02095637" w14:textId="77956460" w:rsidR="000D02AB" w:rsidRPr="0001123A" w:rsidRDefault="000D02AB" w:rsidP="0001123A">
            <w:pPr>
              <w:rPr>
                <w:rFonts w:asciiTheme="minorHAnsi" w:hAnsiTheme="minorHAnsi"/>
                <w:b/>
              </w:rPr>
            </w:pPr>
            <w:r w:rsidRPr="0001123A">
              <w:rPr>
                <w:rFonts w:asciiTheme="minorHAnsi" w:hAnsiTheme="minorHAnsi"/>
                <w:b/>
              </w:rPr>
              <w:t xml:space="preserve">Early Kawasaki </w:t>
            </w:r>
            <w:r>
              <w:rPr>
                <w:rFonts w:asciiTheme="minorHAnsi" w:hAnsiTheme="minorHAnsi"/>
                <w:b/>
              </w:rPr>
              <w:t>d</w:t>
            </w:r>
            <w:r w:rsidRPr="0001123A">
              <w:rPr>
                <w:rFonts w:asciiTheme="minorHAnsi" w:hAnsiTheme="minorHAnsi"/>
                <w:b/>
              </w:rPr>
              <w:t>isease to prevent coronary artery pathology</w:t>
            </w:r>
            <w:r>
              <w:rPr>
                <w:rFonts w:asciiTheme="minorHAnsi" w:hAnsiTheme="minorHAnsi"/>
                <w:b/>
              </w:rPr>
              <w:t>.</w:t>
            </w:r>
          </w:p>
          <w:p w14:paraId="3B3D1E26" w14:textId="77777777" w:rsidR="000D02AB" w:rsidRPr="0001123A" w:rsidRDefault="000D02AB" w:rsidP="0001123A">
            <w:pPr>
              <w:rPr>
                <w:rFonts w:asciiTheme="minorHAnsi" w:hAnsiTheme="minorHAnsi"/>
                <w:b/>
              </w:rPr>
            </w:pPr>
          </w:p>
          <w:p w14:paraId="32BA6B0E" w14:textId="3938C17F" w:rsidR="000D02AB" w:rsidRPr="0001123A" w:rsidRDefault="000D02AB" w:rsidP="0001123A">
            <w:pPr>
              <w:rPr>
                <w:rFonts w:asciiTheme="minorHAnsi" w:hAnsiTheme="minorHAnsi"/>
              </w:rPr>
            </w:pPr>
            <w:r w:rsidRPr="0001123A">
              <w:t xml:space="preserve">A clinical diagnosis of Kawasaki </w:t>
            </w:r>
            <w:r>
              <w:t>d</w:t>
            </w:r>
            <w:r w:rsidRPr="0001123A">
              <w:t>isease has been made</w:t>
            </w:r>
            <w:r>
              <w:t>.</w:t>
            </w:r>
          </w:p>
          <w:p w14:paraId="34A9BAFF" w14:textId="77777777" w:rsidR="000D02AB" w:rsidRPr="0001123A" w:rsidRDefault="000D02AB" w:rsidP="0001123A">
            <w:pPr>
              <w:rPr>
                <w:rFonts w:asciiTheme="minorHAnsi" w:hAnsiTheme="minorHAnsi"/>
              </w:rPr>
            </w:pPr>
          </w:p>
          <w:p w14:paraId="6E77AA57" w14:textId="3D3DAC1F" w:rsidR="000D02AB" w:rsidRPr="0001123A" w:rsidRDefault="000D02AB" w:rsidP="006D046A">
            <w:pPr>
              <w:pStyle w:val="ListParagraph"/>
              <w:ind w:left="360"/>
              <w:rPr>
                <w:rFonts w:asciiTheme="minorHAnsi" w:eastAsiaTheme="minorHAnsi" w:hAnsiTheme="minorHAnsi" w:cs="Times"/>
                <w:color w:val="535353"/>
                <w:lang w:val="en-US"/>
              </w:rPr>
            </w:pPr>
            <w:r w:rsidRPr="0001123A">
              <w:rPr>
                <w:rFonts w:asciiTheme="minorHAnsi" w:eastAsiaTheme="minorHAnsi" w:hAnsiTheme="minorHAnsi" w:cs="Times"/>
                <w:color w:val="535353"/>
                <w:lang w:val="en-US"/>
              </w:rPr>
              <w:t>Therapy should be initiated within 10 days of fever onset if possible; however, children who present after 10 days of fever still should be treated if fever or other signs of persistent inflammation are present</w:t>
            </w:r>
            <w:r>
              <w:rPr>
                <w:rFonts w:asciiTheme="minorHAnsi" w:eastAsiaTheme="minorHAnsi" w:hAnsiTheme="minorHAnsi" w:cs="Times"/>
                <w:color w:val="535353"/>
                <w:lang w:val="en-US"/>
              </w:rPr>
              <w:t>.</w:t>
            </w:r>
          </w:p>
          <w:p w14:paraId="7FCEC669" w14:textId="77777777" w:rsidR="000D02AB" w:rsidRPr="0001123A" w:rsidRDefault="000D02AB" w:rsidP="0001123A"/>
          <w:p w14:paraId="3A9E9F42" w14:textId="5163E859" w:rsidR="000D02AB" w:rsidRPr="0001123A" w:rsidRDefault="000D02AB" w:rsidP="0001123A">
            <w:pPr>
              <w:rPr>
                <w:b/>
              </w:rPr>
            </w:pPr>
            <w:r w:rsidRPr="0001123A">
              <w:rPr>
                <w:rFonts w:asciiTheme="minorHAnsi" w:hAnsiTheme="minorHAnsi"/>
                <w:b/>
              </w:rPr>
              <w:t>Continued inflammation more than 36 hours after</w:t>
            </w:r>
            <w:r>
              <w:rPr>
                <w:rFonts w:asciiTheme="minorHAnsi" w:hAnsiTheme="minorHAnsi"/>
                <w:b/>
              </w:rPr>
              <w:t xml:space="preserve"> the</w:t>
            </w:r>
            <w:r w:rsidRPr="0001123A">
              <w:rPr>
                <w:rFonts w:asciiTheme="minorHAnsi" w:hAnsiTheme="minorHAnsi"/>
                <w:b/>
              </w:rPr>
              <w:t xml:space="preserve"> </w:t>
            </w:r>
            <w:r>
              <w:rPr>
                <w:rFonts w:asciiTheme="minorHAnsi" w:hAnsiTheme="minorHAnsi"/>
                <w:b/>
              </w:rPr>
              <w:t>initial</w:t>
            </w:r>
            <w:r w:rsidRPr="0001123A">
              <w:rPr>
                <w:rFonts w:asciiTheme="minorHAnsi" w:hAnsiTheme="minorHAnsi"/>
                <w:b/>
              </w:rPr>
              <w:t xml:space="preserve"> Ig dose in early Kawasaki </w:t>
            </w:r>
            <w:r>
              <w:rPr>
                <w:rFonts w:asciiTheme="minorHAnsi" w:hAnsiTheme="minorHAnsi"/>
                <w:b/>
              </w:rPr>
              <w:t>d</w:t>
            </w:r>
            <w:r w:rsidRPr="0001123A">
              <w:rPr>
                <w:rFonts w:asciiTheme="minorHAnsi" w:hAnsiTheme="minorHAnsi"/>
                <w:b/>
              </w:rPr>
              <w:t>isease</w:t>
            </w:r>
            <w:r>
              <w:rPr>
                <w:rFonts w:asciiTheme="minorHAnsi" w:hAnsiTheme="minorHAnsi"/>
                <w:b/>
              </w:rPr>
              <w:t>.</w:t>
            </w:r>
          </w:p>
          <w:p w14:paraId="72507D37" w14:textId="77777777" w:rsidR="000D02AB" w:rsidRPr="0001123A" w:rsidRDefault="000D02AB" w:rsidP="0001123A"/>
          <w:p w14:paraId="14E0A9CF" w14:textId="00D5758E" w:rsidR="000D02AB" w:rsidRPr="0001123A" w:rsidRDefault="000D02AB" w:rsidP="0001123A">
            <w:r w:rsidRPr="0001123A">
              <w:t xml:space="preserve">A clinical diagnosis of Kawasaki </w:t>
            </w:r>
            <w:r>
              <w:t>d</w:t>
            </w:r>
            <w:r w:rsidRPr="0001123A">
              <w:t>isease has been made and treated with an initial dose of Ig therapy</w:t>
            </w:r>
            <w:r>
              <w:t>.</w:t>
            </w:r>
          </w:p>
          <w:p w14:paraId="09DF2360" w14:textId="77777777" w:rsidR="000D02AB" w:rsidRPr="0001123A" w:rsidRDefault="000D02AB" w:rsidP="0001123A"/>
          <w:p w14:paraId="505CBDB1" w14:textId="77777777" w:rsidR="000D02AB" w:rsidRPr="0001123A" w:rsidRDefault="000D02AB" w:rsidP="0001123A">
            <w:pPr>
              <w:ind w:left="360"/>
            </w:pPr>
            <w:r w:rsidRPr="0001123A">
              <w:t>AND</w:t>
            </w:r>
          </w:p>
          <w:p w14:paraId="10E60266" w14:textId="77777777" w:rsidR="000D02AB" w:rsidRPr="0001123A" w:rsidRDefault="000D02AB" w:rsidP="0001123A"/>
          <w:p w14:paraId="62F6C763" w14:textId="01DB9C8C" w:rsidR="000D02AB" w:rsidRPr="0001123A" w:rsidRDefault="000D02AB" w:rsidP="0001123A">
            <w:r w:rsidRPr="0001123A">
              <w:t>There is evidence of ongoing inflammation at least 36 hours after</w:t>
            </w:r>
            <w:r>
              <w:t xml:space="preserve"> the</w:t>
            </w:r>
            <w:r w:rsidRPr="0001123A">
              <w:t xml:space="preserve"> initial dose of Ig therapy</w:t>
            </w:r>
            <w:r>
              <w:t>, with persistent fever and/or ongoing elevated inflammatory markers</w:t>
            </w:r>
            <w:r w:rsidRPr="0001123A">
              <w:t>.</w:t>
            </w:r>
          </w:p>
          <w:p w14:paraId="304C13FB" w14:textId="77777777" w:rsidR="000D02AB" w:rsidRPr="0001123A" w:rsidRDefault="000D02AB" w:rsidP="0001123A">
            <w:pPr>
              <w:rPr>
                <w:rFonts w:asciiTheme="minorHAnsi" w:hAnsiTheme="minorHAnsi"/>
              </w:rPr>
            </w:pPr>
          </w:p>
        </w:tc>
        <w:tc>
          <w:tcPr>
            <w:tcW w:w="4536" w:type="dxa"/>
          </w:tcPr>
          <w:p w14:paraId="71A7570D" w14:textId="77777777" w:rsidR="000D02AB" w:rsidRDefault="000D02AB" w:rsidP="00D62F40">
            <w:pPr>
              <w:keepNext/>
              <w:keepLines/>
              <w:outlineLvl w:val="5"/>
              <w:rPr>
                <w:rFonts w:asciiTheme="minorHAnsi" w:hAnsiTheme="minorHAnsi"/>
              </w:rPr>
            </w:pPr>
            <w:r>
              <w:rPr>
                <w:rFonts w:asciiTheme="minorHAnsi" w:hAnsiTheme="minorHAnsi"/>
              </w:rPr>
              <w:t>Qualifying criteria have been defined including evidence items for second dose. (A)</w:t>
            </w:r>
          </w:p>
          <w:p w14:paraId="3BC389E1" w14:textId="77777777" w:rsidR="000D02AB" w:rsidRDefault="000D02AB" w:rsidP="00D62F40">
            <w:pPr>
              <w:keepNext/>
              <w:keepLines/>
              <w:outlineLvl w:val="5"/>
              <w:rPr>
                <w:rFonts w:asciiTheme="minorHAnsi" w:hAnsiTheme="minorHAnsi"/>
              </w:rPr>
            </w:pPr>
          </w:p>
          <w:p w14:paraId="578D55D4" w14:textId="77777777" w:rsidR="000D02AB" w:rsidRDefault="000D02AB" w:rsidP="00D62F40">
            <w:pPr>
              <w:keepNext/>
              <w:keepLines/>
              <w:outlineLvl w:val="5"/>
              <w:rPr>
                <w:rFonts w:asciiTheme="minorHAnsi" w:hAnsiTheme="minorHAnsi"/>
              </w:rPr>
            </w:pPr>
          </w:p>
          <w:p w14:paraId="64227EBB" w14:textId="77777777" w:rsidR="000D02AB" w:rsidRDefault="000D02AB" w:rsidP="00D62F40">
            <w:pPr>
              <w:keepNext/>
              <w:keepLines/>
              <w:outlineLvl w:val="5"/>
              <w:rPr>
                <w:rFonts w:asciiTheme="minorHAnsi" w:hAnsiTheme="minorHAnsi"/>
              </w:rPr>
            </w:pPr>
          </w:p>
          <w:p w14:paraId="1A64A82C" w14:textId="77777777" w:rsidR="000D02AB" w:rsidRPr="00972449" w:rsidRDefault="000D02AB" w:rsidP="00D62F40">
            <w:pPr>
              <w:keepNext/>
              <w:keepLines/>
              <w:outlineLvl w:val="5"/>
              <w:rPr>
                <w:rFonts w:asciiTheme="minorHAnsi" w:hAnsiTheme="minorHAnsi"/>
              </w:rPr>
            </w:pPr>
            <w:r>
              <w:rPr>
                <w:rFonts w:asciiTheme="minorHAnsi" w:hAnsiTheme="minorHAnsi"/>
              </w:rPr>
              <w:t>Script added to educate prescribers and ensure patients are treated early, however, when late presentation, treatment should be given where fever or other signs of inflammation have persisted. (A)</w:t>
            </w:r>
          </w:p>
        </w:tc>
      </w:tr>
      <w:tr w:rsidR="000D02AB" w:rsidRPr="00972449" w14:paraId="25A689CF" w14:textId="77777777" w:rsidTr="00825D29">
        <w:trPr>
          <w:gridBefore w:val="1"/>
          <w:wBefore w:w="26" w:type="dxa"/>
        </w:trPr>
        <w:tc>
          <w:tcPr>
            <w:tcW w:w="1663" w:type="dxa"/>
            <w:gridSpan w:val="2"/>
            <w:shd w:val="clear" w:color="auto" w:fill="D9D9D9" w:themeFill="background1" w:themeFillShade="D9"/>
          </w:tcPr>
          <w:p w14:paraId="35A33251" w14:textId="77777777" w:rsidR="000D02AB" w:rsidRPr="00972449" w:rsidRDefault="000D02AB" w:rsidP="00D764F3">
            <w:pPr>
              <w:rPr>
                <w:rFonts w:asciiTheme="minorHAnsi" w:hAnsiTheme="minorHAnsi"/>
                <w:b/>
              </w:rPr>
            </w:pPr>
            <w:r w:rsidRPr="00972449">
              <w:rPr>
                <w:rFonts w:asciiTheme="minorHAnsi" w:hAnsiTheme="minorHAnsi"/>
              </w:rPr>
              <w:br w:type="page"/>
            </w:r>
            <w:r w:rsidRPr="00972449">
              <w:rPr>
                <w:rFonts w:asciiTheme="minorHAnsi" w:hAnsiTheme="minorHAnsi"/>
                <w:b/>
              </w:rPr>
              <w:t>Review Criteria</w:t>
            </w:r>
          </w:p>
        </w:tc>
        <w:tc>
          <w:tcPr>
            <w:tcW w:w="4549" w:type="dxa"/>
            <w:gridSpan w:val="3"/>
          </w:tcPr>
          <w:p w14:paraId="50CE1D86" w14:textId="77777777" w:rsidR="000D02AB" w:rsidRPr="00972449" w:rsidRDefault="000D02AB" w:rsidP="006C3D7C">
            <w:pPr>
              <w:spacing w:before="100" w:beforeAutospacing="1" w:after="100" w:afterAutospacing="1"/>
              <w:rPr>
                <w:rFonts w:asciiTheme="minorHAnsi" w:eastAsia="Times New Roman" w:hAnsiTheme="minorHAnsi" w:cs="Times New Roman"/>
                <w:color w:val="000000"/>
                <w:lang w:eastAsia="en-AU"/>
              </w:rPr>
            </w:pPr>
          </w:p>
        </w:tc>
        <w:tc>
          <w:tcPr>
            <w:tcW w:w="4536" w:type="dxa"/>
            <w:gridSpan w:val="4"/>
          </w:tcPr>
          <w:p w14:paraId="0E4F7E31" w14:textId="180B662F" w:rsidR="000D02AB" w:rsidRPr="00972449" w:rsidRDefault="000D02AB" w:rsidP="0048456B">
            <w:pPr>
              <w:spacing w:line="20" w:lineRule="atLeast"/>
              <w:rPr>
                <w:rFonts w:asciiTheme="minorHAnsi" w:hAnsiTheme="minorHAnsi"/>
              </w:rPr>
            </w:pPr>
            <w:r>
              <w:rPr>
                <w:rFonts w:asciiTheme="minorHAnsi" w:hAnsiTheme="minorHAnsi"/>
              </w:rPr>
              <w:t xml:space="preserve">No review is required —  one-off treatment. </w:t>
            </w:r>
          </w:p>
        </w:tc>
        <w:tc>
          <w:tcPr>
            <w:tcW w:w="4536" w:type="dxa"/>
          </w:tcPr>
          <w:p w14:paraId="1AA8CF7B" w14:textId="35997AAE" w:rsidR="000D02AB" w:rsidRPr="00972449" w:rsidRDefault="000D02AB" w:rsidP="000D02AB">
            <w:pPr>
              <w:spacing w:after="200"/>
              <w:rPr>
                <w:rFonts w:asciiTheme="minorHAnsi" w:hAnsiTheme="minorHAnsi"/>
              </w:rPr>
            </w:pPr>
            <w:r>
              <w:rPr>
                <w:rFonts w:asciiTheme="minorHAnsi" w:hAnsiTheme="minorHAnsi"/>
              </w:rPr>
              <w:t xml:space="preserve">No useful outcome data was seen to be of value </w:t>
            </w:r>
            <w:r>
              <w:rPr>
                <w:rFonts w:asciiTheme="minorHAnsi" w:hAnsiTheme="minorHAnsi"/>
              </w:rPr>
              <w:lastRenderedPageBreak/>
              <w:t xml:space="preserve">given that the condition already has level 1 evidence. </w:t>
            </w:r>
          </w:p>
        </w:tc>
      </w:tr>
      <w:tr w:rsidR="000D02AB" w:rsidRPr="00972449" w14:paraId="703F2BB8" w14:textId="77777777" w:rsidTr="00825D29">
        <w:trPr>
          <w:gridBefore w:val="1"/>
          <w:wBefore w:w="26" w:type="dxa"/>
        </w:trPr>
        <w:tc>
          <w:tcPr>
            <w:tcW w:w="1663" w:type="dxa"/>
            <w:gridSpan w:val="2"/>
            <w:shd w:val="clear" w:color="auto" w:fill="D9D9D9" w:themeFill="background1" w:themeFillShade="D9"/>
          </w:tcPr>
          <w:p w14:paraId="010191FC" w14:textId="77777777" w:rsidR="000D02AB" w:rsidRPr="00972449" w:rsidRDefault="000D02AB" w:rsidP="00BD341A">
            <w:pPr>
              <w:rPr>
                <w:rFonts w:asciiTheme="minorHAnsi" w:hAnsiTheme="minorHAnsi"/>
                <w:b/>
              </w:rPr>
            </w:pPr>
            <w:r w:rsidRPr="00972449">
              <w:rPr>
                <w:rFonts w:asciiTheme="minorHAnsi" w:hAnsiTheme="minorHAnsi"/>
                <w:b/>
              </w:rPr>
              <w:lastRenderedPageBreak/>
              <w:t>Dose</w:t>
            </w:r>
          </w:p>
        </w:tc>
        <w:tc>
          <w:tcPr>
            <w:tcW w:w="4549" w:type="dxa"/>
            <w:gridSpan w:val="3"/>
          </w:tcPr>
          <w:p w14:paraId="344A2479" w14:textId="77777777" w:rsidR="000D02AB" w:rsidRPr="000324DD" w:rsidRDefault="000D02AB" w:rsidP="000324DD">
            <w:pPr>
              <w:spacing w:after="225" w:line="360" w:lineRule="atLeast"/>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2 g/kg in a single dose over 10–12 hours unless cardiac function necessitates the administration of a prolonged or divided treatment dose, usually once only.</w:t>
            </w:r>
          </w:p>
          <w:p w14:paraId="1B660B14" w14:textId="77777777" w:rsidR="000D02AB" w:rsidRPr="000324DD" w:rsidRDefault="000D02AB" w:rsidP="000324DD">
            <w:pPr>
              <w:spacing w:after="225" w:line="360" w:lineRule="atLeast"/>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Re-treatment with 2 g/kg in a single dose may be given when there is ongoing inflammation.</w:t>
            </w:r>
          </w:p>
          <w:p w14:paraId="34C3CA6E"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Dosing above 1 g/kg per day is contraindicated for some IVIg products.</w:t>
            </w:r>
          </w:p>
          <w:p w14:paraId="5639BD15"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Refer to the current product information sheet for further information.</w:t>
            </w:r>
          </w:p>
          <w:p w14:paraId="0017AC08"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272F5F29" w14:textId="77777777" w:rsidR="000D02AB" w:rsidRPr="00972449" w:rsidRDefault="000D02AB" w:rsidP="003A1CDF">
            <w:pPr>
              <w:tabs>
                <w:tab w:val="left" w:pos="991"/>
              </w:tabs>
              <w:spacing w:after="240" w:line="20" w:lineRule="atLeast"/>
              <w:rPr>
                <w:rFonts w:asciiTheme="minorHAnsi" w:eastAsia="Times New Roman" w:hAnsiTheme="minorHAnsi" w:cs="Times New Roman"/>
                <w:color w:val="000000"/>
                <w:lang w:eastAsia="en-AU"/>
              </w:rPr>
            </w:pPr>
          </w:p>
        </w:tc>
        <w:tc>
          <w:tcPr>
            <w:tcW w:w="4536" w:type="dxa"/>
            <w:gridSpan w:val="4"/>
          </w:tcPr>
          <w:p w14:paraId="60F56A28" w14:textId="77777777" w:rsidR="000D02AB" w:rsidRPr="0001123A" w:rsidRDefault="000D02AB" w:rsidP="0001123A">
            <w:pPr>
              <w:rPr>
                <w:b/>
              </w:rPr>
            </w:pPr>
          </w:p>
          <w:p w14:paraId="41F66742" w14:textId="2AC87C1D" w:rsidR="000D02AB" w:rsidRPr="0001123A" w:rsidRDefault="000D02AB" w:rsidP="0001123A">
            <w:pPr>
              <w:rPr>
                <w:rFonts w:asciiTheme="minorHAnsi" w:eastAsia="Times New Roman" w:hAnsiTheme="minorHAnsi" w:cs="Times New Roman"/>
                <w:color w:val="000000"/>
              </w:rPr>
            </w:pPr>
            <w:r w:rsidRPr="0001123A">
              <w:rPr>
                <w:rFonts w:asciiTheme="minorHAnsi" w:eastAsia="Times New Roman" w:hAnsiTheme="minorHAnsi" w:cstheme="minorHAnsi"/>
                <w:b/>
                <w:color w:val="000000"/>
              </w:rPr>
              <w:t>Induction</w:t>
            </w:r>
            <w:r w:rsidRPr="0001123A">
              <w:rPr>
                <w:rFonts w:asciiTheme="minorHAnsi" w:eastAsia="Times New Roman" w:hAnsiTheme="minorHAnsi" w:cstheme="minorHAnsi"/>
                <w:color w:val="000000"/>
              </w:rPr>
              <w:t xml:space="preserve"> - </w:t>
            </w:r>
            <w:r w:rsidRPr="0001123A">
              <w:rPr>
                <w:rFonts w:asciiTheme="minorHAnsi" w:eastAsia="Times New Roman" w:hAnsiTheme="minorHAnsi" w:cs="Times New Roman"/>
                <w:color w:val="000000"/>
              </w:rPr>
              <w:t>2 g/kg in a single dose over 10–12 hours</w:t>
            </w:r>
            <w:r>
              <w:rPr>
                <w:rFonts w:asciiTheme="minorHAnsi" w:eastAsia="Times New Roman" w:hAnsiTheme="minorHAnsi" w:cs="Times New Roman"/>
                <w:color w:val="000000"/>
              </w:rPr>
              <w:t>.</w:t>
            </w:r>
          </w:p>
          <w:p w14:paraId="704102B9" w14:textId="77777777" w:rsidR="000D02AB" w:rsidRPr="0001123A" w:rsidRDefault="000D02AB" w:rsidP="0001123A">
            <w:pPr>
              <w:rPr>
                <w:b/>
                <w:color w:val="808080" w:themeColor="background1" w:themeShade="80"/>
              </w:rPr>
            </w:pPr>
          </w:p>
          <w:p w14:paraId="091256DE" w14:textId="77777777" w:rsidR="000D02AB" w:rsidRPr="0001123A" w:rsidRDefault="000D02AB" w:rsidP="0001123A">
            <w:pPr>
              <w:rPr>
                <w:b/>
                <w:color w:val="808080" w:themeColor="background1" w:themeShade="80"/>
              </w:rPr>
            </w:pPr>
          </w:p>
          <w:p w14:paraId="1F9B263E" w14:textId="06E67256" w:rsidR="000D02AB" w:rsidRDefault="000D02AB" w:rsidP="0001123A">
            <w:r w:rsidRPr="0040189B">
              <w:rPr>
                <w:b/>
              </w:rPr>
              <w:t xml:space="preserve">Induction dose with impaired cardiac function – </w:t>
            </w:r>
            <w:r w:rsidRPr="0040189B">
              <w:t>2</w:t>
            </w:r>
            <w:r>
              <w:t> </w:t>
            </w:r>
            <w:r w:rsidRPr="0040189B">
              <w:t>g/kg in a divided dose</w:t>
            </w:r>
            <w:r>
              <w:t>.</w:t>
            </w:r>
          </w:p>
          <w:p w14:paraId="48848169" w14:textId="25B7F827" w:rsidR="000D02AB" w:rsidRPr="0001123A" w:rsidRDefault="000D02AB" w:rsidP="0001123A">
            <w:pPr>
              <w:rPr>
                <w:b/>
                <w:color w:val="808080" w:themeColor="background1" w:themeShade="80"/>
              </w:rPr>
            </w:pPr>
          </w:p>
          <w:p w14:paraId="1E656D84" w14:textId="5BEBEBCE" w:rsidR="000D02AB" w:rsidRPr="0001123A" w:rsidRDefault="000D02AB" w:rsidP="0001123A">
            <w:r w:rsidRPr="0001123A">
              <w:t>Given over 10–12 hours</w:t>
            </w:r>
            <w:r>
              <w:t>,</w:t>
            </w:r>
            <w:r w:rsidRPr="0001123A">
              <w:t xml:space="preserve"> unless impaired cardiac function necessitates the administration of a prolonged or divided treatment dose, usually once only</w:t>
            </w:r>
            <w:r>
              <w:t>.</w:t>
            </w:r>
          </w:p>
          <w:p w14:paraId="342728A9" w14:textId="77777777" w:rsidR="000D02AB" w:rsidRPr="0001123A" w:rsidRDefault="000D02AB" w:rsidP="0001123A"/>
          <w:p w14:paraId="5D4FAEB7" w14:textId="77777777" w:rsidR="000D02AB" w:rsidRPr="0001123A" w:rsidRDefault="000D02AB" w:rsidP="0001123A">
            <w:pPr>
              <w:spacing w:after="120"/>
              <w:rPr>
                <w:rFonts w:asciiTheme="minorHAnsi" w:eastAsia="Times New Roman" w:hAnsiTheme="minorHAnsi" w:cs="Times New Roman"/>
                <w:color w:val="000000"/>
              </w:rPr>
            </w:pPr>
            <w:r w:rsidRPr="0001123A">
              <w:rPr>
                <w:rFonts w:asciiTheme="minorHAnsi" w:eastAsia="Times New Roman" w:hAnsiTheme="minorHAnsi" w:cs="Times New Roman"/>
                <w:color w:val="000000"/>
              </w:rPr>
              <w:t>Re-treatment with 2 g/kg in a single dose may be given when there is ongoing inflammation.</w:t>
            </w:r>
          </w:p>
          <w:p w14:paraId="54EE7BB8" w14:textId="77777777" w:rsidR="000D02AB" w:rsidRPr="0001123A" w:rsidRDefault="000D02AB" w:rsidP="0001123A">
            <w:pPr>
              <w:spacing w:after="120"/>
              <w:rPr>
                <w:rFonts w:asciiTheme="minorHAnsi" w:eastAsia="Times New Roman" w:hAnsiTheme="minorHAnsi" w:cs="Times New Roman"/>
                <w:b/>
                <w:bCs/>
                <w:color w:val="000000"/>
              </w:rPr>
            </w:pPr>
            <w:r w:rsidRPr="0001123A">
              <w:rPr>
                <w:rFonts w:asciiTheme="minorHAnsi" w:eastAsia="Times New Roman" w:hAnsiTheme="minorHAnsi" w:cs="Times New Roman"/>
                <w:b/>
                <w:bCs/>
                <w:color w:val="000000"/>
              </w:rPr>
              <w:t>Dosing above 1 g/kg per day is contraindicated for some IVIg products.</w:t>
            </w:r>
          </w:p>
          <w:p w14:paraId="5C0D287E" w14:textId="77777777" w:rsidR="000D02AB" w:rsidRPr="0001123A" w:rsidRDefault="000D02AB" w:rsidP="0001123A">
            <w:pPr>
              <w:spacing w:after="120"/>
              <w:rPr>
                <w:rFonts w:asciiTheme="minorHAnsi" w:eastAsia="Times New Roman" w:hAnsiTheme="minorHAnsi" w:cs="Times New Roman"/>
                <w:b/>
                <w:bCs/>
                <w:color w:val="000000"/>
              </w:rPr>
            </w:pPr>
            <w:r w:rsidRPr="0001123A">
              <w:rPr>
                <w:rFonts w:asciiTheme="minorHAnsi" w:eastAsia="Times New Roman" w:hAnsiTheme="minorHAnsi" w:cs="Times New Roman"/>
                <w:b/>
                <w:bCs/>
                <w:color w:val="000000"/>
              </w:rPr>
              <w:t>Refer to the current product information sheet for further information.</w:t>
            </w:r>
          </w:p>
          <w:p w14:paraId="7FD76421" w14:textId="77777777" w:rsidR="000D02AB" w:rsidRDefault="000D02AB" w:rsidP="0040189B">
            <w:pPr>
              <w:spacing w:after="120"/>
              <w:rPr>
                <w:rFonts w:asciiTheme="minorHAnsi" w:hAnsiTheme="minorHAnsi"/>
                <w:b/>
              </w:rPr>
            </w:pPr>
            <w:r w:rsidRPr="0001123A">
              <w:rPr>
                <w:rFonts w:asciiTheme="minorHAnsi" w:eastAsia="Times New Roman" w:hAnsiTheme="minorHAnsi" w:cs="Times New Roman"/>
                <w:b/>
                <w:bCs/>
                <w:color w:val="000000"/>
              </w:rPr>
              <w:t>The aim should be to use the lowest dose possible that achieves the appropriate clinical outcome for each patient</w:t>
            </w:r>
            <w:r w:rsidRPr="0001123A">
              <w:rPr>
                <w:rFonts w:ascii="Lucida Sans" w:eastAsia="Times New Roman" w:hAnsi="Lucida Sans" w:cs="Times New Roman"/>
                <w:b/>
                <w:bCs/>
                <w:color w:val="000000"/>
              </w:rPr>
              <w:t>.</w:t>
            </w:r>
          </w:p>
          <w:p w14:paraId="05293795" w14:textId="77777777" w:rsidR="000D02AB" w:rsidRDefault="000D02AB" w:rsidP="0040189B">
            <w:pPr>
              <w:spacing w:after="120"/>
              <w:rPr>
                <w:rFonts w:asciiTheme="minorHAnsi" w:hAnsiTheme="minorHAnsi"/>
                <w:b/>
              </w:rPr>
            </w:pPr>
          </w:p>
          <w:p w14:paraId="194610B2" w14:textId="77777777" w:rsidR="000D02AB" w:rsidRDefault="000D02AB" w:rsidP="0040189B">
            <w:pPr>
              <w:spacing w:after="120"/>
              <w:rPr>
                <w:rFonts w:asciiTheme="minorHAnsi" w:hAnsiTheme="minorHAnsi"/>
                <w:b/>
              </w:rPr>
            </w:pPr>
          </w:p>
          <w:p w14:paraId="2FFB2DAB" w14:textId="491008DD" w:rsidR="000D02AB" w:rsidRPr="0001123A" w:rsidRDefault="000D02AB" w:rsidP="0040189B">
            <w:pPr>
              <w:spacing w:after="120"/>
              <w:rPr>
                <w:b/>
              </w:rPr>
            </w:pPr>
            <w:r w:rsidRPr="0001123A">
              <w:rPr>
                <w:rFonts w:asciiTheme="minorHAnsi" w:hAnsiTheme="minorHAnsi"/>
                <w:b/>
              </w:rPr>
              <w:t xml:space="preserve">Continued inflammation more than 36 hours after </w:t>
            </w:r>
            <w:r>
              <w:rPr>
                <w:rFonts w:asciiTheme="minorHAnsi" w:hAnsiTheme="minorHAnsi"/>
                <w:b/>
              </w:rPr>
              <w:t xml:space="preserve">the initial </w:t>
            </w:r>
            <w:r w:rsidRPr="0001123A">
              <w:rPr>
                <w:rFonts w:asciiTheme="minorHAnsi" w:hAnsiTheme="minorHAnsi"/>
                <w:b/>
              </w:rPr>
              <w:t xml:space="preserve">Ig dose in early Kawasaki </w:t>
            </w:r>
            <w:r>
              <w:rPr>
                <w:rFonts w:asciiTheme="minorHAnsi" w:hAnsiTheme="minorHAnsi"/>
                <w:b/>
              </w:rPr>
              <w:t>d</w:t>
            </w:r>
            <w:r w:rsidRPr="0001123A">
              <w:rPr>
                <w:rFonts w:asciiTheme="minorHAnsi" w:hAnsiTheme="minorHAnsi"/>
                <w:b/>
              </w:rPr>
              <w:t>isease</w:t>
            </w:r>
            <w:r>
              <w:rPr>
                <w:rFonts w:asciiTheme="minorHAnsi" w:hAnsiTheme="minorHAnsi"/>
                <w:b/>
              </w:rPr>
              <w:t>.</w:t>
            </w:r>
          </w:p>
          <w:p w14:paraId="5213CB04" w14:textId="77777777" w:rsidR="000D02AB" w:rsidRDefault="000D02AB" w:rsidP="0001123A">
            <w:pPr>
              <w:rPr>
                <w:rFonts w:asciiTheme="minorHAnsi" w:eastAsia="Times New Roman" w:hAnsiTheme="minorHAnsi" w:cstheme="minorHAnsi"/>
                <w:b/>
                <w:color w:val="000000"/>
              </w:rPr>
            </w:pPr>
          </w:p>
          <w:p w14:paraId="5C6046BF" w14:textId="143F1D5D" w:rsidR="000D02AB" w:rsidRPr="0001123A" w:rsidRDefault="000D02AB" w:rsidP="0001123A">
            <w:pPr>
              <w:rPr>
                <w:rFonts w:asciiTheme="minorHAnsi" w:eastAsia="Times New Roman" w:hAnsiTheme="minorHAnsi" w:cs="Times New Roman"/>
                <w:color w:val="000000"/>
              </w:rPr>
            </w:pPr>
            <w:r w:rsidRPr="0001123A">
              <w:rPr>
                <w:rFonts w:asciiTheme="minorHAnsi" w:eastAsia="Times New Roman" w:hAnsiTheme="minorHAnsi" w:cstheme="minorHAnsi"/>
                <w:b/>
                <w:color w:val="000000"/>
              </w:rPr>
              <w:lastRenderedPageBreak/>
              <w:t>Induction</w:t>
            </w:r>
            <w:r w:rsidRPr="0001123A">
              <w:rPr>
                <w:rFonts w:asciiTheme="minorHAnsi" w:eastAsia="Times New Roman" w:hAnsiTheme="minorHAnsi" w:cstheme="minorHAnsi"/>
                <w:color w:val="000000"/>
              </w:rPr>
              <w:t xml:space="preserve"> - </w:t>
            </w:r>
            <w:r w:rsidRPr="0001123A">
              <w:rPr>
                <w:rFonts w:asciiTheme="minorHAnsi" w:eastAsia="Times New Roman" w:hAnsiTheme="minorHAnsi" w:cs="Times New Roman"/>
                <w:color w:val="000000"/>
              </w:rPr>
              <w:t>2 g/kg in a single dose over 10–12 hours</w:t>
            </w:r>
            <w:r>
              <w:rPr>
                <w:rFonts w:asciiTheme="minorHAnsi" w:eastAsia="Times New Roman" w:hAnsiTheme="minorHAnsi" w:cs="Times New Roman"/>
                <w:color w:val="000000"/>
              </w:rPr>
              <w:t>.</w:t>
            </w:r>
          </w:p>
          <w:p w14:paraId="4784F67B" w14:textId="77777777" w:rsidR="000D02AB" w:rsidRPr="0001123A" w:rsidRDefault="000D02AB" w:rsidP="0001123A">
            <w:pPr>
              <w:rPr>
                <w:b/>
                <w:color w:val="808080" w:themeColor="background1" w:themeShade="80"/>
              </w:rPr>
            </w:pPr>
          </w:p>
          <w:p w14:paraId="52F0A58C" w14:textId="77777777" w:rsidR="000D02AB" w:rsidRDefault="000D02AB" w:rsidP="0001123A">
            <w:r w:rsidRPr="0040189B">
              <w:rPr>
                <w:b/>
              </w:rPr>
              <w:t xml:space="preserve">Induction dose with impaired cardiac function – </w:t>
            </w:r>
            <w:r w:rsidRPr="0040189B">
              <w:t>2g/kg in a divided dose.</w:t>
            </w:r>
          </w:p>
          <w:p w14:paraId="54484844" w14:textId="77777777" w:rsidR="000D02AB" w:rsidRPr="0001123A" w:rsidRDefault="000D02AB" w:rsidP="0001123A">
            <w:pPr>
              <w:rPr>
                <w:b/>
                <w:color w:val="808080" w:themeColor="background1" w:themeShade="80"/>
              </w:rPr>
            </w:pPr>
          </w:p>
          <w:p w14:paraId="01FE1C3E" w14:textId="54562345" w:rsidR="000D02AB" w:rsidRPr="0001123A" w:rsidRDefault="000D02AB" w:rsidP="0001123A">
            <w:r w:rsidRPr="0001123A">
              <w:t>Given over 10–12 hours unless impaired cardiac function necessitates the administration of a prolonged or divided treatment dose, usually once only</w:t>
            </w:r>
            <w:r>
              <w:t>.</w:t>
            </w:r>
          </w:p>
          <w:p w14:paraId="0C8E183F" w14:textId="77777777" w:rsidR="000D02AB" w:rsidRPr="0001123A" w:rsidRDefault="000D02AB" w:rsidP="0001123A"/>
          <w:p w14:paraId="4244D253" w14:textId="77777777" w:rsidR="000D02AB" w:rsidRPr="0001123A" w:rsidRDefault="000D02AB" w:rsidP="0001123A">
            <w:pPr>
              <w:spacing w:after="120"/>
              <w:rPr>
                <w:rFonts w:asciiTheme="minorHAnsi" w:eastAsia="Times New Roman" w:hAnsiTheme="minorHAnsi" w:cs="Times New Roman"/>
                <w:b/>
                <w:bCs/>
                <w:color w:val="000000"/>
              </w:rPr>
            </w:pPr>
            <w:r w:rsidRPr="0001123A">
              <w:rPr>
                <w:rFonts w:asciiTheme="minorHAnsi" w:eastAsia="Times New Roman" w:hAnsiTheme="minorHAnsi" w:cs="Times New Roman"/>
                <w:b/>
                <w:bCs/>
                <w:color w:val="000000"/>
              </w:rPr>
              <w:t>Dosing above 1 g/kg per day is contraindicated for some IVIg products.</w:t>
            </w:r>
          </w:p>
          <w:p w14:paraId="654595C7" w14:textId="77777777" w:rsidR="000D02AB" w:rsidRPr="0001123A" w:rsidRDefault="000D02AB" w:rsidP="0001123A">
            <w:pPr>
              <w:spacing w:after="120"/>
              <w:rPr>
                <w:rFonts w:asciiTheme="minorHAnsi" w:eastAsia="Times New Roman" w:hAnsiTheme="minorHAnsi" w:cs="Times New Roman"/>
                <w:b/>
                <w:bCs/>
                <w:color w:val="000000"/>
              </w:rPr>
            </w:pPr>
            <w:r w:rsidRPr="0001123A">
              <w:rPr>
                <w:rFonts w:asciiTheme="minorHAnsi" w:eastAsia="Times New Roman" w:hAnsiTheme="minorHAnsi" w:cs="Times New Roman"/>
                <w:b/>
                <w:bCs/>
                <w:color w:val="000000"/>
              </w:rPr>
              <w:t>Refer to the current product information sheet for further information.</w:t>
            </w:r>
          </w:p>
          <w:p w14:paraId="398FE9D5" w14:textId="77777777" w:rsidR="000D02AB" w:rsidRPr="0001123A" w:rsidRDefault="000D02AB" w:rsidP="0001123A">
            <w:pPr>
              <w:spacing w:after="120"/>
              <w:rPr>
                <w:rFonts w:asciiTheme="minorHAnsi" w:hAnsiTheme="minorHAnsi"/>
                <w:b/>
              </w:rPr>
            </w:pPr>
            <w:r w:rsidRPr="0001123A">
              <w:rPr>
                <w:rFonts w:asciiTheme="minorHAnsi" w:eastAsia="Times New Roman" w:hAnsiTheme="minorHAnsi" w:cs="Times New Roman"/>
                <w:b/>
                <w:bCs/>
                <w:color w:val="000000"/>
              </w:rPr>
              <w:t>The aim should be to use the lowest dose possible that achieves the appropriate clinical outcome for each patient</w:t>
            </w:r>
            <w:r w:rsidRPr="0001123A">
              <w:rPr>
                <w:rFonts w:ascii="Lucida Sans" w:eastAsia="Times New Roman" w:hAnsi="Lucida Sans" w:cs="Times New Roman"/>
                <w:b/>
                <w:bCs/>
                <w:color w:val="000000"/>
              </w:rPr>
              <w:t>.</w:t>
            </w:r>
          </w:p>
          <w:p w14:paraId="610A517D" w14:textId="77777777" w:rsidR="000D02AB" w:rsidRPr="00972449" w:rsidRDefault="000D02AB" w:rsidP="007D6EF3">
            <w:pPr>
              <w:spacing w:after="120"/>
              <w:rPr>
                <w:rFonts w:asciiTheme="minorHAnsi" w:eastAsia="Times New Roman" w:hAnsiTheme="minorHAnsi" w:cstheme="minorHAnsi"/>
                <w:b/>
                <w:color w:val="000000"/>
              </w:rPr>
            </w:pPr>
          </w:p>
        </w:tc>
        <w:tc>
          <w:tcPr>
            <w:tcW w:w="4536" w:type="dxa"/>
          </w:tcPr>
          <w:p w14:paraId="63E522B1" w14:textId="77777777" w:rsidR="000D02AB" w:rsidRPr="00972449" w:rsidRDefault="000D02AB" w:rsidP="0040189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Dosing unchanged but reformatted with slight rewording regarding cardiac impairment (A)</w:t>
            </w:r>
          </w:p>
        </w:tc>
      </w:tr>
      <w:tr w:rsidR="00A84728" w:rsidRPr="00BF6734" w14:paraId="0B167ACD" w14:textId="77777777" w:rsidTr="00825D29">
        <w:trPr>
          <w:gridBefore w:val="2"/>
          <w:wBefore w:w="34" w:type="dxa"/>
        </w:trPr>
        <w:tc>
          <w:tcPr>
            <w:tcW w:w="15276" w:type="dxa"/>
            <w:gridSpan w:val="9"/>
            <w:shd w:val="clear" w:color="auto" w:fill="DBE5F1" w:themeFill="accent1" w:themeFillTint="33"/>
          </w:tcPr>
          <w:p w14:paraId="5207AA20" w14:textId="77777777" w:rsidR="00A84728" w:rsidRPr="00BF6734" w:rsidRDefault="00A84728" w:rsidP="00531EC4">
            <w:pPr>
              <w:spacing w:before="120" w:after="120"/>
              <w:rPr>
                <w:rFonts w:asciiTheme="minorHAnsi" w:hAnsiTheme="minorHAnsi"/>
                <w:b/>
              </w:rPr>
            </w:pPr>
            <w:r w:rsidRPr="00BF6734">
              <w:rPr>
                <w:rFonts w:asciiTheme="minorHAnsi" w:hAnsiTheme="minorHAnsi"/>
                <w:b/>
              </w:rPr>
              <w:lastRenderedPageBreak/>
              <w:t>POTENTIAL OPERATIONAL IMPACT</w:t>
            </w:r>
          </w:p>
        </w:tc>
      </w:tr>
      <w:tr w:rsidR="00A84728" w:rsidRPr="00BF6734" w14:paraId="3C8E5C19" w14:textId="77777777" w:rsidTr="00825D29">
        <w:trPr>
          <w:gridBefore w:val="2"/>
          <w:wBefore w:w="34" w:type="dxa"/>
        </w:trPr>
        <w:tc>
          <w:tcPr>
            <w:tcW w:w="15276" w:type="dxa"/>
            <w:gridSpan w:val="9"/>
          </w:tcPr>
          <w:p w14:paraId="7871B088" w14:textId="77777777" w:rsidR="00A84728" w:rsidRPr="00BF6734" w:rsidRDefault="00A84728" w:rsidP="00531EC4">
            <w:pPr>
              <w:spacing w:before="120" w:after="120"/>
              <w:ind w:left="-45" w:right="91"/>
              <w:rPr>
                <w:rFonts w:asciiTheme="minorHAnsi" w:hAnsiTheme="minorHAnsi"/>
              </w:rPr>
            </w:pPr>
            <w:r>
              <w:rPr>
                <w:rFonts w:asciiTheme="minorHAnsi" w:hAnsiTheme="minorHAnsi"/>
              </w:rPr>
              <w:t xml:space="preserve"> No operational impacts are anticipated.</w:t>
            </w:r>
          </w:p>
        </w:tc>
      </w:tr>
      <w:tr w:rsidR="00A84728" w:rsidRPr="00BF6734" w14:paraId="31BB94EC" w14:textId="77777777" w:rsidTr="00825D29">
        <w:trPr>
          <w:gridBefore w:val="2"/>
          <w:wBefore w:w="34" w:type="dxa"/>
        </w:trPr>
        <w:tc>
          <w:tcPr>
            <w:tcW w:w="15276" w:type="dxa"/>
            <w:gridSpan w:val="9"/>
            <w:shd w:val="clear" w:color="auto" w:fill="DBE5F1" w:themeFill="accent1" w:themeFillTint="33"/>
          </w:tcPr>
          <w:p w14:paraId="3C700D50"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POTENTIAL IMPACT ON DEMAND</w:t>
            </w:r>
          </w:p>
        </w:tc>
      </w:tr>
      <w:tr w:rsidR="00A84728" w:rsidRPr="00BF6734" w14:paraId="570A513B" w14:textId="77777777" w:rsidTr="00825D29">
        <w:trPr>
          <w:gridBefore w:val="2"/>
          <w:wBefore w:w="34" w:type="dxa"/>
        </w:trPr>
        <w:tc>
          <w:tcPr>
            <w:tcW w:w="2518" w:type="dxa"/>
            <w:gridSpan w:val="2"/>
          </w:tcPr>
          <w:p w14:paraId="044CF9EE"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Patient Numbers</w:t>
            </w:r>
          </w:p>
          <w:p w14:paraId="181CCAEC"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tc>
        <w:tc>
          <w:tcPr>
            <w:tcW w:w="2977" w:type="dxa"/>
          </w:tcPr>
          <w:p w14:paraId="23A180B3" w14:textId="62A489F0" w:rsidR="00A84728" w:rsidRDefault="00A84728" w:rsidP="00531EC4">
            <w:pPr>
              <w:spacing w:before="120" w:after="120"/>
              <w:rPr>
                <w:rFonts w:asciiTheme="minorHAnsi" w:hAnsiTheme="minorHAnsi"/>
                <w:b/>
              </w:rPr>
            </w:pPr>
            <w:r>
              <w:rPr>
                <w:rFonts w:asciiTheme="minorHAnsi" w:hAnsiTheme="minorHAnsi"/>
                <w:b/>
              </w:rPr>
              <w:t>Total treated:  262</w:t>
            </w:r>
          </w:p>
          <w:p w14:paraId="05D31904" w14:textId="662E83AE" w:rsidR="00A84728" w:rsidRPr="00BF6734" w:rsidRDefault="00A84728" w:rsidP="00825D29">
            <w:pPr>
              <w:spacing w:before="120" w:after="120"/>
              <w:rPr>
                <w:rFonts w:asciiTheme="minorHAnsi" w:hAnsiTheme="minorHAnsi"/>
              </w:rPr>
            </w:pPr>
            <w:r>
              <w:rPr>
                <w:rFonts w:asciiTheme="minorHAnsi" w:hAnsiTheme="minorHAnsi"/>
                <w:b/>
              </w:rPr>
              <w:t xml:space="preserve"> </w:t>
            </w:r>
          </w:p>
        </w:tc>
        <w:tc>
          <w:tcPr>
            <w:tcW w:w="5137" w:type="dxa"/>
            <w:gridSpan w:val="4"/>
          </w:tcPr>
          <w:p w14:paraId="0E735498" w14:textId="5EC834D7" w:rsidR="00A84728" w:rsidRPr="00712AAF" w:rsidRDefault="00A84728" w:rsidP="00A84728">
            <w:pPr>
              <w:pStyle w:val="ListParagraph"/>
              <w:ind w:left="360" w:right="90"/>
              <w:rPr>
                <w:rFonts w:asciiTheme="minorHAnsi" w:hAnsiTheme="minorHAnsi"/>
              </w:rPr>
            </w:pPr>
          </w:p>
          <w:p w14:paraId="79811026" w14:textId="1793582E" w:rsidR="00A84728" w:rsidRPr="00BF6734" w:rsidRDefault="00A84728" w:rsidP="00A84728">
            <w:pPr>
              <w:spacing w:before="120" w:after="120"/>
              <w:rPr>
                <w:rFonts w:asciiTheme="minorHAnsi" w:hAnsiTheme="minorHAnsi"/>
                <w:b/>
              </w:rPr>
            </w:pPr>
            <w:r>
              <w:rPr>
                <w:rFonts w:asciiTheme="minorHAnsi" w:hAnsiTheme="minorHAnsi"/>
              </w:rPr>
              <w:t xml:space="preserve">No change in usage or impact on demand is expected. </w:t>
            </w:r>
          </w:p>
        </w:tc>
        <w:tc>
          <w:tcPr>
            <w:tcW w:w="4644" w:type="dxa"/>
            <w:gridSpan w:val="2"/>
          </w:tcPr>
          <w:p w14:paraId="67558633" w14:textId="77777777" w:rsidR="00A84728" w:rsidRPr="00BF6734" w:rsidRDefault="00A84728" w:rsidP="00531EC4">
            <w:pPr>
              <w:spacing w:before="120" w:after="120"/>
              <w:rPr>
                <w:rFonts w:asciiTheme="minorHAnsi" w:hAnsiTheme="minorHAnsi"/>
              </w:rPr>
            </w:pPr>
            <w:r>
              <w:rPr>
                <w:rFonts w:asciiTheme="minorHAnsi" w:hAnsiTheme="minorHAnsi"/>
              </w:rPr>
              <w:t xml:space="preserve">  </w:t>
            </w:r>
          </w:p>
        </w:tc>
      </w:tr>
      <w:tr w:rsidR="00A84728" w:rsidRPr="00BF6734" w14:paraId="0F084AE3" w14:textId="77777777" w:rsidTr="00825D29">
        <w:trPr>
          <w:gridBefore w:val="2"/>
          <w:wBefore w:w="34" w:type="dxa"/>
        </w:trPr>
        <w:tc>
          <w:tcPr>
            <w:tcW w:w="15276" w:type="dxa"/>
            <w:gridSpan w:val="9"/>
            <w:shd w:val="clear" w:color="auto" w:fill="DBE5F1" w:themeFill="accent1" w:themeFillTint="33"/>
          </w:tcPr>
          <w:p w14:paraId="41DB2431"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POTENTIAL IMPACT ON COST</w:t>
            </w:r>
          </w:p>
        </w:tc>
      </w:tr>
      <w:tr w:rsidR="00A84728" w:rsidRPr="00BF6734" w14:paraId="186BC66A" w14:textId="77777777" w:rsidTr="00825D29">
        <w:trPr>
          <w:gridBefore w:val="2"/>
          <w:wBefore w:w="34" w:type="dxa"/>
        </w:trPr>
        <w:tc>
          <w:tcPr>
            <w:tcW w:w="2518" w:type="dxa"/>
            <w:gridSpan w:val="2"/>
          </w:tcPr>
          <w:p w14:paraId="4C2DAD32"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Current cost</w:t>
            </w:r>
          </w:p>
        </w:tc>
        <w:tc>
          <w:tcPr>
            <w:tcW w:w="2977" w:type="dxa"/>
          </w:tcPr>
          <w:p w14:paraId="0F5A42FD" w14:textId="77777777" w:rsidR="00A84728" w:rsidRPr="00BF6734" w:rsidRDefault="00A84728" w:rsidP="00531EC4">
            <w:pPr>
              <w:spacing w:before="120" w:after="120"/>
              <w:rPr>
                <w:rFonts w:asciiTheme="minorHAnsi" w:hAnsiTheme="minorHAnsi"/>
              </w:rPr>
            </w:pPr>
          </w:p>
        </w:tc>
        <w:tc>
          <w:tcPr>
            <w:tcW w:w="5137" w:type="dxa"/>
            <w:gridSpan w:val="4"/>
          </w:tcPr>
          <w:p w14:paraId="14C8A600"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Anticipated reduction in cost, if any</w:t>
            </w:r>
          </w:p>
          <w:p w14:paraId="7095096A" w14:textId="77777777" w:rsidR="00A84728" w:rsidRPr="00BF6734" w:rsidRDefault="00A84728" w:rsidP="00531EC4">
            <w:pPr>
              <w:spacing w:before="120" w:after="120"/>
              <w:rPr>
                <w:rFonts w:asciiTheme="minorHAnsi" w:hAnsiTheme="minorHAnsi"/>
              </w:rPr>
            </w:pPr>
            <w:r w:rsidRPr="00BF6734">
              <w:rPr>
                <w:rFonts w:asciiTheme="minorHAnsi" w:hAnsiTheme="minorHAnsi"/>
                <w:b/>
              </w:rPr>
              <w:lastRenderedPageBreak/>
              <w:t>Marginal</w:t>
            </w:r>
            <w:r w:rsidRPr="00BF6734">
              <w:rPr>
                <w:rFonts w:asciiTheme="minorHAnsi" w:hAnsiTheme="minorHAnsi"/>
              </w:rPr>
              <w:t xml:space="preserve"> = borderline or unchanged from current cost</w:t>
            </w:r>
          </w:p>
          <w:p w14:paraId="20972949" w14:textId="77777777" w:rsidR="00A84728" w:rsidRPr="00BF6734" w:rsidRDefault="00A84728"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6217A012" w14:textId="77777777" w:rsidR="00A84728" w:rsidRPr="00BF6734" w:rsidRDefault="00A84728"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4644" w:type="dxa"/>
            <w:gridSpan w:val="2"/>
          </w:tcPr>
          <w:p w14:paraId="3F64C87A" w14:textId="77777777" w:rsidR="00A84728" w:rsidRPr="00BF6734" w:rsidRDefault="00A84728" w:rsidP="00531EC4">
            <w:pPr>
              <w:spacing w:before="120" w:after="120"/>
              <w:rPr>
                <w:rFonts w:asciiTheme="minorHAnsi" w:hAnsiTheme="minorHAnsi"/>
                <w:b/>
              </w:rPr>
            </w:pPr>
            <w:r w:rsidRPr="00BF6734">
              <w:rPr>
                <w:rFonts w:asciiTheme="minorHAnsi" w:hAnsiTheme="minorHAnsi"/>
                <w:b/>
              </w:rPr>
              <w:lastRenderedPageBreak/>
              <w:t>Marginal</w:t>
            </w:r>
          </w:p>
        </w:tc>
      </w:tr>
      <w:tr w:rsidR="00A84728" w:rsidRPr="00BF6734" w14:paraId="2E8CDD89" w14:textId="77777777" w:rsidTr="00825D29">
        <w:trPr>
          <w:gridBefore w:val="2"/>
          <w:wBefore w:w="34" w:type="dxa"/>
        </w:trPr>
        <w:tc>
          <w:tcPr>
            <w:tcW w:w="15276" w:type="dxa"/>
            <w:gridSpan w:val="9"/>
            <w:shd w:val="clear" w:color="auto" w:fill="DBE5F1" w:themeFill="accent1" w:themeFillTint="33"/>
          </w:tcPr>
          <w:p w14:paraId="79A79F08" w14:textId="77777777" w:rsidR="00A84728" w:rsidRPr="00BF6734" w:rsidRDefault="00A84728" w:rsidP="00531EC4">
            <w:pPr>
              <w:spacing w:before="120" w:after="120"/>
              <w:jc w:val="center"/>
              <w:rPr>
                <w:rFonts w:asciiTheme="minorHAnsi" w:hAnsiTheme="minorHAnsi"/>
                <w:b/>
              </w:rPr>
            </w:pPr>
            <w:r w:rsidRPr="00BF6734">
              <w:rPr>
                <w:rFonts w:asciiTheme="minorHAnsi" w:hAnsiTheme="minorHAnsi"/>
                <w:b/>
              </w:rPr>
              <w:lastRenderedPageBreak/>
              <w:t>BIBLIOGRAPHY</w:t>
            </w:r>
          </w:p>
        </w:tc>
      </w:tr>
      <w:tr w:rsidR="00A84728" w:rsidRPr="00BF6734" w14:paraId="3CC791AE" w14:textId="77777777" w:rsidTr="00825D29">
        <w:trPr>
          <w:gridBefore w:val="2"/>
          <w:wBefore w:w="34" w:type="dxa"/>
        </w:trPr>
        <w:tc>
          <w:tcPr>
            <w:tcW w:w="15276" w:type="dxa"/>
            <w:gridSpan w:val="9"/>
            <w:shd w:val="clear" w:color="auto" w:fill="auto"/>
          </w:tcPr>
          <w:p w14:paraId="04A62183"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Biotext 2004, ‘Summary data on conditions and papers’, in</w:t>
            </w:r>
            <w:r w:rsidRPr="00972449">
              <w:rPr>
                <w:rFonts w:asciiTheme="minorHAnsi" w:eastAsia="Times New Roman" w:hAnsiTheme="minorHAnsi" w:cs="Times New Roman"/>
                <w:i/>
                <w:iCs/>
                <w:color w:val="000000"/>
                <w:lang w:val="en" w:eastAsia="en-AU"/>
              </w:rPr>
              <w:t xml:space="preserve"> A systematic literature review and report on the efficacy of intravenous immunoglobulin therapy and its risks</w:t>
            </w:r>
            <w:r w:rsidRPr="00972449">
              <w:rPr>
                <w:rFonts w:asciiTheme="minorHAnsi" w:eastAsia="Times New Roman" w:hAnsiTheme="minorHAnsi" w:cs="Times New Roman"/>
                <w:color w:val="000000"/>
                <w:lang w:val="en" w:eastAsia="en-AU"/>
              </w:rPr>
              <w:t>, commissioned by the National Blood Authority on behalf of all Australian Governments, pp. 255–6. Available from:</w:t>
            </w:r>
            <w:r>
              <w:rPr>
                <w:rFonts w:asciiTheme="minorHAnsi" w:eastAsia="Times New Roman" w:hAnsiTheme="minorHAnsi" w:cs="Times New Roman"/>
                <w:color w:val="000000"/>
                <w:lang w:val="en" w:eastAsia="en-AU"/>
              </w:rPr>
              <w:t xml:space="preserve"> </w:t>
            </w:r>
            <w:r w:rsidRPr="00972449">
              <w:rPr>
                <w:rFonts w:asciiTheme="minorHAnsi" w:eastAsia="Times New Roman" w:hAnsiTheme="minorHAnsi" w:cs="Times New Roman"/>
                <w:color w:val="000000"/>
                <w:lang w:val="en" w:eastAsia="en-AU"/>
              </w:rPr>
              <w:t>anba.gov.au/pubs.htm [cited 7 Dec 2007]</w:t>
            </w:r>
          </w:p>
          <w:p w14:paraId="7460561C"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Burns, JC &amp; Glode, MP 2004, ‘Kawasaki syndrome’, </w:t>
            </w:r>
            <w:r w:rsidRPr="00972449">
              <w:rPr>
                <w:rFonts w:asciiTheme="minorHAnsi" w:eastAsia="Times New Roman" w:hAnsiTheme="minorHAnsi" w:cs="Times New Roman"/>
                <w:i/>
                <w:iCs/>
                <w:color w:val="000000"/>
                <w:lang w:val="en" w:eastAsia="en-AU"/>
              </w:rPr>
              <w:t>Lancet</w:t>
            </w:r>
            <w:r w:rsidRPr="00972449">
              <w:rPr>
                <w:rFonts w:asciiTheme="minorHAnsi" w:eastAsia="Times New Roman" w:hAnsiTheme="minorHAnsi" w:cs="Times New Roman"/>
                <w:color w:val="000000"/>
                <w:lang w:val="en" w:eastAsia="en-AU"/>
              </w:rPr>
              <w:t>, vol. 364, no. 9433, pp. 533–44.</w:t>
            </w:r>
          </w:p>
          <w:p w14:paraId="2ED460DE"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De Zorzi, A, Colan, SD, Gauvreau, K, et al 1998, ‘Coronary artery dimensions may be misclassified as normal in Kawasaki disease’, </w:t>
            </w:r>
            <w:r w:rsidRPr="00972449">
              <w:rPr>
                <w:rFonts w:asciiTheme="minorHAnsi" w:eastAsia="Times New Roman" w:hAnsiTheme="minorHAnsi" w:cs="Times New Roman"/>
                <w:i/>
                <w:iCs/>
                <w:color w:val="000000"/>
                <w:lang w:val="en" w:eastAsia="en-AU"/>
              </w:rPr>
              <w:t>Journal of Pediatrics</w:t>
            </w:r>
            <w:r w:rsidRPr="00972449">
              <w:rPr>
                <w:rFonts w:asciiTheme="minorHAnsi" w:eastAsia="Times New Roman" w:hAnsiTheme="minorHAnsi" w:cs="Times New Roman"/>
                <w:color w:val="000000"/>
                <w:lang w:val="en" w:eastAsia="en-AU"/>
              </w:rPr>
              <w:t>, vol. 133, no. 2, pp. 254–8.</w:t>
            </w:r>
          </w:p>
          <w:p w14:paraId="2494DF52"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Durongpisitkul, K, Soongswang, J, Laohaprasitiporn, D, et al 2003, ‘Immunoglobulin failure and retreatment in Kawasaki disease’, </w:t>
            </w:r>
            <w:r w:rsidRPr="00972449">
              <w:rPr>
                <w:rFonts w:asciiTheme="minorHAnsi" w:eastAsia="Times New Roman" w:hAnsiTheme="minorHAnsi" w:cs="Times New Roman"/>
                <w:i/>
                <w:iCs/>
                <w:color w:val="000000"/>
                <w:lang w:val="en" w:eastAsia="en-AU"/>
              </w:rPr>
              <w:t>Paediatric Cardiology</w:t>
            </w:r>
            <w:r w:rsidRPr="00972449">
              <w:rPr>
                <w:rFonts w:asciiTheme="minorHAnsi" w:eastAsia="Times New Roman" w:hAnsiTheme="minorHAnsi" w:cs="Times New Roman"/>
                <w:color w:val="000000"/>
                <w:lang w:val="en" w:eastAsia="en-AU"/>
              </w:rPr>
              <w:t>, vol. 24, no. 2, pp. 145–8.</w:t>
            </w:r>
          </w:p>
          <w:p w14:paraId="7E4808E1"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Feigin, RD, Cecchin, F &amp; Wissman, SD 2006, ‘Kawasaki disease’, in JA McMillan (ed.), </w:t>
            </w:r>
            <w:r w:rsidRPr="00972449">
              <w:rPr>
                <w:rFonts w:asciiTheme="minorHAnsi" w:eastAsia="Times New Roman" w:hAnsiTheme="minorHAnsi" w:cs="Times New Roman"/>
                <w:i/>
                <w:iCs/>
                <w:color w:val="000000"/>
                <w:lang w:val="en" w:eastAsia="en-AU"/>
              </w:rPr>
              <w:t>Oski’s paediatrics: principles and practice</w:t>
            </w:r>
            <w:r w:rsidRPr="00972449">
              <w:rPr>
                <w:rFonts w:asciiTheme="minorHAnsi" w:eastAsia="Times New Roman" w:hAnsiTheme="minorHAnsi" w:cs="Times New Roman"/>
                <w:color w:val="000000"/>
                <w:lang w:val="en" w:eastAsia="en-AU"/>
              </w:rPr>
              <w:t>, 4th edn, Lippincott Williams &amp; Wilkins, Philadelphia, pp. 1015–20.</w:t>
            </w:r>
          </w:p>
          <w:p w14:paraId="2C899381"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Newburger, JW, Takahashi, M, Gerber, MA, et al 2004, ‘Diagnosis, treatment, and long-term management of Kawasaki disease: a statement for health professionals from the Committee on Rheumatic Fever, Endocarditis, and Kawasaki Disease, Council on Cardiovascular Disease in the Young, American Heart Association’, </w:t>
            </w:r>
            <w:r w:rsidRPr="00972449">
              <w:rPr>
                <w:rFonts w:asciiTheme="minorHAnsi" w:eastAsia="Times New Roman" w:hAnsiTheme="minorHAnsi" w:cs="Times New Roman"/>
                <w:i/>
                <w:iCs/>
                <w:color w:val="000000"/>
                <w:lang w:val="en" w:eastAsia="en-AU"/>
              </w:rPr>
              <w:t>Paediatrics</w:t>
            </w:r>
            <w:r w:rsidRPr="00972449">
              <w:rPr>
                <w:rFonts w:asciiTheme="minorHAnsi" w:eastAsia="Times New Roman" w:hAnsiTheme="minorHAnsi" w:cs="Times New Roman"/>
                <w:color w:val="000000"/>
                <w:lang w:val="en" w:eastAsia="en-AU"/>
              </w:rPr>
              <w:t>, vol. 114, no. 6, pp. 1708–33.</w:t>
            </w:r>
          </w:p>
          <w:p w14:paraId="34EC87C4"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Oates-Whitehead, RM, Baumer, JH, Haines, L, et al 2003, ‘Intravenous immunoglobulin for the treatment of Kawasaki disease in children (Cochrane Review)’, in </w:t>
            </w:r>
            <w:r w:rsidRPr="00972449">
              <w:rPr>
                <w:rFonts w:asciiTheme="minorHAnsi" w:eastAsia="Times New Roman" w:hAnsiTheme="minorHAnsi" w:cs="Times New Roman"/>
                <w:i/>
                <w:iCs/>
                <w:color w:val="000000"/>
                <w:lang w:val="en" w:eastAsia="en-AU"/>
              </w:rPr>
              <w:t>The Cochrane Library</w:t>
            </w:r>
            <w:r w:rsidRPr="00972449">
              <w:rPr>
                <w:rFonts w:asciiTheme="minorHAnsi" w:eastAsia="Times New Roman" w:hAnsiTheme="minorHAnsi" w:cs="Times New Roman"/>
                <w:color w:val="000000"/>
                <w:lang w:val="en" w:eastAsia="en-AU"/>
              </w:rPr>
              <w:t>, Issue 4, John Wiley &amp; Sons, Ltd, Chichester, UK.</w:t>
            </w:r>
          </w:p>
          <w:p w14:paraId="7121441D"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Rosenfeld, EA, Shulman, ST, Corydon, KE, et al 1995, ‘Comparative safety and efficacy of two immune globulin products in Kawasaki disease’, </w:t>
            </w:r>
            <w:r w:rsidRPr="00972449">
              <w:rPr>
                <w:rFonts w:asciiTheme="minorHAnsi" w:eastAsia="Times New Roman" w:hAnsiTheme="minorHAnsi" w:cs="Times New Roman"/>
                <w:i/>
                <w:iCs/>
                <w:color w:val="000000"/>
                <w:lang w:val="en" w:eastAsia="en-AU"/>
              </w:rPr>
              <w:t>Journal of Paediatrics</w:t>
            </w:r>
            <w:r w:rsidRPr="00972449">
              <w:rPr>
                <w:rFonts w:asciiTheme="minorHAnsi" w:eastAsia="Times New Roman" w:hAnsiTheme="minorHAnsi" w:cs="Times New Roman"/>
                <w:color w:val="000000"/>
                <w:lang w:val="en" w:eastAsia="en-AU"/>
              </w:rPr>
              <w:t xml:space="preserve">, vol. </w:t>
            </w:r>
            <w:r w:rsidRPr="00972449">
              <w:rPr>
                <w:rFonts w:asciiTheme="minorHAnsi" w:eastAsia="Times New Roman" w:hAnsiTheme="minorHAnsi" w:cs="Times New Roman"/>
                <w:color w:val="000000"/>
                <w:lang w:val="en" w:eastAsia="en-AU"/>
              </w:rPr>
              <w:lastRenderedPageBreak/>
              <w:t>126, no. 6, pp. 1000–3.</w:t>
            </w:r>
          </w:p>
          <w:p w14:paraId="243F0B8A"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Stiehm, ER 2006, ‘Lessons from Kawasaki disease: all brands of IVIg are not equal’, </w:t>
            </w:r>
            <w:r w:rsidRPr="00972449">
              <w:rPr>
                <w:rFonts w:asciiTheme="minorHAnsi" w:eastAsia="Times New Roman" w:hAnsiTheme="minorHAnsi" w:cs="Times New Roman"/>
                <w:i/>
                <w:iCs/>
                <w:color w:val="000000"/>
                <w:lang w:val="en" w:eastAsia="en-AU"/>
              </w:rPr>
              <w:t>Journal of Paediatrics</w:t>
            </w:r>
            <w:r w:rsidRPr="00972449">
              <w:rPr>
                <w:rFonts w:asciiTheme="minorHAnsi" w:eastAsia="Times New Roman" w:hAnsiTheme="minorHAnsi" w:cs="Times New Roman"/>
                <w:color w:val="000000"/>
                <w:lang w:val="en" w:eastAsia="en-AU"/>
              </w:rPr>
              <w:t>, vol. 148, pp. 6–8.</w:t>
            </w:r>
          </w:p>
          <w:p w14:paraId="21AA827A" w14:textId="77777777" w:rsidR="00A84728" w:rsidRPr="00972449" w:rsidRDefault="00A84728" w:rsidP="00A84728">
            <w:pPr>
              <w:spacing w:before="100" w:beforeAutospacing="1" w:after="100" w:afterAutospacing="1" w:line="360" w:lineRule="atLeast"/>
              <w:rPr>
                <w:rFonts w:asciiTheme="minorHAnsi" w:eastAsia="Times New Roman" w:hAnsiTheme="minorHAnsi" w:cs="Times New Roman"/>
                <w:color w:val="000000"/>
                <w:lang w:val="en" w:eastAsia="en-AU"/>
              </w:rPr>
            </w:pPr>
            <w:r w:rsidRPr="00972449">
              <w:rPr>
                <w:rFonts w:asciiTheme="minorHAnsi" w:eastAsia="Times New Roman" w:hAnsiTheme="minorHAnsi" w:cs="Times New Roman"/>
                <w:color w:val="000000"/>
                <w:lang w:val="en" w:eastAsia="en-AU"/>
              </w:rPr>
              <w:t xml:space="preserve">Tsai, MH, Huang, YC, Yen, MH, et al 2006, ‘Clinical responses of patients with Kawasaki disease to different brands of intravenous immunoglobulin’, </w:t>
            </w:r>
            <w:r w:rsidRPr="00972449">
              <w:rPr>
                <w:rFonts w:asciiTheme="minorHAnsi" w:eastAsia="Times New Roman" w:hAnsiTheme="minorHAnsi" w:cs="Times New Roman"/>
                <w:i/>
                <w:iCs/>
                <w:color w:val="000000"/>
                <w:lang w:val="en" w:eastAsia="en-AU"/>
              </w:rPr>
              <w:t>Journal of Paediatrics</w:t>
            </w:r>
            <w:r w:rsidRPr="00972449">
              <w:rPr>
                <w:rFonts w:asciiTheme="minorHAnsi" w:eastAsia="Times New Roman" w:hAnsiTheme="minorHAnsi" w:cs="Times New Roman"/>
                <w:color w:val="000000"/>
                <w:lang w:val="en" w:eastAsia="en-AU"/>
              </w:rPr>
              <w:t>, vol. 148, no. 1, pp. 38–43.</w:t>
            </w:r>
          </w:p>
          <w:p w14:paraId="54E3A897" w14:textId="75BD71B9" w:rsidR="00A84728" w:rsidRPr="00BF6734" w:rsidRDefault="00A84728" w:rsidP="00825D29">
            <w:pPr>
              <w:spacing w:before="100" w:beforeAutospacing="1" w:after="100" w:afterAutospacing="1" w:line="360" w:lineRule="atLeast"/>
              <w:rPr>
                <w:rFonts w:asciiTheme="minorHAnsi" w:hAnsiTheme="minorHAnsi"/>
                <w:b/>
              </w:rPr>
            </w:pPr>
            <w:r w:rsidRPr="00972449">
              <w:rPr>
                <w:rFonts w:asciiTheme="minorHAnsi" w:eastAsia="Times New Roman" w:hAnsiTheme="minorHAnsi" w:cs="Times New Roman"/>
                <w:color w:val="000000"/>
                <w:lang w:val="en" w:eastAsia="en-AU"/>
              </w:rPr>
              <w:t xml:space="preserve">Wang, CL, Wu, YT, Liu, CA, et al 2005, ‘Kawasaki disease: infection, immunity and genetics’, </w:t>
            </w:r>
            <w:r w:rsidRPr="00972449">
              <w:rPr>
                <w:rFonts w:asciiTheme="minorHAnsi" w:eastAsia="Times New Roman" w:hAnsiTheme="minorHAnsi" w:cs="Times New Roman"/>
                <w:i/>
                <w:iCs/>
                <w:color w:val="000000"/>
                <w:lang w:val="en" w:eastAsia="en-AU"/>
              </w:rPr>
              <w:t>The Pediatric Infectious Disease Journal</w:t>
            </w:r>
            <w:r w:rsidRPr="00972449">
              <w:rPr>
                <w:rFonts w:asciiTheme="minorHAnsi" w:eastAsia="Times New Roman" w:hAnsiTheme="minorHAnsi" w:cs="Times New Roman"/>
                <w:color w:val="000000"/>
                <w:lang w:val="en" w:eastAsia="en-AU"/>
              </w:rPr>
              <w:t>, vol. 24, no. 11, pp. 998–1004.</w:t>
            </w:r>
          </w:p>
        </w:tc>
      </w:tr>
      <w:tr w:rsidR="00825D29" w:rsidRPr="00825D29" w14:paraId="08F80738" w14:textId="77777777" w:rsidTr="00825D29">
        <w:trPr>
          <w:gridBefore w:val="2"/>
          <w:wBefore w:w="34" w:type="dxa"/>
        </w:trPr>
        <w:tc>
          <w:tcPr>
            <w:tcW w:w="15276" w:type="dxa"/>
            <w:gridSpan w:val="9"/>
            <w:shd w:val="clear" w:color="auto" w:fill="DBE5F1" w:themeFill="accent1" w:themeFillTint="33"/>
          </w:tcPr>
          <w:p w14:paraId="10939641" w14:textId="2E39AD63" w:rsidR="00825D29" w:rsidRPr="00825D29" w:rsidRDefault="00825D29" w:rsidP="00A84728">
            <w:pPr>
              <w:spacing w:before="100" w:beforeAutospacing="1" w:after="100" w:afterAutospacing="1" w:line="360" w:lineRule="atLeast"/>
              <w:rPr>
                <w:rFonts w:asciiTheme="minorHAnsi" w:eastAsia="Times New Roman" w:hAnsiTheme="minorHAnsi" w:cs="Times New Roman"/>
                <w:b/>
                <w:color w:val="000000"/>
                <w:lang w:val="en" w:eastAsia="en-AU"/>
              </w:rPr>
            </w:pPr>
            <w:r w:rsidRPr="00825D29">
              <w:rPr>
                <w:rFonts w:asciiTheme="minorHAnsi" w:eastAsia="Times New Roman" w:hAnsiTheme="minorHAnsi" w:cs="Times New Roman"/>
                <w:b/>
                <w:color w:val="000000"/>
                <w:lang w:val="en" w:eastAsia="en-AU"/>
              </w:rPr>
              <w:lastRenderedPageBreak/>
              <w:t>END OF DOCUMENT</w:t>
            </w:r>
          </w:p>
        </w:tc>
      </w:tr>
    </w:tbl>
    <w:p w14:paraId="6FF2FF5A" w14:textId="77777777" w:rsidR="00972449" w:rsidRPr="00972449" w:rsidRDefault="00972449" w:rsidP="000324DD">
      <w:pPr>
        <w:spacing w:before="100" w:beforeAutospacing="1" w:after="100" w:afterAutospacing="1" w:line="360" w:lineRule="atLeast"/>
        <w:rPr>
          <w:rFonts w:asciiTheme="minorHAnsi" w:eastAsia="Times New Roman" w:hAnsiTheme="minorHAnsi" w:cs="Times New Roman"/>
          <w:color w:val="000000"/>
          <w:lang w:val="en" w:eastAsia="en-AU"/>
        </w:rPr>
      </w:pPr>
    </w:p>
    <w:sectPr w:rsidR="00972449" w:rsidRPr="00972449" w:rsidSect="000D02AB">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332F" w14:textId="77777777" w:rsidR="00704183" w:rsidRDefault="00704183" w:rsidP="00856708">
      <w:pPr>
        <w:spacing w:after="0"/>
      </w:pPr>
      <w:r>
        <w:separator/>
      </w:r>
    </w:p>
  </w:endnote>
  <w:endnote w:type="continuationSeparator" w:id="0">
    <w:p w14:paraId="6231B526" w14:textId="77777777" w:rsidR="00704183" w:rsidRDefault="0070418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F4A0" w14:textId="77777777" w:rsidR="00704183" w:rsidRPr="00856708" w:rsidRDefault="0070418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E77B3">
      <w:rPr>
        <w:noProof/>
        <w:sz w:val="20"/>
        <w:szCs w:val="20"/>
      </w:rPr>
      <w:t>8</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1675" w14:textId="77777777" w:rsidR="00704183" w:rsidRDefault="00704183" w:rsidP="00856708">
      <w:pPr>
        <w:spacing w:after="0"/>
      </w:pPr>
      <w:r>
        <w:separator/>
      </w:r>
    </w:p>
  </w:footnote>
  <w:footnote w:type="continuationSeparator" w:id="0">
    <w:p w14:paraId="46C2281B" w14:textId="77777777" w:rsidR="00704183" w:rsidRDefault="0070418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7679" w14:textId="77777777" w:rsidR="00704183" w:rsidRDefault="000E77B3">
    <w:pPr>
      <w:pStyle w:val="Header"/>
    </w:pPr>
    <w:sdt>
      <w:sdtPr>
        <w:id w:val="171999623"/>
        <w:placeholder>
          <w:docPart w:val="4318DC39B0B5714AA1272BAEF2DE62E2"/>
        </w:placeholder>
        <w:temporary/>
        <w:showingPlcHdr/>
      </w:sdtPr>
      <w:sdtEndPr/>
      <w:sdtContent>
        <w:r w:rsidR="00704183">
          <w:t>[Type text]</w:t>
        </w:r>
      </w:sdtContent>
    </w:sdt>
    <w:r w:rsidR="00704183">
      <w:ptab w:relativeTo="margin" w:alignment="center" w:leader="none"/>
    </w:r>
    <w:sdt>
      <w:sdtPr>
        <w:id w:val="171999624"/>
        <w:placeholder>
          <w:docPart w:val="255F24039E3CD646BF4EC89E9F52221B"/>
        </w:placeholder>
        <w:temporary/>
        <w:showingPlcHdr/>
      </w:sdtPr>
      <w:sdtEndPr/>
      <w:sdtContent>
        <w:r w:rsidR="00704183">
          <w:t>[Type text]</w:t>
        </w:r>
      </w:sdtContent>
    </w:sdt>
    <w:r w:rsidR="00704183">
      <w:ptab w:relativeTo="margin" w:alignment="right" w:leader="none"/>
    </w:r>
    <w:sdt>
      <w:sdtPr>
        <w:id w:val="171999625"/>
        <w:placeholder>
          <w:docPart w:val="B2E672F6A46DC34D85472E78455D4ECB"/>
        </w:placeholder>
        <w:temporary/>
        <w:showingPlcHdr/>
      </w:sdtPr>
      <w:sdtEndPr/>
      <w:sdtContent>
        <w:r w:rsidR="00704183">
          <w:t>[Type text]</w:t>
        </w:r>
      </w:sdtContent>
    </w:sdt>
  </w:p>
  <w:p w14:paraId="517DB9E0" w14:textId="77777777" w:rsidR="00704183" w:rsidRDefault="00704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D486E"/>
    <w:multiLevelType w:val="hybridMultilevel"/>
    <w:tmpl w:val="E8E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DD62E8"/>
    <w:multiLevelType w:val="multilevel"/>
    <w:tmpl w:val="75D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D2918"/>
    <w:multiLevelType w:val="hybridMultilevel"/>
    <w:tmpl w:val="5784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1D89"/>
    <w:multiLevelType w:val="hybridMultilevel"/>
    <w:tmpl w:val="B5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B436A7"/>
    <w:multiLevelType w:val="hybridMultilevel"/>
    <w:tmpl w:val="D1541F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81C07"/>
    <w:multiLevelType w:val="hybridMultilevel"/>
    <w:tmpl w:val="040C9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E6EDD"/>
    <w:multiLevelType w:val="hybridMultilevel"/>
    <w:tmpl w:val="35A092E0"/>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0434B"/>
    <w:multiLevelType w:val="hybridMultilevel"/>
    <w:tmpl w:val="0A3AD6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4252C"/>
    <w:multiLevelType w:val="hybridMultilevel"/>
    <w:tmpl w:val="511CEEA4"/>
    <w:lvl w:ilvl="0" w:tplc="0409000F">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DA18EA"/>
    <w:multiLevelType w:val="hybridMultilevel"/>
    <w:tmpl w:val="71486BA8"/>
    <w:lvl w:ilvl="0" w:tplc="182820A0">
      <w:start w:val="1"/>
      <w:numFmt w:val="decimal"/>
      <w:lvlText w:val="%1."/>
      <w:lvlJc w:val="left"/>
      <w:pPr>
        <w:ind w:left="360" w:hanging="360"/>
      </w:pPr>
      <w:rPr>
        <w:rFonts w:hint="default"/>
        <w:b w:val="0"/>
        <w:color w:val="000000" w:themeColor="text1"/>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A695B8C"/>
    <w:multiLevelType w:val="hybridMultilevel"/>
    <w:tmpl w:val="3046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13AF3"/>
    <w:multiLevelType w:val="hybridMultilevel"/>
    <w:tmpl w:val="E2F0C6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626F2D"/>
    <w:multiLevelType w:val="multilevel"/>
    <w:tmpl w:val="DCE4C5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2"/>
  </w:num>
  <w:num w:numId="4">
    <w:abstractNumId w:val="11"/>
  </w:num>
  <w:num w:numId="5">
    <w:abstractNumId w:val="7"/>
  </w:num>
  <w:num w:numId="6">
    <w:abstractNumId w:val="34"/>
  </w:num>
  <w:num w:numId="7">
    <w:abstractNumId w:val="19"/>
  </w:num>
  <w:num w:numId="8">
    <w:abstractNumId w:val="25"/>
  </w:num>
  <w:num w:numId="9">
    <w:abstractNumId w:val="0"/>
  </w:num>
  <w:num w:numId="10">
    <w:abstractNumId w:val="37"/>
  </w:num>
  <w:num w:numId="11">
    <w:abstractNumId w:val="36"/>
  </w:num>
  <w:num w:numId="12">
    <w:abstractNumId w:val="24"/>
  </w:num>
  <w:num w:numId="13">
    <w:abstractNumId w:val="21"/>
  </w:num>
  <w:num w:numId="14">
    <w:abstractNumId w:val="15"/>
  </w:num>
  <w:num w:numId="15">
    <w:abstractNumId w:val="22"/>
  </w:num>
  <w:num w:numId="16">
    <w:abstractNumId w:val="23"/>
  </w:num>
  <w:num w:numId="17">
    <w:abstractNumId w:val="2"/>
  </w:num>
  <w:num w:numId="18">
    <w:abstractNumId w:val="29"/>
  </w:num>
  <w:num w:numId="19">
    <w:abstractNumId w:val="5"/>
  </w:num>
  <w:num w:numId="20">
    <w:abstractNumId w:val="30"/>
  </w:num>
  <w:num w:numId="21">
    <w:abstractNumId w:val="16"/>
  </w:num>
  <w:num w:numId="22">
    <w:abstractNumId w:val="6"/>
  </w:num>
  <w:num w:numId="23">
    <w:abstractNumId w:val="33"/>
  </w:num>
  <w:num w:numId="24">
    <w:abstractNumId w:val="3"/>
  </w:num>
  <w:num w:numId="25">
    <w:abstractNumId w:val="28"/>
  </w:num>
  <w:num w:numId="26">
    <w:abstractNumId w:val="35"/>
  </w:num>
  <w:num w:numId="27">
    <w:abstractNumId w:val="26"/>
  </w:num>
  <w:num w:numId="28">
    <w:abstractNumId w:val="17"/>
  </w:num>
  <w:num w:numId="29">
    <w:abstractNumId w:val="10"/>
  </w:num>
  <w:num w:numId="30">
    <w:abstractNumId w:val="31"/>
  </w:num>
  <w:num w:numId="31">
    <w:abstractNumId w:val="1"/>
  </w:num>
  <w:num w:numId="32">
    <w:abstractNumId w:val="14"/>
  </w:num>
  <w:num w:numId="33">
    <w:abstractNumId w:val="8"/>
  </w:num>
  <w:num w:numId="34">
    <w:abstractNumId w:val="20"/>
  </w:num>
  <w:num w:numId="35">
    <w:abstractNumId w:val="27"/>
  </w:num>
  <w:num w:numId="36">
    <w:abstractNumId w:val="13"/>
  </w:num>
  <w:num w:numId="37">
    <w:abstractNumId w:val="9"/>
  </w:num>
  <w:num w:numId="3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23A"/>
    <w:rsid w:val="00011339"/>
    <w:rsid w:val="0002479D"/>
    <w:rsid w:val="000324DD"/>
    <w:rsid w:val="00036EDC"/>
    <w:rsid w:val="00040E71"/>
    <w:rsid w:val="000648B7"/>
    <w:rsid w:val="000666FC"/>
    <w:rsid w:val="0006713B"/>
    <w:rsid w:val="00070ABB"/>
    <w:rsid w:val="000725A5"/>
    <w:rsid w:val="000860B9"/>
    <w:rsid w:val="000B12CB"/>
    <w:rsid w:val="000B40A7"/>
    <w:rsid w:val="000C033B"/>
    <w:rsid w:val="000D02AB"/>
    <w:rsid w:val="000D2614"/>
    <w:rsid w:val="000E2EB1"/>
    <w:rsid w:val="000E77B3"/>
    <w:rsid w:val="00100457"/>
    <w:rsid w:val="0010150E"/>
    <w:rsid w:val="00105D8F"/>
    <w:rsid w:val="001247EB"/>
    <w:rsid w:val="00125082"/>
    <w:rsid w:val="00126E6D"/>
    <w:rsid w:val="00133F9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21C9F"/>
    <w:rsid w:val="00225477"/>
    <w:rsid w:val="0023523E"/>
    <w:rsid w:val="002443F8"/>
    <w:rsid w:val="002537F2"/>
    <w:rsid w:val="002608B9"/>
    <w:rsid w:val="00260AB3"/>
    <w:rsid w:val="00271AA0"/>
    <w:rsid w:val="00275108"/>
    <w:rsid w:val="00287F96"/>
    <w:rsid w:val="00295CD3"/>
    <w:rsid w:val="002D0D26"/>
    <w:rsid w:val="002E5BC8"/>
    <w:rsid w:val="002E7263"/>
    <w:rsid w:val="002F2EF0"/>
    <w:rsid w:val="002F3C9E"/>
    <w:rsid w:val="003135AA"/>
    <w:rsid w:val="0032018C"/>
    <w:rsid w:val="00325297"/>
    <w:rsid w:val="003279B9"/>
    <w:rsid w:val="003440C1"/>
    <w:rsid w:val="00345163"/>
    <w:rsid w:val="003512A4"/>
    <w:rsid w:val="00375B4C"/>
    <w:rsid w:val="00396DC9"/>
    <w:rsid w:val="003A1CDF"/>
    <w:rsid w:val="003A331F"/>
    <w:rsid w:val="003B28FA"/>
    <w:rsid w:val="003D1E94"/>
    <w:rsid w:val="003D27F1"/>
    <w:rsid w:val="0040189B"/>
    <w:rsid w:val="00405321"/>
    <w:rsid w:val="00422BD4"/>
    <w:rsid w:val="00427894"/>
    <w:rsid w:val="004464E3"/>
    <w:rsid w:val="00460480"/>
    <w:rsid w:val="004607DE"/>
    <w:rsid w:val="00461AB0"/>
    <w:rsid w:val="004825CB"/>
    <w:rsid w:val="0048456B"/>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2489"/>
    <w:rsid w:val="00571E8E"/>
    <w:rsid w:val="00572393"/>
    <w:rsid w:val="005762FC"/>
    <w:rsid w:val="0058089D"/>
    <w:rsid w:val="00586D24"/>
    <w:rsid w:val="005938D0"/>
    <w:rsid w:val="005A2874"/>
    <w:rsid w:val="005B1275"/>
    <w:rsid w:val="005C23AD"/>
    <w:rsid w:val="005C55D0"/>
    <w:rsid w:val="005D41A3"/>
    <w:rsid w:val="005E0B4A"/>
    <w:rsid w:val="005E2598"/>
    <w:rsid w:val="005E3562"/>
    <w:rsid w:val="005F6D36"/>
    <w:rsid w:val="006134F8"/>
    <w:rsid w:val="00644770"/>
    <w:rsid w:val="006542B9"/>
    <w:rsid w:val="006562E8"/>
    <w:rsid w:val="00671C69"/>
    <w:rsid w:val="006771CE"/>
    <w:rsid w:val="00684B64"/>
    <w:rsid w:val="00685779"/>
    <w:rsid w:val="006909F4"/>
    <w:rsid w:val="00695F52"/>
    <w:rsid w:val="00696339"/>
    <w:rsid w:val="006B0F84"/>
    <w:rsid w:val="006B2B0F"/>
    <w:rsid w:val="006C3D7C"/>
    <w:rsid w:val="006C4643"/>
    <w:rsid w:val="006D046A"/>
    <w:rsid w:val="006E434F"/>
    <w:rsid w:val="00704183"/>
    <w:rsid w:val="00704DAE"/>
    <w:rsid w:val="007153DA"/>
    <w:rsid w:val="00717D84"/>
    <w:rsid w:val="007322C3"/>
    <w:rsid w:val="007342DB"/>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C5BE0"/>
    <w:rsid w:val="007D35FB"/>
    <w:rsid w:val="007D5647"/>
    <w:rsid w:val="007D6EF3"/>
    <w:rsid w:val="007F3DB8"/>
    <w:rsid w:val="007F60CE"/>
    <w:rsid w:val="00814EBA"/>
    <w:rsid w:val="00814FA0"/>
    <w:rsid w:val="00816C49"/>
    <w:rsid w:val="0082430E"/>
    <w:rsid w:val="00825AF2"/>
    <w:rsid w:val="00825D29"/>
    <w:rsid w:val="0082663A"/>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4D02"/>
    <w:rsid w:val="008C51F9"/>
    <w:rsid w:val="008C7A1A"/>
    <w:rsid w:val="00900274"/>
    <w:rsid w:val="00935025"/>
    <w:rsid w:val="00935A91"/>
    <w:rsid w:val="00940140"/>
    <w:rsid w:val="009404B2"/>
    <w:rsid w:val="0094100C"/>
    <w:rsid w:val="009421A4"/>
    <w:rsid w:val="00951B85"/>
    <w:rsid w:val="009715A9"/>
    <w:rsid w:val="00972449"/>
    <w:rsid w:val="009836EC"/>
    <w:rsid w:val="00991FB8"/>
    <w:rsid w:val="009A7641"/>
    <w:rsid w:val="009C2E16"/>
    <w:rsid w:val="009C4CA4"/>
    <w:rsid w:val="009D19EE"/>
    <w:rsid w:val="009D2865"/>
    <w:rsid w:val="009E0A27"/>
    <w:rsid w:val="009E38CC"/>
    <w:rsid w:val="009E5588"/>
    <w:rsid w:val="009E5681"/>
    <w:rsid w:val="009E7706"/>
    <w:rsid w:val="00A1080E"/>
    <w:rsid w:val="00A138FA"/>
    <w:rsid w:val="00A23319"/>
    <w:rsid w:val="00A445C4"/>
    <w:rsid w:val="00A5345D"/>
    <w:rsid w:val="00A57A03"/>
    <w:rsid w:val="00A60FCB"/>
    <w:rsid w:val="00A71FD8"/>
    <w:rsid w:val="00A77FB6"/>
    <w:rsid w:val="00A84728"/>
    <w:rsid w:val="00A96745"/>
    <w:rsid w:val="00AB465F"/>
    <w:rsid w:val="00AB75DD"/>
    <w:rsid w:val="00AC5F0B"/>
    <w:rsid w:val="00AC612A"/>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63942"/>
    <w:rsid w:val="00C806D0"/>
    <w:rsid w:val="00C92A1E"/>
    <w:rsid w:val="00C97D3F"/>
    <w:rsid w:val="00CA345D"/>
    <w:rsid w:val="00CA3850"/>
    <w:rsid w:val="00CB430E"/>
    <w:rsid w:val="00CB5E24"/>
    <w:rsid w:val="00CD6196"/>
    <w:rsid w:val="00CE0277"/>
    <w:rsid w:val="00D13700"/>
    <w:rsid w:val="00D173B0"/>
    <w:rsid w:val="00D27B52"/>
    <w:rsid w:val="00D32D84"/>
    <w:rsid w:val="00D44C43"/>
    <w:rsid w:val="00D467E3"/>
    <w:rsid w:val="00D512C9"/>
    <w:rsid w:val="00D62F40"/>
    <w:rsid w:val="00D63549"/>
    <w:rsid w:val="00D66EE0"/>
    <w:rsid w:val="00D75182"/>
    <w:rsid w:val="00D764F3"/>
    <w:rsid w:val="00D9319E"/>
    <w:rsid w:val="00D93EFB"/>
    <w:rsid w:val="00DA75F5"/>
    <w:rsid w:val="00DC55D3"/>
    <w:rsid w:val="00E0042B"/>
    <w:rsid w:val="00E05EF5"/>
    <w:rsid w:val="00E1054A"/>
    <w:rsid w:val="00E14773"/>
    <w:rsid w:val="00E16E5A"/>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97D78"/>
    <w:rsid w:val="00EA59F1"/>
    <w:rsid w:val="00EA78D0"/>
    <w:rsid w:val="00EB63D4"/>
    <w:rsid w:val="00EB7EA5"/>
    <w:rsid w:val="00EE096A"/>
    <w:rsid w:val="00EE0E57"/>
    <w:rsid w:val="00EE517D"/>
    <w:rsid w:val="00EF0457"/>
    <w:rsid w:val="00EF3986"/>
    <w:rsid w:val="00F04068"/>
    <w:rsid w:val="00F247F3"/>
    <w:rsid w:val="00F26FF4"/>
    <w:rsid w:val="00F31D02"/>
    <w:rsid w:val="00F42BA9"/>
    <w:rsid w:val="00F4386E"/>
    <w:rsid w:val="00F4409C"/>
    <w:rsid w:val="00F45071"/>
    <w:rsid w:val="00F56889"/>
    <w:rsid w:val="00F620F9"/>
    <w:rsid w:val="00F62275"/>
    <w:rsid w:val="00F65F12"/>
    <w:rsid w:val="00F71D24"/>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87298">
      <w:bodyDiv w:val="1"/>
      <w:marLeft w:val="0"/>
      <w:marRight w:val="0"/>
      <w:marTop w:val="0"/>
      <w:marBottom w:val="0"/>
      <w:divBdr>
        <w:top w:val="none" w:sz="0" w:space="0" w:color="auto"/>
        <w:left w:val="none" w:sz="0" w:space="0" w:color="auto"/>
        <w:bottom w:val="none" w:sz="0" w:space="0" w:color="auto"/>
        <w:right w:val="none" w:sz="0" w:space="0" w:color="auto"/>
      </w:divBdr>
      <w:divsChild>
        <w:div w:id="230190617">
          <w:marLeft w:val="0"/>
          <w:marRight w:val="0"/>
          <w:marTop w:val="0"/>
          <w:marBottom w:val="0"/>
          <w:divBdr>
            <w:top w:val="none" w:sz="0" w:space="0" w:color="auto"/>
            <w:left w:val="none" w:sz="0" w:space="0" w:color="auto"/>
            <w:bottom w:val="none" w:sz="0" w:space="0" w:color="auto"/>
            <w:right w:val="none" w:sz="0" w:space="0" w:color="auto"/>
          </w:divBdr>
          <w:divsChild>
            <w:div w:id="13857609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511C6D"/>
    <w:rsid w:val="007D5AF7"/>
    <w:rsid w:val="0084452C"/>
    <w:rsid w:val="00967E05"/>
    <w:rsid w:val="00B20720"/>
    <w:rsid w:val="00CE16DD"/>
    <w:rsid w:val="00DA74F2"/>
    <w:rsid w:val="00DF1A47"/>
    <w:rsid w:val="00E24747"/>
    <w:rsid w:val="00F7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F5C6E44D-7400-428A-97A1-5E9EDEA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8</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3</cp:revision>
  <cp:lastPrinted>2014-11-11T01:42:00Z</cp:lastPrinted>
  <dcterms:created xsi:type="dcterms:W3CDTF">2015-11-15T23:47:00Z</dcterms:created>
  <dcterms:modified xsi:type="dcterms:W3CDTF">2015-11-16T01:14:00Z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