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EE5B9" w14:textId="77777777" w:rsidR="00065D04" w:rsidRDefault="00065D04" w:rsidP="00065D04">
      <w:pPr>
        <w:pStyle w:val="Heading3"/>
      </w:pPr>
      <w:r>
        <w:t>Specialist Working Group for Solid Organ Transplantation</w:t>
      </w:r>
    </w:p>
    <w:p w14:paraId="351D5C3D" w14:textId="151344F9" w:rsidR="00065D04" w:rsidRDefault="00065D04">
      <w:r w:rsidRPr="006B488C">
        <w:rPr>
          <w:b/>
          <w:i/>
        </w:rPr>
        <w:t>Proposed changes to the Criteria for the clinical use of intravenous immunoglobulin in Australia</w:t>
      </w:r>
    </w:p>
    <w:tbl>
      <w:tblPr>
        <w:tblStyle w:val="TableGrid"/>
        <w:tblW w:w="5000" w:type="pct"/>
        <w:tblLook w:val="0680" w:firstRow="0" w:lastRow="0" w:firstColumn="1" w:lastColumn="0" w:noHBand="1" w:noVBand="1"/>
      </w:tblPr>
      <w:tblGrid>
        <w:gridCol w:w="2166"/>
        <w:gridCol w:w="394"/>
        <w:gridCol w:w="2520"/>
        <w:gridCol w:w="1783"/>
        <w:gridCol w:w="2001"/>
        <w:gridCol w:w="669"/>
        <w:gridCol w:w="4641"/>
      </w:tblGrid>
      <w:tr w:rsidR="00BA00AB" w:rsidRPr="00A74878" w14:paraId="1CD638F1" w14:textId="77777777" w:rsidTr="004E1F6E">
        <w:trPr>
          <w:tblHeader/>
        </w:trPr>
        <w:tc>
          <w:tcPr>
            <w:tcW w:w="764" w:type="pct"/>
            <w:shd w:val="clear" w:color="auto" w:fill="DBE5F1" w:themeFill="accent1" w:themeFillTint="33"/>
          </w:tcPr>
          <w:p w14:paraId="1B704A35" w14:textId="3079361A" w:rsidR="00BA00AB" w:rsidRPr="00A74878" w:rsidRDefault="00BA00AB" w:rsidP="00065D04">
            <w:pPr>
              <w:spacing w:before="120" w:after="120"/>
              <w:rPr>
                <w:rFonts w:asciiTheme="minorHAnsi" w:hAnsiTheme="minorHAnsi"/>
                <w:b/>
                <w:sz w:val="24"/>
                <w:szCs w:val="24"/>
              </w:rPr>
            </w:pPr>
            <w:r w:rsidRPr="00A74878">
              <w:rPr>
                <w:rFonts w:asciiTheme="minorHAnsi" w:hAnsiTheme="minorHAnsi"/>
                <w:b/>
                <w:sz w:val="24"/>
                <w:szCs w:val="24"/>
              </w:rPr>
              <w:t>ITEM</w:t>
            </w:r>
          </w:p>
        </w:tc>
        <w:tc>
          <w:tcPr>
            <w:tcW w:w="1028" w:type="pct"/>
            <w:gridSpan w:val="2"/>
            <w:shd w:val="clear" w:color="auto" w:fill="DBE5F1" w:themeFill="accent1" w:themeFillTint="33"/>
          </w:tcPr>
          <w:p w14:paraId="3DDB9AEC" w14:textId="77777777" w:rsidR="00BA00AB" w:rsidRPr="00A74878" w:rsidRDefault="00BA00AB" w:rsidP="00065D04">
            <w:pPr>
              <w:spacing w:before="120" w:after="120"/>
              <w:rPr>
                <w:rFonts w:asciiTheme="minorHAnsi" w:hAnsiTheme="minorHAnsi"/>
                <w:b/>
                <w:sz w:val="24"/>
                <w:szCs w:val="24"/>
              </w:rPr>
            </w:pPr>
            <w:r w:rsidRPr="00A74878">
              <w:rPr>
                <w:rFonts w:asciiTheme="minorHAnsi" w:hAnsiTheme="minorHAnsi"/>
                <w:b/>
                <w:sz w:val="24"/>
                <w:szCs w:val="24"/>
              </w:rPr>
              <w:t>CRITERIA V 2</w:t>
            </w:r>
          </w:p>
        </w:tc>
        <w:tc>
          <w:tcPr>
            <w:tcW w:w="1571" w:type="pct"/>
            <w:gridSpan w:val="3"/>
            <w:shd w:val="clear" w:color="auto" w:fill="DBE5F1" w:themeFill="accent1" w:themeFillTint="33"/>
          </w:tcPr>
          <w:p w14:paraId="2CD332C1" w14:textId="77777777" w:rsidR="00BA00AB" w:rsidRPr="00A74878" w:rsidRDefault="00BA00AB" w:rsidP="00065D04">
            <w:pPr>
              <w:spacing w:before="120" w:after="120"/>
              <w:rPr>
                <w:rFonts w:asciiTheme="minorHAnsi" w:hAnsiTheme="minorHAnsi"/>
                <w:b/>
                <w:sz w:val="24"/>
                <w:szCs w:val="24"/>
              </w:rPr>
            </w:pPr>
            <w:r w:rsidRPr="00A74878">
              <w:rPr>
                <w:rFonts w:asciiTheme="minorHAnsi" w:hAnsiTheme="minorHAnsi"/>
                <w:b/>
                <w:sz w:val="24"/>
                <w:szCs w:val="24"/>
              </w:rPr>
              <w:t>PROPOSED REVISIONS TO THE CRITERIA (INLCUDING ADAPTATION TO THE IG SYSTEM)</w:t>
            </w:r>
          </w:p>
        </w:tc>
        <w:tc>
          <w:tcPr>
            <w:tcW w:w="1637" w:type="pct"/>
            <w:shd w:val="clear" w:color="auto" w:fill="DBE5F1" w:themeFill="accent1" w:themeFillTint="33"/>
          </w:tcPr>
          <w:p w14:paraId="3D4EDE32" w14:textId="77777777" w:rsidR="00BA00AB" w:rsidRPr="00A74878" w:rsidRDefault="00BA00AB" w:rsidP="00065D04">
            <w:pPr>
              <w:spacing w:before="120" w:after="120"/>
              <w:rPr>
                <w:rFonts w:asciiTheme="minorHAnsi" w:eastAsia="Times New Roman" w:hAnsiTheme="minorHAnsi" w:cstheme="minorHAnsi"/>
                <w:b/>
                <w:color w:val="000000"/>
                <w:sz w:val="24"/>
                <w:szCs w:val="24"/>
                <w:lang w:eastAsia="en-AU"/>
              </w:rPr>
            </w:pPr>
            <w:r w:rsidRPr="00A74878">
              <w:rPr>
                <w:rFonts w:asciiTheme="minorHAnsi" w:eastAsia="Times New Roman" w:hAnsiTheme="minorHAnsi" w:cstheme="minorHAnsi"/>
                <w:b/>
                <w:color w:val="000000"/>
                <w:sz w:val="24"/>
                <w:szCs w:val="24"/>
                <w:lang w:eastAsia="en-AU"/>
              </w:rPr>
              <w:t xml:space="preserve">SWG CHANGES AND RATIONALE </w:t>
            </w:r>
          </w:p>
          <w:p w14:paraId="15AEF3F7" w14:textId="77777777" w:rsidR="00BA00AB" w:rsidRPr="00A74878" w:rsidRDefault="00BA00AB" w:rsidP="00065D04">
            <w:pPr>
              <w:spacing w:before="120" w:after="120"/>
              <w:rPr>
                <w:rFonts w:asciiTheme="minorHAnsi" w:eastAsia="Times New Roman" w:hAnsiTheme="minorHAnsi" w:cstheme="minorHAnsi"/>
                <w:b/>
                <w:color w:val="000000"/>
                <w:sz w:val="24"/>
                <w:szCs w:val="24"/>
                <w:lang w:eastAsia="en-AU"/>
              </w:rPr>
            </w:pPr>
            <w:r w:rsidRPr="00A74878">
              <w:rPr>
                <w:rFonts w:asciiTheme="minorHAnsi" w:hAnsiTheme="minorHAnsi"/>
                <w:b/>
                <w:sz w:val="24"/>
                <w:szCs w:val="24"/>
              </w:rPr>
              <w:t>(A) Administrative) (B) Progressive (C) Programmed</w:t>
            </w:r>
          </w:p>
        </w:tc>
      </w:tr>
      <w:tr w:rsidR="00BA00AB" w:rsidRPr="00A74878" w14:paraId="47B7FA24" w14:textId="77777777" w:rsidTr="004E1F6E">
        <w:tc>
          <w:tcPr>
            <w:tcW w:w="764" w:type="pct"/>
            <w:shd w:val="clear" w:color="auto" w:fill="D9D9D9" w:themeFill="background1" w:themeFillShade="D9"/>
          </w:tcPr>
          <w:p w14:paraId="61533C5B" w14:textId="77777777" w:rsidR="00BA00AB" w:rsidRPr="00A74878" w:rsidRDefault="00BA00AB" w:rsidP="00065D04">
            <w:pPr>
              <w:rPr>
                <w:rFonts w:asciiTheme="minorHAnsi" w:hAnsiTheme="minorHAnsi"/>
                <w:sz w:val="24"/>
                <w:szCs w:val="24"/>
              </w:rPr>
            </w:pPr>
            <w:r w:rsidRPr="00A74878">
              <w:rPr>
                <w:rFonts w:asciiTheme="minorHAnsi" w:hAnsiTheme="minorHAnsi"/>
                <w:sz w:val="24"/>
                <w:szCs w:val="24"/>
              </w:rPr>
              <w:t>Condition Name</w:t>
            </w:r>
          </w:p>
        </w:tc>
        <w:tc>
          <w:tcPr>
            <w:tcW w:w="1028" w:type="pct"/>
            <w:gridSpan w:val="2"/>
          </w:tcPr>
          <w:p w14:paraId="513F61D9" w14:textId="77777777" w:rsidR="00BA00AB" w:rsidRPr="00A74878" w:rsidRDefault="00BA00AB" w:rsidP="00065D04">
            <w:pPr>
              <w:rPr>
                <w:rFonts w:asciiTheme="minorHAnsi" w:hAnsiTheme="minorHAnsi"/>
                <w:sz w:val="24"/>
                <w:szCs w:val="24"/>
              </w:rPr>
            </w:pPr>
            <w:r w:rsidRPr="00A74878">
              <w:rPr>
                <w:rFonts w:asciiTheme="minorHAnsi" w:hAnsiTheme="minorHAnsi"/>
                <w:b/>
                <w:bCs/>
                <w:sz w:val="24"/>
                <w:szCs w:val="24"/>
              </w:rPr>
              <w:t>Kidney transplantation</w:t>
            </w:r>
          </w:p>
        </w:tc>
        <w:tc>
          <w:tcPr>
            <w:tcW w:w="1571" w:type="pct"/>
            <w:gridSpan w:val="3"/>
          </w:tcPr>
          <w:p w14:paraId="0799A62A" w14:textId="77777777" w:rsidR="00BA00AB" w:rsidRPr="00A74878" w:rsidRDefault="00BA00AB" w:rsidP="00065D04">
            <w:pPr>
              <w:rPr>
                <w:rFonts w:asciiTheme="minorHAnsi" w:hAnsiTheme="minorHAnsi"/>
                <w:sz w:val="24"/>
                <w:szCs w:val="24"/>
              </w:rPr>
            </w:pPr>
            <w:r w:rsidRPr="00A74878">
              <w:rPr>
                <w:rFonts w:asciiTheme="minorHAnsi" w:hAnsiTheme="minorHAnsi"/>
                <w:b/>
                <w:bCs/>
                <w:sz w:val="24"/>
                <w:szCs w:val="24"/>
              </w:rPr>
              <w:t>Kidney transplantation</w:t>
            </w:r>
          </w:p>
        </w:tc>
        <w:tc>
          <w:tcPr>
            <w:tcW w:w="1637" w:type="pct"/>
          </w:tcPr>
          <w:p w14:paraId="2C88550D" w14:textId="77777777" w:rsidR="00BA00AB" w:rsidRPr="00A74878" w:rsidRDefault="00BA00AB" w:rsidP="00065D04">
            <w:pPr>
              <w:rPr>
                <w:rFonts w:asciiTheme="minorHAnsi" w:hAnsiTheme="minorHAnsi"/>
                <w:sz w:val="24"/>
                <w:szCs w:val="24"/>
              </w:rPr>
            </w:pPr>
          </w:p>
        </w:tc>
      </w:tr>
      <w:tr w:rsidR="00BA00AB" w:rsidRPr="00A74878" w14:paraId="73D5C693" w14:textId="77777777" w:rsidTr="004E1F6E">
        <w:tc>
          <w:tcPr>
            <w:tcW w:w="764" w:type="pct"/>
            <w:shd w:val="clear" w:color="auto" w:fill="D9D9D9" w:themeFill="background1" w:themeFillShade="D9"/>
          </w:tcPr>
          <w:p w14:paraId="5CB5F38B" w14:textId="77777777" w:rsidR="00BA00AB" w:rsidRPr="00A74878" w:rsidRDefault="00BA00AB" w:rsidP="00065D04">
            <w:pPr>
              <w:rPr>
                <w:rFonts w:asciiTheme="minorHAnsi" w:hAnsiTheme="minorHAnsi"/>
                <w:sz w:val="24"/>
                <w:szCs w:val="24"/>
              </w:rPr>
            </w:pPr>
            <w:r w:rsidRPr="00A74878">
              <w:rPr>
                <w:rFonts w:asciiTheme="minorHAnsi" w:hAnsiTheme="minorHAnsi"/>
                <w:sz w:val="24"/>
                <w:szCs w:val="24"/>
              </w:rPr>
              <w:t>Specialty</w:t>
            </w:r>
          </w:p>
        </w:tc>
        <w:tc>
          <w:tcPr>
            <w:tcW w:w="1028" w:type="pct"/>
            <w:gridSpan w:val="2"/>
          </w:tcPr>
          <w:p w14:paraId="4B4D0931" w14:textId="77777777" w:rsidR="00BA00AB" w:rsidRPr="00A74878" w:rsidRDefault="00BA00AB" w:rsidP="00065D04">
            <w:pPr>
              <w:rPr>
                <w:rFonts w:asciiTheme="minorHAnsi" w:hAnsiTheme="minorHAnsi"/>
                <w:sz w:val="24"/>
                <w:szCs w:val="24"/>
              </w:rPr>
            </w:pPr>
            <w:r w:rsidRPr="00A74878">
              <w:rPr>
                <w:rFonts w:asciiTheme="minorHAnsi" w:hAnsiTheme="minorHAnsi"/>
                <w:sz w:val="24"/>
                <w:szCs w:val="24"/>
              </w:rPr>
              <w:t>Transplantation Medicine</w:t>
            </w:r>
          </w:p>
        </w:tc>
        <w:tc>
          <w:tcPr>
            <w:tcW w:w="1571" w:type="pct"/>
            <w:gridSpan w:val="3"/>
          </w:tcPr>
          <w:p w14:paraId="656673A4" w14:textId="77777777" w:rsidR="00BA00AB" w:rsidRPr="00A74878" w:rsidRDefault="00BA00AB" w:rsidP="00065D04">
            <w:pPr>
              <w:rPr>
                <w:rFonts w:asciiTheme="minorHAnsi" w:hAnsiTheme="minorHAnsi"/>
                <w:sz w:val="24"/>
                <w:szCs w:val="24"/>
              </w:rPr>
            </w:pPr>
            <w:r w:rsidRPr="00A74878">
              <w:rPr>
                <w:rFonts w:asciiTheme="minorHAnsi" w:hAnsiTheme="minorHAnsi"/>
                <w:sz w:val="24"/>
                <w:szCs w:val="24"/>
              </w:rPr>
              <w:t>Transplantation Medicine</w:t>
            </w:r>
          </w:p>
        </w:tc>
        <w:tc>
          <w:tcPr>
            <w:tcW w:w="1637" w:type="pct"/>
          </w:tcPr>
          <w:p w14:paraId="266F486D" w14:textId="77777777" w:rsidR="00BA00AB" w:rsidRPr="00A74878" w:rsidRDefault="00BA00AB" w:rsidP="00065D04">
            <w:pPr>
              <w:rPr>
                <w:rFonts w:asciiTheme="minorHAnsi" w:hAnsiTheme="minorHAnsi"/>
                <w:sz w:val="24"/>
                <w:szCs w:val="24"/>
              </w:rPr>
            </w:pPr>
          </w:p>
        </w:tc>
      </w:tr>
      <w:tr w:rsidR="00BA00AB" w:rsidRPr="00A74878" w14:paraId="76EF4618" w14:textId="77777777" w:rsidTr="004E1F6E">
        <w:tc>
          <w:tcPr>
            <w:tcW w:w="764" w:type="pct"/>
            <w:shd w:val="clear" w:color="auto" w:fill="D9D9D9" w:themeFill="background1" w:themeFillShade="D9"/>
          </w:tcPr>
          <w:p w14:paraId="7D0B0022" w14:textId="77777777" w:rsidR="00BA00AB" w:rsidRPr="00A74878" w:rsidRDefault="00BA00AB" w:rsidP="00065D04">
            <w:pPr>
              <w:rPr>
                <w:rFonts w:asciiTheme="minorHAnsi" w:hAnsiTheme="minorHAnsi"/>
                <w:sz w:val="24"/>
                <w:szCs w:val="24"/>
              </w:rPr>
            </w:pPr>
            <w:r w:rsidRPr="00A74878">
              <w:rPr>
                <w:rFonts w:asciiTheme="minorHAnsi" w:hAnsiTheme="minorHAnsi"/>
                <w:sz w:val="24"/>
                <w:szCs w:val="24"/>
              </w:rPr>
              <w:t>Chapter</w:t>
            </w:r>
          </w:p>
        </w:tc>
        <w:tc>
          <w:tcPr>
            <w:tcW w:w="1028" w:type="pct"/>
            <w:gridSpan w:val="2"/>
          </w:tcPr>
          <w:p w14:paraId="2A11212C" w14:textId="77777777" w:rsidR="00BA00AB" w:rsidRPr="00A74878" w:rsidRDefault="00BA00AB" w:rsidP="00065D04">
            <w:pPr>
              <w:rPr>
                <w:rFonts w:asciiTheme="minorHAnsi" w:hAnsiTheme="minorHAnsi"/>
                <w:sz w:val="24"/>
                <w:szCs w:val="24"/>
              </w:rPr>
            </w:pPr>
            <w:r w:rsidRPr="00A74878">
              <w:rPr>
                <w:rFonts w:asciiTheme="minorHAnsi" w:hAnsiTheme="minorHAnsi"/>
                <w:sz w:val="24"/>
                <w:szCs w:val="24"/>
              </w:rPr>
              <w:t>6</w:t>
            </w:r>
          </w:p>
        </w:tc>
        <w:tc>
          <w:tcPr>
            <w:tcW w:w="1571" w:type="pct"/>
            <w:gridSpan w:val="3"/>
          </w:tcPr>
          <w:p w14:paraId="6E326288" w14:textId="77777777" w:rsidR="00BA00AB" w:rsidRPr="00A74878" w:rsidRDefault="00BA00AB" w:rsidP="00065D04">
            <w:pPr>
              <w:rPr>
                <w:rFonts w:asciiTheme="minorHAnsi" w:hAnsiTheme="minorHAnsi"/>
                <w:sz w:val="24"/>
                <w:szCs w:val="24"/>
              </w:rPr>
            </w:pPr>
            <w:r w:rsidRPr="00A74878">
              <w:rPr>
                <w:rFonts w:asciiTheme="minorHAnsi" w:hAnsiTheme="minorHAnsi"/>
                <w:sz w:val="24"/>
                <w:szCs w:val="24"/>
              </w:rPr>
              <w:t>6</w:t>
            </w:r>
          </w:p>
        </w:tc>
        <w:tc>
          <w:tcPr>
            <w:tcW w:w="1637" w:type="pct"/>
          </w:tcPr>
          <w:p w14:paraId="1DFAFB89" w14:textId="77777777" w:rsidR="00BA00AB" w:rsidRPr="00A74878" w:rsidRDefault="00BA00AB" w:rsidP="00065D04">
            <w:pPr>
              <w:rPr>
                <w:rFonts w:asciiTheme="minorHAnsi" w:hAnsiTheme="minorHAnsi"/>
                <w:sz w:val="24"/>
                <w:szCs w:val="24"/>
              </w:rPr>
            </w:pPr>
          </w:p>
        </w:tc>
      </w:tr>
      <w:tr w:rsidR="00BA00AB" w:rsidRPr="00A74878" w14:paraId="26D63F09" w14:textId="77777777" w:rsidTr="004E1F6E">
        <w:tc>
          <w:tcPr>
            <w:tcW w:w="764" w:type="pct"/>
            <w:shd w:val="clear" w:color="auto" w:fill="D9D9D9" w:themeFill="background1" w:themeFillShade="D9"/>
          </w:tcPr>
          <w:p w14:paraId="5460F740" w14:textId="77777777" w:rsidR="00BA00AB" w:rsidRPr="00A74878" w:rsidRDefault="00BA00AB" w:rsidP="00065D04">
            <w:pPr>
              <w:rPr>
                <w:rFonts w:asciiTheme="minorHAnsi" w:hAnsiTheme="minorHAnsi"/>
                <w:sz w:val="24"/>
                <w:szCs w:val="24"/>
              </w:rPr>
            </w:pPr>
            <w:r w:rsidRPr="00A74878">
              <w:rPr>
                <w:rFonts w:asciiTheme="minorHAnsi" w:hAnsiTheme="minorHAnsi"/>
                <w:sz w:val="24"/>
                <w:szCs w:val="24"/>
              </w:rPr>
              <w:t>Specific Conditions</w:t>
            </w:r>
          </w:p>
          <w:p w14:paraId="26FA3C93" w14:textId="50365310" w:rsidR="00BA00AB" w:rsidRPr="00A74878" w:rsidRDefault="00BA00AB" w:rsidP="00065D04">
            <w:pPr>
              <w:rPr>
                <w:rFonts w:asciiTheme="minorHAnsi" w:hAnsiTheme="minorHAnsi"/>
                <w:sz w:val="24"/>
                <w:szCs w:val="24"/>
              </w:rPr>
            </w:pPr>
            <w:r>
              <w:rPr>
                <w:rFonts w:asciiTheme="minorHAnsi" w:hAnsiTheme="minorHAnsi"/>
                <w:sz w:val="24"/>
                <w:szCs w:val="24"/>
              </w:rPr>
              <w:t xml:space="preserve"> </w:t>
            </w:r>
          </w:p>
          <w:p w14:paraId="68F2A393" w14:textId="77777777" w:rsidR="00BA00AB" w:rsidRPr="00A74878" w:rsidRDefault="00BA00AB" w:rsidP="00065D04">
            <w:pPr>
              <w:rPr>
                <w:rFonts w:asciiTheme="minorHAnsi" w:hAnsiTheme="minorHAnsi"/>
                <w:sz w:val="24"/>
                <w:szCs w:val="24"/>
              </w:rPr>
            </w:pPr>
          </w:p>
        </w:tc>
        <w:tc>
          <w:tcPr>
            <w:tcW w:w="1028" w:type="pct"/>
            <w:gridSpan w:val="2"/>
          </w:tcPr>
          <w:p w14:paraId="3F7A25E1" w14:textId="77777777" w:rsidR="00BA00AB" w:rsidRPr="00A74878" w:rsidRDefault="00BA00AB" w:rsidP="00065D04">
            <w:pPr>
              <w:rPr>
                <w:rFonts w:asciiTheme="minorHAnsi" w:hAnsiTheme="minorHAnsi"/>
                <w:sz w:val="24"/>
                <w:szCs w:val="24"/>
              </w:rPr>
            </w:pPr>
          </w:p>
        </w:tc>
        <w:tc>
          <w:tcPr>
            <w:tcW w:w="1571" w:type="pct"/>
            <w:gridSpan w:val="3"/>
          </w:tcPr>
          <w:p w14:paraId="4C0BFCA8" w14:textId="77777777" w:rsidR="00BA00AB" w:rsidRPr="00C93D2D" w:rsidRDefault="00BA00AB" w:rsidP="00065D04">
            <w:pPr>
              <w:pStyle w:val="ListParagraph"/>
              <w:numPr>
                <w:ilvl w:val="0"/>
                <w:numId w:val="39"/>
              </w:numPr>
              <w:ind w:left="720"/>
              <w:rPr>
                <w:iCs/>
                <w:sz w:val="24"/>
                <w:szCs w:val="24"/>
              </w:rPr>
            </w:pPr>
            <w:r w:rsidRPr="00C93D2D">
              <w:rPr>
                <w:iCs/>
                <w:sz w:val="24"/>
                <w:szCs w:val="24"/>
              </w:rPr>
              <w:t>1st kidney</w:t>
            </w:r>
          </w:p>
          <w:p w14:paraId="02E8A3A9" w14:textId="77777777" w:rsidR="00BA00AB" w:rsidRPr="00C93D2D" w:rsidRDefault="00BA00AB" w:rsidP="00065D04">
            <w:pPr>
              <w:pStyle w:val="ListParagraph"/>
              <w:numPr>
                <w:ilvl w:val="0"/>
                <w:numId w:val="39"/>
              </w:numPr>
              <w:ind w:left="720"/>
              <w:rPr>
                <w:iCs/>
                <w:sz w:val="24"/>
                <w:szCs w:val="24"/>
              </w:rPr>
            </w:pPr>
            <w:r w:rsidRPr="00C93D2D">
              <w:rPr>
                <w:iCs/>
                <w:sz w:val="24"/>
                <w:szCs w:val="24"/>
              </w:rPr>
              <w:t xml:space="preserve">2nd kidney </w:t>
            </w:r>
          </w:p>
          <w:p w14:paraId="31DB29B7" w14:textId="77777777" w:rsidR="00BA00AB" w:rsidRPr="00C93D2D" w:rsidRDefault="00BA00AB" w:rsidP="00065D04">
            <w:pPr>
              <w:pStyle w:val="ListParagraph"/>
              <w:numPr>
                <w:ilvl w:val="0"/>
                <w:numId w:val="39"/>
              </w:numPr>
              <w:ind w:left="720"/>
              <w:rPr>
                <w:iCs/>
                <w:sz w:val="24"/>
                <w:szCs w:val="24"/>
              </w:rPr>
            </w:pPr>
            <w:r w:rsidRPr="00C93D2D">
              <w:rPr>
                <w:iCs/>
                <w:sz w:val="24"/>
                <w:szCs w:val="24"/>
              </w:rPr>
              <w:t>3</w:t>
            </w:r>
            <w:r w:rsidRPr="00C93D2D">
              <w:rPr>
                <w:iCs/>
                <w:sz w:val="24"/>
                <w:szCs w:val="24"/>
                <w:vertAlign w:val="superscript"/>
              </w:rPr>
              <w:t>rd</w:t>
            </w:r>
            <w:r w:rsidRPr="00C93D2D">
              <w:rPr>
                <w:iCs/>
                <w:sz w:val="24"/>
                <w:szCs w:val="24"/>
              </w:rPr>
              <w:t xml:space="preserve"> kidney</w:t>
            </w:r>
          </w:p>
          <w:p w14:paraId="3FDC287A" w14:textId="77777777" w:rsidR="00BA00AB" w:rsidRPr="00C93D2D" w:rsidRDefault="00BA00AB" w:rsidP="00065D04">
            <w:pPr>
              <w:pStyle w:val="ListParagraph"/>
              <w:numPr>
                <w:ilvl w:val="0"/>
                <w:numId w:val="39"/>
              </w:numPr>
              <w:ind w:left="720"/>
              <w:rPr>
                <w:iCs/>
                <w:sz w:val="24"/>
                <w:szCs w:val="24"/>
              </w:rPr>
            </w:pPr>
            <w:r w:rsidRPr="00C93D2D">
              <w:rPr>
                <w:iCs/>
                <w:sz w:val="24"/>
                <w:szCs w:val="24"/>
              </w:rPr>
              <w:t>4</w:t>
            </w:r>
            <w:r w:rsidRPr="00C93D2D">
              <w:rPr>
                <w:iCs/>
                <w:sz w:val="24"/>
                <w:szCs w:val="24"/>
                <w:vertAlign w:val="superscript"/>
              </w:rPr>
              <w:t>th</w:t>
            </w:r>
            <w:r w:rsidRPr="00C93D2D">
              <w:rPr>
                <w:iCs/>
                <w:sz w:val="24"/>
                <w:szCs w:val="24"/>
              </w:rPr>
              <w:t xml:space="preserve"> kidney</w:t>
            </w:r>
          </w:p>
          <w:p w14:paraId="7C099660" w14:textId="77777777" w:rsidR="00BA00AB" w:rsidRPr="00C93D2D" w:rsidRDefault="00BA00AB" w:rsidP="00065D04">
            <w:pPr>
              <w:pStyle w:val="ListParagraph"/>
              <w:numPr>
                <w:ilvl w:val="0"/>
                <w:numId w:val="39"/>
              </w:numPr>
              <w:ind w:left="720"/>
              <w:rPr>
                <w:iCs/>
                <w:sz w:val="24"/>
                <w:szCs w:val="24"/>
              </w:rPr>
            </w:pPr>
            <w:r w:rsidRPr="00C93D2D">
              <w:rPr>
                <w:iCs/>
                <w:sz w:val="24"/>
                <w:szCs w:val="24"/>
              </w:rPr>
              <w:t>Liver &amp; Kidney</w:t>
            </w:r>
          </w:p>
          <w:p w14:paraId="16DADAB6" w14:textId="77777777" w:rsidR="00BA00AB" w:rsidRPr="00C93D2D" w:rsidRDefault="00BA00AB" w:rsidP="00065D04">
            <w:pPr>
              <w:pStyle w:val="ListParagraph"/>
              <w:numPr>
                <w:ilvl w:val="0"/>
                <w:numId w:val="39"/>
              </w:numPr>
              <w:ind w:left="720"/>
              <w:rPr>
                <w:iCs/>
                <w:sz w:val="24"/>
                <w:szCs w:val="24"/>
              </w:rPr>
            </w:pPr>
            <w:r w:rsidRPr="00C93D2D">
              <w:rPr>
                <w:iCs/>
                <w:sz w:val="24"/>
                <w:szCs w:val="24"/>
              </w:rPr>
              <w:t>Heart &amp; Kidney</w:t>
            </w:r>
          </w:p>
          <w:p w14:paraId="65053914" w14:textId="77777777" w:rsidR="00BA00AB" w:rsidRPr="00C93D2D" w:rsidRDefault="00BA00AB" w:rsidP="00065D04">
            <w:pPr>
              <w:pStyle w:val="ListParagraph"/>
              <w:numPr>
                <w:ilvl w:val="0"/>
                <w:numId w:val="39"/>
              </w:numPr>
              <w:ind w:left="720"/>
              <w:rPr>
                <w:iCs/>
                <w:sz w:val="24"/>
                <w:szCs w:val="24"/>
              </w:rPr>
            </w:pPr>
            <w:r w:rsidRPr="00C93D2D">
              <w:rPr>
                <w:iCs/>
                <w:sz w:val="24"/>
                <w:szCs w:val="24"/>
              </w:rPr>
              <w:t>Pancreas &amp; kidney</w:t>
            </w:r>
          </w:p>
          <w:p w14:paraId="146BA09D" w14:textId="77777777" w:rsidR="00BA00AB" w:rsidRPr="00C93D2D" w:rsidRDefault="00BA00AB" w:rsidP="00065D04">
            <w:pPr>
              <w:pStyle w:val="ListParagraph"/>
              <w:numPr>
                <w:ilvl w:val="0"/>
                <w:numId w:val="39"/>
              </w:numPr>
              <w:ind w:left="720"/>
              <w:rPr>
                <w:iCs/>
                <w:sz w:val="24"/>
                <w:szCs w:val="24"/>
              </w:rPr>
            </w:pPr>
            <w:r w:rsidRPr="00C93D2D">
              <w:rPr>
                <w:iCs/>
                <w:sz w:val="24"/>
                <w:szCs w:val="24"/>
              </w:rPr>
              <w:t xml:space="preserve">Other </w:t>
            </w:r>
          </w:p>
          <w:p w14:paraId="7FFD7389" w14:textId="77777777" w:rsidR="00BA00AB" w:rsidRPr="00A74878" w:rsidRDefault="00BA00AB" w:rsidP="00065D04">
            <w:pPr>
              <w:rPr>
                <w:rFonts w:asciiTheme="minorHAnsi" w:hAnsiTheme="minorHAnsi"/>
                <w:sz w:val="24"/>
                <w:szCs w:val="24"/>
              </w:rPr>
            </w:pPr>
          </w:p>
        </w:tc>
        <w:tc>
          <w:tcPr>
            <w:tcW w:w="1637" w:type="pct"/>
          </w:tcPr>
          <w:p w14:paraId="39463A11" w14:textId="77777777" w:rsidR="00BA00AB" w:rsidRPr="00C93D2D" w:rsidRDefault="00BA00AB" w:rsidP="00065D04">
            <w:pPr>
              <w:rPr>
                <w:rFonts w:asciiTheme="minorHAnsi" w:hAnsiTheme="minorHAnsi"/>
                <w:sz w:val="24"/>
                <w:szCs w:val="24"/>
              </w:rPr>
            </w:pPr>
            <w:r w:rsidRPr="00C93D2D">
              <w:rPr>
                <w:rFonts w:asciiTheme="minorHAnsi" w:hAnsiTheme="minorHAnsi"/>
                <w:sz w:val="24"/>
                <w:szCs w:val="24"/>
              </w:rPr>
              <w:t xml:space="preserve">Specific condition field will be used to track </w:t>
            </w:r>
            <w:r>
              <w:rPr>
                <w:rFonts w:asciiTheme="minorHAnsi" w:hAnsiTheme="minorHAnsi"/>
                <w:sz w:val="24"/>
                <w:szCs w:val="24"/>
              </w:rPr>
              <w:t xml:space="preserve">the complexity of kidney transplant for data analysis from the Ig System.  </w:t>
            </w:r>
          </w:p>
        </w:tc>
      </w:tr>
      <w:tr w:rsidR="00BA00AB" w:rsidRPr="00A74878" w14:paraId="787FE899" w14:textId="77777777" w:rsidTr="004E1F6E">
        <w:tc>
          <w:tcPr>
            <w:tcW w:w="764" w:type="pct"/>
            <w:shd w:val="clear" w:color="auto" w:fill="D9D9D9" w:themeFill="background1" w:themeFillShade="D9"/>
          </w:tcPr>
          <w:p w14:paraId="043D02A2" w14:textId="77777777" w:rsidR="00BA00AB" w:rsidRPr="00A74878" w:rsidRDefault="00BA00AB" w:rsidP="00065D04">
            <w:pPr>
              <w:rPr>
                <w:rFonts w:asciiTheme="minorHAnsi" w:hAnsiTheme="minorHAnsi"/>
                <w:sz w:val="24"/>
                <w:szCs w:val="24"/>
              </w:rPr>
            </w:pPr>
            <w:r w:rsidRPr="00A74878">
              <w:rPr>
                <w:rFonts w:asciiTheme="minorHAnsi" w:hAnsiTheme="minorHAnsi"/>
                <w:sz w:val="24"/>
                <w:szCs w:val="24"/>
              </w:rPr>
              <w:t>Level of Evidence</w:t>
            </w:r>
          </w:p>
          <w:p w14:paraId="339AA378" w14:textId="2EE75862" w:rsidR="00BA00AB" w:rsidRPr="00A74878" w:rsidRDefault="00BA00AB" w:rsidP="00065D04">
            <w:pPr>
              <w:rPr>
                <w:rFonts w:asciiTheme="minorHAnsi" w:hAnsiTheme="minorHAnsi"/>
                <w:sz w:val="24"/>
                <w:szCs w:val="24"/>
              </w:rPr>
            </w:pPr>
            <w:r>
              <w:rPr>
                <w:rFonts w:asciiTheme="minorHAnsi" w:hAnsiTheme="minorHAnsi"/>
                <w:sz w:val="24"/>
                <w:szCs w:val="24"/>
              </w:rPr>
              <w:t xml:space="preserve"> </w:t>
            </w:r>
          </w:p>
        </w:tc>
        <w:tc>
          <w:tcPr>
            <w:tcW w:w="1028" w:type="pct"/>
            <w:gridSpan w:val="2"/>
          </w:tcPr>
          <w:p w14:paraId="4E7E0949" w14:textId="77777777" w:rsidR="00BA00AB" w:rsidRPr="00A74878" w:rsidRDefault="00BA00AB" w:rsidP="00065D04">
            <w:pPr>
              <w:rPr>
                <w:rFonts w:asciiTheme="minorHAnsi" w:hAnsiTheme="minorHAnsi" w:cs="DIN-Light"/>
                <w:color w:val="000000"/>
                <w:sz w:val="24"/>
                <w:szCs w:val="24"/>
              </w:rPr>
            </w:pPr>
            <w:r w:rsidRPr="00A74878">
              <w:rPr>
                <w:rFonts w:asciiTheme="minorHAnsi" w:hAnsiTheme="minorHAnsi"/>
                <w:color w:val="000000"/>
                <w:sz w:val="24"/>
                <w:szCs w:val="24"/>
              </w:rPr>
              <w:t>Clear evidence of benefit (</w:t>
            </w:r>
            <w:hyperlink r:id="rId9" w:anchor="el-1" w:history="1">
              <w:r w:rsidRPr="00A74878">
                <w:rPr>
                  <w:rStyle w:val="Hyperlink"/>
                  <w:rFonts w:asciiTheme="minorHAnsi" w:hAnsiTheme="minorHAnsi"/>
                  <w:sz w:val="24"/>
                  <w:szCs w:val="24"/>
                </w:rPr>
                <w:t>Category 1</w:t>
              </w:r>
            </w:hyperlink>
            <w:r w:rsidRPr="00A74878">
              <w:rPr>
                <w:rFonts w:asciiTheme="minorHAnsi" w:hAnsiTheme="minorHAnsi"/>
                <w:color w:val="000000"/>
                <w:sz w:val="24"/>
                <w:szCs w:val="24"/>
              </w:rPr>
              <w:t>).</w:t>
            </w:r>
          </w:p>
        </w:tc>
        <w:tc>
          <w:tcPr>
            <w:tcW w:w="1571" w:type="pct"/>
            <w:gridSpan w:val="3"/>
          </w:tcPr>
          <w:p w14:paraId="5437156D" w14:textId="77777777" w:rsidR="00BA00AB" w:rsidRPr="00A74878" w:rsidRDefault="00BA00AB" w:rsidP="00065D04">
            <w:pPr>
              <w:rPr>
                <w:rFonts w:asciiTheme="minorHAnsi" w:hAnsiTheme="minorHAnsi"/>
                <w:sz w:val="24"/>
                <w:szCs w:val="24"/>
              </w:rPr>
            </w:pPr>
            <w:r w:rsidRPr="00A74878">
              <w:rPr>
                <w:rFonts w:asciiTheme="minorHAnsi" w:hAnsiTheme="minorHAnsi"/>
                <w:color w:val="000000"/>
                <w:sz w:val="24"/>
                <w:szCs w:val="24"/>
              </w:rPr>
              <w:t>Clear evidence of benefit (</w:t>
            </w:r>
            <w:hyperlink r:id="rId10" w:anchor="el-1" w:history="1">
              <w:r w:rsidRPr="00A74878">
                <w:rPr>
                  <w:rStyle w:val="Hyperlink"/>
                  <w:rFonts w:asciiTheme="minorHAnsi" w:hAnsiTheme="minorHAnsi"/>
                  <w:sz w:val="24"/>
                  <w:szCs w:val="24"/>
                </w:rPr>
                <w:t>Category 1</w:t>
              </w:r>
            </w:hyperlink>
            <w:r w:rsidRPr="00A74878">
              <w:rPr>
                <w:rFonts w:asciiTheme="minorHAnsi" w:hAnsiTheme="minorHAnsi"/>
                <w:color w:val="000000"/>
                <w:sz w:val="24"/>
                <w:szCs w:val="24"/>
              </w:rPr>
              <w:t>).</w:t>
            </w:r>
          </w:p>
        </w:tc>
        <w:tc>
          <w:tcPr>
            <w:tcW w:w="1637" w:type="pct"/>
          </w:tcPr>
          <w:p w14:paraId="603DE39E" w14:textId="77777777" w:rsidR="00BA00AB" w:rsidRPr="00A74878" w:rsidRDefault="00BA00AB" w:rsidP="00065D04">
            <w:pPr>
              <w:rPr>
                <w:rFonts w:asciiTheme="minorHAnsi" w:hAnsiTheme="minorHAnsi"/>
                <w:sz w:val="24"/>
                <w:szCs w:val="24"/>
              </w:rPr>
            </w:pPr>
          </w:p>
        </w:tc>
      </w:tr>
      <w:tr w:rsidR="00BA00AB" w:rsidRPr="00A74878" w14:paraId="710361F7" w14:textId="77777777" w:rsidTr="004E1F6E">
        <w:tc>
          <w:tcPr>
            <w:tcW w:w="764" w:type="pct"/>
            <w:shd w:val="clear" w:color="auto" w:fill="D9D9D9" w:themeFill="background1" w:themeFillShade="D9"/>
          </w:tcPr>
          <w:p w14:paraId="5E0B2BBE" w14:textId="77777777" w:rsidR="00BA00AB" w:rsidRPr="00A74878" w:rsidRDefault="00BA00AB" w:rsidP="00065D04">
            <w:pPr>
              <w:rPr>
                <w:rFonts w:asciiTheme="minorHAnsi" w:hAnsiTheme="minorHAnsi"/>
                <w:sz w:val="24"/>
                <w:szCs w:val="24"/>
              </w:rPr>
            </w:pPr>
            <w:r w:rsidRPr="00A74878">
              <w:rPr>
                <w:rFonts w:asciiTheme="minorHAnsi" w:hAnsiTheme="minorHAnsi"/>
                <w:sz w:val="24"/>
                <w:szCs w:val="24"/>
              </w:rPr>
              <w:t>Justification for Evidence Category</w:t>
            </w:r>
          </w:p>
          <w:p w14:paraId="6D9A0318" w14:textId="34543939" w:rsidR="00BA00AB" w:rsidRPr="00A74878" w:rsidRDefault="00BA00AB" w:rsidP="00065D04">
            <w:pPr>
              <w:rPr>
                <w:rFonts w:asciiTheme="minorHAnsi" w:hAnsiTheme="minorHAnsi"/>
                <w:sz w:val="24"/>
                <w:szCs w:val="24"/>
              </w:rPr>
            </w:pPr>
            <w:r>
              <w:rPr>
                <w:rFonts w:asciiTheme="minorHAnsi" w:hAnsiTheme="minorHAnsi"/>
                <w:sz w:val="24"/>
                <w:szCs w:val="24"/>
              </w:rPr>
              <w:t xml:space="preserve"> </w:t>
            </w:r>
          </w:p>
        </w:tc>
        <w:tc>
          <w:tcPr>
            <w:tcW w:w="1028" w:type="pct"/>
            <w:gridSpan w:val="2"/>
          </w:tcPr>
          <w:p w14:paraId="48759F36" w14:textId="77777777" w:rsidR="00BA00AB" w:rsidRPr="00A74878" w:rsidRDefault="00BA00AB" w:rsidP="00065D04">
            <w:pPr>
              <w:spacing w:after="225"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 xml:space="preserve">An RCT enrolling adult patients with end stage renal disease (ESRD) who were highly sensitised to HLA antigens found that IVIg was better than placebo in reducing anti-HLA antibody levels in </w:t>
            </w:r>
            <w:r w:rsidRPr="00A74878">
              <w:rPr>
                <w:rFonts w:asciiTheme="minorHAnsi" w:eastAsia="Times New Roman" w:hAnsiTheme="minorHAnsi" w:cs="Times New Roman"/>
                <w:color w:val="000000"/>
                <w:sz w:val="24"/>
                <w:szCs w:val="24"/>
                <w:lang w:eastAsia="en-AU"/>
              </w:rPr>
              <w:lastRenderedPageBreak/>
              <w:t>highly sensitised patients with ESRD (followed for two years after transplant), and that transplant rates were improved with IVIg therapy (Jordan et al 2004).</w:t>
            </w:r>
          </w:p>
          <w:p w14:paraId="6369BF3E" w14:textId="77777777" w:rsidR="00BA00AB" w:rsidRPr="00A74878" w:rsidRDefault="00BA00AB" w:rsidP="00065D04">
            <w:pPr>
              <w:spacing w:after="225"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Multiple case series have been reported in the literature, indicating efficacy in (acute) antibody mediated rejection, and recommended by a consensus conference (Takemoto et al 2004).</w:t>
            </w:r>
          </w:p>
          <w:p w14:paraId="6ADAAB8D" w14:textId="77777777" w:rsidR="00BA00AB" w:rsidRPr="00A74878" w:rsidRDefault="00BA00AB" w:rsidP="00065D04">
            <w:pPr>
              <w:spacing w:after="225"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 xml:space="preserve">Jordan et al (1998) combined data from seven renal transplant recipients and three heart transplant recipients with steroid-resistant combined antibody-mediated and </w:t>
            </w:r>
            <w:r w:rsidRPr="00A74878">
              <w:rPr>
                <w:rFonts w:asciiTheme="minorHAnsi" w:eastAsia="Times New Roman" w:hAnsiTheme="minorHAnsi" w:cs="Times New Roman"/>
                <w:color w:val="000000"/>
                <w:sz w:val="24"/>
                <w:szCs w:val="24"/>
                <w:lang w:eastAsia="en-AU"/>
              </w:rPr>
              <w:lastRenderedPageBreak/>
              <w:t>cellular rejection. All patients in this series were successfully treated with high-dose IVIg.</w:t>
            </w:r>
          </w:p>
          <w:p w14:paraId="61F42DFE" w14:textId="77777777" w:rsidR="00BA00AB" w:rsidRPr="00A74878" w:rsidRDefault="00BA00AB" w:rsidP="00065D04">
            <w:pPr>
              <w:spacing w:after="225"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A small RCT of transplanted patients with a five-year follow-up period showed that IVIg was as effective as OKT3 monoclonal antibodies in the treatment of steroid resistant rejection (survival rate at two years was 80% in both groups) but IVIg generated fewer side effects (Casadei et al 2001).</w:t>
            </w:r>
          </w:p>
          <w:p w14:paraId="6F954728" w14:textId="77777777" w:rsidR="00BA00AB" w:rsidRPr="00A74878" w:rsidRDefault="00BA00AB" w:rsidP="00065D04">
            <w:pPr>
              <w:rPr>
                <w:rFonts w:asciiTheme="minorHAnsi" w:hAnsiTheme="minorHAnsi"/>
                <w:sz w:val="24"/>
                <w:szCs w:val="24"/>
              </w:rPr>
            </w:pPr>
          </w:p>
        </w:tc>
        <w:tc>
          <w:tcPr>
            <w:tcW w:w="1571" w:type="pct"/>
            <w:gridSpan w:val="3"/>
          </w:tcPr>
          <w:p w14:paraId="4CD7BA39" w14:textId="77777777" w:rsidR="00BA00AB" w:rsidRPr="00A74878" w:rsidRDefault="00BA00AB" w:rsidP="00065D04">
            <w:pPr>
              <w:spacing w:after="225"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lastRenderedPageBreak/>
              <w:t xml:space="preserve">An RCT enrolling adult patients with end stage renal disease (ESRD) who were highly sensitised to HLA antigens found that IVIg was better than placebo in reducing anti-HLA antibody levels in highly sensitised patients with ESRD (followed for two years after transplant), and that transplant rates were improved with IVIg therapy (Jordan </w:t>
            </w:r>
            <w:r w:rsidRPr="00A74878">
              <w:rPr>
                <w:rFonts w:asciiTheme="minorHAnsi" w:eastAsia="Times New Roman" w:hAnsiTheme="minorHAnsi" w:cs="Times New Roman"/>
                <w:color w:val="000000"/>
                <w:sz w:val="24"/>
                <w:szCs w:val="24"/>
                <w:lang w:eastAsia="en-AU"/>
              </w:rPr>
              <w:lastRenderedPageBreak/>
              <w:t>et al 2004).</w:t>
            </w:r>
          </w:p>
          <w:p w14:paraId="0B0FFDBE" w14:textId="77777777" w:rsidR="00BA00AB" w:rsidRPr="00A74878" w:rsidRDefault="00BA00AB" w:rsidP="00065D04">
            <w:pPr>
              <w:spacing w:after="225"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Multiple case series have been reported in the literature, indicating efficacy in (acute) antibody mediated rejection, and recommended by a consensus conference (Takemoto et al 2004).</w:t>
            </w:r>
          </w:p>
          <w:p w14:paraId="7F861E1D" w14:textId="77777777" w:rsidR="00BA00AB" w:rsidRPr="00A74878" w:rsidRDefault="00BA00AB" w:rsidP="00065D04">
            <w:pPr>
              <w:spacing w:after="225"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Jordan et al (1998) combined data from seven renal transplant recipients and three heart transplant recipients with steroid-resistant combined antibody-mediated and cellular rejection. All patients in this series were successfully treated with high-dose IVIg.</w:t>
            </w:r>
          </w:p>
          <w:p w14:paraId="573E324C" w14:textId="77777777" w:rsidR="00BA00AB" w:rsidRPr="00A74878" w:rsidRDefault="00BA00AB" w:rsidP="00065D04">
            <w:pPr>
              <w:spacing w:after="225"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 xml:space="preserve">A small RCT of transplanted patients with a five-year follow-up period showed that IVIg was as effective as OKT3 monoclonal antibodies in the treatment of steroid resistant rejection (survival rate at two years was 80% in both groups) but IVIg generated fewer side effects (Casadei et al </w:t>
            </w:r>
            <w:r w:rsidRPr="00A74878">
              <w:rPr>
                <w:rFonts w:asciiTheme="minorHAnsi" w:eastAsia="Times New Roman" w:hAnsiTheme="minorHAnsi" w:cs="Times New Roman"/>
                <w:color w:val="000000"/>
                <w:sz w:val="24"/>
                <w:szCs w:val="24"/>
                <w:lang w:eastAsia="en-AU"/>
              </w:rPr>
              <w:lastRenderedPageBreak/>
              <w:t>2001).</w:t>
            </w:r>
          </w:p>
          <w:p w14:paraId="081C7FE1" w14:textId="77777777" w:rsidR="00BA00AB" w:rsidRPr="00A74878" w:rsidRDefault="00BA00AB" w:rsidP="00065D04">
            <w:pPr>
              <w:rPr>
                <w:rFonts w:asciiTheme="minorHAnsi" w:eastAsia="Times New Roman" w:hAnsiTheme="minorHAnsi" w:cs="Times New Roman"/>
                <w:color w:val="000000"/>
                <w:sz w:val="24"/>
                <w:szCs w:val="24"/>
                <w:lang w:eastAsia="en-AU"/>
              </w:rPr>
            </w:pPr>
          </w:p>
        </w:tc>
        <w:tc>
          <w:tcPr>
            <w:tcW w:w="1637" w:type="pct"/>
          </w:tcPr>
          <w:p w14:paraId="48628E4A" w14:textId="77777777" w:rsidR="00BA00AB" w:rsidRPr="00A74878" w:rsidRDefault="00BA00AB" w:rsidP="00065D04">
            <w:pPr>
              <w:rPr>
                <w:rFonts w:asciiTheme="minorHAnsi" w:hAnsiTheme="minorHAnsi"/>
                <w:sz w:val="24"/>
                <w:szCs w:val="24"/>
              </w:rPr>
            </w:pPr>
          </w:p>
        </w:tc>
      </w:tr>
      <w:tr w:rsidR="00BA00AB" w:rsidRPr="00A74878" w14:paraId="349296F7" w14:textId="77777777" w:rsidTr="004E1F6E">
        <w:tc>
          <w:tcPr>
            <w:tcW w:w="764" w:type="pct"/>
            <w:shd w:val="clear" w:color="auto" w:fill="D9D9D9" w:themeFill="background1" w:themeFillShade="D9"/>
          </w:tcPr>
          <w:p w14:paraId="29D244D5" w14:textId="77777777" w:rsidR="00BA00AB" w:rsidRPr="00A74878" w:rsidRDefault="00BA00AB" w:rsidP="00065D04">
            <w:pPr>
              <w:rPr>
                <w:rFonts w:asciiTheme="minorHAnsi" w:hAnsiTheme="minorHAnsi"/>
                <w:sz w:val="24"/>
                <w:szCs w:val="24"/>
              </w:rPr>
            </w:pPr>
            <w:r w:rsidRPr="00A74878">
              <w:rPr>
                <w:rFonts w:asciiTheme="minorHAnsi" w:hAnsiTheme="minorHAnsi"/>
                <w:sz w:val="24"/>
                <w:szCs w:val="24"/>
              </w:rPr>
              <w:lastRenderedPageBreak/>
              <w:t>Description and Diagnostic Criteria</w:t>
            </w:r>
          </w:p>
          <w:p w14:paraId="02A75BDA" w14:textId="77777777" w:rsidR="00BA00AB" w:rsidRPr="00A74878" w:rsidRDefault="00BA00AB" w:rsidP="00065D04">
            <w:pPr>
              <w:rPr>
                <w:rFonts w:asciiTheme="minorHAnsi" w:hAnsiTheme="minorHAnsi"/>
                <w:sz w:val="24"/>
                <w:szCs w:val="24"/>
              </w:rPr>
            </w:pPr>
            <w:r w:rsidRPr="00A74878">
              <w:rPr>
                <w:rFonts w:asciiTheme="minorHAnsi" w:hAnsiTheme="minorHAnsi"/>
                <w:sz w:val="24"/>
                <w:szCs w:val="24"/>
              </w:rPr>
              <w:t>There should be no change the published text</w:t>
            </w:r>
          </w:p>
        </w:tc>
        <w:tc>
          <w:tcPr>
            <w:tcW w:w="1028" w:type="pct"/>
            <w:gridSpan w:val="2"/>
          </w:tcPr>
          <w:p w14:paraId="697B5DB6" w14:textId="77777777" w:rsidR="00BA00AB" w:rsidRPr="00A74878" w:rsidRDefault="00BA00AB" w:rsidP="00065D04">
            <w:pPr>
              <w:spacing w:after="225"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 xml:space="preserve">Transplant rejection occurs when a recipient’s immune system attacks a transplanted organ or </w:t>
            </w:r>
            <w:r w:rsidRPr="00A74878">
              <w:rPr>
                <w:rFonts w:asciiTheme="minorHAnsi" w:eastAsia="Times New Roman" w:hAnsiTheme="minorHAnsi" w:cs="Times New Roman"/>
                <w:color w:val="000000"/>
                <w:sz w:val="24"/>
                <w:szCs w:val="24"/>
                <w:lang w:eastAsia="en-AU"/>
              </w:rPr>
              <w:lastRenderedPageBreak/>
              <w:t>tissue. Despite the use of immunosuppressants, one or more episodes of rejection can occur after transplantation. Both cellular and humoral (antibody-mediated) effector mechanisms can play a role.</w:t>
            </w:r>
          </w:p>
          <w:p w14:paraId="3CC6ECB5" w14:textId="77777777" w:rsidR="00BA00AB" w:rsidRPr="00A74878" w:rsidRDefault="00BA00AB" w:rsidP="00065D04">
            <w:pPr>
              <w:spacing w:after="225"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 xml:space="preserve">The presence and pattern of rejection need to be established by biopsy. Laboratory tests to assess the presence and strength of antibodies to the donor antigens can provide additional useful information. Clinical assessment, blood tests, ultrasound and nuclear imaging are used primarily </w:t>
            </w:r>
            <w:r w:rsidRPr="00A74878">
              <w:rPr>
                <w:rFonts w:asciiTheme="minorHAnsi" w:eastAsia="Times New Roman" w:hAnsiTheme="minorHAnsi" w:cs="Times New Roman"/>
                <w:color w:val="000000"/>
                <w:sz w:val="24"/>
                <w:szCs w:val="24"/>
                <w:lang w:eastAsia="en-AU"/>
              </w:rPr>
              <w:lastRenderedPageBreak/>
              <w:t>to exclude other causes of organ dysfunction.</w:t>
            </w:r>
          </w:p>
          <w:p w14:paraId="3673A137" w14:textId="77777777" w:rsidR="00BA00AB" w:rsidRPr="00A74878" w:rsidRDefault="00BA00AB" w:rsidP="00065D04">
            <w:pPr>
              <w:spacing w:after="225"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Acute cellular rejection occurs in 15–30% of renal transplants and is responsive to steroids in more than 90% of cases. When rejection is steroid resistant, IVIg is a safer therapy than anti-T cell antibody therapy with equal efficacy.</w:t>
            </w:r>
          </w:p>
          <w:p w14:paraId="0CFC7D12" w14:textId="77777777" w:rsidR="00BA00AB" w:rsidRPr="00A74878" w:rsidRDefault="00BA00AB" w:rsidP="00065D04">
            <w:pPr>
              <w:spacing w:after="225"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 xml:space="preserve">Antibody mediated rejection (AbMR) occurs in 5–10% of renal transplants that have been performed with a compatible cross match. Before the use of IVIg and plasma exchange, AbMR failed to respond adequately to therapy in </w:t>
            </w:r>
            <w:r w:rsidRPr="00A74878">
              <w:rPr>
                <w:rFonts w:asciiTheme="minorHAnsi" w:eastAsia="Times New Roman" w:hAnsiTheme="minorHAnsi" w:cs="Times New Roman"/>
                <w:color w:val="000000"/>
                <w:sz w:val="24"/>
                <w:szCs w:val="24"/>
                <w:lang w:eastAsia="en-AU"/>
              </w:rPr>
              <w:lastRenderedPageBreak/>
              <w:t>most cases. Additionally, complications from therapy were severe and sometimes fatal. AbMR responds to IVIg with or without plasma exchange in more than 85% of patients.</w:t>
            </w:r>
          </w:p>
          <w:p w14:paraId="4D56D6F5" w14:textId="77777777" w:rsidR="00BA00AB" w:rsidRPr="00A74878" w:rsidRDefault="00BA00AB" w:rsidP="00065D04">
            <w:pPr>
              <w:rPr>
                <w:rFonts w:asciiTheme="minorHAnsi" w:hAnsiTheme="minorHAnsi"/>
                <w:sz w:val="24"/>
                <w:szCs w:val="24"/>
              </w:rPr>
            </w:pPr>
          </w:p>
        </w:tc>
        <w:tc>
          <w:tcPr>
            <w:tcW w:w="1571" w:type="pct"/>
            <w:gridSpan w:val="3"/>
          </w:tcPr>
          <w:p w14:paraId="1781506B" w14:textId="77777777" w:rsidR="00BA00AB" w:rsidRPr="00A74878" w:rsidRDefault="00BA00AB" w:rsidP="00065D04">
            <w:pPr>
              <w:spacing w:after="225"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sz w:val="24"/>
                <w:szCs w:val="24"/>
                <w:lang w:eastAsia="en-AU"/>
              </w:rPr>
              <w:lastRenderedPageBreak/>
              <w:t>Transplant rejection</w:t>
            </w:r>
            <w:r w:rsidRPr="00A74878">
              <w:rPr>
                <w:rFonts w:asciiTheme="minorHAnsi" w:eastAsia="Times New Roman" w:hAnsiTheme="minorHAnsi" w:cs="Times New Roman"/>
                <w:color w:val="000000"/>
                <w:sz w:val="24"/>
                <w:szCs w:val="24"/>
                <w:lang w:eastAsia="en-AU"/>
              </w:rPr>
              <w:t xml:space="preserve"> occurs when a recipient’s immune system attacks a transplanted organ or tissue. Despite the use of immunosuppressants, one or more </w:t>
            </w:r>
            <w:r w:rsidRPr="00A74878">
              <w:rPr>
                <w:rFonts w:asciiTheme="minorHAnsi" w:eastAsia="Times New Roman" w:hAnsiTheme="minorHAnsi" w:cs="Times New Roman"/>
                <w:color w:val="000000"/>
                <w:sz w:val="24"/>
                <w:szCs w:val="24"/>
                <w:lang w:eastAsia="en-AU"/>
              </w:rPr>
              <w:lastRenderedPageBreak/>
              <w:t>episodes of rejection can occur after transplantation. Both cellular and humoral (antibody-mediated) effector mechanisms can play a role.</w:t>
            </w:r>
          </w:p>
          <w:p w14:paraId="56F6E36C" w14:textId="77777777" w:rsidR="00BA00AB" w:rsidRPr="00A74878" w:rsidRDefault="00BA00AB" w:rsidP="00065D04">
            <w:pPr>
              <w:spacing w:after="225"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The presence and pattern of rejection need to be established by biopsy. Laboratory tests to assess the presence and strength of antibodies to the donor antigens can provide additional useful information. Clinical assessment, blood tests, ultrasound and nuclear imaging are used primarily to exclude other causes of organ dysfunction.</w:t>
            </w:r>
          </w:p>
          <w:p w14:paraId="587F9C2C" w14:textId="77777777" w:rsidR="00BA00AB" w:rsidRPr="00A74878" w:rsidRDefault="00BA00AB" w:rsidP="00065D04">
            <w:pPr>
              <w:spacing w:after="225"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Acute cellular rejection occurs in 15–30% of renal transplants and is responsive to steroids in more than 90% of cases. When rejection is steroid resistant, IVIg is a safer therapy than anti-T cell antibody therapy with equal efficacy.</w:t>
            </w:r>
          </w:p>
          <w:p w14:paraId="32971A14" w14:textId="0583D683" w:rsidR="00BA00AB" w:rsidRPr="00A74878" w:rsidRDefault="00BA00AB" w:rsidP="00065D04">
            <w:pPr>
              <w:spacing w:after="225"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sz w:val="24"/>
                <w:szCs w:val="24"/>
                <w:lang w:eastAsia="en-AU"/>
              </w:rPr>
              <w:t>Antibody mediated rejection (AbMR)</w:t>
            </w:r>
            <w:r w:rsidRPr="00A74878">
              <w:rPr>
                <w:rFonts w:asciiTheme="minorHAnsi" w:eastAsia="Times New Roman" w:hAnsiTheme="minorHAnsi" w:cs="Times New Roman"/>
                <w:color w:val="000000"/>
                <w:sz w:val="24"/>
                <w:szCs w:val="24"/>
                <w:lang w:eastAsia="en-AU"/>
              </w:rPr>
              <w:t xml:space="preserve"> </w:t>
            </w:r>
            <w:r w:rsidRPr="00A74878">
              <w:rPr>
                <w:rFonts w:asciiTheme="minorHAnsi" w:eastAsia="Times New Roman" w:hAnsiTheme="minorHAnsi" w:cs="Times New Roman"/>
                <w:color w:val="000000"/>
                <w:sz w:val="24"/>
                <w:szCs w:val="24"/>
                <w:lang w:eastAsia="en-AU"/>
              </w:rPr>
              <w:lastRenderedPageBreak/>
              <w:t xml:space="preserve">occurs in 5–10% of renal transplants that have been performed with a compatible cross match.  Before the use of IVIg and plasma exchange, AbMR failed to respond adequately to therapy in most cases. Additionally, complications from therapy were severe and sometimes fatal. AbMR responds to IVIg with or without plasma exchange in more than 85% of patients.  Diagnostic criteria for AbMR must be consistent with Banff Criteria (Banff 2013 Meeting Report American Journal of Transplantation </w:t>
            </w:r>
            <w:r w:rsidR="008F110F" w:rsidRPr="00A74878">
              <w:rPr>
                <w:rFonts w:asciiTheme="minorHAnsi" w:eastAsia="Times New Roman" w:hAnsiTheme="minorHAnsi" w:cs="Times New Roman"/>
                <w:color w:val="000000"/>
                <w:sz w:val="24"/>
                <w:szCs w:val="24"/>
                <w:lang w:eastAsia="en-AU"/>
              </w:rPr>
              <w:t>2014:</w:t>
            </w:r>
            <w:r w:rsidRPr="00A74878">
              <w:rPr>
                <w:rFonts w:asciiTheme="minorHAnsi" w:eastAsia="Times New Roman" w:hAnsiTheme="minorHAnsi" w:cs="Times New Roman"/>
                <w:color w:val="000000"/>
                <w:sz w:val="24"/>
                <w:szCs w:val="24"/>
                <w:lang w:eastAsia="en-AU"/>
              </w:rPr>
              <w:t>14</w:t>
            </w:r>
            <w:r w:rsidR="008F110F" w:rsidRPr="00A74878">
              <w:rPr>
                <w:rFonts w:asciiTheme="minorHAnsi" w:eastAsia="Times New Roman" w:hAnsiTheme="minorHAnsi" w:cs="Times New Roman"/>
                <w:color w:val="000000"/>
                <w:sz w:val="24"/>
                <w:szCs w:val="24"/>
                <w:lang w:eastAsia="en-AU"/>
              </w:rPr>
              <w:t>; 272</w:t>
            </w:r>
            <w:r w:rsidRPr="00A74878">
              <w:rPr>
                <w:rFonts w:asciiTheme="minorHAnsi" w:eastAsia="Times New Roman" w:hAnsiTheme="minorHAnsi" w:cs="Times New Roman"/>
                <w:color w:val="000000"/>
                <w:sz w:val="24"/>
                <w:szCs w:val="24"/>
                <w:lang w:eastAsia="en-AU"/>
              </w:rPr>
              <w:t>-283 page 277)</w:t>
            </w:r>
            <w:r>
              <w:rPr>
                <w:rFonts w:asciiTheme="minorHAnsi" w:eastAsia="Times New Roman" w:hAnsiTheme="minorHAnsi" w:cs="Times New Roman"/>
                <w:color w:val="000000"/>
                <w:sz w:val="24"/>
                <w:szCs w:val="24"/>
                <w:lang w:eastAsia="en-AU"/>
              </w:rPr>
              <w:t>.</w:t>
            </w:r>
          </w:p>
          <w:p w14:paraId="752C1001" w14:textId="77777777" w:rsidR="00BA00AB" w:rsidRPr="00A74878" w:rsidRDefault="00BA00AB" w:rsidP="00065D04">
            <w:pPr>
              <w:tabs>
                <w:tab w:val="left" w:pos="900"/>
              </w:tabs>
              <w:spacing w:after="225" w:line="360" w:lineRule="atLeast"/>
              <w:rPr>
                <w:rFonts w:asciiTheme="minorHAnsi" w:eastAsia="Times New Roman" w:hAnsiTheme="minorHAnsi" w:cs="Times New Roman"/>
                <w:color w:val="000000"/>
                <w:sz w:val="24"/>
                <w:szCs w:val="24"/>
                <w:lang w:eastAsia="en-AU"/>
              </w:rPr>
            </w:pPr>
          </w:p>
        </w:tc>
        <w:tc>
          <w:tcPr>
            <w:tcW w:w="1637" w:type="pct"/>
          </w:tcPr>
          <w:p w14:paraId="366EFE95" w14:textId="5ED2BD6D" w:rsidR="00BA00AB" w:rsidRPr="00A74878" w:rsidRDefault="00471526" w:rsidP="00065D04">
            <w:pPr>
              <w:spacing w:after="225" w:line="360" w:lineRule="atLeast"/>
              <w:rPr>
                <w:rFonts w:asciiTheme="minorHAnsi" w:eastAsia="Times New Roman" w:hAnsiTheme="minorHAnsi" w:cs="Times New Roman"/>
                <w:sz w:val="24"/>
                <w:szCs w:val="24"/>
                <w:lang w:eastAsia="en-AU"/>
              </w:rPr>
            </w:pPr>
            <w:r>
              <w:rPr>
                <w:rFonts w:asciiTheme="minorHAnsi" w:hAnsiTheme="minorHAnsi"/>
                <w:sz w:val="24"/>
                <w:szCs w:val="24"/>
              </w:rPr>
              <w:lastRenderedPageBreak/>
              <w:t>Reference added to include</w:t>
            </w:r>
            <w:r w:rsidR="00BA00AB">
              <w:rPr>
                <w:rFonts w:asciiTheme="minorHAnsi" w:hAnsiTheme="minorHAnsi"/>
                <w:sz w:val="24"/>
                <w:szCs w:val="24"/>
              </w:rPr>
              <w:t xml:space="preserve"> BANFF criteria - the international standard for diagnostic features of antibody mediated rejection</w:t>
            </w:r>
            <w:r>
              <w:rPr>
                <w:rFonts w:asciiTheme="minorHAnsi" w:hAnsiTheme="minorHAnsi"/>
                <w:sz w:val="24"/>
                <w:szCs w:val="24"/>
              </w:rPr>
              <w:t xml:space="preserve"> </w:t>
            </w:r>
            <w:r>
              <w:rPr>
                <w:rFonts w:asciiTheme="minorHAnsi" w:hAnsiTheme="minorHAnsi"/>
                <w:sz w:val="24"/>
                <w:szCs w:val="24"/>
              </w:rPr>
              <w:lastRenderedPageBreak/>
              <w:t>(AbMR)</w:t>
            </w:r>
            <w:r w:rsidR="00BA00AB">
              <w:rPr>
                <w:rFonts w:asciiTheme="minorHAnsi" w:hAnsiTheme="minorHAnsi"/>
                <w:sz w:val="24"/>
                <w:szCs w:val="24"/>
              </w:rPr>
              <w:t>.</w:t>
            </w:r>
            <w:r>
              <w:rPr>
                <w:rFonts w:asciiTheme="minorHAnsi" w:hAnsiTheme="minorHAnsi"/>
                <w:sz w:val="24"/>
                <w:szCs w:val="24"/>
              </w:rPr>
              <w:t xml:space="preserve"> (A)</w:t>
            </w:r>
          </w:p>
        </w:tc>
      </w:tr>
      <w:tr w:rsidR="00BA00AB" w:rsidRPr="00A74878" w14:paraId="018EB103" w14:textId="77777777" w:rsidTr="004E1F6E">
        <w:tc>
          <w:tcPr>
            <w:tcW w:w="764" w:type="pct"/>
            <w:shd w:val="clear" w:color="auto" w:fill="D9D9D9" w:themeFill="background1" w:themeFillShade="D9"/>
          </w:tcPr>
          <w:p w14:paraId="76B65AF8" w14:textId="77777777" w:rsidR="00BA00AB" w:rsidRPr="00A74878" w:rsidRDefault="00BA00AB" w:rsidP="00065D04">
            <w:pPr>
              <w:rPr>
                <w:rFonts w:asciiTheme="minorHAnsi" w:hAnsiTheme="minorHAnsi"/>
                <w:sz w:val="24"/>
                <w:szCs w:val="24"/>
              </w:rPr>
            </w:pPr>
            <w:r w:rsidRPr="00A74878">
              <w:rPr>
                <w:rFonts w:asciiTheme="minorHAnsi" w:hAnsiTheme="minorHAnsi"/>
                <w:sz w:val="24"/>
                <w:szCs w:val="24"/>
              </w:rPr>
              <w:lastRenderedPageBreak/>
              <w:t>Diagnosis is required</w:t>
            </w:r>
          </w:p>
        </w:tc>
        <w:tc>
          <w:tcPr>
            <w:tcW w:w="1028" w:type="pct"/>
            <w:gridSpan w:val="2"/>
            <w:vMerge w:val="restart"/>
          </w:tcPr>
          <w:p w14:paraId="4CCCC2BF" w14:textId="578E3CE4" w:rsidR="00BA00AB" w:rsidRPr="00A74878" w:rsidRDefault="00BA00AB" w:rsidP="00065D04">
            <w:pPr>
              <w:rPr>
                <w:rFonts w:asciiTheme="minorHAnsi" w:hAnsiTheme="minorHAnsi"/>
                <w:sz w:val="24"/>
                <w:szCs w:val="24"/>
              </w:rPr>
            </w:pPr>
            <w:r w:rsidRPr="00A74878">
              <w:rPr>
                <w:rFonts w:asciiTheme="minorHAnsi" w:hAnsiTheme="minorHAnsi"/>
                <w:sz w:val="24"/>
                <w:szCs w:val="24"/>
              </w:rPr>
              <w:t>N</w:t>
            </w:r>
            <w:r w:rsidR="00471526">
              <w:rPr>
                <w:rFonts w:asciiTheme="minorHAnsi" w:hAnsiTheme="minorHAnsi"/>
                <w:sz w:val="24"/>
                <w:szCs w:val="24"/>
              </w:rPr>
              <w:t>o</w:t>
            </w:r>
          </w:p>
        </w:tc>
        <w:tc>
          <w:tcPr>
            <w:tcW w:w="629" w:type="pct"/>
          </w:tcPr>
          <w:p w14:paraId="6657ED87" w14:textId="7BB1F772" w:rsidR="00BA00AB" w:rsidRPr="00A74878" w:rsidRDefault="00BA00AB" w:rsidP="00065D04">
            <w:pPr>
              <w:rPr>
                <w:rFonts w:asciiTheme="minorHAnsi" w:hAnsiTheme="minorHAnsi"/>
                <w:sz w:val="24"/>
                <w:szCs w:val="24"/>
              </w:rPr>
            </w:pPr>
            <w:r w:rsidRPr="00A74878">
              <w:rPr>
                <w:rFonts w:asciiTheme="minorHAnsi" w:hAnsiTheme="minorHAnsi"/>
                <w:sz w:val="24"/>
                <w:szCs w:val="24"/>
              </w:rPr>
              <w:t>N</w:t>
            </w:r>
            <w:r w:rsidR="00471526">
              <w:rPr>
                <w:rFonts w:asciiTheme="minorHAnsi" w:hAnsiTheme="minorHAnsi"/>
                <w:sz w:val="24"/>
                <w:szCs w:val="24"/>
              </w:rPr>
              <w:t>o</w:t>
            </w:r>
          </w:p>
        </w:tc>
        <w:tc>
          <w:tcPr>
            <w:tcW w:w="706" w:type="pct"/>
            <w:shd w:val="clear" w:color="auto" w:fill="BFBFBF" w:themeFill="background1" w:themeFillShade="BF"/>
          </w:tcPr>
          <w:p w14:paraId="56405392" w14:textId="77777777" w:rsidR="00BA00AB" w:rsidRPr="00A74878" w:rsidRDefault="00BA00AB" w:rsidP="00065D04">
            <w:pPr>
              <w:rPr>
                <w:rFonts w:asciiTheme="minorHAnsi" w:hAnsiTheme="minorHAnsi"/>
                <w:sz w:val="24"/>
                <w:szCs w:val="24"/>
              </w:rPr>
            </w:pPr>
            <w:r w:rsidRPr="00A74878">
              <w:rPr>
                <w:rFonts w:asciiTheme="minorHAnsi" w:hAnsiTheme="minorHAnsi"/>
                <w:sz w:val="24"/>
                <w:szCs w:val="24"/>
              </w:rPr>
              <w:t>By which speciality</w:t>
            </w:r>
          </w:p>
        </w:tc>
        <w:tc>
          <w:tcPr>
            <w:tcW w:w="236" w:type="pct"/>
          </w:tcPr>
          <w:p w14:paraId="7CD2E7B8" w14:textId="77777777" w:rsidR="00BA00AB" w:rsidRPr="00A74878" w:rsidRDefault="00BA00AB" w:rsidP="00065D04">
            <w:pPr>
              <w:rPr>
                <w:rFonts w:asciiTheme="minorHAnsi" w:hAnsiTheme="minorHAnsi"/>
                <w:sz w:val="24"/>
                <w:szCs w:val="24"/>
              </w:rPr>
            </w:pPr>
            <w:r w:rsidRPr="00A74878">
              <w:rPr>
                <w:rFonts w:asciiTheme="minorHAnsi" w:hAnsiTheme="minorHAnsi"/>
                <w:sz w:val="24"/>
                <w:szCs w:val="24"/>
              </w:rPr>
              <w:t>N/A</w:t>
            </w:r>
          </w:p>
        </w:tc>
        <w:tc>
          <w:tcPr>
            <w:tcW w:w="1637" w:type="pct"/>
          </w:tcPr>
          <w:p w14:paraId="42107C53" w14:textId="77777777" w:rsidR="00BA00AB" w:rsidRPr="00A74878" w:rsidRDefault="00BA00AB" w:rsidP="00065D04">
            <w:pPr>
              <w:rPr>
                <w:rFonts w:asciiTheme="minorHAnsi" w:hAnsiTheme="minorHAnsi"/>
                <w:sz w:val="24"/>
                <w:szCs w:val="24"/>
              </w:rPr>
            </w:pPr>
          </w:p>
        </w:tc>
      </w:tr>
      <w:tr w:rsidR="00BA00AB" w:rsidRPr="00A74878" w14:paraId="40B3E93D" w14:textId="77777777" w:rsidTr="004E1F6E">
        <w:tc>
          <w:tcPr>
            <w:tcW w:w="764" w:type="pct"/>
            <w:shd w:val="clear" w:color="auto" w:fill="D9D9D9" w:themeFill="background1" w:themeFillShade="D9"/>
          </w:tcPr>
          <w:p w14:paraId="5A297344" w14:textId="77777777" w:rsidR="00BA00AB" w:rsidRPr="00A74878" w:rsidRDefault="00BA00AB" w:rsidP="00065D04">
            <w:pPr>
              <w:rPr>
                <w:rFonts w:asciiTheme="minorHAnsi" w:hAnsiTheme="minorHAnsi"/>
                <w:sz w:val="24"/>
                <w:szCs w:val="24"/>
              </w:rPr>
            </w:pPr>
            <w:r w:rsidRPr="00A74878">
              <w:rPr>
                <w:rFonts w:asciiTheme="minorHAnsi" w:hAnsiTheme="minorHAnsi"/>
                <w:sz w:val="24"/>
                <w:szCs w:val="24"/>
              </w:rPr>
              <w:t>Diagnosis must be verified</w:t>
            </w:r>
          </w:p>
        </w:tc>
        <w:tc>
          <w:tcPr>
            <w:tcW w:w="1028" w:type="pct"/>
            <w:gridSpan w:val="2"/>
            <w:vMerge/>
          </w:tcPr>
          <w:p w14:paraId="0337D3DF" w14:textId="77777777" w:rsidR="00BA00AB" w:rsidRPr="00A74878" w:rsidRDefault="00BA00AB" w:rsidP="00065D04">
            <w:pPr>
              <w:rPr>
                <w:rFonts w:asciiTheme="minorHAnsi" w:hAnsiTheme="minorHAnsi"/>
                <w:sz w:val="24"/>
                <w:szCs w:val="24"/>
              </w:rPr>
            </w:pPr>
          </w:p>
        </w:tc>
        <w:tc>
          <w:tcPr>
            <w:tcW w:w="629" w:type="pct"/>
          </w:tcPr>
          <w:p w14:paraId="0FC7BAA0" w14:textId="33CAF73D" w:rsidR="00BA00AB" w:rsidRPr="00A74878" w:rsidRDefault="00BA00AB" w:rsidP="00065D04">
            <w:pPr>
              <w:rPr>
                <w:rFonts w:asciiTheme="minorHAnsi" w:hAnsiTheme="minorHAnsi"/>
                <w:sz w:val="24"/>
                <w:szCs w:val="24"/>
              </w:rPr>
            </w:pPr>
            <w:r w:rsidRPr="00A74878">
              <w:rPr>
                <w:rFonts w:asciiTheme="minorHAnsi" w:hAnsiTheme="minorHAnsi"/>
                <w:sz w:val="24"/>
                <w:szCs w:val="24"/>
              </w:rPr>
              <w:t>N</w:t>
            </w:r>
            <w:r w:rsidR="00471526">
              <w:rPr>
                <w:rFonts w:asciiTheme="minorHAnsi" w:hAnsiTheme="minorHAnsi"/>
                <w:sz w:val="24"/>
                <w:szCs w:val="24"/>
              </w:rPr>
              <w:t>o</w:t>
            </w:r>
          </w:p>
        </w:tc>
        <w:tc>
          <w:tcPr>
            <w:tcW w:w="706" w:type="pct"/>
            <w:shd w:val="clear" w:color="auto" w:fill="BFBFBF" w:themeFill="background1" w:themeFillShade="BF"/>
          </w:tcPr>
          <w:p w14:paraId="7C4F50D5" w14:textId="77777777" w:rsidR="00BA00AB" w:rsidRPr="00A74878" w:rsidRDefault="00BA00AB" w:rsidP="00065D04">
            <w:pPr>
              <w:rPr>
                <w:rFonts w:asciiTheme="minorHAnsi" w:hAnsiTheme="minorHAnsi"/>
                <w:sz w:val="24"/>
                <w:szCs w:val="24"/>
              </w:rPr>
            </w:pPr>
            <w:r w:rsidRPr="00A74878">
              <w:rPr>
                <w:rFonts w:asciiTheme="minorHAnsi" w:hAnsiTheme="minorHAnsi"/>
                <w:sz w:val="24"/>
                <w:szCs w:val="24"/>
              </w:rPr>
              <w:t>By which speciality</w:t>
            </w:r>
          </w:p>
        </w:tc>
        <w:tc>
          <w:tcPr>
            <w:tcW w:w="236" w:type="pct"/>
          </w:tcPr>
          <w:p w14:paraId="09DD01E1" w14:textId="77777777" w:rsidR="00BA00AB" w:rsidRPr="00A74878" w:rsidRDefault="00BA00AB" w:rsidP="00065D04">
            <w:pPr>
              <w:rPr>
                <w:rFonts w:asciiTheme="minorHAnsi" w:hAnsiTheme="minorHAnsi"/>
                <w:sz w:val="24"/>
                <w:szCs w:val="24"/>
              </w:rPr>
            </w:pPr>
            <w:r w:rsidRPr="00A74878">
              <w:rPr>
                <w:rFonts w:asciiTheme="minorHAnsi" w:hAnsiTheme="minorHAnsi"/>
                <w:sz w:val="24"/>
                <w:szCs w:val="24"/>
              </w:rPr>
              <w:t>N/A</w:t>
            </w:r>
          </w:p>
        </w:tc>
        <w:tc>
          <w:tcPr>
            <w:tcW w:w="1637" w:type="pct"/>
          </w:tcPr>
          <w:p w14:paraId="7E9DCA02" w14:textId="77777777" w:rsidR="00BA00AB" w:rsidRPr="00A74878" w:rsidRDefault="00BA00AB" w:rsidP="00065D04">
            <w:pPr>
              <w:rPr>
                <w:rFonts w:asciiTheme="minorHAnsi" w:hAnsiTheme="minorHAnsi"/>
                <w:sz w:val="24"/>
                <w:szCs w:val="24"/>
              </w:rPr>
            </w:pPr>
          </w:p>
        </w:tc>
      </w:tr>
      <w:tr w:rsidR="00BA00AB" w:rsidRPr="00A74878" w14:paraId="458E5B48" w14:textId="77777777" w:rsidTr="004E1F6E">
        <w:tc>
          <w:tcPr>
            <w:tcW w:w="903" w:type="pct"/>
            <w:gridSpan w:val="2"/>
            <w:shd w:val="clear" w:color="auto" w:fill="D9D9D9" w:themeFill="background1" w:themeFillShade="D9"/>
          </w:tcPr>
          <w:p w14:paraId="51079A28" w14:textId="77777777" w:rsidR="00BA00AB" w:rsidRPr="00A74878" w:rsidRDefault="00BA00AB" w:rsidP="00065D04">
            <w:pPr>
              <w:jc w:val="center"/>
              <w:rPr>
                <w:rFonts w:asciiTheme="minorHAnsi" w:hAnsiTheme="minorHAnsi"/>
                <w:sz w:val="24"/>
                <w:szCs w:val="24"/>
              </w:rPr>
            </w:pPr>
            <w:r w:rsidRPr="00A74878">
              <w:rPr>
                <w:rFonts w:asciiTheme="minorHAnsi" w:hAnsiTheme="minorHAnsi"/>
                <w:sz w:val="24"/>
                <w:szCs w:val="24"/>
              </w:rPr>
              <w:t>Exclusion Criteria</w:t>
            </w:r>
          </w:p>
          <w:p w14:paraId="2BB1D7EF" w14:textId="0C7BA4C6" w:rsidR="00BA00AB" w:rsidRPr="00A74878" w:rsidRDefault="00BA00AB" w:rsidP="00065D04">
            <w:pPr>
              <w:jc w:val="center"/>
              <w:rPr>
                <w:rFonts w:asciiTheme="minorHAnsi" w:hAnsiTheme="minorHAnsi"/>
                <w:sz w:val="24"/>
                <w:szCs w:val="24"/>
              </w:rPr>
            </w:pPr>
          </w:p>
        </w:tc>
        <w:tc>
          <w:tcPr>
            <w:tcW w:w="889" w:type="pct"/>
          </w:tcPr>
          <w:p w14:paraId="60B5B8C6" w14:textId="77777777" w:rsidR="00BA00AB" w:rsidRPr="00A74878" w:rsidRDefault="00BA00AB" w:rsidP="00065D04">
            <w:pPr>
              <w:rPr>
                <w:rFonts w:asciiTheme="minorHAnsi" w:hAnsiTheme="minorHAnsi"/>
                <w:strike/>
                <w:sz w:val="24"/>
                <w:szCs w:val="24"/>
              </w:rPr>
            </w:pPr>
          </w:p>
        </w:tc>
        <w:tc>
          <w:tcPr>
            <w:tcW w:w="1571" w:type="pct"/>
            <w:gridSpan w:val="3"/>
          </w:tcPr>
          <w:p w14:paraId="367E72AD" w14:textId="77777777" w:rsidR="00BA00AB" w:rsidRPr="00A74878" w:rsidRDefault="00BA00AB" w:rsidP="00065D04">
            <w:pPr>
              <w:rPr>
                <w:rFonts w:asciiTheme="minorHAnsi" w:hAnsiTheme="minorHAnsi"/>
                <w:strike/>
                <w:sz w:val="24"/>
                <w:szCs w:val="24"/>
              </w:rPr>
            </w:pPr>
          </w:p>
        </w:tc>
        <w:tc>
          <w:tcPr>
            <w:tcW w:w="1637" w:type="pct"/>
          </w:tcPr>
          <w:p w14:paraId="2C021C28" w14:textId="77777777" w:rsidR="00BA00AB" w:rsidRPr="00A74878" w:rsidRDefault="00BA00AB" w:rsidP="00065D04">
            <w:pPr>
              <w:rPr>
                <w:rFonts w:asciiTheme="minorHAnsi" w:hAnsiTheme="minorHAnsi"/>
                <w:sz w:val="24"/>
                <w:szCs w:val="24"/>
              </w:rPr>
            </w:pPr>
          </w:p>
        </w:tc>
      </w:tr>
      <w:tr w:rsidR="00BA00AB" w:rsidRPr="00A74878" w14:paraId="4285F62F" w14:textId="77777777" w:rsidTr="004E1F6E">
        <w:tc>
          <w:tcPr>
            <w:tcW w:w="764" w:type="pct"/>
            <w:shd w:val="clear" w:color="auto" w:fill="D9D9D9" w:themeFill="background1" w:themeFillShade="D9"/>
          </w:tcPr>
          <w:p w14:paraId="0150AB95" w14:textId="77777777" w:rsidR="00BA00AB" w:rsidRPr="00A74878" w:rsidRDefault="00BA00AB" w:rsidP="00065D04">
            <w:pPr>
              <w:rPr>
                <w:rFonts w:asciiTheme="minorHAnsi" w:hAnsiTheme="minorHAnsi"/>
                <w:sz w:val="24"/>
                <w:szCs w:val="24"/>
              </w:rPr>
            </w:pPr>
            <w:r w:rsidRPr="00A74878">
              <w:rPr>
                <w:rFonts w:asciiTheme="minorHAnsi" w:hAnsiTheme="minorHAnsi"/>
                <w:sz w:val="24"/>
                <w:szCs w:val="24"/>
              </w:rPr>
              <w:t>Indications</w:t>
            </w:r>
          </w:p>
        </w:tc>
        <w:tc>
          <w:tcPr>
            <w:tcW w:w="1028" w:type="pct"/>
            <w:gridSpan w:val="2"/>
          </w:tcPr>
          <w:p w14:paraId="0ED31F1D" w14:textId="77777777" w:rsidR="00BA00AB" w:rsidRPr="00A74878" w:rsidRDefault="00BA00AB" w:rsidP="00065D04">
            <w:pPr>
              <w:spacing w:after="225" w:line="360" w:lineRule="atLeast"/>
              <w:rPr>
                <w:rFonts w:asciiTheme="minorHAnsi" w:eastAsia="Times New Roman" w:hAnsiTheme="minorHAnsi" w:cs="Times New Roman"/>
                <w:b/>
                <w:bCs/>
                <w:color w:val="000000"/>
                <w:sz w:val="24"/>
                <w:szCs w:val="24"/>
                <w:lang w:eastAsia="en-AU"/>
              </w:rPr>
            </w:pPr>
            <w:r w:rsidRPr="00A74878">
              <w:rPr>
                <w:rFonts w:asciiTheme="minorHAnsi" w:eastAsia="Times New Roman" w:hAnsiTheme="minorHAnsi" w:cs="Times New Roman"/>
                <w:b/>
                <w:bCs/>
                <w:color w:val="000000"/>
                <w:sz w:val="24"/>
                <w:szCs w:val="24"/>
                <w:lang w:eastAsia="en-AU"/>
              </w:rPr>
              <w:t>Pre-transplantation</w:t>
            </w:r>
          </w:p>
          <w:p w14:paraId="545D66EA" w14:textId="77777777" w:rsidR="00BA00AB" w:rsidRPr="00A74878" w:rsidRDefault="00BA00AB" w:rsidP="00065D04">
            <w:pPr>
              <w:spacing w:after="225"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 xml:space="preserve">Patients in whom an antibody or antibodies prevent transplantation (donor specific anti-human leukocyte antigen (HLA) antibody/ies or anti-blood </w:t>
            </w:r>
            <w:r w:rsidRPr="00A74878">
              <w:rPr>
                <w:rFonts w:asciiTheme="minorHAnsi" w:eastAsia="Times New Roman" w:hAnsiTheme="minorHAnsi" w:cs="Times New Roman"/>
                <w:color w:val="000000"/>
                <w:sz w:val="24"/>
                <w:szCs w:val="24"/>
                <w:lang w:eastAsia="en-AU"/>
              </w:rPr>
              <w:lastRenderedPageBreak/>
              <w:t>group antibody).</w:t>
            </w:r>
          </w:p>
          <w:p w14:paraId="1E41FA03" w14:textId="77777777" w:rsidR="00BA00AB" w:rsidRPr="00A74878" w:rsidRDefault="00BA00AB" w:rsidP="00065D04">
            <w:pPr>
              <w:spacing w:after="225" w:line="360" w:lineRule="atLeast"/>
              <w:rPr>
                <w:rFonts w:asciiTheme="minorHAnsi" w:eastAsia="Times New Roman" w:hAnsiTheme="minorHAnsi" w:cs="Times New Roman"/>
                <w:b/>
                <w:bCs/>
                <w:color w:val="000000"/>
                <w:sz w:val="24"/>
                <w:szCs w:val="24"/>
                <w:lang w:eastAsia="en-AU"/>
              </w:rPr>
            </w:pPr>
            <w:r w:rsidRPr="00A74878">
              <w:rPr>
                <w:rFonts w:asciiTheme="minorHAnsi" w:eastAsia="Times New Roman" w:hAnsiTheme="minorHAnsi" w:cs="Times New Roman"/>
                <w:b/>
                <w:bCs/>
                <w:color w:val="000000"/>
                <w:sz w:val="24"/>
                <w:szCs w:val="24"/>
                <w:lang w:eastAsia="en-AU"/>
              </w:rPr>
              <w:t>Post-transplantation</w:t>
            </w:r>
          </w:p>
          <w:p w14:paraId="6420FC89" w14:textId="77777777" w:rsidR="00BA00AB" w:rsidRPr="00A74878" w:rsidRDefault="00BA00AB" w:rsidP="00065D04">
            <w:pPr>
              <w:spacing w:after="225"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To treat steroid-resistant acute rejection which may be cellular or antibody mediated.</w:t>
            </w:r>
          </w:p>
          <w:p w14:paraId="6084FD7E" w14:textId="77777777" w:rsidR="00BA00AB" w:rsidRPr="00A74878" w:rsidRDefault="00BA00AB" w:rsidP="00065D04">
            <w:pPr>
              <w:spacing w:after="225"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For prevention and/or treatment of rejection where other therapies are contraindicated or pose a threat to the graft or patient.</w:t>
            </w:r>
          </w:p>
          <w:p w14:paraId="68FDAFED" w14:textId="77777777" w:rsidR="00BA00AB" w:rsidRPr="00A74878" w:rsidRDefault="00BA00AB" w:rsidP="00065D04">
            <w:pPr>
              <w:rPr>
                <w:rFonts w:asciiTheme="minorHAnsi" w:hAnsiTheme="minorHAnsi"/>
                <w:sz w:val="24"/>
                <w:szCs w:val="24"/>
              </w:rPr>
            </w:pPr>
          </w:p>
        </w:tc>
        <w:tc>
          <w:tcPr>
            <w:tcW w:w="1571" w:type="pct"/>
            <w:gridSpan w:val="3"/>
          </w:tcPr>
          <w:p w14:paraId="6752F92D" w14:textId="77777777" w:rsidR="00BA00AB" w:rsidRPr="00A74878" w:rsidRDefault="00BA00AB" w:rsidP="00065D04">
            <w:pPr>
              <w:spacing w:after="225" w:line="360" w:lineRule="atLeast"/>
              <w:rPr>
                <w:rFonts w:asciiTheme="minorHAnsi" w:eastAsia="Times New Roman" w:hAnsiTheme="minorHAnsi" w:cs="Times New Roman"/>
                <w:b/>
                <w:bCs/>
                <w:color w:val="000000"/>
                <w:sz w:val="24"/>
                <w:szCs w:val="24"/>
                <w:lang w:eastAsia="en-AU"/>
              </w:rPr>
            </w:pPr>
            <w:r w:rsidRPr="00A74878">
              <w:rPr>
                <w:rFonts w:asciiTheme="minorHAnsi" w:eastAsia="Times New Roman" w:hAnsiTheme="minorHAnsi" w:cs="Times New Roman"/>
                <w:b/>
                <w:bCs/>
                <w:color w:val="000000"/>
                <w:sz w:val="24"/>
                <w:szCs w:val="24"/>
                <w:lang w:eastAsia="en-AU"/>
              </w:rPr>
              <w:lastRenderedPageBreak/>
              <w:t>Pre - transplant where donor specific antibody/ies prevent transplantation (HLA or anti-blood group)</w:t>
            </w:r>
          </w:p>
          <w:p w14:paraId="0726694A" w14:textId="77777777" w:rsidR="00BA00AB" w:rsidRPr="00A74878" w:rsidRDefault="00BA00AB" w:rsidP="00065D04">
            <w:pPr>
              <w:spacing w:after="225" w:line="360" w:lineRule="atLeast"/>
              <w:rPr>
                <w:rFonts w:asciiTheme="minorHAnsi" w:eastAsia="Times New Roman" w:hAnsiTheme="minorHAnsi" w:cs="Times New Roman"/>
                <w:b/>
                <w:bCs/>
                <w:color w:val="000000"/>
                <w:sz w:val="24"/>
                <w:szCs w:val="24"/>
                <w:lang w:eastAsia="en-AU"/>
              </w:rPr>
            </w:pPr>
            <w:r w:rsidRPr="00A74878">
              <w:rPr>
                <w:rFonts w:asciiTheme="minorHAnsi" w:eastAsia="Times New Roman" w:hAnsiTheme="minorHAnsi" w:cs="Times New Roman"/>
                <w:b/>
                <w:bCs/>
                <w:color w:val="000000"/>
                <w:sz w:val="24"/>
                <w:szCs w:val="24"/>
                <w:lang w:eastAsia="en-AU"/>
              </w:rPr>
              <w:t>Post-transplant - acute anti-body mediated rejection</w:t>
            </w:r>
          </w:p>
          <w:p w14:paraId="67A1E6AA" w14:textId="77777777" w:rsidR="00BA00AB" w:rsidRPr="00A74878" w:rsidRDefault="00BA00AB" w:rsidP="00065D04">
            <w:pPr>
              <w:spacing w:after="225" w:line="360" w:lineRule="atLeast"/>
              <w:rPr>
                <w:rFonts w:asciiTheme="minorHAnsi" w:eastAsia="Times New Roman" w:hAnsiTheme="minorHAnsi" w:cs="Times New Roman"/>
                <w:b/>
                <w:bCs/>
                <w:color w:val="000000"/>
                <w:sz w:val="24"/>
                <w:szCs w:val="24"/>
                <w:lang w:eastAsia="en-AU"/>
              </w:rPr>
            </w:pPr>
            <w:r w:rsidRPr="00A74878">
              <w:rPr>
                <w:rFonts w:asciiTheme="minorHAnsi" w:eastAsia="Times New Roman" w:hAnsiTheme="minorHAnsi" w:cs="Times New Roman"/>
                <w:b/>
                <w:bCs/>
                <w:color w:val="000000"/>
                <w:sz w:val="24"/>
                <w:szCs w:val="24"/>
                <w:lang w:eastAsia="en-AU"/>
              </w:rPr>
              <w:t xml:space="preserve">Treatment or prevention of graft rejection </w:t>
            </w:r>
            <w:r w:rsidRPr="00A74878">
              <w:rPr>
                <w:rFonts w:asciiTheme="minorHAnsi" w:eastAsia="Times New Roman" w:hAnsiTheme="minorHAnsi" w:cs="Times New Roman"/>
                <w:b/>
                <w:bCs/>
                <w:color w:val="000000"/>
                <w:sz w:val="24"/>
                <w:szCs w:val="24"/>
                <w:lang w:eastAsia="en-AU"/>
              </w:rPr>
              <w:lastRenderedPageBreak/>
              <w:t>where conventional immunosuppressive therapies is contraindicated or pose a threat to the graft or patient</w:t>
            </w:r>
          </w:p>
          <w:p w14:paraId="491AFD18" w14:textId="77777777" w:rsidR="00BA00AB" w:rsidRPr="00A74878" w:rsidRDefault="00BA00AB" w:rsidP="00065D04">
            <w:pPr>
              <w:spacing w:after="225" w:line="360" w:lineRule="atLeast"/>
              <w:rPr>
                <w:rFonts w:asciiTheme="minorHAnsi" w:eastAsia="Times New Roman" w:hAnsiTheme="minorHAnsi" w:cs="Times New Roman"/>
                <w:b/>
                <w:bCs/>
                <w:color w:val="000000"/>
                <w:sz w:val="24"/>
                <w:szCs w:val="24"/>
                <w:lang w:eastAsia="en-AU"/>
              </w:rPr>
            </w:pPr>
          </w:p>
        </w:tc>
        <w:tc>
          <w:tcPr>
            <w:tcW w:w="1637" w:type="pct"/>
          </w:tcPr>
          <w:p w14:paraId="2B6C6CCB" w14:textId="6B012102" w:rsidR="00BA00AB" w:rsidRPr="00A74878" w:rsidRDefault="00BA00AB" w:rsidP="00065D04">
            <w:pPr>
              <w:rPr>
                <w:rFonts w:asciiTheme="minorHAnsi" w:hAnsiTheme="minorHAnsi"/>
                <w:sz w:val="24"/>
                <w:szCs w:val="24"/>
              </w:rPr>
            </w:pPr>
            <w:r>
              <w:rPr>
                <w:rFonts w:asciiTheme="minorHAnsi" w:hAnsiTheme="minorHAnsi"/>
                <w:sz w:val="24"/>
                <w:szCs w:val="24"/>
              </w:rPr>
              <w:lastRenderedPageBreak/>
              <w:t xml:space="preserve">Indications have been </w:t>
            </w:r>
            <w:r w:rsidR="00471526">
              <w:rPr>
                <w:rFonts w:asciiTheme="minorHAnsi" w:hAnsiTheme="minorHAnsi"/>
                <w:sz w:val="24"/>
                <w:szCs w:val="24"/>
              </w:rPr>
              <w:t>changed</w:t>
            </w:r>
            <w:r>
              <w:rPr>
                <w:rFonts w:asciiTheme="minorHAnsi" w:hAnsiTheme="minorHAnsi"/>
                <w:sz w:val="24"/>
                <w:szCs w:val="24"/>
              </w:rPr>
              <w:t xml:space="preserve"> with the second indication </w:t>
            </w:r>
            <w:r w:rsidR="00471526">
              <w:rPr>
                <w:rFonts w:asciiTheme="minorHAnsi" w:hAnsiTheme="minorHAnsi"/>
                <w:sz w:val="24"/>
                <w:szCs w:val="24"/>
              </w:rPr>
              <w:t>removing eligibility</w:t>
            </w:r>
            <w:r w:rsidR="006C116A">
              <w:rPr>
                <w:rFonts w:asciiTheme="minorHAnsi" w:hAnsiTheme="minorHAnsi"/>
                <w:sz w:val="24"/>
                <w:szCs w:val="24"/>
              </w:rPr>
              <w:t xml:space="preserve"> for steroid resistant ac</w:t>
            </w:r>
            <w:r w:rsidR="00471526">
              <w:rPr>
                <w:rFonts w:asciiTheme="minorHAnsi" w:hAnsiTheme="minorHAnsi"/>
                <w:sz w:val="24"/>
                <w:szCs w:val="24"/>
              </w:rPr>
              <w:t>u</w:t>
            </w:r>
            <w:r w:rsidR="006C116A">
              <w:rPr>
                <w:rFonts w:asciiTheme="minorHAnsi" w:hAnsiTheme="minorHAnsi"/>
                <w:sz w:val="24"/>
                <w:szCs w:val="24"/>
              </w:rPr>
              <w:t>t</w:t>
            </w:r>
            <w:r w:rsidR="00471526">
              <w:rPr>
                <w:rFonts w:asciiTheme="minorHAnsi" w:hAnsiTheme="minorHAnsi"/>
                <w:sz w:val="24"/>
                <w:szCs w:val="24"/>
              </w:rPr>
              <w:t>e cellular rejection. Ig</w:t>
            </w:r>
            <w:r>
              <w:rPr>
                <w:rFonts w:asciiTheme="minorHAnsi" w:hAnsiTheme="minorHAnsi"/>
                <w:sz w:val="24"/>
                <w:szCs w:val="24"/>
              </w:rPr>
              <w:t xml:space="preserve"> is rarely used </w:t>
            </w:r>
            <w:r w:rsidR="00471526">
              <w:rPr>
                <w:rFonts w:asciiTheme="minorHAnsi" w:hAnsiTheme="minorHAnsi"/>
                <w:sz w:val="24"/>
                <w:szCs w:val="24"/>
              </w:rPr>
              <w:t xml:space="preserve">for this requirement and if patients were very ill, could be managed under the third indication. </w:t>
            </w:r>
          </w:p>
        </w:tc>
      </w:tr>
      <w:tr w:rsidR="00BA00AB" w:rsidRPr="00A74878" w14:paraId="414AC8F1" w14:textId="77777777" w:rsidTr="004E1F6E">
        <w:tc>
          <w:tcPr>
            <w:tcW w:w="764" w:type="pct"/>
            <w:shd w:val="clear" w:color="auto" w:fill="D9D9D9" w:themeFill="background1" w:themeFillShade="D9"/>
          </w:tcPr>
          <w:p w14:paraId="284242EA" w14:textId="77777777" w:rsidR="00BA00AB" w:rsidRPr="00A74878" w:rsidRDefault="00BA00AB" w:rsidP="00065D04">
            <w:pPr>
              <w:rPr>
                <w:rFonts w:asciiTheme="minorHAnsi" w:hAnsiTheme="minorHAnsi"/>
                <w:sz w:val="24"/>
                <w:szCs w:val="24"/>
              </w:rPr>
            </w:pPr>
            <w:r w:rsidRPr="00A74878">
              <w:rPr>
                <w:rFonts w:asciiTheme="minorHAnsi" w:hAnsiTheme="minorHAnsi"/>
                <w:sz w:val="24"/>
                <w:szCs w:val="24"/>
              </w:rPr>
              <w:lastRenderedPageBreak/>
              <w:t>Qualifying Criteria</w:t>
            </w:r>
          </w:p>
        </w:tc>
        <w:tc>
          <w:tcPr>
            <w:tcW w:w="1028" w:type="pct"/>
            <w:gridSpan w:val="2"/>
          </w:tcPr>
          <w:p w14:paraId="110DDCAF" w14:textId="77777777" w:rsidR="00BA00AB" w:rsidRPr="00A74878" w:rsidRDefault="00BA00AB" w:rsidP="00065D04">
            <w:pPr>
              <w:spacing w:after="225" w:line="360" w:lineRule="atLeast"/>
              <w:rPr>
                <w:rFonts w:asciiTheme="minorHAnsi" w:eastAsia="Times New Roman" w:hAnsiTheme="minorHAnsi" w:cs="Times New Roman"/>
                <w:b/>
                <w:bCs/>
                <w:color w:val="000000"/>
                <w:sz w:val="24"/>
                <w:szCs w:val="24"/>
                <w:lang w:eastAsia="en-AU"/>
              </w:rPr>
            </w:pPr>
            <w:r w:rsidRPr="00A74878">
              <w:rPr>
                <w:rFonts w:asciiTheme="minorHAnsi" w:eastAsia="Times New Roman" w:hAnsiTheme="minorHAnsi" w:cs="Times New Roman"/>
                <w:b/>
                <w:bCs/>
                <w:color w:val="000000"/>
                <w:sz w:val="24"/>
                <w:szCs w:val="24"/>
                <w:lang w:eastAsia="en-AU"/>
              </w:rPr>
              <w:t>Pre-transplantation</w:t>
            </w:r>
          </w:p>
          <w:p w14:paraId="5BD7D899" w14:textId="77777777" w:rsidR="00BA00AB" w:rsidRPr="00A74878" w:rsidRDefault="00BA00AB" w:rsidP="00065D04">
            <w:pPr>
              <w:spacing w:after="225"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 xml:space="preserve">Patients in whom an antibody or antibodies prevent transplantation (donor-specific anti-HLA antibody/ies or anti-blood </w:t>
            </w:r>
            <w:r w:rsidRPr="00A74878">
              <w:rPr>
                <w:rFonts w:asciiTheme="minorHAnsi" w:eastAsia="Times New Roman" w:hAnsiTheme="minorHAnsi" w:cs="Times New Roman"/>
                <w:color w:val="000000"/>
                <w:sz w:val="24"/>
                <w:szCs w:val="24"/>
                <w:lang w:eastAsia="en-AU"/>
              </w:rPr>
              <w:lastRenderedPageBreak/>
              <w:t>group antibody).</w:t>
            </w:r>
          </w:p>
          <w:p w14:paraId="029D5A2D" w14:textId="77777777" w:rsidR="00BA00AB" w:rsidRPr="00A74878" w:rsidRDefault="00BA00AB" w:rsidP="00065D04">
            <w:pPr>
              <w:spacing w:after="225" w:line="360" w:lineRule="atLeast"/>
              <w:rPr>
                <w:rFonts w:asciiTheme="minorHAnsi" w:eastAsia="Times New Roman" w:hAnsiTheme="minorHAnsi" w:cs="Times New Roman"/>
                <w:b/>
                <w:bCs/>
                <w:color w:val="000000"/>
                <w:sz w:val="24"/>
                <w:szCs w:val="24"/>
                <w:lang w:eastAsia="en-AU"/>
              </w:rPr>
            </w:pPr>
            <w:r w:rsidRPr="00A74878">
              <w:rPr>
                <w:rFonts w:asciiTheme="minorHAnsi" w:eastAsia="Times New Roman" w:hAnsiTheme="minorHAnsi" w:cs="Times New Roman"/>
                <w:b/>
                <w:bCs/>
                <w:color w:val="000000"/>
                <w:sz w:val="24"/>
                <w:szCs w:val="24"/>
                <w:lang w:eastAsia="en-AU"/>
              </w:rPr>
              <w:t>Post-transplantation</w:t>
            </w:r>
          </w:p>
          <w:p w14:paraId="699915BC" w14:textId="77777777" w:rsidR="00BA00AB" w:rsidRPr="00A74878" w:rsidRDefault="00BA00AB" w:rsidP="00065D04">
            <w:pPr>
              <w:numPr>
                <w:ilvl w:val="0"/>
                <w:numId w:val="22"/>
              </w:numPr>
              <w:spacing w:before="100" w:beforeAutospacing="1" w:after="150"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Biopsy proven cellular rejection unresponsive to steroids with clinical evidence of graft dysfunction;</w:t>
            </w:r>
          </w:p>
          <w:p w14:paraId="30E3BFA4" w14:textId="77777777" w:rsidR="00BA00AB" w:rsidRPr="00A74878" w:rsidRDefault="00BA00AB" w:rsidP="00065D04">
            <w:pPr>
              <w:spacing w:after="225"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OR</w:t>
            </w:r>
          </w:p>
          <w:p w14:paraId="2C3BC81A" w14:textId="77777777" w:rsidR="00BA00AB" w:rsidRPr="00A74878" w:rsidRDefault="00BA00AB" w:rsidP="00065D04">
            <w:pPr>
              <w:numPr>
                <w:ilvl w:val="0"/>
                <w:numId w:val="23"/>
              </w:numPr>
              <w:spacing w:before="100" w:beforeAutospacing="1" w:after="150"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Acute antibody mediated rejection with clinical evidence of graft dysfunction;</w:t>
            </w:r>
          </w:p>
          <w:p w14:paraId="0C7858E7" w14:textId="77777777" w:rsidR="00BA00AB" w:rsidRPr="00A74878" w:rsidRDefault="00BA00AB" w:rsidP="00065D04">
            <w:pPr>
              <w:spacing w:after="225"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OR</w:t>
            </w:r>
          </w:p>
          <w:p w14:paraId="7FF74605" w14:textId="77777777" w:rsidR="00BA00AB" w:rsidRPr="008F75B5" w:rsidRDefault="00BA00AB" w:rsidP="00065D04">
            <w:pPr>
              <w:pStyle w:val="ListParagraph"/>
              <w:numPr>
                <w:ilvl w:val="0"/>
                <w:numId w:val="23"/>
              </w:numPr>
              <w:spacing w:before="100" w:beforeAutospacing="1" w:after="150" w:line="360" w:lineRule="atLeast"/>
              <w:rPr>
                <w:rFonts w:asciiTheme="minorHAnsi" w:eastAsia="Times New Roman" w:hAnsiTheme="minorHAnsi" w:cs="Times New Roman"/>
                <w:color w:val="000000"/>
                <w:sz w:val="24"/>
                <w:szCs w:val="24"/>
                <w:lang w:eastAsia="en-AU"/>
              </w:rPr>
            </w:pPr>
            <w:r w:rsidRPr="008F75B5">
              <w:rPr>
                <w:rFonts w:asciiTheme="minorHAnsi" w:eastAsia="Times New Roman" w:hAnsiTheme="minorHAnsi" w:cs="Times New Roman"/>
                <w:color w:val="000000"/>
                <w:sz w:val="24"/>
                <w:szCs w:val="24"/>
                <w:lang w:eastAsia="en-AU"/>
              </w:rPr>
              <w:t xml:space="preserve">As treatment or prophylaxis for rejection where </w:t>
            </w:r>
            <w:r w:rsidRPr="008F75B5">
              <w:rPr>
                <w:rFonts w:asciiTheme="minorHAnsi" w:eastAsia="Times New Roman" w:hAnsiTheme="minorHAnsi" w:cs="Times New Roman"/>
                <w:color w:val="000000"/>
                <w:sz w:val="24"/>
                <w:szCs w:val="24"/>
                <w:lang w:eastAsia="en-AU"/>
              </w:rPr>
              <w:lastRenderedPageBreak/>
              <w:t>conventional immunosuppressive therapy is contraindicated, for example:</w:t>
            </w:r>
          </w:p>
          <w:p w14:paraId="4C461F2F" w14:textId="77777777" w:rsidR="00BA00AB" w:rsidRPr="00A74878" w:rsidRDefault="00BA00AB" w:rsidP="00065D04">
            <w:pPr>
              <w:numPr>
                <w:ilvl w:val="0"/>
                <w:numId w:val="25"/>
              </w:numPr>
              <w:spacing w:before="100" w:beforeAutospacing="1" w:after="150"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 xml:space="preserve">in a patient with life-threatening infection in whom conventional immunosuppression will place the patient at even greater risk; </w:t>
            </w:r>
          </w:p>
          <w:p w14:paraId="3927212C" w14:textId="77777777" w:rsidR="00BA00AB" w:rsidRPr="00A74878" w:rsidRDefault="00BA00AB" w:rsidP="00065D04">
            <w:pPr>
              <w:numPr>
                <w:ilvl w:val="0"/>
                <w:numId w:val="25"/>
              </w:numPr>
              <w:spacing w:before="100" w:beforeAutospacing="1" w:after="150"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when the transplant is at risk (e.g. due to BK virus infection).</w:t>
            </w:r>
          </w:p>
          <w:p w14:paraId="2D305952" w14:textId="77777777" w:rsidR="00BA00AB" w:rsidRPr="00A74878" w:rsidRDefault="00BA00AB" w:rsidP="00065D04">
            <w:pPr>
              <w:rPr>
                <w:rFonts w:asciiTheme="minorHAnsi" w:hAnsiTheme="minorHAnsi"/>
                <w:sz w:val="24"/>
                <w:szCs w:val="24"/>
              </w:rPr>
            </w:pPr>
          </w:p>
        </w:tc>
        <w:tc>
          <w:tcPr>
            <w:tcW w:w="1571" w:type="pct"/>
            <w:gridSpan w:val="3"/>
          </w:tcPr>
          <w:p w14:paraId="32DF6B71" w14:textId="77777777" w:rsidR="00BA00AB" w:rsidRPr="00A74878" w:rsidRDefault="00BA00AB" w:rsidP="00065D04">
            <w:pPr>
              <w:spacing w:after="225" w:line="360" w:lineRule="atLeast"/>
              <w:rPr>
                <w:rFonts w:asciiTheme="minorHAnsi" w:eastAsia="Times New Roman" w:hAnsiTheme="minorHAnsi" w:cs="Times New Roman"/>
                <w:b/>
                <w:bCs/>
                <w:color w:val="000000"/>
                <w:sz w:val="24"/>
                <w:szCs w:val="24"/>
                <w:lang w:eastAsia="en-AU"/>
              </w:rPr>
            </w:pPr>
            <w:r w:rsidRPr="00A74878">
              <w:rPr>
                <w:rFonts w:asciiTheme="minorHAnsi" w:eastAsia="Times New Roman" w:hAnsiTheme="minorHAnsi" w:cs="Times New Roman"/>
                <w:b/>
                <w:bCs/>
                <w:color w:val="000000"/>
                <w:sz w:val="24"/>
                <w:szCs w:val="24"/>
                <w:lang w:eastAsia="en-AU"/>
              </w:rPr>
              <w:lastRenderedPageBreak/>
              <w:t>Pre - transplant where donor specific antibody/ies prevent transplantation (HLA or anti-blood group)</w:t>
            </w:r>
          </w:p>
          <w:p w14:paraId="4029A0EC" w14:textId="77777777" w:rsidR="00BA00AB" w:rsidRPr="00A74878" w:rsidRDefault="00BA00AB" w:rsidP="00065D04">
            <w:pPr>
              <w:rPr>
                <w:rFonts w:asciiTheme="minorHAnsi" w:hAnsiTheme="minorHAnsi"/>
                <w:b/>
                <w:sz w:val="24"/>
                <w:szCs w:val="24"/>
              </w:rPr>
            </w:pPr>
          </w:p>
          <w:p w14:paraId="180F5388" w14:textId="5E2530D0" w:rsidR="00BA00AB" w:rsidRPr="00A44B9B" w:rsidRDefault="00BA00AB" w:rsidP="00065D04">
            <w:pPr>
              <w:pStyle w:val="ListParagraph"/>
              <w:numPr>
                <w:ilvl w:val="0"/>
                <w:numId w:val="40"/>
              </w:numPr>
              <w:rPr>
                <w:sz w:val="24"/>
                <w:szCs w:val="24"/>
              </w:rPr>
            </w:pPr>
            <w:r w:rsidRPr="00A44B9B">
              <w:rPr>
                <w:sz w:val="24"/>
                <w:szCs w:val="24"/>
              </w:rPr>
              <w:t>ABO incompatible transplant planned and/or HLA antibody / antibodies (</w:t>
            </w:r>
            <w:r w:rsidR="0033479F" w:rsidRPr="00A44B9B">
              <w:rPr>
                <w:sz w:val="24"/>
                <w:szCs w:val="24"/>
              </w:rPr>
              <w:t>at least</w:t>
            </w:r>
            <w:r w:rsidRPr="00A44B9B">
              <w:rPr>
                <w:sz w:val="24"/>
                <w:szCs w:val="24"/>
              </w:rPr>
              <w:t xml:space="preserve"> 500 MFI) prevent organ </w:t>
            </w:r>
            <w:r w:rsidRPr="00A44B9B">
              <w:rPr>
                <w:sz w:val="24"/>
                <w:szCs w:val="24"/>
              </w:rPr>
              <w:lastRenderedPageBreak/>
              <w:t>transplantation</w:t>
            </w:r>
            <w:r w:rsidR="00A44B9B">
              <w:rPr>
                <w:sz w:val="24"/>
                <w:szCs w:val="24"/>
              </w:rPr>
              <w:t>.</w:t>
            </w:r>
            <w:r w:rsidRPr="00A44B9B">
              <w:rPr>
                <w:sz w:val="24"/>
                <w:szCs w:val="24"/>
              </w:rPr>
              <w:t xml:space="preserve"> </w:t>
            </w:r>
          </w:p>
          <w:p w14:paraId="1F043B0F" w14:textId="77777777" w:rsidR="00BA00AB" w:rsidRPr="00471526" w:rsidRDefault="00BA00AB" w:rsidP="00065D04">
            <w:pPr>
              <w:ind w:left="414"/>
              <w:rPr>
                <w:rFonts w:asciiTheme="minorHAnsi" w:eastAsia="Times New Roman" w:hAnsiTheme="minorHAnsi" w:cs="Times New Roman"/>
                <w:color w:val="000000"/>
                <w:sz w:val="24"/>
                <w:szCs w:val="24"/>
                <w:lang w:eastAsia="en-AU"/>
              </w:rPr>
            </w:pPr>
          </w:p>
          <w:p w14:paraId="2BA0646E" w14:textId="77777777" w:rsidR="00BA00AB" w:rsidRPr="00471526" w:rsidRDefault="00BA00AB" w:rsidP="00065D04">
            <w:pPr>
              <w:rPr>
                <w:rFonts w:asciiTheme="minorHAnsi" w:hAnsiTheme="minorHAnsi"/>
                <w:sz w:val="24"/>
                <w:szCs w:val="24"/>
              </w:rPr>
            </w:pPr>
          </w:p>
          <w:p w14:paraId="4339AAB3" w14:textId="77777777" w:rsidR="00BA00AB" w:rsidRPr="00471526" w:rsidRDefault="00BA00AB" w:rsidP="00065D04">
            <w:pPr>
              <w:spacing w:before="100" w:beforeAutospacing="1" w:after="150" w:line="276" w:lineRule="auto"/>
              <w:rPr>
                <w:rFonts w:asciiTheme="minorHAnsi" w:eastAsia="Times New Roman" w:hAnsiTheme="minorHAnsi" w:cs="Times New Roman"/>
                <w:b/>
                <w:bCs/>
                <w:color w:val="000000"/>
                <w:sz w:val="24"/>
                <w:szCs w:val="24"/>
                <w:lang w:eastAsia="en-AU"/>
              </w:rPr>
            </w:pPr>
            <w:r w:rsidRPr="00471526">
              <w:rPr>
                <w:rFonts w:asciiTheme="minorHAnsi" w:eastAsia="Times New Roman" w:hAnsiTheme="minorHAnsi" w:cs="Times New Roman"/>
                <w:b/>
                <w:bCs/>
                <w:color w:val="000000"/>
                <w:sz w:val="24"/>
                <w:szCs w:val="24"/>
                <w:lang w:eastAsia="en-AU"/>
              </w:rPr>
              <w:t xml:space="preserve">Post-transplant - active acute anti-body mediated rejection </w:t>
            </w:r>
          </w:p>
          <w:p w14:paraId="16566D98" w14:textId="34F750B7" w:rsidR="00BA00AB" w:rsidRPr="00471526" w:rsidRDefault="00A44B9B" w:rsidP="00065D04">
            <w:pPr>
              <w:rPr>
                <w:rFonts w:asciiTheme="minorHAnsi" w:eastAsia="Times New Roman" w:hAnsiTheme="minorHAnsi" w:cs="Times New Roman"/>
                <w:color w:val="000000"/>
                <w:sz w:val="24"/>
                <w:szCs w:val="24"/>
                <w:lang w:eastAsia="en-AU"/>
              </w:rPr>
            </w:pPr>
            <w:r>
              <w:rPr>
                <w:rFonts w:asciiTheme="minorHAnsi" w:eastAsia="Times New Roman" w:hAnsiTheme="minorHAnsi" w:cs="Times New Roman"/>
                <w:color w:val="000000"/>
                <w:sz w:val="24"/>
                <w:szCs w:val="24"/>
                <w:lang w:eastAsia="en-AU"/>
              </w:rPr>
              <w:t>[Group 1]</w:t>
            </w:r>
          </w:p>
          <w:p w14:paraId="0CB72E86" w14:textId="55955D32" w:rsidR="00BA00AB" w:rsidRPr="00065D04" w:rsidRDefault="00BA00AB" w:rsidP="00065D04">
            <w:pPr>
              <w:pStyle w:val="ListParagraph"/>
              <w:numPr>
                <w:ilvl w:val="0"/>
                <w:numId w:val="40"/>
              </w:numPr>
              <w:rPr>
                <w:sz w:val="24"/>
                <w:szCs w:val="24"/>
              </w:rPr>
            </w:pPr>
            <w:r w:rsidRPr="00A44B9B">
              <w:rPr>
                <w:sz w:val="24"/>
                <w:szCs w:val="24"/>
              </w:rPr>
              <w:t xml:space="preserve">Presence of incompatible ABO blood group donor specific antibody/antibodies </w:t>
            </w:r>
            <w:r w:rsidRPr="00065D04">
              <w:rPr>
                <w:sz w:val="24"/>
                <w:szCs w:val="24"/>
              </w:rPr>
              <w:t xml:space="preserve">and/or donor specific HLA antibody / antibodies (at least 500 MFI) </w:t>
            </w:r>
          </w:p>
          <w:p w14:paraId="6A807709" w14:textId="77777777" w:rsidR="00BA00AB" w:rsidRPr="00A74878" w:rsidRDefault="00BA00AB" w:rsidP="00065D04">
            <w:pPr>
              <w:rPr>
                <w:rFonts w:asciiTheme="minorHAnsi" w:eastAsia="Times New Roman" w:hAnsiTheme="minorHAnsi" w:cs="Times New Roman"/>
                <w:color w:val="000000"/>
                <w:sz w:val="24"/>
                <w:szCs w:val="24"/>
                <w:lang w:eastAsia="en-AU"/>
              </w:rPr>
            </w:pPr>
          </w:p>
          <w:p w14:paraId="5D63827D" w14:textId="77777777" w:rsidR="00BA00AB" w:rsidRPr="00A74878" w:rsidRDefault="00BA00AB" w:rsidP="00065D04">
            <w:pPr>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 xml:space="preserve">AND </w:t>
            </w:r>
          </w:p>
          <w:p w14:paraId="187B6FD2" w14:textId="4C401D49" w:rsidR="00471526" w:rsidRDefault="00A44B9B" w:rsidP="00065D04">
            <w:pPr>
              <w:rPr>
                <w:rFonts w:asciiTheme="minorHAnsi" w:eastAsia="Times New Roman" w:hAnsiTheme="minorHAnsi" w:cs="Times New Roman"/>
                <w:color w:val="000000"/>
                <w:sz w:val="24"/>
                <w:szCs w:val="24"/>
                <w:lang w:eastAsia="en-AU"/>
              </w:rPr>
            </w:pPr>
            <w:r>
              <w:rPr>
                <w:rFonts w:asciiTheme="minorHAnsi" w:eastAsia="Times New Roman" w:hAnsiTheme="minorHAnsi" w:cs="Times New Roman"/>
                <w:color w:val="000000"/>
                <w:sz w:val="24"/>
                <w:szCs w:val="24"/>
                <w:lang w:eastAsia="en-AU"/>
              </w:rPr>
              <w:t>[Group 2]</w:t>
            </w:r>
          </w:p>
          <w:p w14:paraId="694D794C" w14:textId="527D87FB" w:rsidR="00BA00AB" w:rsidRPr="00A44B9B" w:rsidRDefault="00BA00AB" w:rsidP="00065D04">
            <w:pPr>
              <w:pStyle w:val="ListParagraph"/>
              <w:numPr>
                <w:ilvl w:val="0"/>
                <w:numId w:val="40"/>
              </w:numPr>
              <w:rPr>
                <w:rFonts w:asciiTheme="minorHAnsi" w:eastAsia="Times New Roman" w:hAnsiTheme="minorHAnsi" w:cs="Times New Roman"/>
                <w:color w:val="000000"/>
                <w:sz w:val="24"/>
                <w:szCs w:val="24"/>
                <w:lang w:eastAsia="en-AU"/>
              </w:rPr>
            </w:pPr>
            <w:r w:rsidRPr="00A44B9B">
              <w:rPr>
                <w:rFonts w:asciiTheme="minorHAnsi" w:eastAsia="Times New Roman" w:hAnsiTheme="minorHAnsi" w:cs="Times New Roman"/>
                <w:color w:val="000000"/>
                <w:sz w:val="24"/>
                <w:szCs w:val="24"/>
                <w:lang w:eastAsia="en-AU"/>
              </w:rPr>
              <w:t xml:space="preserve">Current clinical and laboratory evidence of graft dysfunction where biopsy </w:t>
            </w:r>
            <w:r w:rsidR="00471526" w:rsidRPr="00A44B9B">
              <w:rPr>
                <w:rFonts w:asciiTheme="minorHAnsi" w:eastAsia="Times New Roman" w:hAnsiTheme="minorHAnsi" w:cs="Times New Roman"/>
                <w:color w:val="000000"/>
                <w:sz w:val="24"/>
                <w:szCs w:val="24"/>
                <w:lang w:eastAsia="en-AU"/>
              </w:rPr>
              <w:t xml:space="preserve">is </w:t>
            </w:r>
            <w:r w:rsidRPr="00A44B9B">
              <w:rPr>
                <w:rFonts w:asciiTheme="minorHAnsi" w:eastAsia="Times New Roman" w:hAnsiTheme="minorHAnsi" w:cs="Times New Roman"/>
                <w:color w:val="000000"/>
                <w:sz w:val="24"/>
                <w:szCs w:val="24"/>
                <w:lang w:eastAsia="en-AU"/>
              </w:rPr>
              <w:t xml:space="preserve">not available </w:t>
            </w:r>
          </w:p>
          <w:p w14:paraId="34D686F8" w14:textId="77777777" w:rsidR="00471526" w:rsidRPr="00A74878" w:rsidRDefault="00471526" w:rsidP="00065D04">
            <w:pPr>
              <w:rPr>
                <w:rFonts w:asciiTheme="minorHAnsi" w:eastAsia="Times New Roman" w:hAnsiTheme="minorHAnsi" w:cs="Times New Roman"/>
                <w:color w:val="000000"/>
                <w:sz w:val="24"/>
                <w:szCs w:val="24"/>
                <w:lang w:eastAsia="en-AU"/>
              </w:rPr>
            </w:pPr>
          </w:p>
          <w:p w14:paraId="5C334BEC" w14:textId="77777777" w:rsidR="00BA00AB" w:rsidRPr="00A74878" w:rsidRDefault="00BA00AB" w:rsidP="00065D04">
            <w:pPr>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 xml:space="preserve">OR </w:t>
            </w:r>
          </w:p>
          <w:p w14:paraId="36F48B7B" w14:textId="713607C0" w:rsidR="00BA00AB" w:rsidRPr="00A44B9B" w:rsidRDefault="00BA00AB" w:rsidP="00065D04">
            <w:pPr>
              <w:pStyle w:val="ListParagraph"/>
              <w:numPr>
                <w:ilvl w:val="0"/>
                <w:numId w:val="40"/>
              </w:numPr>
              <w:rPr>
                <w:rFonts w:asciiTheme="minorHAnsi" w:eastAsia="Times New Roman" w:hAnsiTheme="minorHAnsi" w:cs="Times New Roman"/>
                <w:color w:val="000000"/>
                <w:sz w:val="24"/>
                <w:szCs w:val="24"/>
                <w:vertAlign w:val="superscript"/>
                <w:lang w:eastAsia="en-AU"/>
              </w:rPr>
            </w:pPr>
            <w:r w:rsidRPr="00A44B9B">
              <w:rPr>
                <w:rFonts w:asciiTheme="minorHAnsi" w:eastAsia="Times New Roman" w:hAnsiTheme="minorHAnsi" w:cs="Times New Roman"/>
                <w:color w:val="000000"/>
                <w:sz w:val="24"/>
                <w:szCs w:val="24"/>
                <w:lang w:eastAsia="en-AU"/>
              </w:rPr>
              <w:t>Organ biopsy demonstrates antibody mediated rejec</w:t>
            </w:r>
            <w:r w:rsidR="00471526" w:rsidRPr="00A44B9B">
              <w:rPr>
                <w:rFonts w:asciiTheme="minorHAnsi" w:eastAsia="Times New Roman" w:hAnsiTheme="minorHAnsi" w:cs="Times New Roman"/>
                <w:color w:val="000000"/>
                <w:sz w:val="24"/>
                <w:szCs w:val="24"/>
                <w:lang w:eastAsia="en-AU"/>
              </w:rPr>
              <w:t>tion according to Banff</w:t>
            </w:r>
            <w:r w:rsidR="00B567FD">
              <w:rPr>
                <w:rFonts w:asciiTheme="minorHAnsi" w:eastAsia="Times New Roman" w:hAnsiTheme="minorHAnsi" w:cs="Times New Roman"/>
                <w:color w:val="000000"/>
                <w:sz w:val="24"/>
                <w:szCs w:val="24"/>
                <w:vertAlign w:val="superscript"/>
                <w:lang w:eastAsia="en-AU"/>
              </w:rPr>
              <w:t>1</w:t>
            </w:r>
            <w:r w:rsidRPr="00A44B9B">
              <w:rPr>
                <w:rFonts w:asciiTheme="minorHAnsi" w:eastAsia="Times New Roman" w:hAnsiTheme="minorHAnsi" w:cs="Times New Roman"/>
                <w:color w:val="000000"/>
                <w:sz w:val="24"/>
                <w:szCs w:val="24"/>
                <w:lang w:eastAsia="en-AU"/>
              </w:rPr>
              <w:t xml:space="preserve"> criteria</w:t>
            </w:r>
          </w:p>
          <w:p w14:paraId="2504A951" w14:textId="77777777" w:rsidR="00471526" w:rsidRPr="00A74878" w:rsidRDefault="00471526" w:rsidP="00065D04">
            <w:pPr>
              <w:rPr>
                <w:rFonts w:asciiTheme="minorHAnsi" w:eastAsia="Times New Roman" w:hAnsiTheme="minorHAnsi" w:cs="Times New Roman"/>
                <w:color w:val="000000"/>
                <w:sz w:val="24"/>
                <w:szCs w:val="24"/>
                <w:lang w:eastAsia="en-AU"/>
              </w:rPr>
            </w:pPr>
          </w:p>
          <w:p w14:paraId="5E97B2FE" w14:textId="77777777" w:rsidR="00BA00AB" w:rsidRDefault="00BA00AB" w:rsidP="00065D04">
            <w:pPr>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OR</w:t>
            </w:r>
          </w:p>
          <w:p w14:paraId="1CEACD0C" w14:textId="4091231A" w:rsidR="00BA00AB" w:rsidRPr="00A44B9B" w:rsidRDefault="00BA00AB" w:rsidP="00065D04">
            <w:pPr>
              <w:pStyle w:val="ListParagraph"/>
              <w:numPr>
                <w:ilvl w:val="0"/>
                <w:numId w:val="40"/>
              </w:numPr>
              <w:rPr>
                <w:rFonts w:asciiTheme="minorHAnsi" w:eastAsia="Times New Roman" w:hAnsiTheme="minorHAnsi" w:cs="Times New Roman"/>
                <w:color w:val="000000"/>
                <w:sz w:val="24"/>
                <w:szCs w:val="24"/>
                <w:lang w:eastAsia="en-AU"/>
              </w:rPr>
            </w:pPr>
            <w:r w:rsidRPr="00A44B9B">
              <w:rPr>
                <w:rFonts w:asciiTheme="minorHAnsi" w:eastAsia="Times New Roman" w:hAnsiTheme="minorHAnsi" w:cs="Times New Roman"/>
                <w:color w:val="000000"/>
                <w:sz w:val="24"/>
                <w:szCs w:val="24"/>
                <w:lang w:eastAsia="en-AU"/>
              </w:rPr>
              <w:t xml:space="preserve">There is a high clinical suspicion that it </w:t>
            </w:r>
            <w:r w:rsidRPr="00A44B9B">
              <w:rPr>
                <w:rFonts w:asciiTheme="minorHAnsi" w:eastAsia="Times New Roman" w:hAnsiTheme="minorHAnsi" w:cs="Times New Roman"/>
                <w:color w:val="000000"/>
                <w:sz w:val="24"/>
                <w:szCs w:val="24"/>
                <w:lang w:eastAsia="en-AU"/>
              </w:rPr>
              <w:lastRenderedPageBreak/>
              <w:t xml:space="preserve">is antibody mediated rejection and evidence </w:t>
            </w:r>
            <w:r w:rsidR="00471526" w:rsidRPr="00A44B9B">
              <w:rPr>
                <w:rFonts w:asciiTheme="minorHAnsi" w:eastAsia="Times New Roman" w:hAnsiTheme="minorHAnsi" w:cs="Times New Roman"/>
                <w:color w:val="000000"/>
                <w:sz w:val="24"/>
                <w:szCs w:val="24"/>
                <w:lang w:eastAsia="en-AU"/>
              </w:rPr>
              <w:t xml:space="preserve">is </w:t>
            </w:r>
            <w:r w:rsidRPr="00A44B9B">
              <w:rPr>
                <w:rFonts w:asciiTheme="minorHAnsi" w:eastAsia="Times New Roman" w:hAnsiTheme="minorHAnsi" w:cs="Times New Roman"/>
                <w:color w:val="000000"/>
                <w:sz w:val="24"/>
                <w:szCs w:val="24"/>
                <w:lang w:eastAsia="en-AU"/>
              </w:rPr>
              <w:t>not yet available (one-off request in early period of acute rejection).</w:t>
            </w:r>
          </w:p>
          <w:p w14:paraId="172179DD" w14:textId="77777777" w:rsidR="00BA00AB" w:rsidRPr="00A74878" w:rsidRDefault="00BA00AB" w:rsidP="00065D04">
            <w:pPr>
              <w:rPr>
                <w:rFonts w:asciiTheme="minorHAnsi" w:eastAsia="Times New Roman" w:hAnsiTheme="minorHAnsi" w:cs="Times New Roman"/>
                <w:color w:val="000000"/>
                <w:sz w:val="24"/>
                <w:szCs w:val="24"/>
                <w:lang w:eastAsia="en-AU"/>
              </w:rPr>
            </w:pPr>
          </w:p>
          <w:p w14:paraId="7A4CE1BB" w14:textId="0C6DF3FE" w:rsidR="00BA00AB" w:rsidRDefault="00BA00AB" w:rsidP="00065D04">
            <w:pPr>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 xml:space="preserve">For </w:t>
            </w:r>
            <w:r>
              <w:rPr>
                <w:rFonts w:asciiTheme="minorHAnsi" w:eastAsia="Times New Roman" w:hAnsiTheme="minorHAnsi" w:cs="Times New Roman"/>
                <w:color w:val="000000"/>
                <w:sz w:val="24"/>
                <w:szCs w:val="24"/>
                <w:lang w:eastAsia="en-AU"/>
              </w:rPr>
              <w:t>2</w:t>
            </w:r>
            <w:r w:rsidRPr="009C4E37">
              <w:rPr>
                <w:rFonts w:asciiTheme="minorHAnsi" w:eastAsia="Times New Roman" w:hAnsiTheme="minorHAnsi" w:cs="Times New Roman"/>
                <w:color w:val="000000"/>
                <w:sz w:val="24"/>
                <w:szCs w:val="24"/>
                <w:vertAlign w:val="superscript"/>
                <w:lang w:eastAsia="en-AU"/>
              </w:rPr>
              <w:t>nd</w:t>
            </w:r>
            <w:r>
              <w:rPr>
                <w:rFonts w:asciiTheme="minorHAnsi" w:eastAsia="Times New Roman" w:hAnsiTheme="minorHAnsi" w:cs="Times New Roman"/>
                <w:color w:val="000000"/>
                <w:sz w:val="24"/>
                <w:szCs w:val="24"/>
                <w:lang w:eastAsia="en-AU"/>
              </w:rPr>
              <w:t xml:space="preserve"> dose</w:t>
            </w:r>
            <w:r w:rsidRPr="00A74878">
              <w:rPr>
                <w:rFonts w:asciiTheme="minorHAnsi" w:eastAsia="Times New Roman" w:hAnsiTheme="minorHAnsi" w:cs="Times New Roman"/>
                <w:color w:val="000000"/>
                <w:sz w:val="24"/>
                <w:szCs w:val="24"/>
                <w:lang w:eastAsia="en-AU"/>
              </w:rPr>
              <w:t xml:space="preserve">, </w:t>
            </w:r>
            <w:r w:rsidRPr="00471526">
              <w:rPr>
                <w:rFonts w:asciiTheme="minorHAnsi" w:eastAsia="Times New Roman" w:hAnsiTheme="minorHAnsi" w:cs="Times New Roman"/>
                <w:color w:val="000000"/>
                <w:sz w:val="24"/>
                <w:szCs w:val="24"/>
                <w:lang w:eastAsia="en-AU"/>
              </w:rPr>
              <w:t>D</w:t>
            </w:r>
            <w:r w:rsidR="00BD0057">
              <w:rPr>
                <w:rFonts w:asciiTheme="minorHAnsi" w:eastAsia="Times New Roman" w:hAnsiTheme="minorHAnsi" w:cs="Times New Roman"/>
                <w:color w:val="000000"/>
                <w:sz w:val="24"/>
                <w:szCs w:val="24"/>
                <w:lang w:eastAsia="en-AU"/>
              </w:rPr>
              <w:t xml:space="preserve">onor </w:t>
            </w:r>
            <w:r w:rsidRPr="00471526">
              <w:rPr>
                <w:rFonts w:asciiTheme="minorHAnsi" w:eastAsia="Times New Roman" w:hAnsiTheme="minorHAnsi" w:cs="Times New Roman"/>
                <w:color w:val="000000"/>
                <w:sz w:val="24"/>
                <w:szCs w:val="24"/>
                <w:lang w:eastAsia="en-AU"/>
              </w:rPr>
              <w:t>S</w:t>
            </w:r>
            <w:r w:rsidR="00BD0057">
              <w:rPr>
                <w:rFonts w:asciiTheme="minorHAnsi" w:eastAsia="Times New Roman" w:hAnsiTheme="minorHAnsi" w:cs="Times New Roman"/>
                <w:color w:val="000000"/>
                <w:sz w:val="24"/>
                <w:szCs w:val="24"/>
                <w:lang w:eastAsia="en-AU"/>
              </w:rPr>
              <w:t xml:space="preserve">pecific </w:t>
            </w:r>
            <w:r w:rsidRPr="00471526">
              <w:rPr>
                <w:rFonts w:asciiTheme="minorHAnsi" w:eastAsia="Times New Roman" w:hAnsiTheme="minorHAnsi" w:cs="Times New Roman"/>
                <w:color w:val="000000"/>
                <w:sz w:val="24"/>
                <w:szCs w:val="24"/>
                <w:lang w:eastAsia="en-AU"/>
              </w:rPr>
              <w:t>A</w:t>
            </w:r>
            <w:r w:rsidR="00BD0057">
              <w:rPr>
                <w:rFonts w:asciiTheme="minorHAnsi" w:eastAsia="Times New Roman" w:hAnsiTheme="minorHAnsi" w:cs="Times New Roman"/>
                <w:color w:val="000000"/>
                <w:sz w:val="24"/>
                <w:szCs w:val="24"/>
                <w:lang w:eastAsia="en-AU"/>
              </w:rPr>
              <w:t>ntibody</w:t>
            </w:r>
            <w:r w:rsidRPr="00471526">
              <w:rPr>
                <w:rFonts w:asciiTheme="minorHAnsi" w:eastAsia="Times New Roman" w:hAnsiTheme="minorHAnsi" w:cs="Times New Roman"/>
                <w:color w:val="000000"/>
                <w:sz w:val="24"/>
                <w:szCs w:val="24"/>
                <w:lang w:eastAsia="en-AU"/>
              </w:rPr>
              <w:t xml:space="preserve"> must be proven and </w:t>
            </w:r>
            <w:r w:rsidR="00BD0057">
              <w:rPr>
                <w:rFonts w:asciiTheme="minorHAnsi" w:eastAsia="Times New Roman" w:hAnsiTheme="minorHAnsi" w:cs="Times New Roman"/>
                <w:color w:val="000000"/>
                <w:sz w:val="24"/>
                <w:szCs w:val="24"/>
                <w:lang w:eastAsia="en-AU"/>
              </w:rPr>
              <w:t xml:space="preserve">the </w:t>
            </w:r>
            <w:r w:rsidRPr="00471526">
              <w:rPr>
                <w:rFonts w:asciiTheme="minorHAnsi" w:eastAsia="Times New Roman" w:hAnsiTheme="minorHAnsi" w:cs="Times New Roman"/>
                <w:color w:val="000000"/>
                <w:sz w:val="24"/>
                <w:szCs w:val="24"/>
                <w:lang w:eastAsia="en-AU"/>
              </w:rPr>
              <w:t xml:space="preserve">biopsy must be abnormal but may not yet </w:t>
            </w:r>
            <w:r w:rsidR="00471526">
              <w:rPr>
                <w:rFonts w:asciiTheme="minorHAnsi" w:eastAsia="Times New Roman" w:hAnsiTheme="minorHAnsi" w:cs="Times New Roman"/>
                <w:color w:val="000000"/>
                <w:sz w:val="24"/>
                <w:szCs w:val="24"/>
                <w:lang w:eastAsia="en-AU"/>
              </w:rPr>
              <w:t>meet all of the Banff</w:t>
            </w:r>
            <w:r w:rsidR="00B567FD">
              <w:rPr>
                <w:vertAlign w:val="superscript"/>
              </w:rPr>
              <w:t>1</w:t>
            </w:r>
            <w:r w:rsidR="00471526">
              <w:rPr>
                <w:rFonts w:asciiTheme="minorHAnsi" w:eastAsia="Times New Roman" w:hAnsiTheme="minorHAnsi" w:cs="Times New Roman"/>
                <w:color w:val="000000"/>
                <w:sz w:val="24"/>
                <w:szCs w:val="24"/>
                <w:lang w:eastAsia="en-AU"/>
              </w:rPr>
              <w:t xml:space="preserve"> </w:t>
            </w:r>
            <w:r w:rsidRPr="00471526">
              <w:rPr>
                <w:rFonts w:asciiTheme="minorHAnsi" w:eastAsia="Times New Roman" w:hAnsiTheme="minorHAnsi" w:cs="Times New Roman"/>
                <w:color w:val="000000"/>
                <w:sz w:val="24"/>
                <w:szCs w:val="24"/>
                <w:lang w:eastAsia="en-AU"/>
              </w:rPr>
              <w:t>diagnostic</w:t>
            </w:r>
            <w:r w:rsidR="00471526">
              <w:rPr>
                <w:rFonts w:asciiTheme="minorHAnsi" w:eastAsia="Times New Roman" w:hAnsiTheme="minorHAnsi" w:cs="Times New Roman"/>
                <w:color w:val="000000"/>
                <w:sz w:val="24"/>
                <w:szCs w:val="24"/>
                <w:lang w:eastAsia="en-AU"/>
              </w:rPr>
              <w:t xml:space="preserve"> criteria</w:t>
            </w:r>
            <w:r w:rsidRPr="00471526">
              <w:rPr>
                <w:rFonts w:asciiTheme="minorHAnsi" w:eastAsia="Times New Roman" w:hAnsiTheme="minorHAnsi" w:cs="Times New Roman"/>
                <w:color w:val="000000"/>
                <w:sz w:val="24"/>
                <w:szCs w:val="24"/>
                <w:lang w:eastAsia="en-AU"/>
              </w:rPr>
              <w:t>.</w:t>
            </w:r>
            <w:r>
              <w:rPr>
                <w:rFonts w:asciiTheme="minorHAnsi" w:eastAsia="Times New Roman" w:hAnsiTheme="minorHAnsi" w:cs="Times New Roman"/>
                <w:color w:val="000000"/>
                <w:sz w:val="24"/>
                <w:szCs w:val="24"/>
                <w:lang w:eastAsia="en-AU"/>
              </w:rPr>
              <w:t xml:space="preserve"> For subsequent doses, </w:t>
            </w:r>
            <w:r w:rsidRPr="00A74878">
              <w:rPr>
                <w:rFonts w:asciiTheme="minorHAnsi" w:eastAsia="Times New Roman" w:hAnsiTheme="minorHAnsi" w:cs="Times New Roman"/>
                <w:color w:val="000000"/>
                <w:sz w:val="24"/>
                <w:szCs w:val="24"/>
                <w:lang w:eastAsia="en-AU"/>
              </w:rPr>
              <w:t>Banff</w:t>
            </w:r>
            <w:r w:rsidR="00B567FD">
              <w:rPr>
                <w:rFonts w:asciiTheme="minorHAnsi" w:eastAsia="Times New Roman" w:hAnsiTheme="minorHAnsi" w:cs="Times New Roman"/>
                <w:color w:val="000000"/>
                <w:sz w:val="24"/>
                <w:szCs w:val="24"/>
                <w:vertAlign w:val="superscript"/>
                <w:lang w:eastAsia="en-AU"/>
              </w:rPr>
              <w:t>1</w:t>
            </w:r>
            <w:r w:rsidRPr="00A74878">
              <w:rPr>
                <w:rFonts w:asciiTheme="minorHAnsi" w:eastAsia="Times New Roman" w:hAnsiTheme="minorHAnsi" w:cs="Times New Roman"/>
                <w:color w:val="000000"/>
                <w:sz w:val="24"/>
                <w:szCs w:val="24"/>
                <w:lang w:eastAsia="en-AU"/>
              </w:rPr>
              <w:t xml:space="preserve"> criteria on biopsy must be met. </w:t>
            </w:r>
          </w:p>
          <w:p w14:paraId="34B346D3" w14:textId="77777777" w:rsidR="00471526" w:rsidRPr="00A74878" w:rsidRDefault="00471526" w:rsidP="00065D04">
            <w:pPr>
              <w:rPr>
                <w:rFonts w:asciiTheme="minorHAnsi" w:eastAsia="Times New Roman" w:hAnsiTheme="minorHAnsi" w:cs="Times New Roman"/>
                <w:color w:val="000000"/>
                <w:sz w:val="24"/>
                <w:szCs w:val="24"/>
                <w:lang w:eastAsia="en-AU"/>
              </w:rPr>
            </w:pPr>
          </w:p>
          <w:p w14:paraId="06A2E317" w14:textId="3842CB04" w:rsidR="00B567FD" w:rsidRPr="00A74878" w:rsidRDefault="00B567FD" w:rsidP="00065D04">
            <w:pPr>
              <w:rPr>
                <w:rFonts w:asciiTheme="minorHAnsi" w:eastAsia="Times New Roman" w:hAnsiTheme="minorHAnsi" w:cs="Times New Roman"/>
                <w:color w:val="000000"/>
                <w:sz w:val="24"/>
                <w:szCs w:val="24"/>
                <w:lang w:eastAsia="en-AU"/>
              </w:rPr>
            </w:pPr>
            <w:r>
              <w:rPr>
                <w:rFonts w:asciiTheme="minorHAnsi" w:eastAsia="Times New Roman" w:hAnsiTheme="minorHAnsi" w:cs="Times New Roman"/>
                <w:i/>
                <w:color w:val="000000"/>
                <w:sz w:val="24"/>
                <w:szCs w:val="24"/>
                <w:vertAlign w:val="superscript"/>
                <w:lang w:eastAsia="en-AU"/>
              </w:rPr>
              <w:t>1</w:t>
            </w:r>
            <w:r w:rsidRPr="00B567FD">
              <w:rPr>
                <w:rFonts w:asciiTheme="minorHAnsi" w:eastAsia="Times New Roman" w:hAnsiTheme="minorHAnsi" w:cs="Times New Roman"/>
                <w:i/>
                <w:color w:val="000000"/>
                <w:sz w:val="24"/>
                <w:szCs w:val="24"/>
                <w:lang w:eastAsia="en-AU"/>
              </w:rPr>
              <w:t>Banff</w:t>
            </w:r>
            <w:r w:rsidRPr="00471526">
              <w:rPr>
                <w:rFonts w:asciiTheme="minorHAnsi" w:eastAsia="Times New Roman" w:hAnsiTheme="minorHAnsi" w:cs="Times New Roman"/>
                <w:i/>
                <w:color w:val="000000"/>
                <w:sz w:val="24"/>
                <w:szCs w:val="24"/>
                <w:lang w:eastAsia="en-AU"/>
              </w:rPr>
              <w:t xml:space="preserve"> 2013 Meeting Report American Journal of Transplantation </w:t>
            </w:r>
            <w:r w:rsidR="008F110F" w:rsidRPr="00471526">
              <w:rPr>
                <w:rFonts w:asciiTheme="minorHAnsi" w:eastAsia="Times New Roman" w:hAnsiTheme="minorHAnsi" w:cs="Times New Roman"/>
                <w:i/>
                <w:color w:val="000000"/>
                <w:sz w:val="24"/>
                <w:szCs w:val="24"/>
                <w:lang w:eastAsia="en-AU"/>
              </w:rPr>
              <w:t>2014:</w:t>
            </w:r>
            <w:r w:rsidRPr="00471526">
              <w:rPr>
                <w:rFonts w:asciiTheme="minorHAnsi" w:eastAsia="Times New Roman" w:hAnsiTheme="minorHAnsi" w:cs="Times New Roman"/>
                <w:i/>
                <w:color w:val="000000"/>
                <w:sz w:val="24"/>
                <w:szCs w:val="24"/>
                <w:lang w:eastAsia="en-AU"/>
              </w:rPr>
              <w:t>14</w:t>
            </w:r>
            <w:r w:rsidR="008F110F" w:rsidRPr="00471526">
              <w:rPr>
                <w:rFonts w:asciiTheme="minorHAnsi" w:eastAsia="Times New Roman" w:hAnsiTheme="minorHAnsi" w:cs="Times New Roman"/>
                <w:i/>
                <w:color w:val="000000"/>
                <w:sz w:val="24"/>
                <w:szCs w:val="24"/>
                <w:lang w:eastAsia="en-AU"/>
              </w:rPr>
              <w:t>; 272</w:t>
            </w:r>
            <w:r w:rsidRPr="00471526">
              <w:rPr>
                <w:rFonts w:asciiTheme="minorHAnsi" w:eastAsia="Times New Roman" w:hAnsiTheme="minorHAnsi" w:cs="Times New Roman"/>
                <w:i/>
                <w:color w:val="000000"/>
                <w:sz w:val="24"/>
                <w:szCs w:val="24"/>
                <w:lang w:eastAsia="en-AU"/>
              </w:rPr>
              <w:t>-283 page 277</w:t>
            </w:r>
            <w:r>
              <w:rPr>
                <w:rFonts w:asciiTheme="minorHAnsi" w:eastAsia="Times New Roman" w:hAnsiTheme="minorHAnsi" w:cs="Times New Roman"/>
                <w:color w:val="000000"/>
                <w:sz w:val="24"/>
                <w:szCs w:val="24"/>
                <w:lang w:eastAsia="en-AU"/>
              </w:rPr>
              <w:t xml:space="preserve">. </w:t>
            </w:r>
          </w:p>
          <w:p w14:paraId="385C7BC5" w14:textId="77777777" w:rsidR="00BA00AB" w:rsidRPr="00A74878" w:rsidRDefault="00BA00AB" w:rsidP="00065D04">
            <w:pPr>
              <w:rPr>
                <w:rFonts w:asciiTheme="minorHAnsi" w:hAnsiTheme="minorHAnsi"/>
                <w:sz w:val="24"/>
                <w:szCs w:val="24"/>
              </w:rPr>
            </w:pPr>
          </w:p>
          <w:p w14:paraId="4F04FE38" w14:textId="77777777" w:rsidR="00BA00AB" w:rsidRPr="00A74878" w:rsidRDefault="00BA00AB" w:rsidP="00065D04">
            <w:pPr>
              <w:rPr>
                <w:rFonts w:asciiTheme="minorHAnsi" w:hAnsiTheme="minorHAnsi"/>
                <w:b/>
                <w:sz w:val="24"/>
                <w:szCs w:val="24"/>
              </w:rPr>
            </w:pPr>
          </w:p>
          <w:p w14:paraId="0D999964" w14:textId="77777777" w:rsidR="00BA00AB" w:rsidRPr="00A74878" w:rsidRDefault="00BA00AB" w:rsidP="00065D04">
            <w:pPr>
              <w:rPr>
                <w:rFonts w:asciiTheme="minorHAnsi" w:eastAsia="Times New Roman" w:hAnsiTheme="minorHAnsi" w:cs="Times New Roman"/>
                <w:b/>
                <w:bCs/>
                <w:color w:val="000000"/>
                <w:sz w:val="24"/>
                <w:szCs w:val="24"/>
                <w:lang w:eastAsia="en-AU"/>
              </w:rPr>
            </w:pPr>
            <w:r w:rsidRPr="00A74878">
              <w:rPr>
                <w:rFonts w:asciiTheme="minorHAnsi" w:eastAsia="Times New Roman" w:hAnsiTheme="minorHAnsi" w:cs="Times New Roman"/>
                <w:b/>
                <w:bCs/>
                <w:color w:val="000000"/>
                <w:sz w:val="24"/>
                <w:szCs w:val="24"/>
                <w:lang w:eastAsia="en-AU"/>
              </w:rPr>
              <w:t>Treatment or prevention of graft rejection where conventional immunosuppressive therapies is contraindicated or pose a threat to the graft or patient</w:t>
            </w:r>
          </w:p>
          <w:p w14:paraId="589E4C25" w14:textId="77777777" w:rsidR="00BA00AB" w:rsidRPr="00A74878" w:rsidRDefault="00BA00AB" w:rsidP="00065D04">
            <w:pPr>
              <w:rPr>
                <w:rFonts w:asciiTheme="minorHAnsi" w:eastAsia="Times New Roman" w:hAnsiTheme="minorHAnsi" w:cs="Times New Roman"/>
                <w:b/>
                <w:bCs/>
                <w:color w:val="000000"/>
                <w:sz w:val="24"/>
                <w:szCs w:val="24"/>
                <w:lang w:eastAsia="en-AU"/>
              </w:rPr>
            </w:pPr>
          </w:p>
          <w:p w14:paraId="4BDC17D5" w14:textId="77777777" w:rsidR="00BA00AB" w:rsidRPr="00A74878" w:rsidRDefault="00BA00AB" w:rsidP="00065D04">
            <w:pPr>
              <w:rPr>
                <w:rFonts w:asciiTheme="minorHAnsi" w:hAnsiTheme="minorHAnsi"/>
                <w:sz w:val="24"/>
                <w:szCs w:val="24"/>
              </w:rPr>
            </w:pPr>
          </w:p>
          <w:p w14:paraId="558B31E6" w14:textId="77777777" w:rsidR="00BA00AB" w:rsidRPr="00A44B9B" w:rsidRDefault="00BA00AB" w:rsidP="00065D04">
            <w:pPr>
              <w:pStyle w:val="ListParagraph"/>
              <w:numPr>
                <w:ilvl w:val="0"/>
                <w:numId w:val="40"/>
              </w:numPr>
              <w:rPr>
                <w:rFonts w:asciiTheme="minorHAnsi" w:eastAsia="Times New Roman" w:hAnsiTheme="minorHAnsi" w:cs="Times New Roman"/>
                <w:color w:val="000000"/>
                <w:sz w:val="24"/>
                <w:szCs w:val="24"/>
                <w:lang w:eastAsia="en-AU"/>
              </w:rPr>
            </w:pPr>
            <w:r w:rsidRPr="00A44B9B">
              <w:rPr>
                <w:rFonts w:asciiTheme="minorHAnsi" w:eastAsia="Times New Roman" w:hAnsiTheme="minorHAnsi" w:cs="Times New Roman"/>
                <w:color w:val="000000"/>
                <w:sz w:val="24"/>
                <w:szCs w:val="24"/>
                <w:lang w:eastAsia="en-AU"/>
              </w:rPr>
              <w:t>Convention</w:t>
            </w:r>
            <w:r w:rsidRPr="00065D04">
              <w:rPr>
                <w:rFonts w:asciiTheme="minorHAnsi" w:eastAsia="Times New Roman" w:hAnsiTheme="minorHAnsi" w:cs="Times New Roman"/>
                <w:color w:val="000000"/>
                <w:sz w:val="24"/>
                <w:szCs w:val="24"/>
                <w:lang w:eastAsia="en-AU"/>
              </w:rPr>
              <w:t>al immunosuppressive therapy is contraindicated and reason is provided.</w:t>
            </w:r>
            <w:r w:rsidRPr="00A44B9B">
              <w:rPr>
                <w:rFonts w:asciiTheme="minorHAnsi" w:eastAsia="Times New Roman" w:hAnsiTheme="minorHAnsi" w:cs="Times New Roman"/>
                <w:color w:val="000000"/>
                <w:sz w:val="24"/>
                <w:szCs w:val="24"/>
                <w:lang w:eastAsia="en-AU"/>
              </w:rPr>
              <w:t xml:space="preserve"> </w:t>
            </w:r>
          </w:p>
          <w:p w14:paraId="5806377E" w14:textId="77777777" w:rsidR="00BA00AB" w:rsidRPr="00A74878" w:rsidRDefault="00BA00AB" w:rsidP="00065D04">
            <w:pPr>
              <w:pStyle w:val="ListParagraph"/>
              <w:ind w:left="360"/>
              <w:rPr>
                <w:rFonts w:asciiTheme="minorHAnsi" w:hAnsiTheme="minorHAnsi"/>
                <w:sz w:val="24"/>
                <w:szCs w:val="24"/>
              </w:rPr>
            </w:pPr>
          </w:p>
        </w:tc>
        <w:tc>
          <w:tcPr>
            <w:tcW w:w="1637" w:type="pct"/>
          </w:tcPr>
          <w:p w14:paraId="018BCF0B" w14:textId="77777777" w:rsidR="00BA00AB" w:rsidRPr="006C2C81" w:rsidRDefault="00BA00AB" w:rsidP="00065D04">
            <w:pPr>
              <w:tabs>
                <w:tab w:val="left" w:pos="283"/>
              </w:tabs>
              <w:ind w:left="-77"/>
              <w:rPr>
                <w:rFonts w:asciiTheme="minorHAnsi" w:hAnsiTheme="minorHAnsi"/>
                <w:sz w:val="24"/>
                <w:szCs w:val="24"/>
              </w:rPr>
            </w:pPr>
            <w:r w:rsidRPr="006C2C81">
              <w:rPr>
                <w:rFonts w:asciiTheme="minorHAnsi" w:hAnsiTheme="minorHAnsi"/>
                <w:sz w:val="24"/>
                <w:szCs w:val="24"/>
              </w:rPr>
              <w:lastRenderedPageBreak/>
              <w:t>Eligibility criteria are more clearly defined and will greatly improve availability of data for future analysis (A)</w:t>
            </w:r>
          </w:p>
          <w:p w14:paraId="6B928C8B" w14:textId="77777777" w:rsidR="00BA00AB" w:rsidRDefault="00BA00AB" w:rsidP="00065D04">
            <w:pPr>
              <w:rPr>
                <w:rFonts w:asciiTheme="minorHAnsi" w:hAnsiTheme="minorHAnsi"/>
                <w:sz w:val="24"/>
                <w:szCs w:val="24"/>
              </w:rPr>
            </w:pPr>
          </w:p>
          <w:p w14:paraId="7026AF80" w14:textId="77777777" w:rsidR="00BA00AB" w:rsidRDefault="00BA00AB" w:rsidP="00065D04">
            <w:pPr>
              <w:rPr>
                <w:rFonts w:asciiTheme="minorHAnsi" w:hAnsiTheme="minorHAnsi"/>
                <w:sz w:val="24"/>
                <w:szCs w:val="24"/>
              </w:rPr>
            </w:pPr>
          </w:p>
          <w:p w14:paraId="1727A263" w14:textId="64673DD5" w:rsidR="00BA00AB" w:rsidRDefault="00BA00AB" w:rsidP="00065D04">
            <w:pPr>
              <w:rPr>
                <w:rFonts w:asciiTheme="minorHAnsi" w:hAnsiTheme="minorHAnsi"/>
                <w:sz w:val="24"/>
                <w:szCs w:val="24"/>
              </w:rPr>
            </w:pPr>
            <w:r>
              <w:rPr>
                <w:rFonts w:asciiTheme="minorHAnsi" w:hAnsiTheme="minorHAnsi"/>
                <w:sz w:val="24"/>
                <w:szCs w:val="24"/>
              </w:rPr>
              <w:t>The relevant strength of HLA donor specific antibody(</w:t>
            </w:r>
            <w:r w:rsidR="00F367C5">
              <w:rPr>
                <w:rFonts w:asciiTheme="minorHAnsi" w:hAnsiTheme="minorHAnsi"/>
                <w:sz w:val="24"/>
                <w:szCs w:val="24"/>
              </w:rPr>
              <w:t>i</w:t>
            </w:r>
            <w:r>
              <w:rPr>
                <w:rFonts w:asciiTheme="minorHAnsi" w:hAnsiTheme="minorHAnsi"/>
                <w:sz w:val="24"/>
                <w:szCs w:val="24"/>
              </w:rPr>
              <w:t xml:space="preserve">es) has been under significant discussion within the SWG. Given the lack of </w:t>
            </w:r>
            <w:r>
              <w:rPr>
                <w:rFonts w:asciiTheme="minorHAnsi" w:hAnsiTheme="minorHAnsi"/>
                <w:sz w:val="24"/>
                <w:szCs w:val="24"/>
              </w:rPr>
              <w:lastRenderedPageBreak/>
              <w:t xml:space="preserve">strong evidence to support a definitive level, the qualifying value has been set </w:t>
            </w:r>
            <w:r w:rsidR="00471526">
              <w:rPr>
                <w:rFonts w:asciiTheme="minorHAnsi" w:hAnsiTheme="minorHAnsi"/>
                <w:sz w:val="24"/>
                <w:szCs w:val="24"/>
              </w:rPr>
              <w:t xml:space="preserve">at 500MFI </w:t>
            </w:r>
            <w:r>
              <w:rPr>
                <w:rFonts w:asciiTheme="minorHAnsi" w:hAnsiTheme="minorHAnsi"/>
                <w:sz w:val="24"/>
                <w:szCs w:val="24"/>
              </w:rPr>
              <w:t>and will be reviewed after 6-12 months of data collection and analysis.</w:t>
            </w:r>
          </w:p>
          <w:p w14:paraId="668D5E32" w14:textId="77777777" w:rsidR="00BA00AB" w:rsidRDefault="00BA00AB" w:rsidP="00065D04">
            <w:pPr>
              <w:rPr>
                <w:rFonts w:asciiTheme="minorHAnsi" w:hAnsiTheme="minorHAnsi"/>
                <w:sz w:val="24"/>
                <w:szCs w:val="24"/>
              </w:rPr>
            </w:pPr>
          </w:p>
          <w:p w14:paraId="586380C6" w14:textId="77777777" w:rsidR="00BA00AB" w:rsidRDefault="00BA00AB" w:rsidP="00065D04">
            <w:pPr>
              <w:rPr>
                <w:rFonts w:asciiTheme="minorHAnsi" w:hAnsiTheme="minorHAnsi"/>
                <w:sz w:val="24"/>
                <w:szCs w:val="24"/>
              </w:rPr>
            </w:pPr>
          </w:p>
          <w:p w14:paraId="7C50193F" w14:textId="77777777" w:rsidR="00BA00AB" w:rsidRDefault="00BA00AB" w:rsidP="00065D04">
            <w:pPr>
              <w:rPr>
                <w:rFonts w:asciiTheme="minorHAnsi" w:hAnsiTheme="minorHAnsi"/>
                <w:sz w:val="24"/>
                <w:szCs w:val="24"/>
              </w:rPr>
            </w:pPr>
          </w:p>
          <w:p w14:paraId="313D4F31" w14:textId="5F4BF9B1" w:rsidR="006C116A" w:rsidRPr="00F367C5" w:rsidRDefault="006C116A" w:rsidP="00065D04">
            <w:pPr>
              <w:rPr>
                <w:rFonts w:asciiTheme="minorHAnsi" w:hAnsiTheme="minorHAnsi"/>
                <w:sz w:val="24"/>
                <w:szCs w:val="24"/>
              </w:rPr>
            </w:pPr>
            <w:r w:rsidRPr="00F367C5">
              <w:rPr>
                <w:rFonts w:asciiTheme="minorHAnsi" w:hAnsiTheme="minorHAnsi"/>
                <w:sz w:val="24"/>
                <w:szCs w:val="24"/>
              </w:rPr>
              <w:t xml:space="preserve">The </w:t>
            </w:r>
            <w:r w:rsidR="008F110F" w:rsidRPr="00F367C5">
              <w:rPr>
                <w:rFonts w:asciiTheme="minorHAnsi" w:hAnsiTheme="minorHAnsi"/>
                <w:sz w:val="24"/>
                <w:szCs w:val="24"/>
              </w:rPr>
              <w:t>presence of ABO or HLA antibodies and biopsy evidence (where relevant) has</w:t>
            </w:r>
            <w:r w:rsidRPr="00F367C5">
              <w:rPr>
                <w:rFonts w:asciiTheme="minorHAnsi" w:hAnsiTheme="minorHAnsi"/>
                <w:sz w:val="24"/>
                <w:szCs w:val="24"/>
              </w:rPr>
              <w:t xml:space="preserve"> been included. Data will become available regarding triggers for Ig use.</w:t>
            </w:r>
          </w:p>
          <w:p w14:paraId="1F2574E9" w14:textId="77777777" w:rsidR="00BA00AB" w:rsidRDefault="00BA00AB" w:rsidP="00065D04">
            <w:pPr>
              <w:rPr>
                <w:rFonts w:asciiTheme="minorHAnsi" w:hAnsiTheme="minorHAnsi"/>
                <w:sz w:val="24"/>
                <w:szCs w:val="24"/>
              </w:rPr>
            </w:pPr>
          </w:p>
          <w:p w14:paraId="7B02D73F" w14:textId="77777777" w:rsidR="00BA00AB" w:rsidRDefault="00BA00AB" w:rsidP="00065D04">
            <w:pPr>
              <w:rPr>
                <w:rFonts w:asciiTheme="minorHAnsi" w:hAnsiTheme="minorHAnsi"/>
                <w:sz w:val="24"/>
                <w:szCs w:val="24"/>
              </w:rPr>
            </w:pPr>
          </w:p>
          <w:p w14:paraId="37088C77" w14:textId="77777777" w:rsidR="00BA00AB" w:rsidRDefault="00BA00AB" w:rsidP="00065D04">
            <w:pPr>
              <w:rPr>
                <w:rFonts w:asciiTheme="minorHAnsi" w:hAnsiTheme="minorHAnsi"/>
                <w:sz w:val="24"/>
                <w:szCs w:val="24"/>
              </w:rPr>
            </w:pPr>
          </w:p>
          <w:p w14:paraId="5E017F61" w14:textId="77777777" w:rsidR="00BA00AB" w:rsidRDefault="00BA00AB" w:rsidP="00065D04">
            <w:pPr>
              <w:rPr>
                <w:rFonts w:asciiTheme="minorHAnsi" w:hAnsiTheme="minorHAnsi"/>
                <w:sz w:val="24"/>
                <w:szCs w:val="24"/>
              </w:rPr>
            </w:pPr>
          </w:p>
          <w:p w14:paraId="7A809762" w14:textId="77777777" w:rsidR="00BA00AB" w:rsidRDefault="00BA00AB" w:rsidP="00065D04">
            <w:pPr>
              <w:rPr>
                <w:rFonts w:asciiTheme="minorHAnsi" w:hAnsiTheme="minorHAnsi"/>
                <w:sz w:val="24"/>
                <w:szCs w:val="24"/>
              </w:rPr>
            </w:pPr>
          </w:p>
          <w:p w14:paraId="323C8110" w14:textId="77777777" w:rsidR="00BA00AB" w:rsidRDefault="00BA00AB" w:rsidP="00065D04">
            <w:pPr>
              <w:rPr>
                <w:rFonts w:asciiTheme="minorHAnsi" w:hAnsiTheme="minorHAnsi"/>
                <w:sz w:val="24"/>
                <w:szCs w:val="24"/>
              </w:rPr>
            </w:pPr>
          </w:p>
          <w:p w14:paraId="56302365" w14:textId="77777777" w:rsidR="00BA00AB" w:rsidRDefault="00BA00AB" w:rsidP="00065D04">
            <w:pPr>
              <w:rPr>
                <w:rFonts w:asciiTheme="minorHAnsi" w:hAnsiTheme="minorHAnsi"/>
                <w:sz w:val="24"/>
                <w:szCs w:val="24"/>
              </w:rPr>
            </w:pPr>
          </w:p>
          <w:p w14:paraId="0FCAB8B4" w14:textId="77777777" w:rsidR="00BA00AB" w:rsidRDefault="00BA00AB" w:rsidP="00065D04">
            <w:pPr>
              <w:rPr>
                <w:rFonts w:asciiTheme="minorHAnsi" w:hAnsiTheme="minorHAnsi"/>
                <w:sz w:val="24"/>
                <w:szCs w:val="24"/>
              </w:rPr>
            </w:pPr>
          </w:p>
          <w:p w14:paraId="6F1C9127" w14:textId="77777777" w:rsidR="00BA00AB" w:rsidRPr="00D201D7" w:rsidRDefault="00BA00AB" w:rsidP="00065D04">
            <w:pPr>
              <w:tabs>
                <w:tab w:val="left" w:pos="283"/>
              </w:tabs>
              <w:ind w:left="-77"/>
              <w:rPr>
                <w:rFonts w:asciiTheme="minorHAnsi" w:hAnsiTheme="minorHAnsi"/>
                <w:sz w:val="24"/>
                <w:szCs w:val="24"/>
              </w:rPr>
            </w:pPr>
            <w:r w:rsidRPr="00D201D7">
              <w:rPr>
                <w:rFonts w:asciiTheme="minorHAnsi" w:hAnsiTheme="minorHAnsi"/>
                <w:sz w:val="24"/>
                <w:szCs w:val="24"/>
              </w:rPr>
              <w:t>Eligibility criteria have been revised to clearly differentiate between different patient groups that exist within indications (A)</w:t>
            </w:r>
          </w:p>
          <w:p w14:paraId="35F9751D" w14:textId="77777777" w:rsidR="00BA00AB" w:rsidRDefault="00BA00AB" w:rsidP="00065D04">
            <w:pPr>
              <w:rPr>
                <w:rFonts w:asciiTheme="minorHAnsi" w:hAnsiTheme="minorHAnsi"/>
                <w:sz w:val="24"/>
                <w:szCs w:val="24"/>
              </w:rPr>
            </w:pPr>
          </w:p>
          <w:p w14:paraId="3E0E9B66" w14:textId="77777777" w:rsidR="00BA00AB" w:rsidRDefault="00BA00AB" w:rsidP="00065D04">
            <w:pPr>
              <w:rPr>
                <w:rFonts w:asciiTheme="minorHAnsi" w:hAnsiTheme="minorHAnsi"/>
                <w:sz w:val="24"/>
                <w:szCs w:val="24"/>
              </w:rPr>
            </w:pPr>
            <w:r>
              <w:rPr>
                <w:rFonts w:asciiTheme="minorHAnsi" w:hAnsiTheme="minorHAnsi"/>
                <w:sz w:val="24"/>
                <w:szCs w:val="24"/>
              </w:rPr>
              <w:t xml:space="preserve">Donor specific antibodies may be known prior to transplant or may develop post transplant. Criteria must accommodate both physiological pathways for disease. </w:t>
            </w:r>
          </w:p>
          <w:p w14:paraId="64E3547E" w14:textId="109A676A" w:rsidR="00BA00AB" w:rsidRDefault="00BA00AB" w:rsidP="00065D04">
            <w:pPr>
              <w:rPr>
                <w:rFonts w:asciiTheme="minorHAnsi" w:hAnsiTheme="minorHAnsi"/>
                <w:sz w:val="24"/>
                <w:szCs w:val="24"/>
              </w:rPr>
            </w:pPr>
            <w:r>
              <w:rPr>
                <w:rFonts w:asciiTheme="minorHAnsi" w:hAnsiTheme="minorHAnsi"/>
                <w:sz w:val="24"/>
                <w:szCs w:val="24"/>
              </w:rPr>
              <w:lastRenderedPageBreak/>
              <w:t xml:space="preserve">Where a DSA is newly developing, HLA results may not be available immediately. In some instances, biopsy results may be unavailable or non-diagnostic in the early stages where treatment is required. </w:t>
            </w:r>
          </w:p>
          <w:p w14:paraId="2090AD84" w14:textId="77777777" w:rsidR="00A44B9B" w:rsidRPr="00A44B9B" w:rsidRDefault="00A44B9B" w:rsidP="00065D04">
            <w:pPr>
              <w:rPr>
                <w:rFonts w:asciiTheme="minorHAnsi" w:eastAsia="Times New Roman" w:hAnsiTheme="minorHAnsi" w:cs="Times New Roman"/>
                <w:color w:val="000000"/>
                <w:sz w:val="24"/>
                <w:szCs w:val="24"/>
                <w:lang w:eastAsia="en-AU"/>
              </w:rPr>
            </w:pPr>
          </w:p>
          <w:p w14:paraId="695D5A45" w14:textId="77777777" w:rsidR="00A44B9B" w:rsidRDefault="00A44B9B" w:rsidP="00065D04">
            <w:pPr>
              <w:rPr>
                <w:rFonts w:asciiTheme="minorHAnsi" w:eastAsia="Times New Roman" w:hAnsiTheme="minorHAnsi" w:cs="Times New Roman"/>
                <w:i/>
                <w:color w:val="000000"/>
                <w:sz w:val="24"/>
                <w:szCs w:val="24"/>
                <w:lang w:eastAsia="en-AU"/>
              </w:rPr>
            </w:pPr>
          </w:p>
          <w:p w14:paraId="3D5D078C" w14:textId="77777777" w:rsidR="00A44B9B" w:rsidRDefault="00A44B9B" w:rsidP="00065D04">
            <w:pPr>
              <w:rPr>
                <w:rFonts w:asciiTheme="minorHAnsi" w:eastAsia="Times New Roman" w:hAnsiTheme="minorHAnsi" w:cs="Times New Roman"/>
                <w:i/>
                <w:color w:val="000000"/>
                <w:sz w:val="24"/>
                <w:szCs w:val="24"/>
                <w:lang w:eastAsia="en-AU"/>
              </w:rPr>
            </w:pPr>
          </w:p>
          <w:p w14:paraId="002D526C" w14:textId="77777777" w:rsidR="00BA00AB" w:rsidRDefault="00BA00AB" w:rsidP="00065D04">
            <w:pPr>
              <w:rPr>
                <w:rFonts w:asciiTheme="minorHAnsi" w:hAnsiTheme="minorHAnsi"/>
                <w:sz w:val="24"/>
                <w:szCs w:val="24"/>
              </w:rPr>
            </w:pPr>
          </w:p>
          <w:p w14:paraId="0985B1D7" w14:textId="77777777" w:rsidR="00A44B9B" w:rsidRDefault="00A44B9B" w:rsidP="00065D04">
            <w:pPr>
              <w:rPr>
                <w:rFonts w:asciiTheme="minorHAnsi" w:hAnsiTheme="minorHAnsi"/>
                <w:sz w:val="24"/>
                <w:szCs w:val="24"/>
              </w:rPr>
            </w:pPr>
          </w:p>
          <w:p w14:paraId="1CFAA8FC" w14:textId="77777777" w:rsidR="00B567FD" w:rsidRDefault="00B567FD" w:rsidP="00065D04">
            <w:pPr>
              <w:rPr>
                <w:rFonts w:asciiTheme="minorHAnsi" w:hAnsiTheme="minorHAnsi"/>
                <w:sz w:val="24"/>
                <w:szCs w:val="24"/>
              </w:rPr>
            </w:pPr>
          </w:p>
          <w:p w14:paraId="57318278" w14:textId="77777777" w:rsidR="00B567FD" w:rsidRDefault="00B567FD" w:rsidP="00065D04">
            <w:pPr>
              <w:rPr>
                <w:rFonts w:asciiTheme="minorHAnsi" w:hAnsiTheme="minorHAnsi"/>
                <w:sz w:val="24"/>
                <w:szCs w:val="24"/>
              </w:rPr>
            </w:pPr>
          </w:p>
          <w:p w14:paraId="216714E8" w14:textId="77777777" w:rsidR="00B567FD" w:rsidRDefault="00B567FD" w:rsidP="00065D04">
            <w:pPr>
              <w:rPr>
                <w:rFonts w:asciiTheme="minorHAnsi" w:hAnsiTheme="minorHAnsi"/>
                <w:sz w:val="24"/>
                <w:szCs w:val="24"/>
              </w:rPr>
            </w:pPr>
          </w:p>
          <w:p w14:paraId="0A99BD8F" w14:textId="77777777" w:rsidR="00B567FD" w:rsidRDefault="00B567FD" w:rsidP="00065D04">
            <w:pPr>
              <w:rPr>
                <w:rFonts w:asciiTheme="minorHAnsi" w:hAnsiTheme="minorHAnsi"/>
                <w:sz w:val="24"/>
                <w:szCs w:val="24"/>
              </w:rPr>
            </w:pPr>
          </w:p>
          <w:p w14:paraId="4709D00B" w14:textId="77777777" w:rsidR="00B567FD" w:rsidRDefault="00B567FD" w:rsidP="00065D04">
            <w:pPr>
              <w:rPr>
                <w:rFonts w:asciiTheme="minorHAnsi" w:hAnsiTheme="minorHAnsi"/>
                <w:sz w:val="24"/>
                <w:szCs w:val="24"/>
              </w:rPr>
            </w:pPr>
          </w:p>
          <w:p w14:paraId="69042B8B" w14:textId="77777777" w:rsidR="00A44B9B" w:rsidRDefault="00A44B9B" w:rsidP="00065D04">
            <w:pPr>
              <w:rPr>
                <w:rFonts w:asciiTheme="minorHAnsi" w:hAnsiTheme="minorHAnsi"/>
                <w:sz w:val="24"/>
                <w:szCs w:val="24"/>
              </w:rPr>
            </w:pPr>
          </w:p>
          <w:p w14:paraId="6007544D" w14:textId="77777777" w:rsidR="00A44B9B" w:rsidRDefault="00A44B9B" w:rsidP="00065D04">
            <w:pPr>
              <w:rPr>
                <w:rFonts w:asciiTheme="minorHAnsi" w:hAnsiTheme="minorHAnsi"/>
                <w:sz w:val="24"/>
                <w:szCs w:val="24"/>
              </w:rPr>
            </w:pPr>
          </w:p>
          <w:p w14:paraId="65BFBB3F" w14:textId="77777777" w:rsidR="00BA00AB" w:rsidRDefault="00BA00AB" w:rsidP="00065D04">
            <w:pPr>
              <w:rPr>
                <w:rFonts w:asciiTheme="minorHAnsi" w:hAnsiTheme="minorHAnsi"/>
                <w:sz w:val="24"/>
                <w:szCs w:val="24"/>
              </w:rPr>
            </w:pPr>
            <w:r>
              <w:rPr>
                <w:rFonts w:asciiTheme="minorHAnsi" w:hAnsiTheme="minorHAnsi"/>
                <w:sz w:val="24"/>
                <w:szCs w:val="24"/>
              </w:rPr>
              <w:t xml:space="preserve">Acceptable contra-indication reasons include: </w:t>
            </w:r>
          </w:p>
          <w:p w14:paraId="077F3AB4" w14:textId="77777777" w:rsidR="00BA00AB" w:rsidRPr="009C4E37" w:rsidRDefault="00BA00AB" w:rsidP="00065D04">
            <w:pPr>
              <w:pStyle w:val="ListParagraph"/>
              <w:numPr>
                <w:ilvl w:val="0"/>
                <w:numId w:val="27"/>
              </w:numPr>
              <w:spacing w:after="120" w:line="276" w:lineRule="auto"/>
            </w:pPr>
            <w:r w:rsidRPr="009C4E37">
              <w:t>Significant infection or sepsis</w:t>
            </w:r>
          </w:p>
          <w:p w14:paraId="36FBD2F3" w14:textId="77777777" w:rsidR="00BA00AB" w:rsidRPr="009C4E37" w:rsidRDefault="00BA00AB" w:rsidP="00065D04">
            <w:pPr>
              <w:pStyle w:val="ListParagraph"/>
              <w:numPr>
                <w:ilvl w:val="0"/>
                <w:numId w:val="27"/>
              </w:numPr>
              <w:spacing w:after="120" w:line="276" w:lineRule="auto"/>
            </w:pPr>
            <w:r w:rsidRPr="009C4E37">
              <w:t>Potential for life threatening infection</w:t>
            </w:r>
          </w:p>
          <w:p w14:paraId="75D879A8" w14:textId="77777777" w:rsidR="00BA00AB" w:rsidRPr="009C4E37" w:rsidRDefault="00BA00AB" w:rsidP="00065D04">
            <w:pPr>
              <w:pStyle w:val="ListParagraph"/>
              <w:numPr>
                <w:ilvl w:val="0"/>
                <w:numId w:val="27"/>
              </w:numPr>
              <w:spacing w:after="120" w:line="276" w:lineRule="auto"/>
            </w:pPr>
            <w:r w:rsidRPr="009C4E37">
              <w:t>Life threatening condition</w:t>
            </w:r>
          </w:p>
          <w:p w14:paraId="0CC029E1" w14:textId="77777777" w:rsidR="00BA00AB" w:rsidRPr="009C4E37" w:rsidRDefault="00BA00AB" w:rsidP="00065D04">
            <w:pPr>
              <w:pStyle w:val="ListParagraph"/>
              <w:numPr>
                <w:ilvl w:val="0"/>
                <w:numId w:val="27"/>
              </w:numPr>
              <w:spacing w:after="120" w:line="276" w:lineRule="auto"/>
            </w:pPr>
            <w:r w:rsidRPr="009C4E37">
              <w:t>Malignancy</w:t>
            </w:r>
          </w:p>
          <w:p w14:paraId="43135C5A" w14:textId="77777777" w:rsidR="00BA00AB" w:rsidRPr="009C4E37" w:rsidRDefault="00BA00AB" w:rsidP="00065D04">
            <w:pPr>
              <w:pStyle w:val="ListParagraph"/>
              <w:numPr>
                <w:ilvl w:val="0"/>
                <w:numId w:val="27"/>
              </w:numPr>
              <w:spacing w:after="120" w:line="276" w:lineRule="auto"/>
            </w:pPr>
            <w:r w:rsidRPr="009C4E37">
              <w:t>Marrow suppression and cytopenia</w:t>
            </w:r>
          </w:p>
          <w:p w14:paraId="58CACAB3" w14:textId="228872B6" w:rsidR="00BA00AB" w:rsidRDefault="00BA00AB" w:rsidP="00065D04">
            <w:pPr>
              <w:rPr>
                <w:rFonts w:asciiTheme="minorHAnsi" w:hAnsiTheme="minorHAnsi"/>
                <w:sz w:val="24"/>
                <w:szCs w:val="24"/>
              </w:rPr>
            </w:pPr>
            <w:r>
              <w:rPr>
                <w:rFonts w:asciiTheme="minorHAnsi" w:hAnsiTheme="minorHAnsi"/>
                <w:sz w:val="24"/>
                <w:szCs w:val="24"/>
              </w:rPr>
              <w:t xml:space="preserve">Detail of the reason </w:t>
            </w:r>
            <w:r w:rsidR="00A44B9B">
              <w:rPr>
                <w:rFonts w:asciiTheme="minorHAnsi" w:hAnsiTheme="minorHAnsi"/>
                <w:sz w:val="24"/>
                <w:szCs w:val="24"/>
              </w:rPr>
              <w:t xml:space="preserve">is </w:t>
            </w:r>
            <w:r>
              <w:rPr>
                <w:rFonts w:asciiTheme="minorHAnsi" w:hAnsiTheme="minorHAnsi"/>
                <w:sz w:val="24"/>
                <w:szCs w:val="24"/>
              </w:rPr>
              <w:t xml:space="preserve">to be provided. </w:t>
            </w:r>
          </w:p>
          <w:p w14:paraId="76CF2558" w14:textId="77777777" w:rsidR="00BA00AB" w:rsidRDefault="00BA00AB" w:rsidP="00065D04">
            <w:pPr>
              <w:rPr>
                <w:rFonts w:asciiTheme="minorHAnsi" w:hAnsiTheme="minorHAnsi"/>
                <w:sz w:val="24"/>
                <w:szCs w:val="24"/>
              </w:rPr>
            </w:pPr>
          </w:p>
          <w:p w14:paraId="0E7DF8AB" w14:textId="77777777" w:rsidR="00BA00AB" w:rsidRDefault="00BA00AB" w:rsidP="00065D04">
            <w:pPr>
              <w:rPr>
                <w:rFonts w:asciiTheme="minorHAnsi" w:hAnsiTheme="minorHAnsi"/>
                <w:sz w:val="24"/>
                <w:szCs w:val="24"/>
              </w:rPr>
            </w:pPr>
          </w:p>
          <w:p w14:paraId="03D88587" w14:textId="77777777" w:rsidR="00A44B9B" w:rsidRPr="00A74878" w:rsidRDefault="00A44B9B" w:rsidP="00065D04">
            <w:pPr>
              <w:rPr>
                <w:rFonts w:asciiTheme="minorHAnsi" w:hAnsiTheme="minorHAnsi"/>
                <w:sz w:val="24"/>
                <w:szCs w:val="24"/>
              </w:rPr>
            </w:pPr>
          </w:p>
        </w:tc>
      </w:tr>
      <w:tr w:rsidR="00BA00AB" w:rsidRPr="00A74878" w14:paraId="5814DF95" w14:textId="77777777" w:rsidTr="004E1F6E">
        <w:tc>
          <w:tcPr>
            <w:tcW w:w="764" w:type="pct"/>
            <w:shd w:val="clear" w:color="auto" w:fill="D9D9D9" w:themeFill="background1" w:themeFillShade="D9"/>
          </w:tcPr>
          <w:p w14:paraId="6D0B98DE" w14:textId="77777777" w:rsidR="00BA00AB" w:rsidRPr="00A74878" w:rsidRDefault="00BA00AB" w:rsidP="00065D04">
            <w:pPr>
              <w:rPr>
                <w:rFonts w:asciiTheme="minorHAnsi" w:hAnsiTheme="minorHAnsi"/>
                <w:sz w:val="24"/>
                <w:szCs w:val="24"/>
              </w:rPr>
            </w:pPr>
            <w:r w:rsidRPr="00A74878">
              <w:rPr>
                <w:rFonts w:asciiTheme="minorHAnsi" w:hAnsiTheme="minorHAnsi"/>
                <w:sz w:val="24"/>
                <w:szCs w:val="24"/>
              </w:rPr>
              <w:lastRenderedPageBreak/>
              <w:t>Review Criteria</w:t>
            </w:r>
          </w:p>
        </w:tc>
        <w:tc>
          <w:tcPr>
            <w:tcW w:w="1028" w:type="pct"/>
            <w:gridSpan w:val="2"/>
          </w:tcPr>
          <w:p w14:paraId="70F47C40" w14:textId="77777777" w:rsidR="00BA00AB" w:rsidRPr="00A74878" w:rsidRDefault="00BA00AB" w:rsidP="00065D04">
            <w:pPr>
              <w:numPr>
                <w:ilvl w:val="0"/>
                <w:numId w:val="21"/>
              </w:numPr>
              <w:spacing w:before="100" w:beforeAutospacing="1" w:after="150"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 xml:space="preserve">Allograft organ function tests. </w:t>
            </w:r>
          </w:p>
          <w:p w14:paraId="6E4F89F9" w14:textId="77777777" w:rsidR="00BA00AB" w:rsidRPr="00A74878" w:rsidRDefault="00BA00AB" w:rsidP="00065D04">
            <w:pPr>
              <w:numPr>
                <w:ilvl w:val="0"/>
                <w:numId w:val="21"/>
              </w:numPr>
              <w:spacing w:before="100" w:beforeAutospacing="1" w:after="150"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 xml:space="preserve">Biopsy response. </w:t>
            </w:r>
          </w:p>
          <w:p w14:paraId="7C6D16DB" w14:textId="77777777" w:rsidR="00BA00AB" w:rsidRPr="00A74878" w:rsidRDefault="00BA00AB" w:rsidP="00065D04">
            <w:pPr>
              <w:numPr>
                <w:ilvl w:val="0"/>
                <w:numId w:val="21"/>
              </w:numPr>
              <w:spacing w:before="100" w:beforeAutospacing="1" w:after="150"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 xml:space="preserve">Laboratory monitoring of anti-HLA antibody and/or anti-blood group antibody responses. </w:t>
            </w:r>
          </w:p>
          <w:p w14:paraId="0012C414" w14:textId="77777777" w:rsidR="00BA00AB" w:rsidRPr="00A74878" w:rsidRDefault="00BA00AB" w:rsidP="00065D04">
            <w:pPr>
              <w:numPr>
                <w:ilvl w:val="0"/>
                <w:numId w:val="21"/>
              </w:numPr>
              <w:spacing w:before="100" w:beforeAutospacing="1" w:after="150"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 xml:space="preserve">Duration of graft and patient survival. </w:t>
            </w:r>
          </w:p>
          <w:p w14:paraId="6AF8D1C2" w14:textId="77777777" w:rsidR="00BA00AB" w:rsidRPr="00A74878" w:rsidRDefault="00BA00AB" w:rsidP="00065D04">
            <w:pPr>
              <w:numPr>
                <w:ilvl w:val="0"/>
                <w:numId w:val="21"/>
              </w:numPr>
              <w:spacing w:before="100" w:beforeAutospacing="1" w:after="150"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Reversal of clinical graft dysfunction.</w:t>
            </w:r>
          </w:p>
          <w:p w14:paraId="6693FCE8" w14:textId="77777777" w:rsidR="00BA00AB" w:rsidRPr="00A74878" w:rsidRDefault="00BA00AB" w:rsidP="00065D04">
            <w:pPr>
              <w:rPr>
                <w:rFonts w:asciiTheme="minorHAnsi" w:hAnsiTheme="minorHAnsi"/>
                <w:sz w:val="24"/>
                <w:szCs w:val="24"/>
              </w:rPr>
            </w:pPr>
          </w:p>
        </w:tc>
        <w:tc>
          <w:tcPr>
            <w:tcW w:w="1571" w:type="pct"/>
            <w:gridSpan w:val="3"/>
          </w:tcPr>
          <w:p w14:paraId="14ADB9BF" w14:textId="65624ED2" w:rsidR="00BA00AB" w:rsidRPr="00A44B9B" w:rsidRDefault="00A44B9B" w:rsidP="00065D04">
            <w:pPr>
              <w:rPr>
                <w:rFonts w:asciiTheme="minorHAnsi" w:hAnsiTheme="minorHAnsi"/>
                <w:sz w:val="24"/>
                <w:szCs w:val="24"/>
              </w:rPr>
            </w:pPr>
            <w:r>
              <w:rPr>
                <w:rFonts w:asciiTheme="minorHAnsi" w:hAnsiTheme="minorHAnsi"/>
                <w:sz w:val="24"/>
                <w:szCs w:val="24"/>
              </w:rPr>
              <w:t xml:space="preserve">No review is required for this condition </w:t>
            </w:r>
          </w:p>
        </w:tc>
        <w:tc>
          <w:tcPr>
            <w:tcW w:w="1637" w:type="pct"/>
          </w:tcPr>
          <w:p w14:paraId="67BB7F05" w14:textId="77777777" w:rsidR="00BA00AB" w:rsidRPr="00CE379E" w:rsidRDefault="00BA00AB" w:rsidP="00065D04">
            <w:pPr>
              <w:rPr>
                <w:rFonts w:asciiTheme="minorHAnsi" w:hAnsiTheme="minorHAnsi"/>
                <w:sz w:val="24"/>
                <w:szCs w:val="24"/>
              </w:rPr>
            </w:pPr>
            <w:r w:rsidRPr="00CE379E">
              <w:rPr>
                <w:rFonts w:asciiTheme="minorHAnsi" w:hAnsiTheme="minorHAnsi"/>
                <w:sz w:val="24"/>
                <w:szCs w:val="24"/>
              </w:rPr>
              <w:t>Given that treatment is mostly by multiple single doses, very limited outcome data is likely be collected within the system</w:t>
            </w:r>
            <w:r>
              <w:rPr>
                <w:rFonts w:asciiTheme="minorHAnsi" w:hAnsiTheme="minorHAnsi"/>
                <w:sz w:val="24"/>
                <w:szCs w:val="24"/>
              </w:rPr>
              <w:t xml:space="preserve">. Significant data is already available on transplant outcomes in other national systems - the potential to interface the Ig System such databases will be considered in future. </w:t>
            </w:r>
          </w:p>
        </w:tc>
      </w:tr>
      <w:tr w:rsidR="00BA00AB" w:rsidRPr="00A74878" w14:paraId="733072B3" w14:textId="77777777" w:rsidTr="004E1F6E">
        <w:tc>
          <w:tcPr>
            <w:tcW w:w="764" w:type="pct"/>
            <w:shd w:val="clear" w:color="auto" w:fill="D9D9D9" w:themeFill="background1" w:themeFillShade="D9"/>
          </w:tcPr>
          <w:p w14:paraId="33D231A5" w14:textId="77777777" w:rsidR="00BA00AB" w:rsidRPr="00A74878" w:rsidRDefault="00BA00AB" w:rsidP="00065D04">
            <w:pPr>
              <w:rPr>
                <w:rFonts w:asciiTheme="minorHAnsi" w:hAnsiTheme="minorHAnsi"/>
                <w:sz w:val="24"/>
                <w:szCs w:val="24"/>
              </w:rPr>
            </w:pPr>
            <w:r w:rsidRPr="00A74878">
              <w:rPr>
                <w:rFonts w:asciiTheme="minorHAnsi" w:hAnsiTheme="minorHAnsi"/>
                <w:sz w:val="24"/>
                <w:szCs w:val="24"/>
              </w:rPr>
              <w:t>Dose</w:t>
            </w:r>
          </w:p>
        </w:tc>
        <w:tc>
          <w:tcPr>
            <w:tcW w:w="1028" w:type="pct"/>
            <w:gridSpan w:val="2"/>
          </w:tcPr>
          <w:p w14:paraId="21C74A9B" w14:textId="77777777" w:rsidR="00BA00AB" w:rsidRPr="00A74878" w:rsidRDefault="00BA00AB" w:rsidP="00065D04">
            <w:pPr>
              <w:spacing w:after="225"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b/>
                <w:bCs/>
                <w:color w:val="000000"/>
                <w:sz w:val="24"/>
                <w:szCs w:val="24"/>
                <w:lang w:eastAsia="en-AU"/>
              </w:rPr>
              <w:t>IVIg with plasma exchange:</w:t>
            </w:r>
            <w:r w:rsidRPr="00A74878">
              <w:rPr>
                <w:rFonts w:asciiTheme="minorHAnsi" w:eastAsia="Times New Roman" w:hAnsiTheme="minorHAnsi" w:cs="Times New Roman"/>
                <w:color w:val="000000"/>
                <w:sz w:val="24"/>
                <w:szCs w:val="24"/>
                <w:lang w:eastAsia="en-AU"/>
              </w:rPr>
              <w:t xml:space="preserve"> 0.1 to 0.5 g/kg post exchange.</w:t>
            </w:r>
          </w:p>
          <w:p w14:paraId="7585D09B" w14:textId="77777777" w:rsidR="00BA00AB" w:rsidRPr="00A74878" w:rsidRDefault="00BA00AB" w:rsidP="00065D04">
            <w:pPr>
              <w:spacing w:after="225"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b/>
                <w:bCs/>
                <w:color w:val="000000"/>
                <w:sz w:val="24"/>
                <w:szCs w:val="24"/>
                <w:lang w:eastAsia="en-AU"/>
              </w:rPr>
              <w:lastRenderedPageBreak/>
              <w:t>IVIg alone:</w:t>
            </w:r>
            <w:r w:rsidRPr="00A74878">
              <w:rPr>
                <w:rFonts w:asciiTheme="minorHAnsi" w:eastAsia="Times New Roman" w:hAnsiTheme="minorHAnsi" w:cs="Times New Roman"/>
                <w:color w:val="000000"/>
                <w:sz w:val="24"/>
                <w:szCs w:val="24"/>
                <w:lang w:eastAsia="en-AU"/>
              </w:rPr>
              <w:t xml:space="preserve"> 2 g/kg to a maximum of 140 g as a single dose, or 2 to 3.5 g/kg in a divided dose.</w:t>
            </w:r>
          </w:p>
          <w:p w14:paraId="29A0C245" w14:textId="77777777" w:rsidR="00BA00AB" w:rsidRPr="00A74878" w:rsidRDefault="00BA00AB" w:rsidP="00065D04">
            <w:pPr>
              <w:spacing w:after="225" w:line="360" w:lineRule="atLeast"/>
              <w:rPr>
                <w:rFonts w:asciiTheme="minorHAnsi" w:eastAsia="Times New Roman" w:hAnsiTheme="minorHAnsi" w:cs="Times New Roman"/>
                <w:color w:val="000000"/>
                <w:sz w:val="24"/>
                <w:szCs w:val="24"/>
                <w:lang w:eastAsia="en-AU"/>
              </w:rPr>
            </w:pPr>
            <w:r w:rsidRPr="00A74878">
              <w:rPr>
                <w:rFonts w:asciiTheme="minorHAnsi" w:eastAsia="Times New Roman" w:hAnsiTheme="minorHAnsi" w:cs="Times New Roman"/>
                <w:color w:val="000000"/>
                <w:sz w:val="24"/>
                <w:szCs w:val="24"/>
                <w:lang w:eastAsia="en-AU"/>
              </w:rPr>
              <w:t>When IVIg is used alone, further doses may be warranted two to four weeks after initial therapy depending on clinical response and/or biopsy findings.</w:t>
            </w:r>
          </w:p>
          <w:p w14:paraId="1749A391" w14:textId="77777777" w:rsidR="00BA00AB" w:rsidRPr="00A74878" w:rsidRDefault="00BA00AB" w:rsidP="00065D04">
            <w:pPr>
              <w:spacing w:after="225" w:line="360" w:lineRule="atLeast"/>
              <w:rPr>
                <w:rFonts w:asciiTheme="minorHAnsi" w:eastAsia="Times New Roman" w:hAnsiTheme="minorHAnsi" w:cs="Times New Roman"/>
                <w:b/>
                <w:bCs/>
                <w:color w:val="000000"/>
                <w:sz w:val="24"/>
                <w:szCs w:val="24"/>
                <w:lang w:eastAsia="en-AU"/>
              </w:rPr>
            </w:pPr>
            <w:r w:rsidRPr="00A74878">
              <w:rPr>
                <w:rFonts w:asciiTheme="minorHAnsi" w:eastAsia="Times New Roman" w:hAnsiTheme="minorHAnsi" w:cs="Times New Roman"/>
                <w:b/>
                <w:bCs/>
                <w:color w:val="000000"/>
                <w:sz w:val="24"/>
                <w:szCs w:val="24"/>
                <w:lang w:eastAsia="en-AU"/>
              </w:rPr>
              <w:t>Dosing above 1 g/kg per day is contraindicated for some IVIg products.</w:t>
            </w:r>
          </w:p>
          <w:p w14:paraId="7F14A4A0" w14:textId="77777777" w:rsidR="00BA00AB" w:rsidRPr="00A74878" w:rsidRDefault="00BA00AB" w:rsidP="00065D04">
            <w:pPr>
              <w:spacing w:after="225" w:line="360" w:lineRule="atLeast"/>
              <w:rPr>
                <w:rFonts w:asciiTheme="minorHAnsi" w:eastAsia="Times New Roman" w:hAnsiTheme="minorHAnsi" w:cs="Times New Roman"/>
                <w:b/>
                <w:bCs/>
                <w:color w:val="000000"/>
                <w:sz w:val="24"/>
                <w:szCs w:val="24"/>
                <w:lang w:eastAsia="en-AU"/>
              </w:rPr>
            </w:pPr>
            <w:r w:rsidRPr="00A74878">
              <w:rPr>
                <w:rFonts w:asciiTheme="minorHAnsi" w:eastAsia="Times New Roman" w:hAnsiTheme="minorHAnsi" w:cs="Times New Roman"/>
                <w:b/>
                <w:bCs/>
                <w:color w:val="000000"/>
                <w:sz w:val="24"/>
                <w:szCs w:val="24"/>
                <w:lang w:eastAsia="en-AU"/>
              </w:rPr>
              <w:t>Refer to the current product information sheet for further information.</w:t>
            </w:r>
          </w:p>
          <w:p w14:paraId="55FC7BBE" w14:textId="77777777" w:rsidR="00BA00AB" w:rsidRPr="00A74878" w:rsidRDefault="00BA00AB" w:rsidP="00065D04">
            <w:pPr>
              <w:spacing w:after="225" w:line="360" w:lineRule="atLeast"/>
              <w:rPr>
                <w:rFonts w:asciiTheme="minorHAnsi" w:eastAsia="Times New Roman" w:hAnsiTheme="minorHAnsi" w:cs="Times New Roman"/>
                <w:b/>
                <w:bCs/>
                <w:color w:val="000000"/>
                <w:sz w:val="24"/>
                <w:szCs w:val="24"/>
                <w:lang w:eastAsia="en-AU"/>
              </w:rPr>
            </w:pPr>
            <w:r w:rsidRPr="00A74878">
              <w:rPr>
                <w:rFonts w:asciiTheme="minorHAnsi" w:eastAsia="Times New Roman" w:hAnsiTheme="minorHAnsi" w:cs="Times New Roman"/>
                <w:b/>
                <w:bCs/>
                <w:color w:val="000000"/>
                <w:sz w:val="24"/>
                <w:szCs w:val="24"/>
                <w:lang w:eastAsia="en-AU"/>
              </w:rPr>
              <w:t xml:space="preserve">The aim should be to use the lowest dose possible </w:t>
            </w:r>
            <w:r w:rsidRPr="00A74878">
              <w:rPr>
                <w:rFonts w:asciiTheme="minorHAnsi" w:eastAsia="Times New Roman" w:hAnsiTheme="minorHAnsi" w:cs="Times New Roman"/>
                <w:b/>
                <w:bCs/>
                <w:color w:val="000000"/>
                <w:sz w:val="24"/>
                <w:szCs w:val="24"/>
                <w:lang w:eastAsia="en-AU"/>
              </w:rPr>
              <w:lastRenderedPageBreak/>
              <w:t>that achieves the appropriate clinical outcome for each patient.</w:t>
            </w:r>
          </w:p>
          <w:p w14:paraId="52241E56" w14:textId="77777777" w:rsidR="00BA00AB" w:rsidRPr="00A74878" w:rsidRDefault="00BA00AB" w:rsidP="00065D04">
            <w:pPr>
              <w:rPr>
                <w:rFonts w:asciiTheme="minorHAnsi" w:hAnsiTheme="minorHAnsi"/>
                <w:sz w:val="24"/>
                <w:szCs w:val="24"/>
              </w:rPr>
            </w:pPr>
          </w:p>
        </w:tc>
        <w:tc>
          <w:tcPr>
            <w:tcW w:w="1571" w:type="pct"/>
            <w:gridSpan w:val="3"/>
          </w:tcPr>
          <w:p w14:paraId="3ECEEFB9" w14:textId="634631AA" w:rsidR="00A44B9B" w:rsidRPr="00471526" w:rsidRDefault="00A44B9B" w:rsidP="00065D04">
            <w:pPr>
              <w:rPr>
                <w:rFonts w:asciiTheme="minorHAnsi" w:hAnsiTheme="minorHAnsi"/>
                <w:sz w:val="24"/>
                <w:szCs w:val="24"/>
              </w:rPr>
            </w:pPr>
            <w:r w:rsidRPr="00065D04">
              <w:rPr>
                <w:rFonts w:asciiTheme="minorHAnsi" w:hAnsiTheme="minorHAnsi"/>
                <w:b/>
                <w:sz w:val="24"/>
                <w:szCs w:val="24"/>
              </w:rPr>
              <w:lastRenderedPageBreak/>
              <w:t xml:space="preserve">IVIg without plasma exchange (single dose) </w:t>
            </w:r>
            <w:r w:rsidRPr="00065D04">
              <w:rPr>
                <w:rFonts w:asciiTheme="minorHAnsi" w:hAnsiTheme="minorHAnsi"/>
                <w:sz w:val="24"/>
                <w:szCs w:val="24"/>
              </w:rPr>
              <w:t>Up to</w:t>
            </w:r>
            <w:r w:rsidRPr="00065D04">
              <w:rPr>
                <w:rFonts w:asciiTheme="minorHAnsi" w:hAnsiTheme="minorHAnsi"/>
                <w:b/>
                <w:sz w:val="24"/>
                <w:szCs w:val="24"/>
              </w:rPr>
              <w:t xml:space="preserve"> </w:t>
            </w:r>
            <w:r w:rsidRPr="00065D04">
              <w:rPr>
                <w:rFonts w:asciiTheme="minorHAnsi" w:hAnsiTheme="minorHAnsi"/>
                <w:sz w:val="24"/>
                <w:szCs w:val="24"/>
              </w:rPr>
              <w:t>2 g/kg to a m</w:t>
            </w:r>
            <w:r>
              <w:rPr>
                <w:rFonts w:asciiTheme="minorHAnsi" w:hAnsiTheme="minorHAnsi"/>
                <w:sz w:val="24"/>
                <w:szCs w:val="24"/>
              </w:rPr>
              <w:t xml:space="preserve">aximum of 140 </w:t>
            </w:r>
            <w:r w:rsidRPr="00A74878">
              <w:rPr>
                <w:rFonts w:asciiTheme="minorHAnsi" w:hAnsiTheme="minorHAnsi"/>
                <w:sz w:val="24"/>
                <w:szCs w:val="24"/>
              </w:rPr>
              <w:t xml:space="preserve">g as a single dose. </w:t>
            </w:r>
          </w:p>
          <w:p w14:paraId="289B1A14" w14:textId="77777777" w:rsidR="00BA00AB" w:rsidRPr="00A74878" w:rsidRDefault="00BA00AB" w:rsidP="00065D04">
            <w:pPr>
              <w:rPr>
                <w:rFonts w:asciiTheme="minorHAnsi" w:hAnsiTheme="minorHAnsi"/>
                <w:b/>
                <w:sz w:val="24"/>
                <w:szCs w:val="24"/>
              </w:rPr>
            </w:pPr>
          </w:p>
          <w:p w14:paraId="6D39A769" w14:textId="77777777" w:rsidR="00A44B9B" w:rsidRDefault="00BA00AB" w:rsidP="00065D04">
            <w:pPr>
              <w:rPr>
                <w:rFonts w:asciiTheme="minorHAnsi" w:hAnsiTheme="minorHAnsi"/>
                <w:sz w:val="24"/>
                <w:szCs w:val="24"/>
              </w:rPr>
            </w:pPr>
            <w:r w:rsidRPr="00065D04">
              <w:rPr>
                <w:rFonts w:asciiTheme="minorHAnsi" w:hAnsiTheme="minorHAnsi"/>
                <w:b/>
                <w:sz w:val="24"/>
                <w:szCs w:val="24"/>
              </w:rPr>
              <w:lastRenderedPageBreak/>
              <w:t xml:space="preserve">IVIg without plasma exchange (divided dose) </w:t>
            </w:r>
            <w:r w:rsidRPr="00065D04">
              <w:rPr>
                <w:rFonts w:asciiTheme="minorHAnsi" w:hAnsiTheme="minorHAnsi"/>
                <w:sz w:val="24"/>
                <w:szCs w:val="24"/>
              </w:rPr>
              <w:t>2 to 3.5g/kg in a divided dose</w:t>
            </w:r>
            <w:r w:rsidRPr="00A74878">
              <w:rPr>
                <w:rFonts w:asciiTheme="minorHAnsi" w:hAnsiTheme="minorHAnsi"/>
                <w:sz w:val="24"/>
                <w:szCs w:val="24"/>
              </w:rPr>
              <w:t xml:space="preserve"> </w:t>
            </w:r>
            <w:r w:rsidRPr="00A74878">
              <w:rPr>
                <w:rFonts w:asciiTheme="minorHAnsi" w:hAnsiTheme="minorHAnsi"/>
                <w:sz w:val="24"/>
                <w:szCs w:val="24"/>
              </w:rPr>
              <w:tab/>
            </w:r>
          </w:p>
          <w:p w14:paraId="23329C64" w14:textId="77777777" w:rsidR="00A44B9B" w:rsidRDefault="00A44B9B" w:rsidP="00065D04">
            <w:pPr>
              <w:rPr>
                <w:rFonts w:asciiTheme="minorHAnsi" w:hAnsiTheme="minorHAnsi"/>
                <w:sz w:val="24"/>
                <w:szCs w:val="24"/>
              </w:rPr>
            </w:pPr>
          </w:p>
          <w:p w14:paraId="0031ADFA" w14:textId="67A67E7E" w:rsidR="00A44B9B" w:rsidRPr="00A44B9B" w:rsidRDefault="00A44B9B" w:rsidP="00065D04">
            <w:pPr>
              <w:rPr>
                <w:rFonts w:asciiTheme="minorHAnsi" w:hAnsiTheme="minorHAnsi"/>
                <w:sz w:val="24"/>
                <w:szCs w:val="24"/>
              </w:rPr>
            </w:pPr>
            <w:r w:rsidRPr="00065D04">
              <w:rPr>
                <w:rFonts w:asciiTheme="minorHAnsi" w:hAnsiTheme="minorHAnsi"/>
                <w:b/>
                <w:sz w:val="24"/>
                <w:szCs w:val="24"/>
              </w:rPr>
              <w:t xml:space="preserve">IVIg with plasma exchange </w:t>
            </w:r>
            <w:r w:rsidRPr="00065D04">
              <w:rPr>
                <w:rFonts w:asciiTheme="minorHAnsi" w:hAnsiTheme="minorHAnsi"/>
                <w:sz w:val="24"/>
                <w:szCs w:val="24"/>
              </w:rPr>
              <w:t>0.1 to 0.5 g/kg after each exchange (Total maximum dose of 2.5g/Kg divided across 5 doses)</w:t>
            </w:r>
            <w:r w:rsidRPr="00A74878">
              <w:rPr>
                <w:rFonts w:asciiTheme="minorHAnsi" w:hAnsiTheme="minorHAnsi"/>
                <w:sz w:val="24"/>
                <w:szCs w:val="24"/>
              </w:rPr>
              <w:t xml:space="preserve"> </w:t>
            </w:r>
          </w:p>
          <w:p w14:paraId="61444A21" w14:textId="77777777" w:rsidR="00BA00AB" w:rsidRPr="00A74878" w:rsidRDefault="00BA00AB" w:rsidP="00065D04">
            <w:pPr>
              <w:rPr>
                <w:rFonts w:asciiTheme="minorHAnsi" w:hAnsiTheme="minorHAnsi"/>
                <w:b/>
                <w:sz w:val="24"/>
                <w:szCs w:val="24"/>
              </w:rPr>
            </w:pPr>
            <w:r w:rsidRPr="00A74878">
              <w:rPr>
                <w:rFonts w:asciiTheme="minorHAnsi" w:hAnsiTheme="minorHAnsi"/>
                <w:sz w:val="24"/>
                <w:szCs w:val="24"/>
              </w:rPr>
              <w:tab/>
            </w:r>
            <w:r w:rsidRPr="00A74878">
              <w:rPr>
                <w:rFonts w:asciiTheme="minorHAnsi" w:hAnsiTheme="minorHAnsi"/>
                <w:sz w:val="24"/>
                <w:szCs w:val="24"/>
              </w:rPr>
              <w:tab/>
            </w:r>
            <w:r w:rsidRPr="00A74878">
              <w:rPr>
                <w:rFonts w:asciiTheme="minorHAnsi" w:hAnsiTheme="minorHAnsi"/>
                <w:sz w:val="24"/>
                <w:szCs w:val="24"/>
              </w:rPr>
              <w:tab/>
            </w:r>
          </w:p>
          <w:p w14:paraId="45B62E7C" w14:textId="77777777" w:rsidR="0033479F" w:rsidRDefault="0033479F" w:rsidP="00065D04">
            <w:pPr>
              <w:rPr>
                <w:rFonts w:asciiTheme="minorHAnsi" w:eastAsia="Times New Roman" w:hAnsiTheme="minorHAnsi" w:cstheme="minorHAnsi"/>
                <w:color w:val="000000"/>
                <w:sz w:val="24"/>
                <w:szCs w:val="24"/>
              </w:rPr>
            </w:pPr>
            <w:r w:rsidRPr="0033479F">
              <w:rPr>
                <w:rFonts w:asciiTheme="minorHAnsi" w:eastAsia="Times New Roman" w:hAnsiTheme="minorHAnsi" w:cstheme="minorHAnsi"/>
                <w:color w:val="000000"/>
                <w:sz w:val="24"/>
                <w:szCs w:val="24"/>
              </w:rPr>
              <w:t>The aim should be to use the lowest dose possible that achieves the appropriate clinical outcome for each patient.</w:t>
            </w:r>
          </w:p>
          <w:p w14:paraId="7922378A" w14:textId="77777777" w:rsidR="0033479F" w:rsidRPr="0033479F" w:rsidRDefault="0033479F" w:rsidP="00065D04">
            <w:pPr>
              <w:rPr>
                <w:rFonts w:asciiTheme="minorHAnsi" w:eastAsia="Times New Roman" w:hAnsiTheme="minorHAnsi" w:cstheme="minorHAnsi"/>
                <w:i/>
                <w:iCs/>
                <w:color w:val="000000"/>
                <w:sz w:val="24"/>
                <w:szCs w:val="24"/>
              </w:rPr>
            </w:pPr>
          </w:p>
          <w:p w14:paraId="10535860" w14:textId="77777777" w:rsidR="00BA00AB" w:rsidRPr="00A44B9B" w:rsidRDefault="00BA00AB" w:rsidP="00065D04">
            <w:pPr>
              <w:spacing w:after="225" w:line="276" w:lineRule="auto"/>
              <w:rPr>
                <w:rFonts w:asciiTheme="minorHAnsi" w:eastAsia="Times New Roman" w:hAnsiTheme="minorHAnsi" w:cstheme="minorHAnsi"/>
                <w:color w:val="000000"/>
                <w:sz w:val="24"/>
                <w:szCs w:val="24"/>
              </w:rPr>
            </w:pPr>
            <w:r w:rsidRPr="00A44B9B">
              <w:rPr>
                <w:rFonts w:asciiTheme="minorHAnsi" w:eastAsia="Times New Roman" w:hAnsiTheme="minorHAnsi" w:cstheme="minorHAnsi"/>
                <w:color w:val="000000"/>
                <w:sz w:val="24"/>
                <w:szCs w:val="24"/>
              </w:rPr>
              <w:t>Dosing above 1 g/kg per day is contraindicated for some IVIg products.</w:t>
            </w:r>
          </w:p>
          <w:p w14:paraId="68721577" w14:textId="77777777" w:rsidR="00BA00AB" w:rsidRPr="00A74878" w:rsidRDefault="00BA00AB" w:rsidP="00065D04">
            <w:pPr>
              <w:spacing w:after="225" w:line="276" w:lineRule="auto"/>
              <w:rPr>
                <w:rFonts w:asciiTheme="minorHAnsi" w:eastAsia="Times New Roman" w:hAnsiTheme="minorHAnsi" w:cstheme="minorHAnsi"/>
                <w:b/>
                <w:color w:val="000000"/>
                <w:sz w:val="24"/>
                <w:szCs w:val="24"/>
              </w:rPr>
            </w:pPr>
            <w:r w:rsidRPr="00A74878">
              <w:rPr>
                <w:rFonts w:asciiTheme="minorHAnsi" w:eastAsia="Times New Roman" w:hAnsiTheme="minorHAnsi" w:cstheme="minorHAnsi"/>
                <w:b/>
                <w:color w:val="000000"/>
                <w:sz w:val="24"/>
                <w:szCs w:val="24"/>
              </w:rPr>
              <w:t>Refer to the current product information sheet for further information.</w:t>
            </w:r>
          </w:p>
          <w:p w14:paraId="6F418F26" w14:textId="77777777" w:rsidR="00BA00AB" w:rsidRPr="00A74878" w:rsidRDefault="00BA00AB" w:rsidP="00065D04">
            <w:pPr>
              <w:rPr>
                <w:rFonts w:asciiTheme="minorHAnsi" w:eastAsia="Times New Roman" w:hAnsiTheme="minorHAnsi" w:cstheme="minorHAnsi"/>
                <w:b/>
                <w:color w:val="000000"/>
                <w:sz w:val="24"/>
                <w:szCs w:val="24"/>
              </w:rPr>
            </w:pPr>
          </w:p>
          <w:p w14:paraId="08F7E5CB" w14:textId="0835FB1B" w:rsidR="00BA00AB" w:rsidRPr="00A74878" w:rsidRDefault="00BA00AB" w:rsidP="00065D04">
            <w:pPr>
              <w:rPr>
                <w:rFonts w:asciiTheme="minorHAnsi" w:hAnsiTheme="minorHAnsi"/>
                <w:sz w:val="24"/>
                <w:szCs w:val="24"/>
              </w:rPr>
            </w:pPr>
          </w:p>
        </w:tc>
        <w:tc>
          <w:tcPr>
            <w:tcW w:w="1637" w:type="pct"/>
          </w:tcPr>
          <w:p w14:paraId="293748CE" w14:textId="77777777" w:rsidR="00BA00AB" w:rsidRPr="00CE379E" w:rsidRDefault="00BA00AB" w:rsidP="00065D04">
            <w:pPr>
              <w:rPr>
                <w:rFonts w:asciiTheme="minorHAnsi" w:hAnsiTheme="minorHAnsi"/>
                <w:sz w:val="24"/>
                <w:szCs w:val="24"/>
              </w:rPr>
            </w:pPr>
            <w:r w:rsidRPr="00CE379E">
              <w:rPr>
                <w:rFonts w:asciiTheme="minorHAnsi" w:hAnsiTheme="minorHAnsi"/>
                <w:sz w:val="24"/>
                <w:szCs w:val="24"/>
              </w:rPr>
              <w:lastRenderedPageBreak/>
              <w:t xml:space="preserve">Dosing specifications have been more explicitly defined (within current policy allowances) to support current clinical practices and accommodate the variable </w:t>
            </w:r>
            <w:r w:rsidRPr="00CE379E">
              <w:rPr>
                <w:rFonts w:asciiTheme="minorHAnsi" w:hAnsiTheme="minorHAnsi"/>
                <w:sz w:val="24"/>
                <w:szCs w:val="24"/>
              </w:rPr>
              <w:lastRenderedPageBreak/>
              <w:t>approaches to treatment protocols in use nationally</w:t>
            </w:r>
            <w:r>
              <w:rPr>
                <w:rFonts w:asciiTheme="minorHAnsi" w:hAnsiTheme="minorHAnsi"/>
                <w:sz w:val="24"/>
                <w:szCs w:val="24"/>
              </w:rPr>
              <w:t xml:space="preserve">. </w:t>
            </w:r>
            <w:r w:rsidRPr="00CE379E">
              <w:rPr>
                <w:rFonts w:asciiTheme="minorHAnsi" w:hAnsiTheme="minorHAnsi"/>
                <w:sz w:val="24"/>
                <w:szCs w:val="24"/>
              </w:rPr>
              <w:t>(</w:t>
            </w:r>
            <w:r>
              <w:rPr>
                <w:rFonts w:asciiTheme="minorHAnsi" w:hAnsiTheme="minorHAnsi"/>
                <w:sz w:val="24"/>
                <w:szCs w:val="24"/>
              </w:rPr>
              <w:t>A</w:t>
            </w:r>
            <w:r w:rsidRPr="00CE379E">
              <w:rPr>
                <w:rFonts w:asciiTheme="minorHAnsi" w:hAnsiTheme="minorHAnsi"/>
                <w:sz w:val="24"/>
                <w:szCs w:val="24"/>
              </w:rPr>
              <w:t>)</w:t>
            </w:r>
            <w:r>
              <w:rPr>
                <w:rFonts w:asciiTheme="minorHAnsi" w:hAnsiTheme="minorHAnsi"/>
                <w:sz w:val="24"/>
                <w:szCs w:val="24"/>
              </w:rPr>
              <w:t xml:space="preserve"> Data will be available for analysis in future that will support the identification of better practice. </w:t>
            </w:r>
            <w:r w:rsidRPr="00CE379E">
              <w:rPr>
                <w:rFonts w:asciiTheme="minorHAnsi" w:hAnsiTheme="minorHAnsi"/>
                <w:sz w:val="24"/>
                <w:szCs w:val="24"/>
              </w:rPr>
              <w:t xml:space="preserve"> </w:t>
            </w:r>
          </w:p>
        </w:tc>
      </w:tr>
      <w:tr w:rsidR="00CB37BD" w:rsidRPr="00BF6734" w14:paraId="2F7762F6" w14:textId="77777777" w:rsidTr="00065D04">
        <w:tblPrEx>
          <w:tblLook w:val="04A0" w:firstRow="1" w:lastRow="0" w:firstColumn="1" w:lastColumn="0" w:noHBand="0" w:noVBand="1"/>
        </w:tblPrEx>
        <w:tc>
          <w:tcPr>
            <w:tcW w:w="5000" w:type="pct"/>
            <w:gridSpan w:val="7"/>
            <w:shd w:val="clear" w:color="auto" w:fill="DBE5F1" w:themeFill="accent1" w:themeFillTint="33"/>
          </w:tcPr>
          <w:p w14:paraId="0E3F5A49" w14:textId="3C3C87C2" w:rsidR="00CB37BD" w:rsidRPr="00BF6734" w:rsidRDefault="00684260" w:rsidP="00CB37BD">
            <w:pPr>
              <w:spacing w:before="120" w:after="120"/>
              <w:jc w:val="center"/>
              <w:rPr>
                <w:rFonts w:asciiTheme="minorHAnsi" w:hAnsiTheme="minorHAnsi"/>
                <w:b/>
              </w:rPr>
            </w:pPr>
            <w:r>
              <w:rPr>
                <w:rFonts w:asciiTheme="minorHAnsi" w:hAnsiTheme="minorHAnsi"/>
                <w:b/>
              </w:rPr>
              <w:lastRenderedPageBreak/>
              <w:t>BIBLIOGRAPHY</w:t>
            </w:r>
          </w:p>
        </w:tc>
      </w:tr>
      <w:tr w:rsidR="00684260" w:rsidRPr="00684260" w14:paraId="0333357E" w14:textId="77777777" w:rsidTr="00684260">
        <w:tblPrEx>
          <w:tblLook w:val="04A0" w:firstRow="1" w:lastRow="0" w:firstColumn="1" w:lastColumn="0" w:noHBand="0" w:noVBand="1"/>
        </w:tblPrEx>
        <w:tc>
          <w:tcPr>
            <w:tcW w:w="5000" w:type="pct"/>
            <w:gridSpan w:val="7"/>
            <w:shd w:val="clear" w:color="auto" w:fill="auto"/>
          </w:tcPr>
          <w:p w14:paraId="63926B82" w14:textId="5E4862DF" w:rsidR="00684260" w:rsidRPr="00684260" w:rsidRDefault="00684260" w:rsidP="00684260">
            <w:pPr>
              <w:spacing w:before="120" w:after="120"/>
              <w:rPr>
                <w:rFonts w:asciiTheme="minorHAnsi" w:hAnsiTheme="minorHAnsi"/>
                <w:b/>
              </w:rPr>
            </w:pPr>
            <w:proofErr w:type="spellStart"/>
            <w:r w:rsidRPr="00684260">
              <w:rPr>
                <w:rFonts w:asciiTheme="minorHAnsi" w:hAnsiTheme="minorHAnsi" w:cs="Helvetica"/>
                <w:color w:val="333333"/>
                <w:sz w:val="21"/>
                <w:szCs w:val="21"/>
              </w:rPr>
              <w:t>Ahsan</w:t>
            </w:r>
            <w:proofErr w:type="spellEnd"/>
            <w:r w:rsidRPr="00684260">
              <w:rPr>
                <w:rFonts w:asciiTheme="minorHAnsi" w:hAnsiTheme="minorHAnsi" w:cs="Helvetica"/>
                <w:color w:val="333333"/>
                <w:sz w:val="21"/>
                <w:szCs w:val="21"/>
              </w:rPr>
              <w:t>, N &amp; Shah, KV 2002, ‘</w:t>
            </w:r>
            <w:proofErr w:type="spellStart"/>
            <w:r w:rsidRPr="00684260">
              <w:rPr>
                <w:rFonts w:asciiTheme="minorHAnsi" w:hAnsiTheme="minorHAnsi" w:cs="Helvetica"/>
                <w:color w:val="333333"/>
                <w:sz w:val="21"/>
                <w:szCs w:val="21"/>
              </w:rPr>
              <w:t>Polyomaviruses</w:t>
            </w:r>
            <w:proofErr w:type="spellEnd"/>
            <w:r w:rsidRPr="00684260">
              <w:rPr>
                <w:rFonts w:asciiTheme="minorHAnsi" w:hAnsiTheme="minorHAnsi" w:cs="Helvetica"/>
                <w:color w:val="333333"/>
                <w:sz w:val="21"/>
                <w:szCs w:val="21"/>
              </w:rPr>
              <w:t xml:space="preserve">: an overview’, </w:t>
            </w:r>
            <w:r w:rsidRPr="00684260">
              <w:rPr>
                <w:rStyle w:val="Emphasis"/>
                <w:rFonts w:asciiTheme="minorHAnsi" w:hAnsiTheme="minorHAnsi" w:cs="Helvetica"/>
                <w:color w:val="333333"/>
                <w:sz w:val="21"/>
                <w:szCs w:val="21"/>
              </w:rPr>
              <w:t>Graft</w:t>
            </w:r>
            <w:r w:rsidRPr="00684260">
              <w:rPr>
                <w:rFonts w:asciiTheme="minorHAnsi" w:hAnsiTheme="minorHAnsi" w:cs="Helvetica"/>
                <w:color w:val="333333"/>
                <w:sz w:val="21"/>
                <w:szCs w:val="21"/>
              </w:rPr>
              <w:t>, vol. 5, pp. S9–18.</w:t>
            </w:r>
            <w:r w:rsidRPr="00684260">
              <w:rPr>
                <w:rFonts w:asciiTheme="minorHAnsi" w:hAnsiTheme="minorHAnsi" w:cs="Helvetica"/>
                <w:color w:val="333333"/>
                <w:sz w:val="21"/>
                <w:szCs w:val="21"/>
              </w:rPr>
              <w:br/>
              <w:t xml:space="preserve">Banff 2013, 'Meeting Report' </w:t>
            </w:r>
            <w:r w:rsidRPr="00684260">
              <w:rPr>
                <w:rStyle w:val="Emphasis"/>
                <w:rFonts w:asciiTheme="minorHAnsi" w:hAnsiTheme="minorHAnsi" w:cs="Helvetica"/>
                <w:color w:val="333333"/>
                <w:sz w:val="21"/>
                <w:szCs w:val="21"/>
              </w:rPr>
              <w:t xml:space="preserve">American Journal of Transplantation </w:t>
            </w:r>
            <w:r w:rsidRPr="00684260">
              <w:rPr>
                <w:rFonts w:asciiTheme="minorHAnsi" w:hAnsiTheme="minorHAnsi" w:cs="Helvetica"/>
                <w:color w:val="333333"/>
                <w:sz w:val="21"/>
                <w:szCs w:val="21"/>
              </w:rPr>
              <w:t>2014, no 14, pp. 277.</w:t>
            </w:r>
            <w:r w:rsidRPr="00684260">
              <w:rPr>
                <w:rFonts w:asciiTheme="minorHAnsi" w:hAnsiTheme="minorHAnsi" w:cs="Helvetica"/>
                <w:color w:val="333333"/>
                <w:sz w:val="21"/>
                <w:szCs w:val="21"/>
              </w:rPr>
              <w:br/>
            </w:r>
            <w:proofErr w:type="spellStart"/>
            <w:r w:rsidRPr="00684260">
              <w:rPr>
                <w:rFonts w:asciiTheme="minorHAnsi" w:hAnsiTheme="minorHAnsi" w:cs="Helvetica"/>
                <w:color w:val="333333"/>
                <w:sz w:val="21"/>
                <w:szCs w:val="21"/>
              </w:rPr>
              <w:t>Biotext</w:t>
            </w:r>
            <w:proofErr w:type="spellEnd"/>
            <w:r w:rsidRPr="00684260">
              <w:rPr>
                <w:rFonts w:asciiTheme="minorHAnsi" w:hAnsiTheme="minorHAnsi" w:cs="Helvetica"/>
                <w:color w:val="333333"/>
                <w:sz w:val="21"/>
                <w:szCs w:val="21"/>
              </w:rPr>
              <w:t xml:space="preserve"> 2004, ‘Summary data on conditions and papers’, in </w:t>
            </w:r>
            <w:r w:rsidRPr="00684260">
              <w:rPr>
                <w:rStyle w:val="Emphasis"/>
                <w:rFonts w:asciiTheme="minorHAnsi" w:hAnsiTheme="minorHAnsi" w:cs="Helvetica"/>
                <w:color w:val="333333"/>
                <w:sz w:val="21"/>
                <w:szCs w:val="21"/>
              </w:rPr>
              <w:t>A systematic literature review and report on the efficacy of intravenous immunoglobulin therapy and its risks</w:t>
            </w:r>
            <w:r w:rsidRPr="00684260">
              <w:rPr>
                <w:rFonts w:asciiTheme="minorHAnsi" w:hAnsiTheme="minorHAnsi" w:cs="Helvetica"/>
                <w:color w:val="333333"/>
                <w:sz w:val="21"/>
                <w:szCs w:val="21"/>
              </w:rPr>
              <w:t>, commissioned by the National Blood Authority on behalf of all Australian Governments, pp. 86–7. Available from: http://www.nba.gov.au/pubs/pdf/report-lit-rev.pdf.</w:t>
            </w:r>
            <w:r w:rsidRPr="00684260">
              <w:rPr>
                <w:rFonts w:asciiTheme="minorHAnsi" w:hAnsiTheme="minorHAnsi" w:cs="Helvetica"/>
                <w:color w:val="333333"/>
                <w:sz w:val="21"/>
                <w:szCs w:val="21"/>
              </w:rPr>
              <w:br/>
            </w:r>
            <w:proofErr w:type="spellStart"/>
            <w:r w:rsidRPr="00684260">
              <w:rPr>
                <w:rFonts w:asciiTheme="minorHAnsi" w:hAnsiTheme="minorHAnsi" w:cs="Helvetica"/>
                <w:color w:val="333333"/>
                <w:sz w:val="21"/>
                <w:szCs w:val="21"/>
              </w:rPr>
              <w:t>Casadei</w:t>
            </w:r>
            <w:proofErr w:type="spellEnd"/>
            <w:r w:rsidRPr="00684260">
              <w:rPr>
                <w:rFonts w:asciiTheme="minorHAnsi" w:hAnsiTheme="minorHAnsi" w:cs="Helvetica"/>
                <w:color w:val="333333"/>
                <w:sz w:val="21"/>
                <w:szCs w:val="21"/>
              </w:rPr>
              <w:t xml:space="preserve">, DH, del C </w:t>
            </w:r>
            <w:proofErr w:type="spellStart"/>
            <w:r w:rsidRPr="00684260">
              <w:rPr>
                <w:rFonts w:asciiTheme="minorHAnsi" w:hAnsiTheme="minorHAnsi" w:cs="Helvetica"/>
                <w:color w:val="333333"/>
                <w:sz w:val="21"/>
                <w:szCs w:val="21"/>
              </w:rPr>
              <w:t>Rial</w:t>
            </w:r>
            <w:proofErr w:type="spellEnd"/>
            <w:r w:rsidRPr="00684260">
              <w:rPr>
                <w:rFonts w:asciiTheme="minorHAnsi" w:hAnsiTheme="minorHAnsi" w:cs="Helvetica"/>
                <w:color w:val="333333"/>
                <w:sz w:val="21"/>
                <w:szCs w:val="21"/>
              </w:rPr>
              <w:t xml:space="preserve">, M, </w:t>
            </w:r>
            <w:proofErr w:type="spellStart"/>
            <w:r w:rsidRPr="00684260">
              <w:rPr>
                <w:rFonts w:asciiTheme="minorHAnsi" w:hAnsiTheme="minorHAnsi" w:cs="Helvetica"/>
                <w:color w:val="333333"/>
                <w:sz w:val="21"/>
                <w:szCs w:val="21"/>
              </w:rPr>
              <w:t>Opelz</w:t>
            </w:r>
            <w:proofErr w:type="spellEnd"/>
            <w:r w:rsidRPr="00684260">
              <w:rPr>
                <w:rFonts w:asciiTheme="minorHAnsi" w:hAnsiTheme="minorHAnsi" w:cs="Helvetica"/>
                <w:color w:val="333333"/>
                <w:sz w:val="21"/>
                <w:szCs w:val="21"/>
              </w:rPr>
              <w:t>, G, et al 2001,</w:t>
            </w:r>
            <w:bookmarkStart w:id="0" w:name="_GoBack"/>
            <w:bookmarkEnd w:id="0"/>
            <w:r w:rsidRPr="00684260">
              <w:rPr>
                <w:rFonts w:asciiTheme="minorHAnsi" w:hAnsiTheme="minorHAnsi" w:cs="Helvetica"/>
                <w:color w:val="333333"/>
                <w:sz w:val="21"/>
                <w:szCs w:val="21"/>
              </w:rPr>
              <w:t xml:space="preserve"> ‘A randomised and prospective study comparing treatment with high-dose intravenous immunoglobulin with monoclonal antibodies for rescue of kidney grafts with steroid-resistant rejection’, </w:t>
            </w:r>
            <w:r w:rsidRPr="00684260">
              <w:rPr>
                <w:rStyle w:val="Emphasis"/>
                <w:rFonts w:asciiTheme="minorHAnsi" w:hAnsiTheme="minorHAnsi" w:cs="Helvetica"/>
                <w:color w:val="333333"/>
                <w:sz w:val="21"/>
                <w:szCs w:val="21"/>
              </w:rPr>
              <w:t>Transplantation</w:t>
            </w:r>
            <w:r w:rsidRPr="00684260">
              <w:rPr>
                <w:rFonts w:asciiTheme="minorHAnsi" w:hAnsiTheme="minorHAnsi" w:cs="Helvetica"/>
                <w:color w:val="333333"/>
                <w:sz w:val="21"/>
                <w:szCs w:val="21"/>
              </w:rPr>
              <w:t>, vol. 71, no. 1, pp. 53–8.</w:t>
            </w:r>
            <w:r w:rsidRPr="00684260">
              <w:rPr>
                <w:rFonts w:asciiTheme="minorHAnsi" w:hAnsiTheme="minorHAnsi" w:cs="Helvetica"/>
                <w:color w:val="333333"/>
                <w:sz w:val="21"/>
                <w:szCs w:val="21"/>
              </w:rPr>
              <w:br/>
              <w:t xml:space="preserve">Conti, DJ, Freed, BM, Gruber, SA, et al 1994, ‘Prophylaxis of primary cytomegalovirus disease in renal transplant recipients. A trial of </w:t>
            </w:r>
            <w:proofErr w:type="spellStart"/>
            <w:r w:rsidRPr="00684260">
              <w:rPr>
                <w:rFonts w:asciiTheme="minorHAnsi" w:hAnsiTheme="minorHAnsi" w:cs="Helvetica"/>
                <w:color w:val="333333"/>
                <w:sz w:val="21"/>
                <w:szCs w:val="21"/>
              </w:rPr>
              <w:t>gancyclovir</w:t>
            </w:r>
            <w:proofErr w:type="spellEnd"/>
            <w:r w:rsidRPr="00684260">
              <w:rPr>
                <w:rFonts w:asciiTheme="minorHAnsi" w:hAnsiTheme="minorHAnsi" w:cs="Helvetica"/>
                <w:color w:val="333333"/>
                <w:sz w:val="21"/>
                <w:szCs w:val="21"/>
              </w:rPr>
              <w:t xml:space="preserve"> vs. immunoglobulin’, </w:t>
            </w:r>
            <w:r w:rsidRPr="00684260">
              <w:rPr>
                <w:rStyle w:val="Emphasis"/>
                <w:rFonts w:asciiTheme="minorHAnsi" w:hAnsiTheme="minorHAnsi" w:cs="Helvetica"/>
                <w:color w:val="333333"/>
                <w:sz w:val="21"/>
                <w:szCs w:val="21"/>
              </w:rPr>
              <w:t>Archives of Surgery</w:t>
            </w:r>
            <w:r w:rsidRPr="00684260">
              <w:rPr>
                <w:rFonts w:asciiTheme="minorHAnsi" w:hAnsiTheme="minorHAnsi" w:cs="Helvetica"/>
                <w:color w:val="333333"/>
                <w:sz w:val="21"/>
                <w:szCs w:val="21"/>
              </w:rPr>
              <w:t xml:space="preserve">, vol. 129, no. 4, </w:t>
            </w:r>
            <w:proofErr w:type="gramStart"/>
            <w:r w:rsidRPr="00684260">
              <w:rPr>
                <w:rFonts w:asciiTheme="minorHAnsi" w:hAnsiTheme="minorHAnsi" w:cs="Helvetica"/>
                <w:color w:val="333333"/>
                <w:sz w:val="21"/>
                <w:szCs w:val="21"/>
              </w:rPr>
              <w:t>pp</w:t>
            </w:r>
            <w:proofErr w:type="gramEnd"/>
            <w:r w:rsidRPr="00684260">
              <w:rPr>
                <w:rFonts w:asciiTheme="minorHAnsi" w:hAnsiTheme="minorHAnsi" w:cs="Helvetica"/>
                <w:color w:val="333333"/>
                <w:sz w:val="21"/>
                <w:szCs w:val="21"/>
              </w:rPr>
              <w:t>. 443–7.</w:t>
            </w:r>
            <w:r w:rsidRPr="00684260">
              <w:rPr>
                <w:rFonts w:asciiTheme="minorHAnsi" w:hAnsiTheme="minorHAnsi" w:cs="Helvetica"/>
                <w:color w:val="333333"/>
                <w:sz w:val="21"/>
                <w:szCs w:val="21"/>
              </w:rPr>
              <w:br/>
            </w:r>
            <w:proofErr w:type="spellStart"/>
            <w:r w:rsidRPr="00684260">
              <w:rPr>
                <w:rFonts w:asciiTheme="minorHAnsi" w:hAnsiTheme="minorHAnsi" w:cs="Helvetica"/>
                <w:color w:val="333333"/>
                <w:sz w:val="21"/>
                <w:szCs w:val="21"/>
              </w:rPr>
              <w:t>Frommer</w:t>
            </w:r>
            <w:proofErr w:type="spellEnd"/>
            <w:r w:rsidRPr="00684260">
              <w:rPr>
                <w:rFonts w:asciiTheme="minorHAnsi" w:hAnsiTheme="minorHAnsi" w:cs="Helvetica"/>
                <w:color w:val="333333"/>
                <w:sz w:val="21"/>
                <w:szCs w:val="21"/>
              </w:rPr>
              <w:t xml:space="preserve">, M &amp; </w:t>
            </w:r>
            <w:proofErr w:type="spellStart"/>
            <w:r w:rsidRPr="00684260">
              <w:rPr>
                <w:rFonts w:asciiTheme="minorHAnsi" w:hAnsiTheme="minorHAnsi" w:cs="Helvetica"/>
                <w:color w:val="333333"/>
                <w:sz w:val="21"/>
                <w:szCs w:val="21"/>
              </w:rPr>
              <w:t>Madronio</w:t>
            </w:r>
            <w:proofErr w:type="spellEnd"/>
            <w:r w:rsidRPr="00684260">
              <w:rPr>
                <w:rFonts w:asciiTheme="minorHAnsi" w:hAnsiTheme="minorHAnsi" w:cs="Helvetica"/>
                <w:color w:val="333333"/>
                <w:sz w:val="21"/>
                <w:szCs w:val="21"/>
              </w:rPr>
              <w:t xml:space="preserve">, C 2006, </w:t>
            </w:r>
            <w:r w:rsidRPr="00684260">
              <w:rPr>
                <w:rStyle w:val="Emphasis"/>
                <w:rFonts w:asciiTheme="minorHAnsi" w:hAnsiTheme="minorHAnsi" w:cs="Helvetica"/>
                <w:color w:val="333333"/>
                <w:sz w:val="21"/>
                <w:szCs w:val="21"/>
              </w:rPr>
              <w:t xml:space="preserve">The use of intravenous immunoglobulin in Australia. A report for the National Blood Authority, </w:t>
            </w:r>
            <w:r w:rsidRPr="00684260">
              <w:rPr>
                <w:rFonts w:asciiTheme="minorHAnsi" w:hAnsiTheme="minorHAnsi" w:cs="Helvetica"/>
                <w:color w:val="333333"/>
                <w:sz w:val="21"/>
                <w:szCs w:val="21"/>
              </w:rPr>
              <w:t>Part B: systematic literature review, Sydney Health Projects Group, University of Sydney, Sydney, pp. 18–20.</w:t>
            </w:r>
            <w:r w:rsidRPr="00684260">
              <w:rPr>
                <w:rFonts w:asciiTheme="minorHAnsi" w:hAnsiTheme="minorHAnsi" w:cs="Helvetica"/>
                <w:color w:val="333333"/>
                <w:sz w:val="21"/>
                <w:szCs w:val="21"/>
              </w:rPr>
              <w:br/>
              <w:t xml:space="preserve">Jordan, SC, </w:t>
            </w:r>
            <w:proofErr w:type="spellStart"/>
            <w:r w:rsidRPr="00684260">
              <w:rPr>
                <w:rFonts w:asciiTheme="minorHAnsi" w:hAnsiTheme="minorHAnsi" w:cs="Helvetica"/>
                <w:color w:val="333333"/>
                <w:sz w:val="21"/>
                <w:szCs w:val="21"/>
              </w:rPr>
              <w:t>Tyan</w:t>
            </w:r>
            <w:proofErr w:type="spellEnd"/>
            <w:r w:rsidRPr="00684260">
              <w:rPr>
                <w:rFonts w:asciiTheme="minorHAnsi" w:hAnsiTheme="minorHAnsi" w:cs="Helvetica"/>
                <w:color w:val="333333"/>
                <w:sz w:val="21"/>
                <w:szCs w:val="21"/>
              </w:rPr>
              <w:t xml:space="preserve">, D, </w:t>
            </w:r>
            <w:proofErr w:type="spellStart"/>
            <w:r w:rsidRPr="00684260">
              <w:rPr>
                <w:rFonts w:asciiTheme="minorHAnsi" w:hAnsiTheme="minorHAnsi" w:cs="Helvetica"/>
                <w:color w:val="333333"/>
                <w:sz w:val="21"/>
                <w:szCs w:val="21"/>
              </w:rPr>
              <w:t>Stablein</w:t>
            </w:r>
            <w:proofErr w:type="spellEnd"/>
            <w:r w:rsidRPr="00684260">
              <w:rPr>
                <w:rFonts w:asciiTheme="minorHAnsi" w:hAnsiTheme="minorHAnsi" w:cs="Helvetica"/>
                <w:color w:val="333333"/>
                <w:sz w:val="21"/>
                <w:szCs w:val="21"/>
              </w:rPr>
              <w:t xml:space="preserve">, D, et al 2004, ‘Evaluation of intravenous immunoglobulin as an agent to lower </w:t>
            </w:r>
            <w:proofErr w:type="spellStart"/>
            <w:r w:rsidRPr="00684260">
              <w:rPr>
                <w:rFonts w:asciiTheme="minorHAnsi" w:hAnsiTheme="minorHAnsi" w:cs="Helvetica"/>
                <w:color w:val="333333"/>
                <w:sz w:val="21"/>
                <w:szCs w:val="21"/>
              </w:rPr>
              <w:t>allosensitisation</w:t>
            </w:r>
            <w:proofErr w:type="spellEnd"/>
            <w:r w:rsidRPr="00684260">
              <w:rPr>
                <w:rFonts w:asciiTheme="minorHAnsi" w:hAnsiTheme="minorHAnsi" w:cs="Helvetica"/>
                <w:color w:val="333333"/>
                <w:sz w:val="21"/>
                <w:szCs w:val="21"/>
              </w:rPr>
              <w:t xml:space="preserve"> and improve transplantation in highly sensitized adult patients with end-stage renal disease: report of the NIH IG02 trial’, </w:t>
            </w:r>
            <w:r w:rsidRPr="00684260">
              <w:rPr>
                <w:rStyle w:val="Emphasis"/>
                <w:rFonts w:asciiTheme="minorHAnsi" w:hAnsiTheme="minorHAnsi" w:cs="Helvetica"/>
                <w:color w:val="333333"/>
                <w:sz w:val="21"/>
                <w:szCs w:val="21"/>
              </w:rPr>
              <w:t>Journal of the American Society of Nephrology</w:t>
            </w:r>
            <w:r w:rsidRPr="00684260">
              <w:rPr>
                <w:rFonts w:asciiTheme="minorHAnsi" w:hAnsiTheme="minorHAnsi" w:cs="Helvetica"/>
                <w:color w:val="333333"/>
                <w:sz w:val="21"/>
                <w:szCs w:val="21"/>
              </w:rPr>
              <w:t>, vol. 15, no. 12, pp. 3256–62.</w:t>
            </w:r>
            <w:r w:rsidRPr="00684260">
              <w:rPr>
                <w:rFonts w:asciiTheme="minorHAnsi" w:hAnsiTheme="minorHAnsi" w:cs="Helvetica"/>
                <w:color w:val="333333"/>
                <w:sz w:val="21"/>
                <w:szCs w:val="21"/>
              </w:rPr>
              <w:br/>
              <w:t xml:space="preserve">Jordan, SC, Vo, A, </w:t>
            </w:r>
            <w:proofErr w:type="spellStart"/>
            <w:r w:rsidRPr="00684260">
              <w:rPr>
                <w:rFonts w:asciiTheme="minorHAnsi" w:hAnsiTheme="minorHAnsi" w:cs="Helvetica"/>
                <w:color w:val="333333"/>
                <w:sz w:val="21"/>
                <w:szCs w:val="21"/>
              </w:rPr>
              <w:t>Bunnapradist</w:t>
            </w:r>
            <w:proofErr w:type="spellEnd"/>
            <w:r w:rsidRPr="00684260">
              <w:rPr>
                <w:rFonts w:asciiTheme="minorHAnsi" w:hAnsiTheme="minorHAnsi" w:cs="Helvetica"/>
                <w:color w:val="333333"/>
                <w:sz w:val="21"/>
                <w:szCs w:val="21"/>
              </w:rPr>
              <w:t xml:space="preserve">, S, et al 2003, ‘Intravenous immune globulin treatment inhibits cross match positivity and allows for successful transplantation of incompatible organs in living-donor and cadaver recipients’, </w:t>
            </w:r>
            <w:r w:rsidRPr="00684260">
              <w:rPr>
                <w:rStyle w:val="Emphasis"/>
                <w:rFonts w:asciiTheme="minorHAnsi" w:hAnsiTheme="minorHAnsi" w:cs="Helvetica"/>
                <w:color w:val="333333"/>
                <w:sz w:val="21"/>
                <w:szCs w:val="21"/>
              </w:rPr>
              <w:t>Transplantation</w:t>
            </w:r>
            <w:r w:rsidRPr="00684260">
              <w:rPr>
                <w:rFonts w:asciiTheme="minorHAnsi" w:hAnsiTheme="minorHAnsi" w:cs="Helvetica"/>
                <w:color w:val="333333"/>
                <w:sz w:val="21"/>
                <w:szCs w:val="21"/>
              </w:rPr>
              <w:t>, vol. 76, no. 4, pp. 631–6.</w:t>
            </w:r>
            <w:r w:rsidRPr="00684260">
              <w:rPr>
                <w:rFonts w:asciiTheme="minorHAnsi" w:hAnsiTheme="minorHAnsi" w:cs="Helvetica"/>
                <w:color w:val="333333"/>
                <w:sz w:val="21"/>
                <w:szCs w:val="21"/>
              </w:rPr>
              <w:br/>
              <w:t xml:space="preserve">Jordan, SC, Vo, AA, </w:t>
            </w:r>
            <w:proofErr w:type="spellStart"/>
            <w:r w:rsidRPr="00684260">
              <w:rPr>
                <w:rFonts w:asciiTheme="minorHAnsi" w:hAnsiTheme="minorHAnsi" w:cs="Helvetica"/>
                <w:color w:val="333333"/>
                <w:sz w:val="21"/>
                <w:szCs w:val="21"/>
              </w:rPr>
              <w:t>Tyan</w:t>
            </w:r>
            <w:proofErr w:type="spellEnd"/>
            <w:r w:rsidRPr="00684260">
              <w:rPr>
                <w:rFonts w:asciiTheme="minorHAnsi" w:hAnsiTheme="minorHAnsi" w:cs="Helvetica"/>
                <w:color w:val="333333"/>
                <w:sz w:val="21"/>
                <w:szCs w:val="21"/>
              </w:rPr>
              <w:t xml:space="preserve">, D, et al 2005, ‘Current approaches to treatment of antibody-mediated rejection’, </w:t>
            </w:r>
            <w:proofErr w:type="spellStart"/>
            <w:r w:rsidRPr="00684260">
              <w:rPr>
                <w:rStyle w:val="Emphasis"/>
                <w:rFonts w:asciiTheme="minorHAnsi" w:hAnsiTheme="minorHAnsi" w:cs="Helvetica"/>
                <w:color w:val="333333"/>
                <w:sz w:val="21"/>
                <w:szCs w:val="21"/>
              </w:rPr>
              <w:t>Pediatric</w:t>
            </w:r>
            <w:proofErr w:type="spellEnd"/>
            <w:r w:rsidRPr="00684260">
              <w:rPr>
                <w:rStyle w:val="Emphasis"/>
                <w:rFonts w:asciiTheme="minorHAnsi" w:hAnsiTheme="minorHAnsi" w:cs="Helvetica"/>
                <w:color w:val="333333"/>
                <w:sz w:val="21"/>
                <w:szCs w:val="21"/>
              </w:rPr>
              <w:t xml:space="preserve"> Transplantation</w:t>
            </w:r>
            <w:r w:rsidRPr="00684260">
              <w:rPr>
                <w:rFonts w:asciiTheme="minorHAnsi" w:hAnsiTheme="minorHAnsi" w:cs="Helvetica"/>
                <w:color w:val="333333"/>
                <w:sz w:val="21"/>
                <w:szCs w:val="21"/>
              </w:rPr>
              <w:t>, vol. 9, no. 3, pp. 408–15.</w:t>
            </w:r>
            <w:r w:rsidRPr="00684260">
              <w:rPr>
                <w:rFonts w:asciiTheme="minorHAnsi" w:hAnsiTheme="minorHAnsi" w:cs="Helvetica"/>
                <w:color w:val="333333"/>
                <w:sz w:val="21"/>
                <w:szCs w:val="21"/>
              </w:rPr>
              <w:br/>
            </w:r>
            <w:proofErr w:type="spellStart"/>
            <w:r w:rsidRPr="00684260">
              <w:rPr>
                <w:rFonts w:asciiTheme="minorHAnsi" w:hAnsiTheme="minorHAnsi" w:cs="Helvetica"/>
                <w:color w:val="333333"/>
                <w:sz w:val="21"/>
                <w:szCs w:val="21"/>
              </w:rPr>
              <w:t>Lian</w:t>
            </w:r>
            <w:proofErr w:type="spellEnd"/>
            <w:r w:rsidRPr="00684260">
              <w:rPr>
                <w:rFonts w:asciiTheme="minorHAnsi" w:hAnsiTheme="minorHAnsi" w:cs="Helvetica"/>
                <w:color w:val="333333"/>
                <w:sz w:val="21"/>
                <w:szCs w:val="21"/>
              </w:rPr>
              <w:t xml:space="preserve">, M, Chan, W, </w:t>
            </w:r>
            <w:proofErr w:type="spellStart"/>
            <w:r w:rsidRPr="00684260">
              <w:rPr>
                <w:rFonts w:asciiTheme="minorHAnsi" w:hAnsiTheme="minorHAnsi" w:cs="Helvetica"/>
                <w:color w:val="333333"/>
                <w:sz w:val="21"/>
                <w:szCs w:val="21"/>
              </w:rPr>
              <w:t>Slavin</w:t>
            </w:r>
            <w:proofErr w:type="spellEnd"/>
            <w:r w:rsidRPr="00684260">
              <w:rPr>
                <w:rFonts w:asciiTheme="minorHAnsi" w:hAnsiTheme="minorHAnsi" w:cs="Helvetica"/>
                <w:color w:val="333333"/>
                <w:sz w:val="21"/>
                <w:szCs w:val="21"/>
              </w:rPr>
              <w:t>, M, et al 2006, ‘</w:t>
            </w:r>
            <w:proofErr w:type="spellStart"/>
            <w:r w:rsidRPr="00684260">
              <w:rPr>
                <w:rFonts w:asciiTheme="minorHAnsi" w:hAnsiTheme="minorHAnsi" w:cs="Helvetica"/>
                <w:color w:val="333333"/>
                <w:sz w:val="21"/>
                <w:szCs w:val="21"/>
              </w:rPr>
              <w:t>Miliary</w:t>
            </w:r>
            <w:proofErr w:type="spellEnd"/>
            <w:r w:rsidRPr="00684260">
              <w:rPr>
                <w:rFonts w:asciiTheme="minorHAnsi" w:hAnsiTheme="minorHAnsi" w:cs="Helvetica"/>
                <w:color w:val="333333"/>
                <w:sz w:val="21"/>
                <w:szCs w:val="21"/>
              </w:rPr>
              <w:t xml:space="preserve"> tuberculosis in a Caucasian male transplant recipient and the role of intravenous immunoglobulin as an immunosuppressive sparing agent’, </w:t>
            </w:r>
            <w:r w:rsidRPr="00684260">
              <w:rPr>
                <w:rStyle w:val="Emphasis"/>
                <w:rFonts w:asciiTheme="minorHAnsi" w:hAnsiTheme="minorHAnsi" w:cs="Helvetica"/>
                <w:color w:val="333333"/>
                <w:sz w:val="21"/>
                <w:szCs w:val="21"/>
              </w:rPr>
              <w:t>Nephrology (Carlton)</w:t>
            </w:r>
            <w:r w:rsidRPr="00684260">
              <w:rPr>
                <w:rFonts w:asciiTheme="minorHAnsi" w:hAnsiTheme="minorHAnsi" w:cs="Helvetica"/>
                <w:color w:val="333333"/>
                <w:sz w:val="21"/>
                <w:szCs w:val="21"/>
              </w:rPr>
              <w:t>, vol. 11, no. 2, pp. 156–8.</w:t>
            </w:r>
            <w:r w:rsidRPr="00684260">
              <w:rPr>
                <w:rFonts w:asciiTheme="minorHAnsi" w:hAnsiTheme="minorHAnsi" w:cs="Helvetica"/>
                <w:color w:val="333333"/>
                <w:sz w:val="21"/>
                <w:szCs w:val="21"/>
              </w:rPr>
              <w:br/>
              <w:t xml:space="preserve">Luke, PP, </w:t>
            </w:r>
            <w:proofErr w:type="spellStart"/>
            <w:r w:rsidRPr="00684260">
              <w:rPr>
                <w:rFonts w:asciiTheme="minorHAnsi" w:hAnsiTheme="minorHAnsi" w:cs="Helvetica"/>
                <w:color w:val="333333"/>
                <w:sz w:val="21"/>
                <w:szCs w:val="21"/>
              </w:rPr>
              <w:t>Scantlebury</w:t>
            </w:r>
            <w:proofErr w:type="spellEnd"/>
            <w:r w:rsidRPr="00684260">
              <w:rPr>
                <w:rFonts w:asciiTheme="minorHAnsi" w:hAnsiTheme="minorHAnsi" w:cs="Helvetica"/>
                <w:color w:val="333333"/>
                <w:sz w:val="21"/>
                <w:szCs w:val="21"/>
              </w:rPr>
              <w:t>, VP, Jordan, ML, et al 2001, ‘Reversal of steroid- and anti-lymphocyte antibody-resistant rejection using intravenous immunoglobulin (</w:t>
            </w:r>
            <w:proofErr w:type="spellStart"/>
            <w:r w:rsidRPr="00684260">
              <w:rPr>
                <w:rFonts w:asciiTheme="minorHAnsi" w:hAnsiTheme="minorHAnsi" w:cs="Helvetica"/>
                <w:color w:val="333333"/>
                <w:sz w:val="21"/>
                <w:szCs w:val="21"/>
              </w:rPr>
              <w:t>IVIg</w:t>
            </w:r>
            <w:proofErr w:type="spellEnd"/>
            <w:r w:rsidRPr="00684260">
              <w:rPr>
                <w:rFonts w:asciiTheme="minorHAnsi" w:hAnsiTheme="minorHAnsi" w:cs="Helvetica"/>
                <w:color w:val="333333"/>
                <w:sz w:val="21"/>
                <w:szCs w:val="21"/>
              </w:rPr>
              <w:t xml:space="preserve">) in renal transplant recipients’, </w:t>
            </w:r>
            <w:r w:rsidRPr="00684260">
              <w:rPr>
                <w:rStyle w:val="Emphasis"/>
                <w:rFonts w:asciiTheme="minorHAnsi" w:hAnsiTheme="minorHAnsi" w:cs="Helvetica"/>
                <w:color w:val="333333"/>
                <w:sz w:val="21"/>
                <w:szCs w:val="21"/>
              </w:rPr>
              <w:t>Transplantation</w:t>
            </w:r>
            <w:r w:rsidRPr="00684260">
              <w:rPr>
                <w:rFonts w:asciiTheme="minorHAnsi" w:hAnsiTheme="minorHAnsi" w:cs="Helvetica"/>
                <w:color w:val="333333"/>
                <w:sz w:val="21"/>
                <w:szCs w:val="21"/>
              </w:rPr>
              <w:t>, vol. 72, no. 3, pp. 419–22.</w:t>
            </w:r>
            <w:r w:rsidRPr="00684260">
              <w:rPr>
                <w:rFonts w:asciiTheme="minorHAnsi" w:hAnsiTheme="minorHAnsi" w:cs="Helvetica"/>
                <w:color w:val="333333"/>
                <w:sz w:val="21"/>
                <w:szCs w:val="21"/>
              </w:rPr>
              <w:br/>
            </w:r>
            <w:proofErr w:type="spellStart"/>
            <w:r w:rsidRPr="00684260">
              <w:rPr>
                <w:rFonts w:asciiTheme="minorHAnsi" w:hAnsiTheme="minorHAnsi" w:cs="Helvetica"/>
                <w:color w:val="333333"/>
                <w:sz w:val="21"/>
                <w:szCs w:val="21"/>
              </w:rPr>
              <w:t>Moger</w:t>
            </w:r>
            <w:proofErr w:type="spellEnd"/>
            <w:r w:rsidRPr="00684260">
              <w:rPr>
                <w:rFonts w:asciiTheme="minorHAnsi" w:hAnsiTheme="minorHAnsi" w:cs="Helvetica"/>
                <w:color w:val="333333"/>
                <w:sz w:val="21"/>
                <w:szCs w:val="21"/>
              </w:rPr>
              <w:t xml:space="preserve">, V, </w:t>
            </w:r>
            <w:proofErr w:type="spellStart"/>
            <w:r w:rsidRPr="00684260">
              <w:rPr>
                <w:rFonts w:asciiTheme="minorHAnsi" w:hAnsiTheme="minorHAnsi" w:cs="Helvetica"/>
                <w:color w:val="333333"/>
                <w:sz w:val="21"/>
                <w:szCs w:val="21"/>
              </w:rPr>
              <w:t>Ravishankar</w:t>
            </w:r>
            <w:proofErr w:type="spellEnd"/>
            <w:r w:rsidRPr="00684260">
              <w:rPr>
                <w:rFonts w:asciiTheme="minorHAnsi" w:hAnsiTheme="minorHAnsi" w:cs="Helvetica"/>
                <w:color w:val="333333"/>
                <w:sz w:val="21"/>
                <w:szCs w:val="21"/>
              </w:rPr>
              <w:t xml:space="preserve">, M, </w:t>
            </w:r>
            <w:proofErr w:type="spellStart"/>
            <w:r w:rsidRPr="00684260">
              <w:rPr>
                <w:rFonts w:asciiTheme="minorHAnsi" w:hAnsiTheme="minorHAnsi" w:cs="Helvetica"/>
                <w:color w:val="333333"/>
                <w:sz w:val="21"/>
                <w:szCs w:val="21"/>
              </w:rPr>
              <w:t>Sakhuja</w:t>
            </w:r>
            <w:proofErr w:type="spellEnd"/>
            <w:r w:rsidRPr="00684260">
              <w:rPr>
                <w:rFonts w:asciiTheme="minorHAnsi" w:hAnsiTheme="minorHAnsi" w:cs="Helvetica"/>
                <w:color w:val="333333"/>
                <w:sz w:val="21"/>
                <w:szCs w:val="21"/>
              </w:rPr>
              <w:t xml:space="preserve">, V, et al 2004, ‘Intravenous immunoglobulin: a safe option for treatment of steroid-resistant rejection in the presence of infection’, </w:t>
            </w:r>
            <w:r w:rsidRPr="00684260">
              <w:rPr>
                <w:rStyle w:val="Emphasis"/>
                <w:rFonts w:asciiTheme="minorHAnsi" w:hAnsiTheme="minorHAnsi" w:cs="Helvetica"/>
                <w:color w:val="333333"/>
                <w:sz w:val="21"/>
                <w:szCs w:val="21"/>
              </w:rPr>
              <w:t>Transplantation</w:t>
            </w:r>
            <w:r w:rsidRPr="00684260">
              <w:rPr>
                <w:rFonts w:asciiTheme="minorHAnsi" w:hAnsiTheme="minorHAnsi" w:cs="Helvetica"/>
                <w:color w:val="333333"/>
                <w:sz w:val="21"/>
                <w:szCs w:val="21"/>
              </w:rPr>
              <w:t>, vol. 77, no. 9, pp. 1455–6.</w:t>
            </w:r>
            <w:r w:rsidRPr="00684260">
              <w:rPr>
                <w:rFonts w:asciiTheme="minorHAnsi" w:hAnsiTheme="minorHAnsi" w:cs="Helvetica"/>
                <w:color w:val="333333"/>
                <w:sz w:val="21"/>
                <w:szCs w:val="21"/>
              </w:rPr>
              <w:br/>
            </w:r>
            <w:r w:rsidRPr="00684260">
              <w:rPr>
                <w:rFonts w:asciiTheme="minorHAnsi" w:hAnsiTheme="minorHAnsi" w:cs="Helvetica"/>
                <w:color w:val="333333"/>
                <w:sz w:val="21"/>
                <w:szCs w:val="21"/>
              </w:rPr>
              <w:lastRenderedPageBreak/>
              <w:t xml:space="preserve">Orange, JS, </w:t>
            </w:r>
            <w:proofErr w:type="spellStart"/>
            <w:r w:rsidRPr="00684260">
              <w:rPr>
                <w:rFonts w:asciiTheme="minorHAnsi" w:hAnsiTheme="minorHAnsi" w:cs="Helvetica"/>
                <w:color w:val="333333"/>
                <w:sz w:val="21"/>
                <w:szCs w:val="21"/>
              </w:rPr>
              <w:t>Hossny</w:t>
            </w:r>
            <w:proofErr w:type="spellEnd"/>
            <w:r w:rsidRPr="00684260">
              <w:rPr>
                <w:rFonts w:asciiTheme="minorHAnsi" w:hAnsiTheme="minorHAnsi" w:cs="Helvetica"/>
                <w:color w:val="333333"/>
                <w:sz w:val="21"/>
                <w:szCs w:val="21"/>
              </w:rPr>
              <w:t xml:space="preserve">, EM, </w:t>
            </w:r>
            <w:proofErr w:type="spellStart"/>
            <w:r w:rsidRPr="00684260">
              <w:rPr>
                <w:rFonts w:asciiTheme="minorHAnsi" w:hAnsiTheme="minorHAnsi" w:cs="Helvetica"/>
                <w:color w:val="333333"/>
                <w:sz w:val="21"/>
                <w:szCs w:val="21"/>
              </w:rPr>
              <w:t>Weiler</w:t>
            </w:r>
            <w:proofErr w:type="spellEnd"/>
            <w:r w:rsidRPr="00684260">
              <w:rPr>
                <w:rFonts w:asciiTheme="minorHAnsi" w:hAnsiTheme="minorHAnsi" w:cs="Helvetica"/>
                <w:color w:val="333333"/>
                <w:sz w:val="21"/>
                <w:szCs w:val="21"/>
              </w:rPr>
              <w:t xml:space="preserve">, CR, et al 2006, ‘Use of intravenous immunoglobulin in human disease: A review of primary evidence by members of the Primary Immunodeficiency Committee of the American Academy of Allergy, Asthma and Immunology’, </w:t>
            </w:r>
            <w:r w:rsidRPr="00684260">
              <w:rPr>
                <w:rStyle w:val="Emphasis"/>
                <w:rFonts w:asciiTheme="minorHAnsi" w:hAnsiTheme="minorHAnsi" w:cs="Helvetica"/>
                <w:color w:val="333333"/>
                <w:sz w:val="21"/>
                <w:szCs w:val="21"/>
              </w:rPr>
              <w:t>Journal of Allergy and Clinical Immunology</w:t>
            </w:r>
            <w:r w:rsidRPr="00684260">
              <w:rPr>
                <w:rFonts w:asciiTheme="minorHAnsi" w:hAnsiTheme="minorHAnsi" w:cs="Helvetica"/>
                <w:color w:val="333333"/>
                <w:sz w:val="21"/>
                <w:szCs w:val="21"/>
              </w:rPr>
              <w:t>, vol. 117, no. 4, pp. S525–53.</w:t>
            </w:r>
            <w:r w:rsidRPr="00684260">
              <w:rPr>
                <w:rFonts w:asciiTheme="minorHAnsi" w:hAnsiTheme="minorHAnsi" w:cs="Helvetica"/>
                <w:color w:val="333333"/>
                <w:sz w:val="21"/>
                <w:szCs w:val="21"/>
              </w:rPr>
              <w:br/>
            </w:r>
            <w:proofErr w:type="spellStart"/>
            <w:r w:rsidRPr="00684260">
              <w:rPr>
                <w:rFonts w:asciiTheme="minorHAnsi" w:hAnsiTheme="minorHAnsi" w:cs="Helvetica"/>
                <w:color w:val="333333"/>
                <w:sz w:val="21"/>
                <w:szCs w:val="21"/>
              </w:rPr>
              <w:t>Peraldi</w:t>
            </w:r>
            <w:proofErr w:type="spellEnd"/>
            <w:r w:rsidRPr="00684260">
              <w:rPr>
                <w:rFonts w:asciiTheme="minorHAnsi" w:hAnsiTheme="minorHAnsi" w:cs="Helvetica"/>
                <w:color w:val="333333"/>
                <w:sz w:val="21"/>
                <w:szCs w:val="21"/>
              </w:rPr>
              <w:t xml:space="preserve">, MN, </w:t>
            </w:r>
            <w:proofErr w:type="spellStart"/>
            <w:r w:rsidRPr="00684260">
              <w:rPr>
                <w:rFonts w:asciiTheme="minorHAnsi" w:hAnsiTheme="minorHAnsi" w:cs="Helvetica"/>
                <w:color w:val="333333"/>
                <w:sz w:val="21"/>
                <w:szCs w:val="21"/>
              </w:rPr>
              <w:t>Akposso</w:t>
            </w:r>
            <w:proofErr w:type="spellEnd"/>
            <w:r w:rsidRPr="00684260">
              <w:rPr>
                <w:rFonts w:asciiTheme="minorHAnsi" w:hAnsiTheme="minorHAnsi" w:cs="Helvetica"/>
                <w:color w:val="333333"/>
                <w:sz w:val="21"/>
                <w:szCs w:val="21"/>
              </w:rPr>
              <w:t xml:space="preserve">, K, </w:t>
            </w:r>
            <w:proofErr w:type="spellStart"/>
            <w:r w:rsidRPr="00684260">
              <w:rPr>
                <w:rFonts w:asciiTheme="minorHAnsi" w:hAnsiTheme="minorHAnsi" w:cs="Helvetica"/>
                <w:color w:val="333333"/>
                <w:sz w:val="21"/>
                <w:szCs w:val="21"/>
              </w:rPr>
              <w:t>Haymann</w:t>
            </w:r>
            <w:proofErr w:type="spellEnd"/>
            <w:r w:rsidRPr="00684260">
              <w:rPr>
                <w:rFonts w:asciiTheme="minorHAnsi" w:hAnsiTheme="minorHAnsi" w:cs="Helvetica"/>
                <w:color w:val="333333"/>
                <w:sz w:val="21"/>
                <w:szCs w:val="21"/>
              </w:rPr>
              <w:t xml:space="preserve">, JP, et al 1996, ‘Long-term benefit of intravenous </w:t>
            </w:r>
            <w:proofErr w:type="spellStart"/>
            <w:r w:rsidRPr="00684260">
              <w:rPr>
                <w:rFonts w:asciiTheme="minorHAnsi" w:hAnsiTheme="minorHAnsi" w:cs="Helvetica"/>
                <w:color w:val="333333"/>
                <w:sz w:val="21"/>
                <w:szCs w:val="21"/>
              </w:rPr>
              <w:t>immunoglobulins</w:t>
            </w:r>
            <w:proofErr w:type="spellEnd"/>
            <w:r w:rsidRPr="00684260">
              <w:rPr>
                <w:rFonts w:asciiTheme="minorHAnsi" w:hAnsiTheme="minorHAnsi" w:cs="Helvetica"/>
                <w:color w:val="333333"/>
                <w:sz w:val="21"/>
                <w:szCs w:val="21"/>
              </w:rPr>
              <w:t xml:space="preserve"> in cadaveric kidney </w:t>
            </w:r>
            <w:proofErr w:type="spellStart"/>
            <w:r w:rsidRPr="00684260">
              <w:rPr>
                <w:rFonts w:asciiTheme="minorHAnsi" w:hAnsiTheme="minorHAnsi" w:cs="Helvetica"/>
                <w:color w:val="333333"/>
                <w:sz w:val="21"/>
                <w:szCs w:val="21"/>
              </w:rPr>
              <w:t>retransplantation</w:t>
            </w:r>
            <w:proofErr w:type="spellEnd"/>
            <w:r w:rsidRPr="00684260">
              <w:rPr>
                <w:rFonts w:asciiTheme="minorHAnsi" w:hAnsiTheme="minorHAnsi" w:cs="Helvetica"/>
                <w:color w:val="333333"/>
                <w:sz w:val="21"/>
                <w:szCs w:val="21"/>
              </w:rPr>
              <w:t xml:space="preserve">’, </w:t>
            </w:r>
            <w:r w:rsidRPr="00684260">
              <w:rPr>
                <w:rStyle w:val="Emphasis"/>
                <w:rFonts w:asciiTheme="minorHAnsi" w:hAnsiTheme="minorHAnsi" w:cs="Helvetica"/>
                <w:color w:val="333333"/>
                <w:sz w:val="21"/>
                <w:szCs w:val="21"/>
              </w:rPr>
              <w:t>Transplantation</w:t>
            </w:r>
            <w:r w:rsidRPr="00684260">
              <w:rPr>
                <w:rFonts w:asciiTheme="minorHAnsi" w:hAnsiTheme="minorHAnsi" w:cs="Helvetica"/>
                <w:color w:val="333333"/>
                <w:sz w:val="21"/>
                <w:szCs w:val="21"/>
              </w:rPr>
              <w:t>, vol. 62, no. 11, pp. 1670–3.</w:t>
            </w:r>
            <w:r w:rsidRPr="00684260">
              <w:rPr>
                <w:rFonts w:asciiTheme="minorHAnsi" w:hAnsiTheme="minorHAnsi" w:cs="Helvetica"/>
                <w:color w:val="333333"/>
                <w:sz w:val="21"/>
                <w:szCs w:val="21"/>
              </w:rPr>
              <w:br/>
            </w:r>
            <w:proofErr w:type="spellStart"/>
            <w:r w:rsidRPr="00684260">
              <w:rPr>
                <w:rFonts w:asciiTheme="minorHAnsi" w:hAnsiTheme="minorHAnsi" w:cs="Helvetica"/>
                <w:color w:val="333333"/>
                <w:sz w:val="21"/>
                <w:szCs w:val="21"/>
              </w:rPr>
              <w:t>Puliyanda</w:t>
            </w:r>
            <w:proofErr w:type="spellEnd"/>
            <w:r w:rsidRPr="00684260">
              <w:rPr>
                <w:rFonts w:asciiTheme="minorHAnsi" w:hAnsiTheme="minorHAnsi" w:cs="Helvetica"/>
                <w:color w:val="333333"/>
                <w:sz w:val="21"/>
                <w:szCs w:val="21"/>
              </w:rPr>
              <w:t xml:space="preserve">, D, </w:t>
            </w:r>
            <w:proofErr w:type="spellStart"/>
            <w:r w:rsidRPr="00684260">
              <w:rPr>
                <w:rFonts w:asciiTheme="minorHAnsi" w:hAnsiTheme="minorHAnsi" w:cs="Helvetica"/>
                <w:color w:val="333333"/>
                <w:sz w:val="21"/>
                <w:szCs w:val="21"/>
              </w:rPr>
              <w:t>Radha</w:t>
            </w:r>
            <w:proofErr w:type="spellEnd"/>
            <w:r w:rsidRPr="00684260">
              <w:rPr>
                <w:rFonts w:asciiTheme="minorHAnsi" w:hAnsiTheme="minorHAnsi" w:cs="Helvetica"/>
                <w:color w:val="333333"/>
                <w:sz w:val="21"/>
                <w:szCs w:val="21"/>
              </w:rPr>
              <w:t xml:space="preserve">, RK, </w:t>
            </w:r>
            <w:proofErr w:type="spellStart"/>
            <w:r w:rsidRPr="00684260">
              <w:rPr>
                <w:rFonts w:asciiTheme="minorHAnsi" w:hAnsiTheme="minorHAnsi" w:cs="Helvetica"/>
                <w:color w:val="333333"/>
                <w:sz w:val="21"/>
                <w:szCs w:val="21"/>
              </w:rPr>
              <w:t>Amet</w:t>
            </w:r>
            <w:proofErr w:type="spellEnd"/>
            <w:r w:rsidRPr="00684260">
              <w:rPr>
                <w:rFonts w:asciiTheme="minorHAnsi" w:hAnsiTheme="minorHAnsi" w:cs="Helvetica"/>
                <w:color w:val="333333"/>
                <w:sz w:val="21"/>
                <w:szCs w:val="21"/>
              </w:rPr>
              <w:t>, N, et al 2003, ‘</w:t>
            </w:r>
            <w:proofErr w:type="spellStart"/>
            <w:r w:rsidRPr="00684260">
              <w:rPr>
                <w:rFonts w:asciiTheme="minorHAnsi" w:hAnsiTheme="minorHAnsi" w:cs="Helvetica"/>
                <w:color w:val="333333"/>
                <w:sz w:val="21"/>
                <w:szCs w:val="21"/>
              </w:rPr>
              <w:t>IVIg</w:t>
            </w:r>
            <w:proofErr w:type="spellEnd"/>
            <w:r w:rsidRPr="00684260">
              <w:rPr>
                <w:rFonts w:asciiTheme="minorHAnsi" w:hAnsiTheme="minorHAnsi" w:cs="Helvetica"/>
                <w:color w:val="333333"/>
                <w:sz w:val="21"/>
                <w:szCs w:val="21"/>
              </w:rPr>
              <w:t xml:space="preserve"> contains antibodies reactive with </w:t>
            </w:r>
            <w:proofErr w:type="spellStart"/>
            <w:r w:rsidRPr="00684260">
              <w:rPr>
                <w:rFonts w:asciiTheme="minorHAnsi" w:hAnsiTheme="minorHAnsi" w:cs="Helvetica"/>
                <w:color w:val="333333"/>
                <w:sz w:val="21"/>
                <w:szCs w:val="21"/>
              </w:rPr>
              <w:t>polyoma</w:t>
            </w:r>
            <w:proofErr w:type="spellEnd"/>
            <w:r w:rsidRPr="00684260">
              <w:rPr>
                <w:rFonts w:asciiTheme="minorHAnsi" w:hAnsiTheme="minorHAnsi" w:cs="Helvetica"/>
                <w:color w:val="333333"/>
                <w:sz w:val="21"/>
                <w:szCs w:val="21"/>
              </w:rPr>
              <w:t xml:space="preserve"> BK virus and may represent a therapeutic option for BK nephropathy’, </w:t>
            </w:r>
            <w:r w:rsidRPr="00684260">
              <w:rPr>
                <w:rStyle w:val="Emphasis"/>
                <w:rFonts w:asciiTheme="minorHAnsi" w:hAnsiTheme="minorHAnsi" w:cs="Helvetica"/>
                <w:color w:val="333333"/>
                <w:sz w:val="21"/>
                <w:szCs w:val="21"/>
              </w:rPr>
              <w:t>American Journal of Transplantation</w:t>
            </w:r>
            <w:r w:rsidRPr="00684260">
              <w:rPr>
                <w:rFonts w:asciiTheme="minorHAnsi" w:hAnsiTheme="minorHAnsi" w:cs="Helvetica"/>
                <w:color w:val="333333"/>
                <w:sz w:val="21"/>
                <w:szCs w:val="21"/>
              </w:rPr>
              <w:t>, vol. 3, suppl. 4, p. 393.</w:t>
            </w:r>
            <w:r w:rsidRPr="00684260">
              <w:rPr>
                <w:rFonts w:asciiTheme="minorHAnsi" w:hAnsiTheme="minorHAnsi" w:cs="Helvetica"/>
                <w:color w:val="333333"/>
                <w:sz w:val="21"/>
                <w:szCs w:val="21"/>
              </w:rPr>
              <w:br/>
            </w:r>
            <w:proofErr w:type="spellStart"/>
            <w:r w:rsidRPr="00684260">
              <w:rPr>
                <w:rFonts w:asciiTheme="minorHAnsi" w:hAnsiTheme="minorHAnsi" w:cs="Helvetica"/>
                <w:color w:val="333333"/>
                <w:sz w:val="21"/>
                <w:szCs w:val="21"/>
              </w:rPr>
              <w:t>Sonnenday</w:t>
            </w:r>
            <w:proofErr w:type="spellEnd"/>
            <w:r w:rsidRPr="00684260">
              <w:rPr>
                <w:rFonts w:asciiTheme="minorHAnsi" w:hAnsiTheme="minorHAnsi" w:cs="Helvetica"/>
                <w:color w:val="333333"/>
                <w:sz w:val="21"/>
                <w:szCs w:val="21"/>
              </w:rPr>
              <w:t>, CJ, Warren, DS, Cooper, MC, et al 2004, ‘</w:t>
            </w:r>
            <w:proofErr w:type="spellStart"/>
            <w:r w:rsidRPr="00684260">
              <w:rPr>
                <w:rFonts w:asciiTheme="minorHAnsi" w:hAnsiTheme="minorHAnsi" w:cs="Helvetica"/>
                <w:color w:val="333333"/>
                <w:sz w:val="21"/>
                <w:szCs w:val="21"/>
              </w:rPr>
              <w:t>Plasmapheresis</w:t>
            </w:r>
            <w:proofErr w:type="spellEnd"/>
            <w:r w:rsidRPr="00684260">
              <w:rPr>
                <w:rFonts w:asciiTheme="minorHAnsi" w:hAnsiTheme="minorHAnsi" w:cs="Helvetica"/>
                <w:color w:val="333333"/>
                <w:sz w:val="21"/>
                <w:szCs w:val="21"/>
              </w:rPr>
              <w:t xml:space="preserve">, CMV </w:t>
            </w:r>
            <w:proofErr w:type="spellStart"/>
            <w:r w:rsidRPr="00684260">
              <w:rPr>
                <w:rFonts w:asciiTheme="minorHAnsi" w:hAnsiTheme="minorHAnsi" w:cs="Helvetica"/>
                <w:color w:val="333333"/>
                <w:sz w:val="21"/>
                <w:szCs w:val="21"/>
              </w:rPr>
              <w:t>hyperimmune</w:t>
            </w:r>
            <w:proofErr w:type="spellEnd"/>
            <w:r w:rsidRPr="00684260">
              <w:rPr>
                <w:rFonts w:asciiTheme="minorHAnsi" w:hAnsiTheme="minorHAnsi" w:cs="Helvetica"/>
                <w:color w:val="333333"/>
                <w:sz w:val="21"/>
                <w:szCs w:val="21"/>
              </w:rPr>
              <w:t xml:space="preserve"> globulin, and anti-CD20 allow ABO-incompatible renal transplantation without </w:t>
            </w:r>
            <w:proofErr w:type="spellStart"/>
            <w:r w:rsidRPr="00684260">
              <w:rPr>
                <w:rFonts w:asciiTheme="minorHAnsi" w:hAnsiTheme="minorHAnsi" w:cs="Helvetica"/>
                <w:color w:val="333333"/>
                <w:sz w:val="21"/>
                <w:szCs w:val="21"/>
              </w:rPr>
              <w:t>splenectomy</w:t>
            </w:r>
            <w:proofErr w:type="spellEnd"/>
            <w:r w:rsidRPr="00684260">
              <w:rPr>
                <w:rFonts w:asciiTheme="minorHAnsi" w:hAnsiTheme="minorHAnsi" w:cs="Helvetica"/>
                <w:color w:val="333333"/>
                <w:sz w:val="21"/>
                <w:szCs w:val="21"/>
              </w:rPr>
              <w:t xml:space="preserve">’, </w:t>
            </w:r>
            <w:r w:rsidRPr="00684260">
              <w:rPr>
                <w:rStyle w:val="Emphasis"/>
                <w:rFonts w:asciiTheme="minorHAnsi" w:hAnsiTheme="minorHAnsi" w:cs="Helvetica"/>
                <w:color w:val="333333"/>
                <w:sz w:val="21"/>
                <w:szCs w:val="21"/>
              </w:rPr>
              <w:t>American Journal of Transplantation</w:t>
            </w:r>
            <w:r w:rsidRPr="00684260">
              <w:rPr>
                <w:rFonts w:asciiTheme="minorHAnsi" w:hAnsiTheme="minorHAnsi" w:cs="Helvetica"/>
                <w:color w:val="333333"/>
                <w:sz w:val="21"/>
                <w:szCs w:val="21"/>
              </w:rPr>
              <w:t>, vol. 4, pp. 1315–22.</w:t>
            </w:r>
            <w:r w:rsidRPr="00684260">
              <w:rPr>
                <w:rFonts w:asciiTheme="minorHAnsi" w:hAnsiTheme="minorHAnsi" w:cs="Helvetica"/>
                <w:color w:val="333333"/>
                <w:sz w:val="21"/>
                <w:szCs w:val="21"/>
              </w:rPr>
              <w:br/>
            </w:r>
            <w:proofErr w:type="spellStart"/>
            <w:r w:rsidRPr="00684260">
              <w:rPr>
                <w:rFonts w:asciiTheme="minorHAnsi" w:hAnsiTheme="minorHAnsi" w:cs="Helvetica"/>
                <w:color w:val="333333"/>
                <w:sz w:val="21"/>
                <w:szCs w:val="21"/>
              </w:rPr>
              <w:t>Takemoto</w:t>
            </w:r>
            <w:proofErr w:type="spellEnd"/>
            <w:r w:rsidRPr="00684260">
              <w:rPr>
                <w:rFonts w:asciiTheme="minorHAnsi" w:hAnsiTheme="minorHAnsi" w:cs="Helvetica"/>
                <w:color w:val="333333"/>
                <w:sz w:val="21"/>
                <w:szCs w:val="21"/>
              </w:rPr>
              <w:t xml:space="preserve">, SK, </w:t>
            </w:r>
            <w:proofErr w:type="spellStart"/>
            <w:r w:rsidRPr="00684260">
              <w:rPr>
                <w:rFonts w:asciiTheme="minorHAnsi" w:hAnsiTheme="minorHAnsi" w:cs="Helvetica"/>
                <w:color w:val="333333"/>
                <w:sz w:val="21"/>
                <w:szCs w:val="21"/>
              </w:rPr>
              <w:t>Zeevi</w:t>
            </w:r>
            <w:proofErr w:type="spellEnd"/>
            <w:r w:rsidRPr="00684260">
              <w:rPr>
                <w:rFonts w:asciiTheme="minorHAnsi" w:hAnsiTheme="minorHAnsi" w:cs="Helvetica"/>
                <w:color w:val="333333"/>
                <w:sz w:val="21"/>
                <w:szCs w:val="21"/>
              </w:rPr>
              <w:t xml:space="preserve">, A, </w:t>
            </w:r>
            <w:proofErr w:type="spellStart"/>
            <w:r w:rsidRPr="00684260">
              <w:rPr>
                <w:rFonts w:asciiTheme="minorHAnsi" w:hAnsiTheme="minorHAnsi" w:cs="Helvetica"/>
                <w:color w:val="333333"/>
                <w:sz w:val="21"/>
                <w:szCs w:val="21"/>
              </w:rPr>
              <w:t>Feng</w:t>
            </w:r>
            <w:proofErr w:type="spellEnd"/>
            <w:r w:rsidRPr="00684260">
              <w:rPr>
                <w:rFonts w:asciiTheme="minorHAnsi" w:hAnsiTheme="minorHAnsi" w:cs="Helvetica"/>
                <w:color w:val="333333"/>
                <w:sz w:val="21"/>
                <w:szCs w:val="21"/>
              </w:rPr>
              <w:t xml:space="preserve">, S, et al 2004, ‘National conference to assess antibody-mediated rejection in solid organ transplantation’, </w:t>
            </w:r>
            <w:r w:rsidRPr="00684260">
              <w:rPr>
                <w:rStyle w:val="Emphasis"/>
                <w:rFonts w:asciiTheme="minorHAnsi" w:hAnsiTheme="minorHAnsi" w:cs="Helvetica"/>
                <w:color w:val="333333"/>
                <w:sz w:val="21"/>
                <w:szCs w:val="21"/>
              </w:rPr>
              <w:t>American Journal of Transplantation</w:t>
            </w:r>
            <w:r w:rsidRPr="00684260">
              <w:rPr>
                <w:rFonts w:asciiTheme="minorHAnsi" w:hAnsiTheme="minorHAnsi" w:cs="Helvetica"/>
                <w:color w:val="333333"/>
                <w:sz w:val="21"/>
                <w:szCs w:val="21"/>
              </w:rPr>
              <w:t>, vol. 4, no. 7, pp. 1033–41.</w:t>
            </w:r>
            <w:r w:rsidRPr="00684260">
              <w:rPr>
                <w:rFonts w:asciiTheme="minorHAnsi" w:hAnsiTheme="minorHAnsi" w:cs="Helvetica"/>
                <w:color w:val="333333"/>
                <w:sz w:val="21"/>
                <w:szCs w:val="21"/>
              </w:rPr>
              <w:br/>
            </w:r>
            <w:proofErr w:type="spellStart"/>
            <w:r w:rsidRPr="00684260">
              <w:rPr>
                <w:rFonts w:asciiTheme="minorHAnsi" w:hAnsiTheme="minorHAnsi" w:cs="Helvetica"/>
                <w:color w:val="333333"/>
                <w:sz w:val="21"/>
                <w:szCs w:val="21"/>
              </w:rPr>
              <w:t>Tydén</w:t>
            </w:r>
            <w:proofErr w:type="spellEnd"/>
            <w:r w:rsidRPr="00684260">
              <w:rPr>
                <w:rFonts w:asciiTheme="minorHAnsi" w:hAnsiTheme="minorHAnsi" w:cs="Helvetica"/>
                <w:color w:val="333333"/>
                <w:sz w:val="21"/>
                <w:szCs w:val="21"/>
              </w:rPr>
              <w:t xml:space="preserve">, G, </w:t>
            </w:r>
            <w:proofErr w:type="spellStart"/>
            <w:r w:rsidRPr="00684260">
              <w:rPr>
                <w:rFonts w:asciiTheme="minorHAnsi" w:hAnsiTheme="minorHAnsi" w:cs="Helvetica"/>
                <w:color w:val="333333"/>
                <w:sz w:val="21"/>
                <w:szCs w:val="21"/>
              </w:rPr>
              <w:t>Kumlien</w:t>
            </w:r>
            <w:proofErr w:type="spellEnd"/>
            <w:r w:rsidRPr="00684260">
              <w:rPr>
                <w:rFonts w:asciiTheme="minorHAnsi" w:hAnsiTheme="minorHAnsi" w:cs="Helvetica"/>
                <w:color w:val="333333"/>
                <w:sz w:val="21"/>
                <w:szCs w:val="21"/>
              </w:rPr>
              <w:t xml:space="preserve">, G, </w:t>
            </w:r>
            <w:proofErr w:type="spellStart"/>
            <w:r w:rsidRPr="00684260">
              <w:rPr>
                <w:rFonts w:asciiTheme="minorHAnsi" w:hAnsiTheme="minorHAnsi" w:cs="Helvetica"/>
                <w:color w:val="333333"/>
                <w:sz w:val="21"/>
                <w:szCs w:val="21"/>
              </w:rPr>
              <w:t>Genberg</w:t>
            </w:r>
            <w:proofErr w:type="spellEnd"/>
            <w:r w:rsidRPr="00684260">
              <w:rPr>
                <w:rFonts w:asciiTheme="minorHAnsi" w:hAnsiTheme="minorHAnsi" w:cs="Helvetica"/>
                <w:color w:val="333333"/>
                <w:sz w:val="21"/>
                <w:szCs w:val="21"/>
              </w:rPr>
              <w:t xml:space="preserve">, H, et al 2005, ‘ABO incompatible kidney transplantations without </w:t>
            </w:r>
            <w:proofErr w:type="spellStart"/>
            <w:r w:rsidRPr="00684260">
              <w:rPr>
                <w:rFonts w:asciiTheme="minorHAnsi" w:hAnsiTheme="minorHAnsi" w:cs="Helvetica"/>
                <w:color w:val="333333"/>
                <w:sz w:val="21"/>
                <w:szCs w:val="21"/>
              </w:rPr>
              <w:t>splenectomy</w:t>
            </w:r>
            <w:proofErr w:type="spellEnd"/>
            <w:r w:rsidRPr="00684260">
              <w:rPr>
                <w:rFonts w:asciiTheme="minorHAnsi" w:hAnsiTheme="minorHAnsi" w:cs="Helvetica"/>
                <w:color w:val="333333"/>
                <w:sz w:val="21"/>
                <w:szCs w:val="21"/>
              </w:rPr>
              <w:t xml:space="preserve">, using antigen-specific </w:t>
            </w:r>
            <w:proofErr w:type="spellStart"/>
            <w:r w:rsidRPr="00684260">
              <w:rPr>
                <w:rFonts w:asciiTheme="minorHAnsi" w:hAnsiTheme="minorHAnsi" w:cs="Helvetica"/>
                <w:color w:val="333333"/>
                <w:sz w:val="21"/>
                <w:szCs w:val="21"/>
              </w:rPr>
              <w:t>immunoadsorption</w:t>
            </w:r>
            <w:proofErr w:type="spellEnd"/>
            <w:r w:rsidRPr="00684260">
              <w:rPr>
                <w:rFonts w:asciiTheme="minorHAnsi" w:hAnsiTheme="minorHAnsi" w:cs="Helvetica"/>
                <w:color w:val="333333"/>
                <w:sz w:val="21"/>
                <w:szCs w:val="21"/>
              </w:rPr>
              <w:t xml:space="preserve"> and rituximab’, </w:t>
            </w:r>
            <w:r w:rsidRPr="00684260">
              <w:rPr>
                <w:rStyle w:val="Emphasis"/>
                <w:rFonts w:asciiTheme="minorHAnsi" w:hAnsiTheme="minorHAnsi" w:cs="Helvetica"/>
                <w:color w:val="333333"/>
                <w:sz w:val="21"/>
                <w:szCs w:val="21"/>
              </w:rPr>
              <w:t>American Journal of Transplantation</w:t>
            </w:r>
            <w:r w:rsidRPr="00684260">
              <w:rPr>
                <w:rFonts w:asciiTheme="minorHAnsi" w:hAnsiTheme="minorHAnsi" w:cs="Helvetica"/>
                <w:color w:val="333333"/>
                <w:sz w:val="21"/>
                <w:szCs w:val="21"/>
              </w:rPr>
              <w:t>, vol. 5, no. 1, pp. 145–8.</w:t>
            </w:r>
            <w:r w:rsidRPr="00684260">
              <w:rPr>
                <w:rFonts w:asciiTheme="minorHAnsi" w:hAnsiTheme="minorHAnsi" w:cs="Helvetica"/>
                <w:color w:val="333333"/>
                <w:sz w:val="21"/>
                <w:szCs w:val="21"/>
              </w:rPr>
              <w:br/>
              <w:t>UK National Kidney Federation 2002, ‘Transplant’. Available from: www.kidney.org.uk/Medical-Info/transplant.html#rej [cited 7 Dec 2007]</w:t>
            </w:r>
          </w:p>
        </w:tc>
      </w:tr>
      <w:tr w:rsidR="00684260" w:rsidRPr="00BF6734" w14:paraId="5B8792C9" w14:textId="77777777" w:rsidTr="00065D04">
        <w:tblPrEx>
          <w:tblLook w:val="04A0" w:firstRow="1" w:lastRow="0" w:firstColumn="1" w:lastColumn="0" w:noHBand="0" w:noVBand="1"/>
        </w:tblPrEx>
        <w:tc>
          <w:tcPr>
            <w:tcW w:w="5000" w:type="pct"/>
            <w:gridSpan w:val="7"/>
            <w:shd w:val="clear" w:color="auto" w:fill="DBE5F1" w:themeFill="accent1" w:themeFillTint="33"/>
          </w:tcPr>
          <w:p w14:paraId="0361D727" w14:textId="3C84584E" w:rsidR="00684260" w:rsidRPr="00BF6734" w:rsidRDefault="00684260" w:rsidP="00CB37BD">
            <w:pPr>
              <w:spacing w:before="120" w:after="120"/>
              <w:jc w:val="center"/>
              <w:rPr>
                <w:rFonts w:asciiTheme="minorHAnsi" w:hAnsiTheme="minorHAnsi"/>
                <w:b/>
              </w:rPr>
            </w:pPr>
            <w:r w:rsidRPr="00BF6734">
              <w:rPr>
                <w:rFonts w:asciiTheme="minorHAnsi" w:hAnsiTheme="minorHAnsi"/>
                <w:b/>
              </w:rPr>
              <w:lastRenderedPageBreak/>
              <w:t>END OF DOCUMENT</w:t>
            </w:r>
          </w:p>
        </w:tc>
      </w:tr>
    </w:tbl>
    <w:p w14:paraId="678F0087" w14:textId="77777777" w:rsidR="00B3726E" w:rsidRPr="00C25D3F" w:rsidRDefault="00B3726E" w:rsidP="00C25D3F"/>
    <w:sectPr w:rsidR="00B3726E" w:rsidRPr="00C25D3F" w:rsidSect="00BA00AB">
      <w:footerReference w:type="default" r:id="rId11"/>
      <w:pgSz w:w="16838" w:h="11906" w:orient="landscape" w:code="8"/>
      <w:pgMar w:top="1440" w:right="1440" w:bottom="113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F00DD" w14:textId="77777777" w:rsidR="00A44B9B" w:rsidRDefault="00A44B9B" w:rsidP="00856708">
      <w:pPr>
        <w:spacing w:after="0"/>
      </w:pPr>
      <w:r>
        <w:separator/>
      </w:r>
    </w:p>
  </w:endnote>
  <w:endnote w:type="continuationSeparator" w:id="0">
    <w:p w14:paraId="0B65BFA5" w14:textId="77777777" w:rsidR="00A44B9B" w:rsidRDefault="00A44B9B"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IN-Medium">
    <w:altName w:val="Cambria"/>
    <w:panose1 w:val="00000000000000000000"/>
    <w:charset w:val="4D"/>
    <w:family w:val="swiss"/>
    <w:notTrueType/>
    <w:pitch w:val="default"/>
    <w:sig w:usb0="00000003" w:usb1="00000000" w:usb2="00000000" w:usb3="00000000" w:csb0="00000001" w:csb1="00000000"/>
  </w:font>
  <w:font w:name="DIN-Light">
    <w:altName w:val="Cambria"/>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20402" w14:textId="77777777" w:rsidR="00A44B9B" w:rsidRPr="00856708" w:rsidRDefault="00A44B9B"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684260">
      <w:rPr>
        <w:noProof/>
        <w:sz w:val="20"/>
        <w:szCs w:val="20"/>
      </w:rPr>
      <w:t>2</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41F98" w14:textId="77777777" w:rsidR="00A44B9B" w:rsidRDefault="00A44B9B" w:rsidP="00856708">
      <w:pPr>
        <w:spacing w:after="0"/>
      </w:pPr>
      <w:r>
        <w:separator/>
      </w:r>
    </w:p>
  </w:footnote>
  <w:footnote w:type="continuationSeparator" w:id="0">
    <w:p w14:paraId="64F6F2C2" w14:textId="77777777" w:rsidR="00A44B9B" w:rsidRDefault="00A44B9B" w:rsidP="0085670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87F28"/>
    <w:multiLevelType w:val="hybridMultilevel"/>
    <w:tmpl w:val="6EBF54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DB7B68"/>
    <w:multiLevelType w:val="hybridMultilevel"/>
    <w:tmpl w:val="B68855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BC2D58"/>
    <w:multiLevelType w:val="hybridMultilevel"/>
    <w:tmpl w:val="B6886A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A62D83"/>
    <w:multiLevelType w:val="hybridMultilevel"/>
    <w:tmpl w:val="AABC5B9E"/>
    <w:lvl w:ilvl="0" w:tplc="0409001B">
      <w:start w:val="1"/>
      <w:numFmt w:val="lowerRoman"/>
      <w:lvlText w:val="%1."/>
      <w:lvlJc w:val="righ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
    <w:nsid w:val="043877FC"/>
    <w:multiLevelType w:val="hybridMultilevel"/>
    <w:tmpl w:val="C5DC0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57570CC"/>
    <w:multiLevelType w:val="hybridMultilevel"/>
    <w:tmpl w:val="6117DE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8F30699"/>
    <w:multiLevelType w:val="hybridMultilevel"/>
    <w:tmpl w:val="B3228F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B882520"/>
    <w:multiLevelType w:val="hybridMultilevel"/>
    <w:tmpl w:val="E5707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675DFF"/>
    <w:multiLevelType w:val="hybridMultilevel"/>
    <w:tmpl w:val="B1E89A04"/>
    <w:lvl w:ilvl="0" w:tplc="4A0C3AF0">
      <w:start w:val="1"/>
      <w:numFmt w:val="bullet"/>
      <w:lvlText w:val=""/>
      <w:lvlJc w:val="left"/>
      <w:pPr>
        <w:ind w:left="1080" w:hanging="360"/>
      </w:pPr>
      <w:rPr>
        <w:rFonts w:ascii="Symbol" w:hAnsi="Symbol" w:hint="default"/>
        <w:color w:val="auto"/>
      </w:rPr>
    </w:lvl>
    <w:lvl w:ilvl="1" w:tplc="0409001B">
      <w:start w:val="1"/>
      <w:numFmt w:val="lowerRoman"/>
      <w:lvlText w:val="%2."/>
      <w:lvlJc w:val="right"/>
      <w:pPr>
        <w:ind w:left="36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FF14E78"/>
    <w:multiLevelType w:val="hybridMultilevel"/>
    <w:tmpl w:val="5E9E4C58"/>
    <w:lvl w:ilvl="0" w:tplc="4A0C3AF0">
      <w:start w:val="1"/>
      <w:numFmt w:val="bullet"/>
      <w:lvlText w:val=""/>
      <w:lvlJc w:val="left"/>
      <w:pPr>
        <w:ind w:left="1080" w:hanging="360"/>
      </w:pPr>
      <w:rPr>
        <w:rFonts w:ascii="Symbol" w:hAnsi="Symbol" w:hint="default"/>
        <w:color w:val="auto"/>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00D6DFA"/>
    <w:multiLevelType w:val="hybridMultilevel"/>
    <w:tmpl w:val="CE8A3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963238D"/>
    <w:multiLevelType w:val="hybridMultilevel"/>
    <w:tmpl w:val="093EDD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DA486B"/>
    <w:multiLevelType w:val="hybridMultilevel"/>
    <w:tmpl w:val="5B067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BA17BB4"/>
    <w:multiLevelType w:val="hybridMultilevel"/>
    <w:tmpl w:val="094283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nsid w:val="33AE5825"/>
    <w:multiLevelType w:val="hybridMultilevel"/>
    <w:tmpl w:val="839EB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C55946"/>
    <w:multiLevelType w:val="hybridMultilevel"/>
    <w:tmpl w:val="EB467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0A1281A"/>
    <w:multiLevelType w:val="hybridMultilevel"/>
    <w:tmpl w:val="43BC0B3C"/>
    <w:lvl w:ilvl="0" w:tplc="0409001B">
      <w:start w:val="1"/>
      <w:numFmt w:val="low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42201414"/>
    <w:multiLevelType w:val="hybridMultilevel"/>
    <w:tmpl w:val="DA6AC316"/>
    <w:lvl w:ilvl="0" w:tplc="4A0C3AF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2B4BEE"/>
    <w:multiLevelType w:val="hybridMultilevel"/>
    <w:tmpl w:val="82AC8E0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75A1411"/>
    <w:multiLevelType w:val="multilevel"/>
    <w:tmpl w:val="09A455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69770E"/>
    <w:multiLevelType w:val="multilevel"/>
    <w:tmpl w:val="292E1B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9020E3"/>
    <w:multiLevelType w:val="hybridMultilevel"/>
    <w:tmpl w:val="EFA060E8"/>
    <w:lvl w:ilvl="0" w:tplc="0C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E7C358C"/>
    <w:multiLevelType w:val="multilevel"/>
    <w:tmpl w:val="D5AEF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BCE719"/>
    <w:multiLevelType w:val="hybridMultilevel"/>
    <w:tmpl w:val="3D5A05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15F709F"/>
    <w:multiLevelType w:val="hybridMultilevel"/>
    <w:tmpl w:val="AABC5B9E"/>
    <w:lvl w:ilvl="0" w:tplc="0409001B">
      <w:start w:val="1"/>
      <w:numFmt w:val="low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nsid w:val="55A31392"/>
    <w:multiLevelType w:val="hybridMultilevel"/>
    <w:tmpl w:val="DE8E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D928ED"/>
    <w:multiLevelType w:val="multilevel"/>
    <w:tmpl w:val="9844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7B52D9"/>
    <w:multiLevelType w:val="hybridMultilevel"/>
    <w:tmpl w:val="287220CE"/>
    <w:lvl w:ilvl="0" w:tplc="C8947BC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C241BE8"/>
    <w:multiLevelType w:val="hybridMultilevel"/>
    <w:tmpl w:val="827A189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DEA27BF"/>
    <w:multiLevelType w:val="hybridMultilevel"/>
    <w:tmpl w:val="F43E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945CDE"/>
    <w:multiLevelType w:val="hybridMultilevel"/>
    <w:tmpl w:val="AF5AAFA8"/>
    <w:lvl w:ilvl="0" w:tplc="0409001B">
      <w:start w:val="1"/>
      <w:numFmt w:val="lowerRoman"/>
      <w:lvlText w:val="%1."/>
      <w:lvlJc w:val="righ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4">
    <w:nsid w:val="651B0181"/>
    <w:multiLevelType w:val="hybridMultilevel"/>
    <w:tmpl w:val="C6B80E8C"/>
    <w:lvl w:ilvl="0" w:tplc="0409001B">
      <w:start w:val="1"/>
      <w:numFmt w:val="lowerRoman"/>
      <w:lvlText w:val="%1."/>
      <w:lvlJc w:val="right"/>
      <w:pPr>
        <w:ind w:left="720" w:hanging="360"/>
      </w:pPr>
      <w:rPr>
        <w:b w:val="0"/>
        <w:color w:val="auto"/>
      </w:rPr>
    </w:lvl>
    <w:lvl w:ilvl="1" w:tplc="F66652E2">
      <w:start w:val="1"/>
      <w:numFmt w:val="bullet"/>
      <w:lvlText w:val=""/>
      <w:lvlJc w:val="left"/>
      <w:pPr>
        <w:ind w:left="2880" w:hanging="360"/>
      </w:pPr>
      <w:rPr>
        <w:rFonts w:ascii="Symbol" w:hAnsi="Symbol" w:hint="default"/>
        <w:color w:val="auto"/>
      </w:rPr>
    </w:lvl>
    <w:lvl w:ilvl="2" w:tplc="692058FE">
      <w:start w:val="4"/>
      <w:numFmt w:val="bullet"/>
      <w:lvlText w:val="-"/>
      <w:lvlJc w:val="left"/>
      <w:pPr>
        <w:ind w:left="3780" w:hanging="360"/>
      </w:pPr>
      <w:rPr>
        <w:rFonts w:ascii="Calibri" w:eastAsia="Dotum" w:hAnsi="Calibri" w:cs="Calibri" w:hint="default"/>
      </w:r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5">
    <w:nsid w:val="67CD66B4"/>
    <w:multiLevelType w:val="hybridMultilevel"/>
    <w:tmpl w:val="AF5AAFA8"/>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6">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79E6CD1"/>
    <w:multiLevelType w:val="hybridMultilevel"/>
    <w:tmpl w:val="160134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A991C8B"/>
    <w:multiLevelType w:val="multilevel"/>
    <w:tmpl w:val="664AB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E5F5ACC"/>
    <w:multiLevelType w:val="hybridMultilevel"/>
    <w:tmpl w:val="F3A6CF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18"/>
  </w:num>
  <w:num w:numId="4">
    <w:abstractNumId w:val="36"/>
  </w:num>
  <w:num w:numId="5">
    <w:abstractNumId w:val="13"/>
  </w:num>
  <w:num w:numId="6">
    <w:abstractNumId w:val="2"/>
  </w:num>
  <w:num w:numId="7">
    <w:abstractNumId w:val="1"/>
  </w:num>
  <w:num w:numId="8">
    <w:abstractNumId w:val="5"/>
  </w:num>
  <w:num w:numId="9">
    <w:abstractNumId w:val="0"/>
  </w:num>
  <w:num w:numId="10">
    <w:abstractNumId w:val="37"/>
  </w:num>
  <w:num w:numId="11">
    <w:abstractNumId w:val="26"/>
  </w:num>
  <w:num w:numId="12">
    <w:abstractNumId w:val="17"/>
  </w:num>
  <w:num w:numId="13">
    <w:abstractNumId w:val="21"/>
  </w:num>
  <w:num w:numId="14">
    <w:abstractNumId w:val="16"/>
  </w:num>
  <w:num w:numId="15">
    <w:abstractNumId w:val="12"/>
  </w:num>
  <w:num w:numId="16">
    <w:abstractNumId w:val="7"/>
  </w:num>
  <w:num w:numId="17">
    <w:abstractNumId w:val="28"/>
  </w:num>
  <w:num w:numId="18">
    <w:abstractNumId w:val="31"/>
  </w:num>
  <w:num w:numId="19">
    <w:abstractNumId w:val="11"/>
  </w:num>
  <w:num w:numId="20">
    <w:abstractNumId w:val="39"/>
  </w:num>
  <w:num w:numId="21">
    <w:abstractNumId w:val="25"/>
  </w:num>
  <w:num w:numId="22">
    <w:abstractNumId w:val="38"/>
  </w:num>
  <w:num w:numId="23">
    <w:abstractNumId w:val="22"/>
  </w:num>
  <w:num w:numId="24">
    <w:abstractNumId w:val="23"/>
  </w:num>
  <w:num w:numId="25">
    <w:abstractNumId w:val="29"/>
  </w:num>
  <w:num w:numId="26">
    <w:abstractNumId w:val="9"/>
  </w:num>
  <w:num w:numId="27">
    <w:abstractNumId w:val="34"/>
  </w:num>
  <w:num w:numId="28">
    <w:abstractNumId w:val="8"/>
  </w:num>
  <w:num w:numId="29">
    <w:abstractNumId w:val="20"/>
  </w:num>
  <w:num w:numId="30">
    <w:abstractNumId w:val="24"/>
  </w:num>
  <w:num w:numId="31">
    <w:abstractNumId w:val="19"/>
  </w:num>
  <w:num w:numId="32">
    <w:abstractNumId w:val="35"/>
  </w:num>
  <w:num w:numId="33">
    <w:abstractNumId w:val="27"/>
  </w:num>
  <w:num w:numId="34">
    <w:abstractNumId w:val="10"/>
  </w:num>
  <w:num w:numId="35">
    <w:abstractNumId w:val="33"/>
  </w:num>
  <w:num w:numId="36">
    <w:abstractNumId w:val="3"/>
  </w:num>
  <w:num w:numId="37">
    <w:abstractNumId w:val="32"/>
  </w:num>
  <w:num w:numId="38">
    <w:abstractNumId w:val="6"/>
  </w:num>
  <w:num w:numId="39">
    <w:abstractNumId w:val="14"/>
  </w:num>
  <w:num w:numId="40">
    <w:abstractNumId w:val="30"/>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36EDC"/>
    <w:rsid w:val="00065D04"/>
    <w:rsid w:val="000E0203"/>
    <w:rsid w:val="00165F48"/>
    <w:rsid w:val="0017270F"/>
    <w:rsid w:val="001849B2"/>
    <w:rsid w:val="001A2460"/>
    <w:rsid w:val="00226561"/>
    <w:rsid w:val="00240825"/>
    <w:rsid w:val="002537F2"/>
    <w:rsid w:val="00275679"/>
    <w:rsid w:val="00276CEB"/>
    <w:rsid w:val="002936DD"/>
    <w:rsid w:val="00295CD3"/>
    <w:rsid w:val="00305725"/>
    <w:rsid w:val="00322E64"/>
    <w:rsid w:val="00331F28"/>
    <w:rsid w:val="0033479F"/>
    <w:rsid w:val="003D27F1"/>
    <w:rsid w:val="00460325"/>
    <w:rsid w:val="00463B0C"/>
    <w:rsid w:val="00471526"/>
    <w:rsid w:val="004D4636"/>
    <w:rsid w:val="004E1F6E"/>
    <w:rsid w:val="00531E6D"/>
    <w:rsid w:val="00540020"/>
    <w:rsid w:val="005A555C"/>
    <w:rsid w:val="005D2C3D"/>
    <w:rsid w:val="00603073"/>
    <w:rsid w:val="00644285"/>
    <w:rsid w:val="00657F36"/>
    <w:rsid w:val="00670D34"/>
    <w:rsid w:val="00684260"/>
    <w:rsid w:val="006A4A3F"/>
    <w:rsid w:val="006C116A"/>
    <w:rsid w:val="006C2C81"/>
    <w:rsid w:val="006C4989"/>
    <w:rsid w:val="007B2100"/>
    <w:rsid w:val="007E60EC"/>
    <w:rsid w:val="00811659"/>
    <w:rsid w:val="00816AE6"/>
    <w:rsid w:val="00856708"/>
    <w:rsid w:val="00870295"/>
    <w:rsid w:val="00893E0A"/>
    <w:rsid w:val="00896161"/>
    <w:rsid w:val="008D3792"/>
    <w:rsid w:val="008F110F"/>
    <w:rsid w:val="008F75B5"/>
    <w:rsid w:val="00951B85"/>
    <w:rsid w:val="0098330C"/>
    <w:rsid w:val="009B5144"/>
    <w:rsid w:val="009C4E37"/>
    <w:rsid w:val="009E38CC"/>
    <w:rsid w:val="00A243E4"/>
    <w:rsid w:val="00A44B9B"/>
    <w:rsid w:val="00A74878"/>
    <w:rsid w:val="00AA7314"/>
    <w:rsid w:val="00AD7BB8"/>
    <w:rsid w:val="00B07D68"/>
    <w:rsid w:val="00B3726E"/>
    <w:rsid w:val="00B567FD"/>
    <w:rsid w:val="00BA00AB"/>
    <w:rsid w:val="00BC4BD7"/>
    <w:rsid w:val="00BD0057"/>
    <w:rsid w:val="00C21A3C"/>
    <w:rsid w:val="00C25D3F"/>
    <w:rsid w:val="00C34D27"/>
    <w:rsid w:val="00C60CCA"/>
    <w:rsid w:val="00C93D2D"/>
    <w:rsid w:val="00CB37BD"/>
    <w:rsid w:val="00CD5856"/>
    <w:rsid w:val="00CE379E"/>
    <w:rsid w:val="00CF3B84"/>
    <w:rsid w:val="00D24193"/>
    <w:rsid w:val="00DB1925"/>
    <w:rsid w:val="00DD166F"/>
    <w:rsid w:val="00E97CAE"/>
    <w:rsid w:val="00EB02B2"/>
    <w:rsid w:val="00EB78FB"/>
    <w:rsid w:val="00ED79DF"/>
    <w:rsid w:val="00F367C5"/>
    <w:rsid w:val="00F41482"/>
    <w:rsid w:val="00F8241F"/>
    <w:rsid w:val="00FD567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F40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B07D68"/>
    <w:pPr>
      <w:spacing w:after="225"/>
    </w:pPr>
    <w:rPr>
      <w:rFonts w:ascii="Times New Roman" w:eastAsia="Times New Roman" w:hAnsi="Times New Roman" w:cs="Times New Roman"/>
      <w:b/>
      <w:bCs/>
      <w:color w:val="000000"/>
      <w:sz w:val="21"/>
      <w:szCs w:val="21"/>
      <w:lang w:eastAsia="en-AU"/>
    </w:rPr>
  </w:style>
  <w:style w:type="character" w:styleId="Hyperlink">
    <w:name w:val="Hyperlink"/>
    <w:basedOn w:val="DefaultParagraphFont"/>
    <w:uiPriority w:val="99"/>
    <w:semiHidden/>
    <w:unhideWhenUsed/>
    <w:rsid w:val="00B07D68"/>
    <w:rPr>
      <w:color w:val="00335E"/>
      <w:u w:val="single"/>
    </w:rPr>
  </w:style>
  <w:style w:type="character" w:customStyle="1" w:styleId="reference">
    <w:name w:val="reference"/>
    <w:basedOn w:val="DefaultParagraphFont"/>
    <w:rsid w:val="00B07D68"/>
  </w:style>
  <w:style w:type="character" w:styleId="Strong">
    <w:name w:val="Strong"/>
    <w:basedOn w:val="DefaultParagraphFont"/>
    <w:uiPriority w:val="22"/>
    <w:qFormat/>
    <w:rsid w:val="00B07D68"/>
    <w:rPr>
      <w:b/>
      <w:bCs/>
    </w:rPr>
  </w:style>
  <w:style w:type="paragraph" w:styleId="NormalWeb">
    <w:name w:val="Normal (Web)"/>
    <w:basedOn w:val="Normal"/>
    <w:uiPriority w:val="99"/>
    <w:semiHidden/>
    <w:unhideWhenUsed/>
    <w:rsid w:val="00B07D68"/>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heading">
    <w:name w:val="heading"/>
    <w:basedOn w:val="Normal"/>
    <w:rsid w:val="00B07D68"/>
    <w:pPr>
      <w:spacing w:before="100" w:beforeAutospacing="1" w:after="100" w:afterAutospacing="1"/>
    </w:pPr>
    <w:rPr>
      <w:rFonts w:ascii="Times New Roman" w:eastAsia="Times New Roman" w:hAnsi="Times New Roman" w:cs="Times New Roman"/>
      <w:b/>
      <w:bCs/>
      <w:color w:val="000000"/>
      <w:sz w:val="21"/>
      <w:szCs w:val="21"/>
      <w:lang w:eastAsia="en-AU"/>
    </w:rPr>
  </w:style>
  <w:style w:type="character" w:styleId="Emphasis">
    <w:name w:val="Emphasis"/>
    <w:basedOn w:val="DefaultParagraphFont"/>
    <w:uiPriority w:val="20"/>
    <w:qFormat/>
    <w:rsid w:val="00B07D68"/>
    <w:rPr>
      <w:i/>
      <w:iCs/>
    </w:rPr>
  </w:style>
  <w:style w:type="character" w:styleId="CommentReference">
    <w:name w:val="annotation reference"/>
    <w:basedOn w:val="DefaultParagraphFont"/>
    <w:uiPriority w:val="99"/>
    <w:semiHidden/>
    <w:unhideWhenUsed/>
    <w:rsid w:val="00A74878"/>
    <w:rPr>
      <w:sz w:val="18"/>
      <w:szCs w:val="18"/>
    </w:rPr>
  </w:style>
  <w:style w:type="paragraph" w:styleId="CommentText">
    <w:name w:val="annotation text"/>
    <w:basedOn w:val="Normal"/>
    <w:link w:val="CommentTextChar"/>
    <w:uiPriority w:val="99"/>
    <w:semiHidden/>
    <w:unhideWhenUsed/>
    <w:rsid w:val="00A44B9B"/>
    <w:rPr>
      <w:sz w:val="24"/>
      <w:szCs w:val="24"/>
    </w:rPr>
  </w:style>
  <w:style w:type="character" w:customStyle="1" w:styleId="CommentTextChar">
    <w:name w:val="Comment Text Char"/>
    <w:basedOn w:val="DefaultParagraphFont"/>
    <w:link w:val="CommentText"/>
    <w:uiPriority w:val="99"/>
    <w:semiHidden/>
    <w:rsid w:val="00A44B9B"/>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A44B9B"/>
    <w:rPr>
      <w:b/>
      <w:bCs/>
      <w:sz w:val="20"/>
      <w:szCs w:val="20"/>
    </w:rPr>
  </w:style>
  <w:style w:type="character" w:customStyle="1" w:styleId="CommentSubjectChar">
    <w:name w:val="Comment Subject Char"/>
    <w:basedOn w:val="CommentTextChar"/>
    <w:link w:val="CommentSubject"/>
    <w:uiPriority w:val="99"/>
    <w:semiHidden/>
    <w:rsid w:val="00A44B9B"/>
    <w:rPr>
      <w:rFonts w:ascii="Calibri" w:eastAsia="Dotum" w:hAnsi="Calibri" w:cs="Calibri"/>
      <w:b/>
      <w:bCs/>
      <w:sz w:val="20"/>
      <w:szCs w:val="20"/>
    </w:rPr>
  </w:style>
  <w:style w:type="paragraph" w:styleId="FootnoteText">
    <w:name w:val="footnote text"/>
    <w:basedOn w:val="Normal"/>
    <w:link w:val="FootnoteTextChar"/>
    <w:uiPriority w:val="99"/>
    <w:unhideWhenUsed/>
    <w:rsid w:val="00B567FD"/>
    <w:pPr>
      <w:spacing w:after="0"/>
    </w:pPr>
    <w:rPr>
      <w:sz w:val="24"/>
      <w:szCs w:val="24"/>
    </w:rPr>
  </w:style>
  <w:style w:type="character" w:customStyle="1" w:styleId="FootnoteTextChar">
    <w:name w:val="Footnote Text Char"/>
    <w:basedOn w:val="DefaultParagraphFont"/>
    <w:link w:val="FootnoteText"/>
    <w:uiPriority w:val="99"/>
    <w:rsid w:val="00B567FD"/>
    <w:rPr>
      <w:rFonts w:ascii="Calibri" w:eastAsia="Dotum" w:hAnsi="Calibri" w:cs="Calibri"/>
      <w:sz w:val="24"/>
      <w:szCs w:val="24"/>
    </w:rPr>
  </w:style>
  <w:style w:type="character" w:styleId="FootnoteReference">
    <w:name w:val="footnote reference"/>
    <w:basedOn w:val="DefaultParagraphFont"/>
    <w:uiPriority w:val="99"/>
    <w:unhideWhenUsed/>
    <w:rsid w:val="00B567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B07D68"/>
    <w:pPr>
      <w:spacing w:after="225"/>
    </w:pPr>
    <w:rPr>
      <w:rFonts w:ascii="Times New Roman" w:eastAsia="Times New Roman" w:hAnsi="Times New Roman" w:cs="Times New Roman"/>
      <w:b/>
      <w:bCs/>
      <w:color w:val="000000"/>
      <w:sz w:val="21"/>
      <w:szCs w:val="21"/>
      <w:lang w:eastAsia="en-AU"/>
    </w:rPr>
  </w:style>
  <w:style w:type="character" w:styleId="Hyperlink">
    <w:name w:val="Hyperlink"/>
    <w:basedOn w:val="DefaultParagraphFont"/>
    <w:uiPriority w:val="99"/>
    <w:semiHidden/>
    <w:unhideWhenUsed/>
    <w:rsid w:val="00B07D68"/>
    <w:rPr>
      <w:color w:val="00335E"/>
      <w:u w:val="single"/>
    </w:rPr>
  </w:style>
  <w:style w:type="character" w:customStyle="1" w:styleId="reference">
    <w:name w:val="reference"/>
    <w:basedOn w:val="DefaultParagraphFont"/>
    <w:rsid w:val="00B07D68"/>
  </w:style>
  <w:style w:type="character" w:styleId="Strong">
    <w:name w:val="Strong"/>
    <w:basedOn w:val="DefaultParagraphFont"/>
    <w:uiPriority w:val="22"/>
    <w:qFormat/>
    <w:rsid w:val="00B07D68"/>
    <w:rPr>
      <w:b/>
      <w:bCs/>
    </w:rPr>
  </w:style>
  <w:style w:type="paragraph" w:styleId="NormalWeb">
    <w:name w:val="Normal (Web)"/>
    <w:basedOn w:val="Normal"/>
    <w:uiPriority w:val="99"/>
    <w:semiHidden/>
    <w:unhideWhenUsed/>
    <w:rsid w:val="00B07D68"/>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heading">
    <w:name w:val="heading"/>
    <w:basedOn w:val="Normal"/>
    <w:rsid w:val="00B07D68"/>
    <w:pPr>
      <w:spacing w:before="100" w:beforeAutospacing="1" w:after="100" w:afterAutospacing="1"/>
    </w:pPr>
    <w:rPr>
      <w:rFonts w:ascii="Times New Roman" w:eastAsia="Times New Roman" w:hAnsi="Times New Roman" w:cs="Times New Roman"/>
      <w:b/>
      <w:bCs/>
      <w:color w:val="000000"/>
      <w:sz w:val="21"/>
      <w:szCs w:val="21"/>
      <w:lang w:eastAsia="en-AU"/>
    </w:rPr>
  </w:style>
  <w:style w:type="character" w:styleId="Emphasis">
    <w:name w:val="Emphasis"/>
    <w:basedOn w:val="DefaultParagraphFont"/>
    <w:uiPriority w:val="20"/>
    <w:qFormat/>
    <w:rsid w:val="00B07D68"/>
    <w:rPr>
      <w:i/>
      <w:iCs/>
    </w:rPr>
  </w:style>
  <w:style w:type="character" w:styleId="CommentReference">
    <w:name w:val="annotation reference"/>
    <w:basedOn w:val="DefaultParagraphFont"/>
    <w:uiPriority w:val="99"/>
    <w:semiHidden/>
    <w:unhideWhenUsed/>
    <w:rsid w:val="00A74878"/>
    <w:rPr>
      <w:sz w:val="18"/>
      <w:szCs w:val="18"/>
    </w:rPr>
  </w:style>
  <w:style w:type="paragraph" w:styleId="CommentText">
    <w:name w:val="annotation text"/>
    <w:basedOn w:val="Normal"/>
    <w:link w:val="CommentTextChar"/>
    <w:uiPriority w:val="99"/>
    <w:semiHidden/>
    <w:unhideWhenUsed/>
    <w:rsid w:val="00A44B9B"/>
    <w:rPr>
      <w:sz w:val="24"/>
      <w:szCs w:val="24"/>
    </w:rPr>
  </w:style>
  <w:style w:type="character" w:customStyle="1" w:styleId="CommentTextChar">
    <w:name w:val="Comment Text Char"/>
    <w:basedOn w:val="DefaultParagraphFont"/>
    <w:link w:val="CommentText"/>
    <w:uiPriority w:val="99"/>
    <w:semiHidden/>
    <w:rsid w:val="00A44B9B"/>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A44B9B"/>
    <w:rPr>
      <w:b/>
      <w:bCs/>
      <w:sz w:val="20"/>
      <w:szCs w:val="20"/>
    </w:rPr>
  </w:style>
  <w:style w:type="character" w:customStyle="1" w:styleId="CommentSubjectChar">
    <w:name w:val="Comment Subject Char"/>
    <w:basedOn w:val="CommentTextChar"/>
    <w:link w:val="CommentSubject"/>
    <w:uiPriority w:val="99"/>
    <w:semiHidden/>
    <w:rsid w:val="00A44B9B"/>
    <w:rPr>
      <w:rFonts w:ascii="Calibri" w:eastAsia="Dotum" w:hAnsi="Calibri" w:cs="Calibri"/>
      <w:b/>
      <w:bCs/>
      <w:sz w:val="20"/>
      <w:szCs w:val="20"/>
    </w:rPr>
  </w:style>
  <w:style w:type="paragraph" w:styleId="FootnoteText">
    <w:name w:val="footnote text"/>
    <w:basedOn w:val="Normal"/>
    <w:link w:val="FootnoteTextChar"/>
    <w:uiPriority w:val="99"/>
    <w:unhideWhenUsed/>
    <w:rsid w:val="00B567FD"/>
    <w:pPr>
      <w:spacing w:after="0"/>
    </w:pPr>
    <w:rPr>
      <w:sz w:val="24"/>
      <w:szCs w:val="24"/>
    </w:rPr>
  </w:style>
  <w:style w:type="character" w:customStyle="1" w:styleId="FootnoteTextChar">
    <w:name w:val="Footnote Text Char"/>
    <w:basedOn w:val="DefaultParagraphFont"/>
    <w:link w:val="FootnoteText"/>
    <w:uiPriority w:val="99"/>
    <w:rsid w:val="00B567FD"/>
    <w:rPr>
      <w:rFonts w:ascii="Calibri" w:eastAsia="Dotum" w:hAnsi="Calibri" w:cs="Calibri"/>
      <w:sz w:val="24"/>
      <w:szCs w:val="24"/>
    </w:rPr>
  </w:style>
  <w:style w:type="character" w:styleId="FootnoteReference">
    <w:name w:val="footnote reference"/>
    <w:basedOn w:val="DefaultParagraphFont"/>
    <w:uiPriority w:val="99"/>
    <w:unhideWhenUsed/>
    <w:rsid w:val="00B567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732786">
      <w:bodyDiv w:val="1"/>
      <w:marLeft w:val="0"/>
      <w:marRight w:val="0"/>
      <w:marTop w:val="0"/>
      <w:marBottom w:val="0"/>
      <w:divBdr>
        <w:top w:val="none" w:sz="0" w:space="0" w:color="auto"/>
        <w:left w:val="none" w:sz="0" w:space="0" w:color="auto"/>
        <w:bottom w:val="none" w:sz="0" w:space="0" w:color="auto"/>
        <w:right w:val="none" w:sz="0" w:space="0" w:color="auto"/>
      </w:divBdr>
      <w:divsChild>
        <w:div w:id="1074624238">
          <w:marLeft w:val="0"/>
          <w:marRight w:val="0"/>
          <w:marTop w:val="0"/>
          <w:marBottom w:val="0"/>
          <w:divBdr>
            <w:top w:val="none" w:sz="0" w:space="0" w:color="auto"/>
            <w:left w:val="none" w:sz="0" w:space="0" w:color="auto"/>
            <w:bottom w:val="none" w:sz="0" w:space="0" w:color="auto"/>
            <w:right w:val="none" w:sz="0" w:space="0" w:color="auto"/>
          </w:divBdr>
          <w:divsChild>
            <w:div w:id="1317295512">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lood.gov.au/pubs/ivig/development-and-maintenance-of-the-criteria.html" TargetMode="External"/><Relationship Id="rId4" Type="http://schemas.microsoft.com/office/2007/relationships/stylesWithEffects" Target="stylesWithEffects.xml"/><Relationship Id="rId9" Type="http://schemas.openxmlformats.org/officeDocument/2006/relationships/hyperlink" Target="http://www.blood.gov.au/pubs/ivig/development-and-maintenance-of-the-criter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7210C-E12D-4AEF-89E8-A15EBD552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2519</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Melody Black</cp:lastModifiedBy>
  <cp:revision>4</cp:revision>
  <dcterms:created xsi:type="dcterms:W3CDTF">2015-06-12T05:50:00Z</dcterms:created>
  <dcterms:modified xsi:type="dcterms:W3CDTF">2015-06-13T13:47:00Z</dcterms:modified>
</cp:coreProperties>
</file>