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8C48" w14:textId="77777777" w:rsidR="000C159B" w:rsidRDefault="000C159B" w:rsidP="00A86DC6">
      <w:pPr>
        <w:pStyle w:val="Heading3"/>
        <w:rPr>
          <w:rFonts w:asciiTheme="minorHAnsi" w:hAnsiTheme="minorHAnsi"/>
          <w:b/>
          <w:color w:val="auto"/>
          <w:sz w:val="22"/>
          <w:szCs w:val="22"/>
        </w:rPr>
      </w:pPr>
    </w:p>
    <w:p w14:paraId="5DFFC469" w14:textId="6F90CCD8" w:rsidR="00A86DC6" w:rsidRPr="0054529B" w:rsidRDefault="00A86DC6" w:rsidP="00A86DC6">
      <w:pPr>
        <w:pStyle w:val="Heading3"/>
        <w:rPr>
          <w:rFonts w:asciiTheme="minorHAnsi" w:hAnsiTheme="minorHAnsi"/>
        </w:rPr>
      </w:pPr>
      <w:r w:rsidRPr="0054529B">
        <w:rPr>
          <w:rFonts w:asciiTheme="minorHAnsi" w:hAnsiTheme="minorHAnsi"/>
        </w:rPr>
        <w:t xml:space="preserve">Specialist Working Group for </w:t>
      </w:r>
      <w:r w:rsidR="00DA29E8" w:rsidRPr="0054529B">
        <w:rPr>
          <w:rFonts w:asciiTheme="minorHAnsi" w:hAnsiTheme="minorHAnsi"/>
        </w:rPr>
        <w:t>Haematology</w:t>
      </w:r>
    </w:p>
    <w:p w14:paraId="381ED06E" w14:textId="77777777" w:rsidR="00A86DC6" w:rsidRPr="0054529B" w:rsidRDefault="00A86DC6" w:rsidP="00A86DC6">
      <w:pPr>
        <w:pStyle w:val="Heading4"/>
        <w:rPr>
          <w:rFonts w:asciiTheme="minorHAnsi" w:hAnsiTheme="minorHAnsi"/>
          <w:i/>
        </w:rPr>
      </w:pPr>
      <w:r w:rsidRPr="0054529B">
        <w:rPr>
          <w:rFonts w:asciiTheme="minorHAnsi" w:hAnsiTheme="minorHAnsi"/>
        </w:rPr>
        <w:t xml:space="preserve">Proposed changes to the </w:t>
      </w:r>
      <w:r w:rsidRPr="0054529B">
        <w:rPr>
          <w:rFonts w:asciiTheme="minorHAnsi" w:hAnsiTheme="minorHAnsi"/>
          <w:i/>
        </w:rPr>
        <w:t>Criteria for the clinical use of intravenous immunoglobulin in Australia, Second Edition</w:t>
      </w:r>
    </w:p>
    <w:p w14:paraId="3F086FF9" w14:textId="77777777" w:rsidR="000C159B" w:rsidRDefault="000C159B">
      <w:pPr>
        <w:rPr>
          <w:rFonts w:asciiTheme="minorHAnsi" w:hAnsiTheme="minorHAnsi"/>
        </w:rPr>
      </w:pPr>
    </w:p>
    <w:tbl>
      <w:tblPr>
        <w:tblStyle w:val="TableGrid"/>
        <w:tblW w:w="15637" w:type="dxa"/>
        <w:tblInd w:w="-34" w:type="dxa"/>
        <w:tblLayout w:type="fixed"/>
        <w:tblLook w:val="04A0" w:firstRow="1" w:lastRow="0" w:firstColumn="1" w:lastColumn="0" w:noHBand="0" w:noVBand="1"/>
      </w:tblPr>
      <w:tblGrid>
        <w:gridCol w:w="1689"/>
        <w:gridCol w:w="4690"/>
        <w:gridCol w:w="1535"/>
        <w:gridCol w:w="1242"/>
        <w:gridCol w:w="1759"/>
        <w:gridCol w:w="4678"/>
        <w:gridCol w:w="44"/>
      </w:tblGrid>
      <w:tr w:rsidR="00E83DB7" w:rsidRPr="0054529B" w14:paraId="3ACDA2AF" w14:textId="77777777" w:rsidTr="000C159B">
        <w:trPr>
          <w:gridAfter w:val="1"/>
          <w:wAfter w:w="44" w:type="dxa"/>
          <w:trHeight w:val="699"/>
          <w:tblHeader/>
        </w:trPr>
        <w:tc>
          <w:tcPr>
            <w:tcW w:w="1689" w:type="dxa"/>
            <w:shd w:val="clear" w:color="auto" w:fill="DBE5F1" w:themeFill="accent1" w:themeFillTint="33"/>
          </w:tcPr>
          <w:p w14:paraId="332BACE5" w14:textId="33DE2A9A" w:rsidR="00E83DB7" w:rsidRPr="0054529B" w:rsidRDefault="00E83DB7" w:rsidP="00D764F3">
            <w:pPr>
              <w:rPr>
                <w:rFonts w:asciiTheme="minorHAnsi" w:hAnsiTheme="minorHAnsi"/>
                <w:b/>
              </w:rPr>
            </w:pPr>
            <w:r w:rsidRPr="0054529B">
              <w:rPr>
                <w:rFonts w:asciiTheme="minorHAnsi" w:hAnsiTheme="minorHAnsi"/>
                <w:b/>
              </w:rPr>
              <w:t>ITEM</w:t>
            </w:r>
          </w:p>
        </w:tc>
        <w:tc>
          <w:tcPr>
            <w:tcW w:w="4690" w:type="dxa"/>
            <w:shd w:val="clear" w:color="auto" w:fill="DBE5F1" w:themeFill="accent1" w:themeFillTint="33"/>
          </w:tcPr>
          <w:p w14:paraId="2D94AC34" w14:textId="0225FA80" w:rsidR="00E83DB7" w:rsidRPr="0054529B" w:rsidRDefault="00A86DC6" w:rsidP="00A23319">
            <w:pPr>
              <w:rPr>
                <w:rFonts w:asciiTheme="minorHAnsi" w:hAnsiTheme="minorHAnsi"/>
                <w:b/>
              </w:rPr>
            </w:pPr>
            <w:r w:rsidRPr="0054529B">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54529B" w:rsidRDefault="00E83DB7" w:rsidP="00A86DC6">
            <w:pPr>
              <w:rPr>
                <w:rFonts w:asciiTheme="minorHAnsi" w:hAnsiTheme="minorHAnsi"/>
                <w:b/>
              </w:rPr>
            </w:pPr>
            <w:r w:rsidRPr="0054529B">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54529B" w:rsidRDefault="00E83DB7" w:rsidP="004971CE">
            <w:pPr>
              <w:rPr>
                <w:rFonts w:asciiTheme="minorHAnsi" w:eastAsia="Times New Roman" w:hAnsiTheme="minorHAnsi" w:cs="Times New Roman"/>
                <w:b/>
                <w:bCs/>
                <w:lang w:eastAsia="en-AU"/>
              </w:rPr>
            </w:pPr>
            <w:r w:rsidRPr="0054529B">
              <w:rPr>
                <w:rFonts w:asciiTheme="minorHAnsi" w:eastAsia="Times New Roman" w:hAnsiTheme="minorHAnsi" w:cs="Times New Roman"/>
                <w:b/>
                <w:bCs/>
                <w:lang w:eastAsia="en-AU"/>
              </w:rPr>
              <w:t>SWG RATIONALE FOR PROPOSED CHANGE</w:t>
            </w:r>
          </w:p>
          <w:p w14:paraId="4BBC5CBF" w14:textId="77777777" w:rsidR="00E83DB7" w:rsidRPr="0054529B" w:rsidRDefault="00E83DB7" w:rsidP="004971CE">
            <w:pPr>
              <w:rPr>
                <w:rFonts w:asciiTheme="minorHAnsi" w:eastAsia="Times New Roman" w:hAnsiTheme="minorHAnsi" w:cs="Times New Roman"/>
                <w:b/>
                <w:bCs/>
                <w:lang w:eastAsia="en-AU"/>
              </w:rPr>
            </w:pPr>
            <w:r w:rsidRPr="0054529B">
              <w:rPr>
                <w:rFonts w:asciiTheme="minorHAnsi" w:eastAsia="Times New Roman" w:hAnsiTheme="minorHAnsi" w:cs="Times New Roman"/>
                <w:b/>
                <w:bCs/>
                <w:lang w:eastAsia="en-AU"/>
              </w:rPr>
              <w:t>(A) Administrative)</w:t>
            </w:r>
          </w:p>
          <w:p w14:paraId="143EF0B1" w14:textId="77777777" w:rsidR="00E83DB7" w:rsidRPr="0054529B" w:rsidRDefault="00E83DB7" w:rsidP="004971CE">
            <w:pPr>
              <w:rPr>
                <w:rFonts w:asciiTheme="minorHAnsi" w:eastAsia="Times New Roman" w:hAnsiTheme="minorHAnsi" w:cs="Times New Roman"/>
                <w:b/>
                <w:bCs/>
                <w:lang w:eastAsia="en-AU"/>
              </w:rPr>
            </w:pPr>
            <w:r w:rsidRPr="0054529B">
              <w:rPr>
                <w:rFonts w:asciiTheme="minorHAnsi" w:eastAsia="Times New Roman" w:hAnsiTheme="minorHAnsi" w:cs="Times New Roman"/>
                <w:b/>
                <w:bCs/>
                <w:lang w:eastAsia="en-AU"/>
              </w:rPr>
              <w:t xml:space="preserve">(B) Progressive </w:t>
            </w:r>
          </w:p>
          <w:p w14:paraId="4DA47FF4" w14:textId="77777777" w:rsidR="00E83DB7" w:rsidRPr="0054529B" w:rsidRDefault="00E83DB7" w:rsidP="004971CE">
            <w:pPr>
              <w:rPr>
                <w:rFonts w:asciiTheme="minorHAnsi" w:eastAsia="Times New Roman" w:hAnsiTheme="minorHAnsi" w:cs="Times New Roman"/>
                <w:b/>
                <w:bCs/>
                <w:lang w:eastAsia="en-AU"/>
              </w:rPr>
            </w:pPr>
            <w:r w:rsidRPr="0054529B">
              <w:rPr>
                <w:rFonts w:asciiTheme="minorHAnsi" w:eastAsia="Times New Roman" w:hAnsiTheme="minorHAnsi" w:cs="Times New Roman"/>
                <w:b/>
                <w:bCs/>
                <w:lang w:eastAsia="en-AU"/>
              </w:rPr>
              <w:t>(C) Programmed</w:t>
            </w:r>
          </w:p>
        </w:tc>
      </w:tr>
      <w:tr w:rsidR="0054529B" w:rsidRPr="0054529B" w14:paraId="2F343A66" w14:textId="77777777" w:rsidTr="000C159B">
        <w:trPr>
          <w:gridAfter w:val="1"/>
          <w:wAfter w:w="44" w:type="dxa"/>
          <w:trHeight w:val="699"/>
        </w:trPr>
        <w:tc>
          <w:tcPr>
            <w:tcW w:w="1689" w:type="dxa"/>
            <w:shd w:val="clear" w:color="auto" w:fill="D9D9D9" w:themeFill="background1" w:themeFillShade="D9"/>
          </w:tcPr>
          <w:p w14:paraId="7DE6F4C1" w14:textId="77777777" w:rsidR="0054529B" w:rsidRPr="0054529B" w:rsidRDefault="0054529B" w:rsidP="00D764F3">
            <w:pPr>
              <w:rPr>
                <w:rFonts w:asciiTheme="minorHAnsi" w:hAnsiTheme="minorHAnsi"/>
                <w:b/>
              </w:rPr>
            </w:pPr>
            <w:r w:rsidRPr="0054529B">
              <w:rPr>
                <w:rFonts w:asciiTheme="minorHAnsi" w:hAnsiTheme="minorHAnsi"/>
                <w:b/>
              </w:rPr>
              <w:t>Condition Name</w:t>
            </w:r>
          </w:p>
        </w:tc>
        <w:tc>
          <w:tcPr>
            <w:tcW w:w="4690" w:type="dxa"/>
          </w:tcPr>
          <w:p w14:paraId="20488082" w14:textId="556816F0" w:rsidR="0054529B" w:rsidRPr="0054529B" w:rsidRDefault="0054529B" w:rsidP="00A23319">
            <w:pPr>
              <w:rPr>
                <w:rFonts w:asciiTheme="minorHAnsi" w:eastAsia="Times New Roman" w:hAnsiTheme="minorHAnsi" w:cs="Times New Roman"/>
                <w:bCs/>
                <w:lang w:eastAsia="en-AU"/>
              </w:rPr>
            </w:pPr>
            <w:r w:rsidRPr="0054529B">
              <w:rPr>
                <w:rFonts w:asciiTheme="minorHAnsi" w:hAnsiTheme="minorHAnsi"/>
                <w:b/>
                <w:bCs/>
              </w:rPr>
              <w:t>Neonatal haemochromatosis (NH)</w:t>
            </w:r>
          </w:p>
        </w:tc>
        <w:tc>
          <w:tcPr>
            <w:tcW w:w="4536" w:type="dxa"/>
            <w:gridSpan w:val="3"/>
          </w:tcPr>
          <w:p w14:paraId="1876C063" w14:textId="1544DA92" w:rsidR="0054529B" w:rsidRPr="0054529B" w:rsidRDefault="0054529B" w:rsidP="008A5596">
            <w:pPr>
              <w:rPr>
                <w:rFonts w:asciiTheme="minorHAnsi" w:hAnsiTheme="minorHAnsi"/>
              </w:rPr>
            </w:pPr>
            <w:r w:rsidRPr="0054529B">
              <w:rPr>
                <w:rFonts w:asciiTheme="minorHAnsi" w:hAnsiTheme="minorHAnsi"/>
                <w:b/>
                <w:bCs/>
              </w:rPr>
              <w:t>Neonatal haemochromatosis (NH)</w:t>
            </w:r>
          </w:p>
        </w:tc>
        <w:tc>
          <w:tcPr>
            <w:tcW w:w="4678" w:type="dxa"/>
          </w:tcPr>
          <w:p w14:paraId="1EBF628B" w14:textId="77777777" w:rsidR="0054529B" w:rsidRPr="0054529B" w:rsidRDefault="0054529B" w:rsidP="004971CE">
            <w:pPr>
              <w:rPr>
                <w:rFonts w:asciiTheme="minorHAnsi" w:eastAsia="Times New Roman" w:hAnsiTheme="minorHAnsi" w:cs="Times New Roman"/>
                <w:b/>
                <w:bCs/>
                <w:lang w:eastAsia="en-AU"/>
              </w:rPr>
            </w:pPr>
          </w:p>
        </w:tc>
      </w:tr>
      <w:tr w:rsidR="0054529B" w:rsidRPr="0054529B" w14:paraId="5F7B944F" w14:textId="77777777" w:rsidTr="000C159B">
        <w:trPr>
          <w:gridAfter w:val="1"/>
          <w:wAfter w:w="44" w:type="dxa"/>
          <w:trHeight w:val="406"/>
        </w:trPr>
        <w:tc>
          <w:tcPr>
            <w:tcW w:w="1689" w:type="dxa"/>
            <w:shd w:val="clear" w:color="auto" w:fill="D9D9D9" w:themeFill="background1" w:themeFillShade="D9"/>
          </w:tcPr>
          <w:p w14:paraId="01B134F9" w14:textId="77777777" w:rsidR="0054529B" w:rsidRPr="0054529B" w:rsidRDefault="0054529B" w:rsidP="00D764F3">
            <w:pPr>
              <w:rPr>
                <w:rFonts w:asciiTheme="minorHAnsi" w:hAnsiTheme="minorHAnsi"/>
                <w:b/>
              </w:rPr>
            </w:pPr>
            <w:r w:rsidRPr="0054529B">
              <w:rPr>
                <w:rFonts w:asciiTheme="minorHAnsi" w:hAnsiTheme="minorHAnsi"/>
                <w:b/>
              </w:rPr>
              <w:t>Specialty</w:t>
            </w:r>
          </w:p>
        </w:tc>
        <w:tc>
          <w:tcPr>
            <w:tcW w:w="4690" w:type="dxa"/>
          </w:tcPr>
          <w:p w14:paraId="0649E6BD" w14:textId="3E0A6BAD" w:rsidR="0054529B" w:rsidRPr="0054529B" w:rsidRDefault="0054529B" w:rsidP="00D764F3">
            <w:pPr>
              <w:rPr>
                <w:rFonts w:asciiTheme="minorHAnsi" w:hAnsiTheme="minorHAnsi"/>
              </w:rPr>
            </w:pPr>
            <w:r w:rsidRPr="0054529B">
              <w:rPr>
                <w:rFonts w:asciiTheme="minorHAnsi" w:hAnsiTheme="minorHAnsi"/>
              </w:rPr>
              <w:t xml:space="preserve">Haematology </w:t>
            </w:r>
          </w:p>
        </w:tc>
        <w:tc>
          <w:tcPr>
            <w:tcW w:w="4536" w:type="dxa"/>
            <w:gridSpan w:val="3"/>
          </w:tcPr>
          <w:p w14:paraId="5C258F91" w14:textId="30D1A790" w:rsidR="0054529B" w:rsidRPr="0054529B" w:rsidRDefault="0054529B" w:rsidP="00D764F3">
            <w:pPr>
              <w:rPr>
                <w:rFonts w:asciiTheme="minorHAnsi" w:hAnsiTheme="minorHAnsi"/>
              </w:rPr>
            </w:pPr>
            <w:r w:rsidRPr="0054529B">
              <w:rPr>
                <w:rFonts w:asciiTheme="minorHAnsi" w:hAnsiTheme="minorHAnsi"/>
              </w:rPr>
              <w:t>Haematology</w:t>
            </w:r>
          </w:p>
        </w:tc>
        <w:tc>
          <w:tcPr>
            <w:tcW w:w="4678" w:type="dxa"/>
          </w:tcPr>
          <w:p w14:paraId="28019345" w14:textId="77777777" w:rsidR="0054529B" w:rsidRPr="0054529B" w:rsidRDefault="0054529B" w:rsidP="00D764F3">
            <w:pPr>
              <w:rPr>
                <w:rFonts w:asciiTheme="minorHAnsi" w:hAnsiTheme="minorHAnsi"/>
              </w:rPr>
            </w:pPr>
          </w:p>
        </w:tc>
      </w:tr>
      <w:tr w:rsidR="0054529B" w:rsidRPr="0054529B" w14:paraId="1AD96B48" w14:textId="77777777" w:rsidTr="000C159B">
        <w:trPr>
          <w:gridAfter w:val="1"/>
          <w:wAfter w:w="44" w:type="dxa"/>
          <w:trHeight w:val="417"/>
        </w:trPr>
        <w:tc>
          <w:tcPr>
            <w:tcW w:w="1689" w:type="dxa"/>
            <w:shd w:val="clear" w:color="auto" w:fill="D9D9D9" w:themeFill="background1" w:themeFillShade="D9"/>
          </w:tcPr>
          <w:p w14:paraId="22F5772A" w14:textId="77777777" w:rsidR="0054529B" w:rsidRPr="0054529B" w:rsidRDefault="0054529B" w:rsidP="00D764F3">
            <w:pPr>
              <w:rPr>
                <w:rFonts w:asciiTheme="minorHAnsi" w:hAnsiTheme="minorHAnsi"/>
                <w:b/>
              </w:rPr>
            </w:pPr>
            <w:r w:rsidRPr="0054529B">
              <w:rPr>
                <w:rFonts w:asciiTheme="minorHAnsi" w:hAnsiTheme="minorHAnsi"/>
                <w:b/>
              </w:rPr>
              <w:t>Chapter</w:t>
            </w:r>
          </w:p>
        </w:tc>
        <w:tc>
          <w:tcPr>
            <w:tcW w:w="4690" w:type="dxa"/>
          </w:tcPr>
          <w:p w14:paraId="3DE93F47" w14:textId="364E936B" w:rsidR="0054529B" w:rsidRPr="0054529B" w:rsidRDefault="0054529B" w:rsidP="00D764F3">
            <w:pPr>
              <w:rPr>
                <w:rFonts w:asciiTheme="minorHAnsi" w:hAnsiTheme="minorHAnsi"/>
              </w:rPr>
            </w:pPr>
            <w:r w:rsidRPr="0054529B">
              <w:rPr>
                <w:rFonts w:asciiTheme="minorHAnsi" w:hAnsiTheme="minorHAnsi"/>
              </w:rPr>
              <w:t>5</w:t>
            </w:r>
          </w:p>
        </w:tc>
        <w:tc>
          <w:tcPr>
            <w:tcW w:w="4536" w:type="dxa"/>
            <w:gridSpan w:val="3"/>
            <w:shd w:val="clear" w:color="auto" w:fill="auto"/>
          </w:tcPr>
          <w:p w14:paraId="382D6966" w14:textId="7F7A49EE" w:rsidR="0054529B" w:rsidRPr="0054529B" w:rsidRDefault="0054529B" w:rsidP="00D764F3">
            <w:pPr>
              <w:rPr>
                <w:rFonts w:asciiTheme="minorHAnsi" w:hAnsiTheme="minorHAnsi"/>
              </w:rPr>
            </w:pPr>
            <w:r w:rsidRPr="0054529B">
              <w:rPr>
                <w:rFonts w:asciiTheme="minorHAnsi" w:hAnsiTheme="minorHAnsi"/>
              </w:rPr>
              <w:t>5</w:t>
            </w:r>
          </w:p>
        </w:tc>
        <w:tc>
          <w:tcPr>
            <w:tcW w:w="4678" w:type="dxa"/>
          </w:tcPr>
          <w:p w14:paraId="41314964" w14:textId="77777777" w:rsidR="0054529B" w:rsidRPr="0054529B" w:rsidRDefault="0054529B" w:rsidP="00D764F3">
            <w:pPr>
              <w:rPr>
                <w:rFonts w:asciiTheme="minorHAnsi" w:hAnsiTheme="minorHAnsi"/>
              </w:rPr>
            </w:pPr>
          </w:p>
        </w:tc>
      </w:tr>
      <w:tr w:rsidR="00E83DB7" w:rsidRPr="0054529B" w14:paraId="7BFB40CA" w14:textId="77777777" w:rsidTr="000C159B">
        <w:trPr>
          <w:gridAfter w:val="1"/>
          <w:wAfter w:w="44" w:type="dxa"/>
        </w:trPr>
        <w:tc>
          <w:tcPr>
            <w:tcW w:w="1689" w:type="dxa"/>
            <w:shd w:val="clear" w:color="auto" w:fill="D9D9D9" w:themeFill="background1" w:themeFillShade="D9"/>
          </w:tcPr>
          <w:p w14:paraId="21F5567D" w14:textId="77777777" w:rsidR="00E83DB7" w:rsidRPr="0054529B" w:rsidRDefault="00E83DB7" w:rsidP="00D764F3">
            <w:pPr>
              <w:rPr>
                <w:rFonts w:asciiTheme="minorHAnsi" w:hAnsiTheme="minorHAnsi"/>
                <w:b/>
              </w:rPr>
            </w:pPr>
            <w:r w:rsidRPr="0054529B">
              <w:rPr>
                <w:rFonts w:asciiTheme="minorHAnsi" w:hAnsiTheme="minorHAnsi"/>
                <w:b/>
              </w:rPr>
              <w:t>Specific Conditions</w:t>
            </w:r>
          </w:p>
          <w:p w14:paraId="5C03CF20" w14:textId="77777777" w:rsidR="00E83DB7" w:rsidRPr="0054529B" w:rsidRDefault="00E83DB7" w:rsidP="00E83DB7">
            <w:pPr>
              <w:rPr>
                <w:rFonts w:asciiTheme="minorHAnsi" w:hAnsiTheme="minorHAnsi"/>
                <w:b/>
              </w:rPr>
            </w:pPr>
          </w:p>
        </w:tc>
        <w:tc>
          <w:tcPr>
            <w:tcW w:w="4690" w:type="dxa"/>
          </w:tcPr>
          <w:p w14:paraId="192DF70A" w14:textId="77777777" w:rsidR="00E83DB7" w:rsidRPr="0054529B" w:rsidRDefault="00E83DB7" w:rsidP="00A23319">
            <w:pPr>
              <w:rPr>
                <w:rFonts w:asciiTheme="minorHAnsi" w:eastAsia="Times New Roman" w:hAnsiTheme="minorHAnsi" w:cs="Times New Roman"/>
                <w:bCs/>
                <w:lang w:eastAsia="en-AU"/>
              </w:rPr>
            </w:pPr>
          </w:p>
        </w:tc>
        <w:tc>
          <w:tcPr>
            <w:tcW w:w="4536" w:type="dxa"/>
            <w:gridSpan w:val="3"/>
            <w:shd w:val="clear" w:color="auto" w:fill="auto"/>
          </w:tcPr>
          <w:p w14:paraId="12A16101" w14:textId="5FE29048" w:rsidR="00E83DB7" w:rsidRPr="0054529B" w:rsidRDefault="00E83DB7" w:rsidP="00DA29E8">
            <w:pPr>
              <w:shd w:val="clear" w:color="auto" w:fill="FFFFFF"/>
              <w:spacing w:before="100" w:beforeAutospacing="1" w:after="100" w:afterAutospacing="1"/>
              <w:rPr>
                <w:rFonts w:asciiTheme="minorHAnsi" w:hAnsiTheme="minorHAnsi"/>
              </w:rPr>
            </w:pPr>
          </w:p>
        </w:tc>
        <w:tc>
          <w:tcPr>
            <w:tcW w:w="4678" w:type="dxa"/>
          </w:tcPr>
          <w:p w14:paraId="54131AE2" w14:textId="0F0C248B" w:rsidR="00E83DB7" w:rsidRPr="0054529B" w:rsidRDefault="00E83DB7" w:rsidP="00780598">
            <w:pPr>
              <w:rPr>
                <w:rFonts w:asciiTheme="minorHAnsi" w:eastAsia="Times New Roman" w:hAnsiTheme="minorHAnsi" w:cs="Times New Roman"/>
                <w:bCs/>
                <w:lang w:eastAsia="en-AU"/>
              </w:rPr>
            </w:pPr>
          </w:p>
        </w:tc>
      </w:tr>
      <w:tr w:rsidR="0054529B" w:rsidRPr="0054529B" w14:paraId="4B8F715A" w14:textId="77777777" w:rsidTr="000C159B">
        <w:trPr>
          <w:gridAfter w:val="1"/>
          <w:wAfter w:w="44" w:type="dxa"/>
          <w:trHeight w:val="424"/>
        </w:trPr>
        <w:tc>
          <w:tcPr>
            <w:tcW w:w="1689" w:type="dxa"/>
            <w:shd w:val="clear" w:color="auto" w:fill="D9D9D9" w:themeFill="background1" w:themeFillShade="D9"/>
          </w:tcPr>
          <w:p w14:paraId="70F18CC7" w14:textId="77777777" w:rsidR="0054529B" w:rsidRPr="0054529B" w:rsidRDefault="0054529B" w:rsidP="00D764F3">
            <w:pPr>
              <w:rPr>
                <w:rFonts w:asciiTheme="minorHAnsi" w:hAnsiTheme="minorHAnsi"/>
                <w:b/>
              </w:rPr>
            </w:pPr>
            <w:r w:rsidRPr="0054529B">
              <w:rPr>
                <w:rFonts w:asciiTheme="minorHAnsi" w:hAnsiTheme="minorHAnsi"/>
                <w:b/>
              </w:rPr>
              <w:t>Level of Evidence</w:t>
            </w:r>
          </w:p>
          <w:p w14:paraId="7DB290D2" w14:textId="77777777" w:rsidR="0054529B" w:rsidRPr="0054529B" w:rsidRDefault="0054529B" w:rsidP="00D764F3">
            <w:pPr>
              <w:rPr>
                <w:rFonts w:asciiTheme="minorHAnsi" w:hAnsiTheme="minorHAnsi"/>
              </w:rPr>
            </w:pPr>
          </w:p>
        </w:tc>
        <w:tc>
          <w:tcPr>
            <w:tcW w:w="4690" w:type="dxa"/>
          </w:tcPr>
          <w:p w14:paraId="466AC319" w14:textId="388D74E5" w:rsidR="0054529B" w:rsidRPr="0054529B" w:rsidRDefault="0054529B" w:rsidP="00401119">
            <w:pPr>
              <w:rPr>
                <w:rFonts w:asciiTheme="minorHAnsi" w:eastAsia="Times New Roman" w:hAnsiTheme="minorHAnsi" w:cs="Times New Roman"/>
                <w:lang w:eastAsia="en-AU"/>
              </w:rPr>
            </w:pPr>
            <w:r w:rsidRPr="0054529B">
              <w:rPr>
                <w:rFonts w:asciiTheme="minorHAnsi" w:hAnsiTheme="minorHAnsi"/>
                <w:color w:val="000000"/>
              </w:rPr>
              <w:t>Evidence of probable benefit (</w:t>
            </w:r>
            <w:hyperlink r:id="rId12" w:anchor="el-2a" w:history="1">
              <w:r w:rsidRPr="0054529B">
                <w:rPr>
                  <w:rStyle w:val="Hyperlink"/>
                  <w:rFonts w:asciiTheme="minorHAnsi" w:hAnsiTheme="minorHAnsi"/>
                </w:rPr>
                <w:t>Category 2a</w:t>
              </w:r>
            </w:hyperlink>
            <w:r w:rsidRPr="0054529B">
              <w:rPr>
                <w:rFonts w:asciiTheme="minorHAnsi" w:hAnsiTheme="minorHAnsi"/>
                <w:color w:val="000000"/>
              </w:rPr>
              <w:t>).</w:t>
            </w:r>
          </w:p>
        </w:tc>
        <w:tc>
          <w:tcPr>
            <w:tcW w:w="4536" w:type="dxa"/>
            <w:gridSpan w:val="3"/>
            <w:shd w:val="clear" w:color="auto" w:fill="auto"/>
          </w:tcPr>
          <w:p w14:paraId="08CB64D6" w14:textId="25CA394E" w:rsidR="0054529B" w:rsidRPr="0054529B" w:rsidRDefault="0054529B" w:rsidP="00D764F3">
            <w:pPr>
              <w:rPr>
                <w:rFonts w:asciiTheme="minorHAnsi" w:hAnsiTheme="minorHAnsi" w:cstheme="minorHAnsi"/>
              </w:rPr>
            </w:pPr>
            <w:r w:rsidRPr="0054529B">
              <w:rPr>
                <w:rFonts w:asciiTheme="minorHAnsi" w:hAnsiTheme="minorHAnsi"/>
                <w:color w:val="000000"/>
              </w:rPr>
              <w:t>Evidence of probable benefit (</w:t>
            </w:r>
            <w:hyperlink r:id="rId13" w:anchor="el-2a" w:history="1">
              <w:r w:rsidRPr="0054529B">
                <w:rPr>
                  <w:rStyle w:val="Hyperlink"/>
                  <w:rFonts w:asciiTheme="minorHAnsi" w:hAnsiTheme="minorHAnsi"/>
                </w:rPr>
                <w:t>Category 2a</w:t>
              </w:r>
            </w:hyperlink>
            <w:r w:rsidRPr="0054529B">
              <w:rPr>
                <w:rFonts w:asciiTheme="minorHAnsi" w:hAnsiTheme="minorHAnsi"/>
                <w:color w:val="000000"/>
              </w:rPr>
              <w:t>).</w:t>
            </w:r>
          </w:p>
        </w:tc>
        <w:tc>
          <w:tcPr>
            <w:tcW w:w="4678" w:type="dxa"/>
          </w:tcPr>
          <w:p w14:paraId="7DE8158B" w14:textId="77777777" w:rsidR="0054529B" w:rsidRPr="0054529B" w:rsidRDefault="0054529B" w:rsidP="00D764F3">
            <w:pPr>
              <w:rPr>
                <w:rFonts w:asciiTheme="minorHAnsi" w:eastAsia="Times New Roman" w:hAnsiTheme="minorHAnsi" w:cs="Times New Roman"/>
                <w:color w:val="000000"/>
                <w:lang w:eastAsia="en-AU"/>
              </w:rPr>
            </w:pPr>
          </w:p>
        </w:tc>
      </w:tr>
      <w:tr w:rsidR="0054529B" w:rsidRPr="0054529B" w14:paraId="4C2E706A" w14:textId="77777777" w:rsidTr="000C159B">
        <w:trPr>
          <w:gridAfter w:val="1"/>
          <w:wAfter w:w="44" w:type="dxa"/>
          <w:trHeight w:val="984"/>
        </w:trPr>
        <w:tc>
          <w:tcPr>
            <w:tcW w:w="1689" w:type="dxa"/>
            <w:shd w:val="clear" w:color="auto" w:fill="D9D9D9" w:themeFill="background1" w:themeFillShade="D9"/>
          </w:tcPr>
          <w:p w14:paraId="58FC6D46" w14:textId="77777777" w:rsidR="0054529B" w:rsidRPr="0054529B" w:rsidRDefault="0054529B" w:rsidP="00D764F3">
            <w:pPr>
              <w:rPr>
                <w:rFonts w:asciiTheme="minorHAnsi" w:hAnsiTheme="minorHAnsi"/>
                <w:b/>
              </w:rPr>
            </w:pPr>
            <w:r w:rsidRPr="0054529B">
              <w:rPr>
                <w:rFonts w:asciiTheme="minorHAnsi" w:hAnsiTheme="minorHAnsi"/>
                <w:b/>
              </w:rPr>
              <w:t>Justification for Evidence Category</w:t>
            </w:r>
          </w:p>
          <w:p w14:paraId="66F8FFA1" w14:textId="77777777" w:rsidR="0054529B" w:rsidRPr="0054529B" w:rsidRDefault="0054529B" w:rsidP="00D764F3">
            <w:pPr>
              <w:rPr>
                <w:rFonts w:asciiTheme="minorHAnsi" w:hAnsiTheme="minorHAnsi"/>
                <w:b/>
              </w:rPr>
            </w:pPr>
          </w:p>
        </w:tc>
        <w:tc>
          <w:tcPr>
            <w:tcW w:w="4690" w:type="dxa"/>
          </w:tcPr>
          <w:p w14:paraId="79739E39" w14:textId="7239C3DE" w:rsidR="0054529B" w:rsidRPr="0054529B" w:rsidRDefault="0054529B" w:rsidP="00E83DB7">
            <w:pPr>
              <w:spacing w:after="225" w:line="276" w:lineRule="auto"/>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A trial compared the impact of IVIg on pregnancy outcome of women whose most recent pregnancy had resulted in NH with historical controls (randomly selected previously affected pregnancies). All 15 pregnancies resulted in live births. NH was diagnosed in 11 but responded to medical treatment. By contrast, there were 2 successful outcomes in controls (Biotext 2004).</w:t>
            </w:r>
          </w:p>
        </w:tc>
        <w:tc>
          <w:tcPr>
            <w:tcW w:w="4536" w:type="dxa"/>
            <w:gridSpan w:val="3"/>
            <w:shd w:val="clear" w:color="auto" w:fill="auto"/>
          </w:tcPr>
          <w:p w14:paraId="2D1C1B67" w14:textId="77777777" w:rsidR="0054529B" w:rsidRPr="0054529B" w:rsidRDefault="0054529B" w:rsidP="001E3138">
            <w:pPr>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A trial compared the impact of intravenous immunoglobulin (IVIg) on pregnancy outcome of women whose most recent pregnancy had resulted in NH with historical controls (randomly selected previously affected pregnancies). All 15 pregnancies resulted in live births. NH was diagnosed in 11 but responded to medical treatment. By contrast, there were two successful outcomes in controls (Biotext 2004). </w:t>
            </w:r>
          </w:p>
          <w:p w14:paraId="2A540CB8" w14:textId="77777777" w:rsidR="0054529B" w:rsidRPr="0054529B" w:rsidRDefault="0054529B" w:rsidP="001E3138">
            <w:pPr>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Rand et al (2009) describes successful treatment of NH in neonates using exchange transfusion and IVIg. </w:t>
            </w:r>
          </w:p>
          <w:p w14:paraId="6389EFA2" w14:textId="278ED336" w:rsidR="0054529B" w:rsidRPr="0054529B" w:rsidRDefault="0054529B" w:rsidP="00DA29E8">
            <w:pPr>
              <w:spacing w:after="225" w:line="276" w:lineRule="auto"/>
              <w:rPr>
                <w:rFonts w:asciiTheme="minorHAnsi" w:hAnsiTheme="minorHAnsi"/>
                <w:color w:val="000000"/>
              </w:rPr>
            </w:pPr>
          </w:p>
        </w:tc>
        <w:tc>
          <w:tcPr>
            <w:tcW w:w="4678" w:type="dxa"/>
          </w:tcPr>
          <w:p w14:paraId="3DBB0EAA" w14:textId="7578C190" w:rsidR="0054529B" w:rsidRPr="0054529B" w:rsidRDefault="0054529B" w:rsidP="001E6F4E">
            <w:pPr>
              <w:spacing w:after="240" w:line="2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Addition of evidence with successful use of IVIg together with exchange transfusion. (A)</w:t>
            </w:r>
          </w:p>
        </w:tc>
      </w:tr>
      <w:tr w:rsidR="0054529B" w:rsidRPr="0054529B" w14:paraId="73CE89AB" w14:textId="77777777" w:rsidTr="000C159B">
        <w:trPr>
          <w:gridAfter w:val="1"/>
          <w:wAfter w:w="44" w:type="dxa"/>
          <w:trHeight w:val="984"/>
        </w:trPr>
        <w:tc>
          <w:tcPr>
            <w:tcW w:w="1689" w:type="dxa"/>
            <w:shd w:val="clear" w:color="auto" w:fill="D9D9D9" w:themeFill="background1" w:themeFillShade="D9"/>
          </w:tcPr>
          <w:p w14:paraId="2C9B787D" w14:textId="77777777" w:rsidR="0054529B" w:rsidRPr="0054529B" w:rsidRDefault="0054529B" w:rsidP="00D764F3">
            <w:pPr>
              <w:rPr>
                <w:rFonts w:asciiTheme="minorHAnsi" w:hAnsiTheme="minorHAnsi"/>
                <w:b/>
              </w:rPr>
            </w:pPr>
            <w:r w:rsidRPr="0054529B">
              <w:rPr>
                <w:rFonts w:asciiTheme="minorHAnsi" w:hAnsiTheme="minorHAnsi"/>
                <w:b/>
              </w:rPr>
              <w:lastRenderedPageBreak/>
              <w:t>Description and Diagnostic Criteria</w:t>
            </w:r>
          </w:p>
          <w:p w14:paraId="636A0F0D" w14:textId="77777777" w:rsidR="0054529B" w:rsidRPr="0054529B" w:rsidRDefault="0054529B" w:rsidP="00D764F3">
            <w:pPr>
              <w:rPr>
                <w:rFonts w:asciiTheme="minorHAnsi" w:hAnsiTheme="minorHAnsi"/>
                <w:b/>
              </w:rPr>
            </w:pPr>
          </w:p>
        </w:tc>
        <w:tc>
          <w:tcPr>
            <w:tcW w:w="4690" w:type="dxa"/>
          </w:tcPr>
          <w:p w14:paraId="76370BDE"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NH manifests in the foetus and newborn and is characterised by abnormal accumulation of iron in the liver and extra-hepatic tissues. Affected neonates present with fulminant liver failure, usually in the context of a history of prematurity, intrauterine growth retardation and oligohydramnios. NH differs from most other causes of neonatal liver disease, other than congenital infections, in that the condition begins in utero and fulminant liver disease is manifested in the first few days of life. The aetiology and pathogenesis remains uncertain. The NH phenotype may be the outcome of numerous disease processes. There is also evidence, however, that NH is an alloimmune disorder. First, there is an approximate 80% likelihood of NH once a woman has an affected baby. Second, mothers can have affected babies with different fathers. It has not been described that fathers can have affected half-siblings with different mothers.</w:t>
            </w:r>
          </w:p>
          <w:p w14:paraId="38CF4114"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Symptoms and signs</w:t>
            </w:r>
          </w:p>
          <w:p w14:paraId="020078CE"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Affected neonates present with signs of liver failure, including extreme cholestasis, </w:t>
            </w:r>
            <w:r w:rsidRPr="0054529B">
              <w:rPr>
                <w:rFonts w:asciiTheme="minorHAnsi" w:eastAsia="Times New Roman" w:hAnsiTheme="minorHAnsi" w:cs="Times New Roman"/>
                <w:color w:val="000000"/>
                <w:lang w:eastAsia="en-AU"/>
              </w:rPr>
              <w:lastRenderedPageBreak/>
              <w:t>hypoalbuminaemia, coagulopathy, ascites and hypoglycaemia.</w:t>
            </w:r>
          </w:p>
          <w:p w14:paraId="672736D3"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Diagnosis of neonatal haemochromatosis is made after other causes of neonatal liver failure have been ruled out.</w:t>
            </w:r>
          </w:p>
          <w:p w14:paraId="666F1B23"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In addition to extensive iron deposition (siderosis), liver biopsy would show cirrhosis with diffuse fibrosis, bile duct proliferation, and giant cells. Siderosis is also present in other tissues and viscera (e.g. epithelial tissues and the heart) but not in reticuloendothelial cells.</w:t>
            </w:r>
          </w:p>
          <w:p w14:paraId="4F71006E"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Occurrence</w:t>
            </w:r>
          </w:p>
          <w:p w14:paraId="3D2A5952"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NH is a rare disease but the rate of recurrence after the index case in a sibship is up to 80%.</w:t>
            </w:r>
          </w:p>
          <w:p w14:paraId="1CB18512"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Prognosis</w:t>
            </w:r>
          </w:p>
          <w:p w14:paraId="614AB4B1"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About 20% survival with medical treatment.</w:t>
            </w:r>
          </w:p>
          <w:p w14:paraId="3BCDFF0A" w14:textId="77777777" w:rsidR="0054529B" w:rsidRPr="0054529B" w:rsidRDefault="0054529B" w:rsidP="005874DB">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0A02CA23" w14:textId="364578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lastRenderedPageBreak/>
              <w:t>NH manifests in the foetus and newborn, and is characterised by abnormal accumulation of iron in the liver and extra-hepatic tissues. Affected neonates present with fulminant liver failure, usually in the context of a history of prematurity, intrauterine growth retardation and oligohydramnios. NH differs from most other causes of neonatal liver disease, other than congenital infections, in that the condition begins in utero and fulminant liver disease is manifested in the first few days of life. The aetiology and pathogenesis remains uncertain. The NH phenotype may be the outcome of numerous disease processes. There is also evidence, however, that NH is an alloimmune disorder. First, there is an approximate 80% likelihood of NH once a woman has an affected baby. Second, mothers can have affected babies with different fathers. It has not been described that fathers can have affected half-siblings with different mothers.</w:t>
            </w:r>
          </w:p>
          <w:p w14:paraId="28116068"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Symptoms and signs</w:t>
            </w:r>
          </w:p>
          <w:p w14:paraId="3DAC3865"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Affected neonates present with signs of liver failure, including extreme cholestasis, </w:t>
            </w:r>
            <w:r w:rsidRPr="0054529B">
              <w:rPr>
                <w:rFonts w:asciiTheme="minorHAnsi" w:eastAsia="Times New Roman" w:hAnsiTheme="minorHAnsi" w:cs="Times New Roman"/>
                <w:color w:val="000000"/>
                <w:lang w:eastAsia="en-AU"/>
              </w:rPr>
              <w:lastRenderedPageBreak/>
              <w:t>hypoalbuminaemia, coagulopathy, ascites and hypoglycaemia.</w:t>
            </w:r>
          </w:p>
          <w:p w14:paraId="12FC4087"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Diagnosis of neonatal haemochromatosis is made after other causes of neonatal liver failure have been ruled out.</w:t>
            </w:r>
          </w:p>
          <w:p w14:paraId="7244399B"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In addition to extensive iron deposition (siderosis), liver biopsy would show cirrhosis with diffuse fibrosis, bile duct proliferation, and giant cells. Siderosis is also present in other tissues and viscera (e.g. epithelial tissues and the heart), but not in reticuloendothelial cells.</w:t>
            </w:r>
          </w:p>
          <w:p w14:paraId="3E62E2D9"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Occurrence</w:t>
            </w:r>
          </w:p>
          <w:p w14:paraId="72A57C44"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NH is a rare disease but the rate of recurrence after the index case in a sibship is up to 80%.</w:t>
            </w:r>
          </w:p>
          <w:p w14:paraId="519D29F3"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Prognosis</w:t>
            </w:r>
          </w:p>
          <w:p w14:paraId="155F22D3"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About 20% survival with medical treatment.</w:t>
            </w:r>
          </w:p>
          <w:p w14:paraId="36DE18FC" w14:textId="7DC7C06E" w:rsidR="0054529B" w:rsidRPr="0054529B" w:rsidRDefault="0054529B" w:rsidP="00E83DB7">
            <w:pPr>
              <w:spacing w:line="276" w:lineRule="auto"/>
              <w:rPr>
                <w:rFonts w:asciiTheme="minorHAnsi" w:hAnsiTheme="minorHAnsi"/>
              </w:rPr>
            </w:pPr>
            <w:r w:rsidRPr="0054529B">
              <w:rPr>
                <w:rFonts w:asciiTheme="minorHAnsi" w:hAnsiTheme="minorHAnsi"/>
                <w:b/>
                <w:bCs/>
                <w:color w:val="FFFFFF"/>
              </w:rPr>
              <w:t>haemochromatosis (NH)</w:t>
            </w:r>
          </w:p>
        </w:tc>
        <w:tc>
          <w:tcPr>
            <w:tcW w:w="4678" w:type="dxa"/>
          </w:tcPr>
          <w:p w14:paraId="017154CA" w14:textId="1B695B57" w:rsidR="0054529B" w:rsidRPr="0054529B" w:rsidRDefault="0054529B" w:rsidP="006771CE">
            <w:pPr>
              <w:keepNext/>
              <w:keepLines/>
              <w:spacing w:before="200" w:after="240" w:line="20" w:lineRule="atLeast"/>
              <w:outlineLvl w:val="5"/>
              <w:rPr>
                <w:rFonts w:asciiTheme="minorHAnsi" w:eastAsia="Times New Roman" w:hAnsiTheme="minorHAnsi" w:cs="Times New Roman"/>
                <w:color w:val="000000"/>
                <w:lang w:eastAsia="en-AU"/>
              </w:rPr>
            </w:pPr>
          </w:p>
        </w:tc>
      </w:tr>
      <w:tr w:rsidR="00DA29E8" w:rsidRPr="0054529B" w14:paraId="35CB53CD" w14:textId="77777777" w:rsidTr="000C159B">
        <w:trPr>
          <w:gridAfter w:val="1"/>
          <w:wAfter w:w="44" w:type="dxa"/>
        </w:trPr>
        <w:tc>
          <w:tcPr>
            <w:tcW w:w="1689" w:type="dxa"/>
            <w:shd w:val="clear" w:color="auto" w:fill="D9D9D9" w:themeFill="background1" w:themeFillShade="D9"/>
          </w:tcPr>
          <w:p w14:paraId="55845F7B" w14:textId="77777777" w:rsidR="00DA29E8" w:rsidRPr="0054529B" w:rsidRDefault="00DA29E8" w:rsidP="00D764F3">
            <w:pPr>
              <w:rPr>
                <w:rFonts w:asciiTheme="minorHAnsi" w:hAnsiTheme="minorHAnsi"/>
                <w:b/>
              </w:rPr>
            </w:pPr>
            <w:r w:rsidRPr="0054529B">
              <w:rPr>
                <w:rFonts w:asciiTheme="minorHAnsi" w:hAnsiTheme="minorHAnsi"/>
                <w:b/>
              </w:rPr>
              <w:lastRenderedPageBreak/>
              <w:t>Diagnosis is required</w:t>
            </w:r>
          </w:p>
        </w:tc>
        <w:tc>
          <w:tcPr>
            <w:tcW w:w="4690" w:type="dxa"/>
          </w:tcPr>
          <w:p w14:paraId="524FC886" w14:textId="77777777" w:rsidR="00DA29E8" w:rsidRPr="0054529B" w:rsidRDefault="00DA29E8" w:rsidP="00D764F3">
            <w:pPr>
              <w:rPr>
                <w:rFonts w:asciiTheme="minorHAnsi" w:hAnsiTheme="minorHAnsi"/>
              </w:rPr>
            </w:pPr>
            <w:r w:rsidRPr="0054529B">
              <w:rPr>
                <w:rFonts w:asciiTheme="minorHAnsi" w:hAnsiTheme="minorHAnsi"/>
              </w:rPr>
              <w:t xml:space="preserve"> </w:t>
            </w:r>
          </w:p>
        </w:tc>
        <w:tc>
          <w:tcPr>
            <w:tcW w:w="1535" w:type="dxa"/>
          </w:tcPr>
          <w:p w14:paraId="59CCAA86" w14:textId="328C2724" w:rsidR="00DA29E8" w:rsidRPr="0054529B" w:rsidRDefault="0054529B" w:rsidP="00D764F3">
            <w:pPr>
              <w:rPr>
                <w:rFonts w:asciiTheme="minorHAnsi" w:hAnsiTheme="minorHAnsi"/>
              </w:rPr>
            </w:pPr>
            <w:r w:rsidRPr="0054529B">
              <w:rPr>
                <w:rFonts w:asciiTheme="minorHAnsi" w:hAnsiTheme="minorHAnsi"/>
              </w:rPr>
              <w:t>No</w:t>
            </w:r>
          </w:p>
        </w:tc>
        <w:tc>
          <w:tcPr>
            <w:tcW w:w="1242" w:type="dxa"/>
            <w:shd w:val="clear" w:color="auto" w:fill="BFBFBF" w:themeFill="background1" w:themeFillShade="BF"/>
          </w:tcPr>
          <w:p w14:paraId="1BB6BB76" w14:textId="77777777" w:rsidR="00DA29E8" w:rsidRPr="0054529B" w:rsidRDefault="00DA29E8">
            <w:pPr>
              <w:spacing w:line="276" w:lineRule="auto"/>
              <w:rPr>
                <w:rFonts w:asciiTheme="minorHAnsi" w:hAnsiTheme="minorHAnsi"/>
              </w:rPr>
            </w:pPr>
            <w:r w:rsidRPr="0054529B">
              <w:rPr>
                <w:rFonts w:asciiTheme="minorHAnsi" w:hAnsiTheme="minorHAnsi"/>
              </w:rPr>
              <w:t>Which Speciality</w:t>
            </w:r>
          </w:p>
        </w:tc>
        <w:tc>
          <w:tcPr>
            <w:tcW w:w="1759" w:type="dxa"/>
          </w:tcPr>
          <w:p w14:paraId="4C425D1B" w14:textId="60927915" w:rsidR="00DA29E8" w:rsidRPr="0054529B" w:rsidRDefault="00DA29E8">
            <w:pPr>
              <w:spacing w:line="276" w:lineRule="auto"/>
              <w:rPr>
                <w:rFonts w:asciiTheme="minorHAnsi" w:hAnsiTheme="minorHAnsi"/>
              </w:rPr>
            </w:pPr>
          </w:p>
        </w:tc>
        <w:tc>
          <w:tcPr>
            <w:tcW w:w="4678" w:type="dxa"/>
          </w:tcPr>
          <w:p w14:paraId="28FABA57" w14:textId="77FDD99E" w:rsidR="00DA29E8" w:rsidRPr="0054529B" w:rsidRDefault="00DA29E8" w:rsidP="004F320E">
            <w:pPr>
              <w:spacing w:line="276" w:lineRule="auto"/>
              <w:rPr>
                <w:rFonts w:asciiTheme="minorHAnsi" w:hAnsiTheme="minorHAnsi"/>
              </w:rPr>
            </w:pPr>
          </w:p>
        </w:tc>
      </w:tr>
      <w:tr w:rsidR="00E83DB7" w:rsidRPr="0054529B" w14:paraId="6160B348" w14:textId="77777777" w:rsidTr="000C159B">
        <w:trPr>
          <w:gridAfter w:val="1"/>
          <w:wAfter w:w="44" w:type="dxa"/>
        </w:trPr>
        <w:tc>
          <w:tcPr>
            <w:tcW w:w="1689" w:type="dxa"/>
            <w:shd w:val="clear" w:color="auto" w:fill="D9D9D9" w:themeFill="background1" w:themeFillShade="D9"/>
          </w:tcPr>
          <w:p w14:paraId="545AC227" w14:textId="77777777" w:rsidR="00E83DB7" w:rsidRPr="0054529B" w:rsidRDefault="00E83DB7" w:rsidP="00F873C6">
            <w:pPr>
              <w:rPr>
                <w:rFonts w:asciiTheme="minorHAnsi" w:hAnsiTheme="minorHAnsi"/>
                <w:b/>
              </w:rPr>
            </w:pPr>
            <w:r w:rsidRPr="0054529B">
              <w:rPr>
                <w:rFonts w:asciiTheme="minorHAnsi" w:hAnsiTheme="minorHAnsi"/>
                <w:b/>
              </w:rPr>
              <w:t>Diagnosis must be verified</w:t>
            </w:r>
          </w:p>
        </w:tc>
        <w:tc>
          <w:tcPr>
            <w:tcW w:w="4690" w:type="dxa"/>
          </w:tcPr>
          <w:p w14:paraId="38D7347A" w14:textId="77777777" w:rsidR="00E83DB7" w:rsidRPr="0054529B" w:rsidRDefault="00E83DB7" w:rsidP="00F873C6">
            <w:pPr>
              <w:rPr>
                <w:rFonts w:asciiTheme="minorHAnsi" w:hAnsiTheme="minorHAnsi"/>
              </w:rPr>
            </w:pPr>
            <w:r w:rsidRPr="0054529B">
              <w:rPr>
                <w:rFonts w:asciiTheme="minorHAnsi" w:hAnsiTheme="minorHAnsi"/>
              </w:rPr>
              <w:t xml:space="preserve"> </w:t>
            </w:r>
          </w:p>
        </w:tc>
        <w:tc>
          <w:tcPr>
            <w:tcW w:w="1535" w:type="dxa"/>
          </w:tcPr>
          <w:p w14:paraId="3304EBC9" w14:textId="77777777" w:rsidR="00E83DB7" w:rsidRPr="0054529B" w:rsidRDefault="00E83DB7" w:rsidP="00F873C6">
            <w:pPr>
              <w:rPr>
                <w:rFonts w:asciiTheme="minorHAnsi" w:hAnsiTheme="minorHAnsi"/>
              </w:rPr>
            </w:pPr>
            <w:r w:rsidRPr="0054529B">
              <w:rPr>
                <w:rFonts w:asciiTheme="minorHAnsi" w:hAnsiTheme="minorHAnsi"/>
              </w:rPr>
              <w:t>No</w:t>
            </w:r>
          </w:p>
        </w:tc>
        <w:tc>
          <w:tcPr>
            <w:tcW w:w="1242" w:type="dxa"/>
            <w:shd w:val="clear" w:color="auto" w:fill="BFBFBF" w:themeFill="background1" w:themeFillShade="BF"/>
          </w:tcPr>
          <w:p w14:paraId="5ED65216" w14:textId="77777777" w:rsidR="00E83DB7" w:rsidRPr="0054529B" w:rsidRDefault="00E83DB7" w:rsidP="00F873C6">
            <w:pPr>
              <w:spacing w:line="276" w:lineRule="auto"/>
              <w:rPr>
                <w:rFonts w:asciiTheme="minorHAnsi" w:hAnsiTheme="minorHAnsi"/>
                <w:b/>
              </w:rPr>
            </w:pPr>
            <w:r w:rsidRPr="0054529B">
              <w:rPr>
                <w:rFonts w:asciiTheme="minorHAnsi" w:hAnsiTheme="minorHAnsi"/>
              </w:rPr>
              <w:t>Which Specialty</w:t>
            </w:r>
          </w:p>
        </w:tc>
        <w:tc>
          <w:tcPr>
            <w:tcW w:w="1759" w:type="dxa"/>
          </w:tcPr>
          <w:p w14:paraId="5F180E8D" w14:textId="77777777" w:rsidR="00E83DB7" w:rsidRPr="0054529B" w:rsidRDefault="00E83DB7" w:rsidP="00F873C6">
            <w:pPr>
              <w:spacing w:line="276" w:lineRule="auto"/>
              <w:rPr>
                <w:rFonts w:asciiTheme="minorHAnsi" w:hAnsiTheme="minorHAnsi"/>
              </w:rPr>
            </w:pPr>
          </w:p>
        </w:tc>
        <w:tc>
          <w:tcPr>
            <w:tcW w:w="4678" w:type="dxa"/>
          </w:tcPr>
          <w:p w14:paraId="38F31B07" w14:textId="77777777" w:rsidR="00E83DB7" w:rsidRPr="0054529B" w:rsidRDefault="00E83DB7" w:rsidP="006562E8">
            <w:pPr>
              <w:spacing w:line="276" w:lineRule="auto"/>
              <w:ind w:left="175"/>
              <w:rPr>
                <w:rFonts w:asciiTheme="minorHAnsi" w:hAnsiTheme="minorHAnsi"/>
              </w:rPr>
            </w:pPr>
          </w:p>
        </w:tc>
      </w:tr>
      <w:tr w:rsidR="0054529B" w:rsidRPr="0054529B" w14:paraId="5C216299" w14:textId="77777777" w:rsidTr="000C159B">
        <w:trPr>
          <w:gridAfter w:val="1"/>
          <w:wAfter w:w="44" w:type="dxa"/>
        </w:trPr>
        <w:tc>
          <w:tcPr>
            <w:tcW w:w="1689" w:type="dxa"/>
            <w:shd w:val="clear" w:color="auto" w:fill="D9D9D9" w:themeFill="background1" w:themeFillShade="D9"/>
          </w:tcPr>
          <w:p w14:paraId="55CAC5E5" w14:textId="77777777" w:rsidR="0054529B" w:rsidRPr="0054529B" w:rsidRDefault="0054529B" w:rsidP="00D764F3">
            <w:pPr>
              <w:rPr>
                <w:rFonts w:asciiTheme="minorHAnsi" w:hAnsiTheme="minorHAnsi"/>
                <w:b/>
              </w:rPr>
            </w:pPr>
            <w:r w:rsidRPr="0054529B">
              <w:rPr>
                <w:rFonts w:asciiTheme="minorHAnsi" w:hAnsiTheme="minorHAnsi"/>
                <w:b/>
              </w:rPr>
              <w:lastRenderedPageBreak/>
              <w:t>Exclusion Criteria</w:t>
            </w:r>
          </w:p>
          <w:p w14:paraId="5F16BBE1" w14:textId="77777777" w:rsidR="0054529B" w:rsidRPr="0054529B" w:rsidRDefault="0054529B" w:rsidP="00D764F3">
            <w:pPr>
              <w:rPr>
                <w:rFonts w:asciiTheme="minorHAnsi" w:hAnsiTheme="minorHAnsi"/>
              </w:rPr>
            </w:pPr>
          </w:p>
        </w:tc>
        <w:tc>
          <w:tcPr>
            <w:tcW w:w="4690" w:type="dxa"/>
          </w:tcPr>
          <w:p w14:paraId="063290D7" w14:textId="7CDB7B07" w:rsidR="0054529B" w:rsidRPr="0054529B" w:rsidRDefault="0054529B" w:rsidP="00D764F3">
            <w:pPr>
              <w:rPr>
                <w:rFonts w:asciiTheme="minorHAnsi" w:hAnsiTheme="minorHAnsi"/>
              </w:rPr>
            </w:pPr>
          </w:p>
        </w:tc>
        <w:tc>
          <w:tcPr>
            <w:tcW w:w="4536" w:type="dxa"/>
            <w:gridSpan w:val="3"/>
          </w:tcPr>
          <w:p w14:paraId="4884875A" w14:textId="77777777" w:rsidR="0054529B" w:rsidRPr="0054529B" w:rsidRDefault="0054529B" w:rsidP="00D764F3">
            <w:pPr>
              <w:rPr>
                <w:rFonts w:asciiTheme="minorHAnsi" w:hAnsiTheme="minorHAnsi"/>
              </w:rPr>
            </w:pPr>
          </w:p>
        </w:tc>
        <w:tc>
          <w:tcPr>
            <w:tcW w:w="4678" w:type="dxa"/>
          </w:tcPr>
          <w:p w14:paraId="1F495A7E" w14:textId="68FAE977" w:rsidR="0054529B" w:rsidRPr="0054529B" w:rsidRDefault="0054529B" w:rsidP="001E6F4E">
            <w:pPr>
              <w:ind w:right="-1100"/>
              <w:rPr>
                <w:rFonts w:asciiTheme="minorHAnsi" w:hAnsiTheme="minorHAnsi"/>
              </w:rPr>
            </w:pPr>
          </w:p>
        </w:tc>
      </w:tr>
      <w:tr w:rsidR="0054529B" w:rsidRPr="0054529B" w14:paraId="35B9CBBC" w14:textId="77777777" w:rsidTr="000C159B">
        <w:trPr>
          <w:gridAfter w:val="1"/>
          <w:wAfter w:w="44" w:type="dxa"/>
        </w:trPr>
        <w:tc>
          <w:tcPr>
            <w:tcW w:w="1689" w:type="dxa"/>
            <w:shd w:val="clear" w:color="auto" w:fill="D9D9D9" w:themeFill="background1" w:themeFillShade="D9"/>
          </w:tcPr>
          <w:p w14:paraId="07D064B9" w14:textId="77777777" w:rsidR="0054529B" w:rsidRPr="0054529B" w:rsidRDefault="0054529B" w:rsidP="00D764F3">
            <w:pPr>
              <w:rPr>
                <w:rFonts w:asciiTheme="minorHAnsi" w:hAnsiTheme="minorHAnsi"/>
                <w:b/>
              </w:rPr>
            </w:pPr>
            <w:r w:rsidRPr="0054529B">
              <w:rPr>
                <w:rFonts w:asciiTheme="minorHAnsi" w:hAnsiTheme="minorHAnsi"/>
                <w:b/>
              </w:rPr>
              <w:t>Indication for use</w:t>
            </w:r>
          </w:p>
        </w:tc>
        <w:tc>
          <w:tcPr>
            <w:tcW w:w="4690" w:type="dxa"/>
          </w:tcPr>
          <w:p w14:paraId="60B4B837" w14:textId="52B2897F" w:rsidR="0054529B" w:rsidRPr="0054529B" w:rsidRDefault="0054529B" w:rsidP="000D2614">
            <w:pPr>
              <w:rPr>
                <w:rFonts w:asciiTheme="minorHAnsi" w:hAnsiTheme="minorHAnsi"/>
                <w:b/>
              </w:rPr>
            </w:pPr>
            <w:r w:rsidRPr="0054529B">
              <w:rPr>
                <w:rFonts w:asciiTheme="minorHAnsi" w:hAnsiTheme="minorHAnsi"/>
                <w:color w:val="000000"/>
              </w:rPr>
              <w:t>Pregnant women who have had a previous pregnancy affected by neonatal haemochromatosis.</w:t>
            </w:r>
          </w:p>
        </w:tc>
        <w:tc>
          <w:tcPr>
            <w:tcW w:w="4536" w:type="dxa"/>
            <w:gridSpan w:val="3"/>
          </w:tcPr>
          <w:p w14:paraId="2651BCEE" w14:textId="77777777" w:rsidR="0054529B" w:rsidRPr="0054529B" w:rsidRDefault="0054529B" w:rsidP="001E3138">
            <w:pPr>
              <w:ind w:left="45"/>
              <w:rPr>
                <w:rFonts w:asciiTheme="minorHAnsi" w:hAnsiTheme="minorHAnsi"/>
                <w:b/>
              </w:rPr>
            </w:pPr>
            <w:r w:rsidRPr="0054529B">
              <w:rPr>
                <w:rFonts w:asciiTheme="minorHAnsi" w:hAnsiTheme="minorHAnsi"/>
                <w:b/>
              </w:rPr>
              <w:t>Pregnant women who have had a previous pregnancy affected by neonatal haemochromatosis.</w:t>
            </w:r>
          </w:p>
          <w:p w14:paraId="28C9D09A" w14:textId="77777777" w:rsidR="0054529B" w:rsidRPr="0054529B" w:rsidRDefault="0054529B" w:rsidP="001E3138">
            <w:pPr>
              <w:ind w:left="45"/>
              <w:rPr>
                <w:rFonts w:asciiTheme="minorHAnsi" w:hAnsiTheme="minorHAnsi"/>
                <w:b/>
              </w:rPr>
            </w:pPr>
          </w:p>
          <w:p w14:paraId="61546B20" w14:textId="77777777" w:rsidR="0054529B" w:rsidRPr="0054529B" w:rsidRDefault="0054529B" w:rsidP="001E3138">
            <w:pPr>
              <w:ind w:left="45"/>
              <w:rPr>
                <w:rFonts w:asciiTheme="minorHAnsi" w:hAnsiTheme="minorHAnsi"/>
                <w:b/>
              </w:rPr>
            </w:pPr>
            <w:r w:rsidRPr="0054529B">
              <w:rPr>
                <w:rFonts w:asciiTheme="minorHAnsi" w:hAnsiTheme="minorHAnsi"/>
                <w:b/>
              </w:rPr>
              <w:t>Neonate with neonatal haemochromatosis.</w:t>
            </w:r>
          </w:p>
          <w:p w14:paraId="35CCF5E0" w14:textId="77777777" w:rsidR="0054529B" w:rsidRPr="0054529B" w:rsidRDefault="0054529B" w:rsidP="00D62F40">
            <w:pPr>
              <w:rPr>
                <w:rFonts w:asciiTheme="minorHAnsi" w:hAnsiTheme="minorHAnsi"/>
                <w:b/>
              </w:rPr>
            </w:pPr>
          </w:p>
        </w:tc>
        <w:tc>
          <w:tcPr>
            <w:tcW w:w="4678" w:type="dxa"/>
          </w:tcPr>
          <w:p w14:paraId="295B7C3C" w14:textId="4ADF12B8" w:rsidR="0054529B" w:rsidRPr="0054529B" w:rsidRDefault="002531E7" w:rsidP="000C159B">
            <w:pPr>
              <w:rPr>
                <w:rFonts w:asciiTheme="minorHAnsi" w:hAnsiTheme="minorHAnsi"/>
              </w:rPr>
            </w:pPr>
            <w:r>
              <w:rPr>
                <w:rFonts w:asciiTheme="minorHAnsi" w:hAnsiTheme="minorHAnsi"/>
              </w:rPr>
              <w:t>SWG recommend the</w:t>
            </w:r>
            <w:r w:rsidR="000C159B" w:rsidRPr="002531E7">
              <w:rPr>
                <w:rFonts w:asciiTheme="minorHAnsi" w:hAnsiTheme="minorHAnsi"/>
              </w:rPr>
              <w:t xml:space="preserve"> a</w:t>
            </w:r>
            <w:r w:rsidR="00183BAB" w:rsidRPr="002531E7">
              <w:rPr>
                <w:rFonts w:asciiTheme="minorHAnsi" w:hAnsiTheme="minorHAnsi"/>
              </w:rPr>
              <w:t>ddition</w:t>
            </w:r>
            <w:r w:rsidR="000C159B" w:rsidRPr="002531E7">
              <w:rPr>
                <w:rFonts w:asciiTheme="minorHAnsi" w:hAnsiTheme="minorHAnsi"/>
              </w:rPr>
              <w:t xml:space="preserve"> of </w:t>
            </w:r>
            <w:r>
              <w:rPr>
                <w:rFonts w:asciiTheme="minorHAnsi" w:hAnsiTheme="minorHAnsi"/>
              </w:rPr>
              <w:t xml:space="preserve">an </w:t>
            </w:r>
            <w:r w:rsidR="000C159B" w:rsidRPr="002531E7">
              <w:rPr>
                <w:rFonts w:asciiTheme="minorHAnsi" w:hAnsiTheme="minorHAnsi"/>
              </w:rPr>
              <w:t xml:space="preserve">indication for </w:t>
            </w:r>
            <w:proofErr w:type="gramStart"/>
            <w:r w:rsidR="000C159B" w:rsidRPr="002531E7">
              <w:rPr>
                <w:rFonts w:asciiTheme="minorHAnsi" w:hAnsiTheme="minorHAnsi"/>
              </w:rPr>
              <w:t>the  treatment</w:t>
            </w:r>
            <w:proofErr w:type="gramEnd"/>
            <w:r w:rsidR="000C159B" w:rsidRPr="002531E7">
              <w:rPr>
                <w:rFonts w:asciiTheme="minorHAnsi" w:hAnsiTheme="minorHAnsi"/>
              </w:rPr>
              <w:t xml:space="preserve"> of</w:t>
            </w:r>
            <w:r w:rsidR="0054529B" w:rsidRPr="002531E7">
              <w:rPr>
                <w:rFonts w:asciiTheme="minorHAnsi" w:hAnsiTheme="minorHAnsi"/>
              </w:rPr>
              <w:t xml:space="preserve"> neonate</w:t>
            </w:r>
            <w:r w:rsidR="000C159B" w:rsidRPr="002531E7">
              <w:rPr>
                <w:rFonts w:asciiTheme="minorHAnsi" w:hAnsiTheme="minorHAnsi"/>
              </w:rPr>
              <w:t>s</w:t>
            </w:r>
            <w:r w:rsidR="0054529B" w:rsidRPr="002531E7">
              <w:rPr>
                <w:rFonts w:asciiTheme="minorHAnsi" w:hAnsiTheme="minorHAnsi"/>
              </w:rPr>
              <w:t xml:space="preserve"> with </w:t>
            </w:r>
            <w:r w:rsidR="00183BAB" w:rsidRPr="002531E7">
              <w:rPr>
                <w:rFonts w:asciiTheme="minorHAnsi" w:hAnsiTheme="minorHAnsi"/>
              </w:rPr>
              <w:t>IVIg</w:t>
            </w:r>
            <w:r w:rsidR="000C159B" w:rsidRPr="002531E7">
              <w:rPr>
                <w:rFonts w:asciiTheme="minorHAnsi" w:hAnsiTheme="minorHAnsi"/>
              </w:rPr>
              <w:t xml:space="preserve"> and exchange transfusion. </w:t>
            </w:r>
            <w:r w:rsidR="000C159B" w:rsidRPr="002531E7">
              <w:rPr>
                <w:rFonts w:asciiTheme="minorHAnsi" w:hAnsiTheme="minorHAnsi"/>
                <w:b/>
              </w:rPr>
              <w:t xml:space="preserve">Please note </w:t>
            </w:r>
            <w:proofErr w:type="gramStart"/>
            <w:r w:rsidR="000C159B" w:rsidRPr="002531E7">
              <w:rPr>
                <w:rFonts w:asciiTheme="minorHAnsi" w:hAnsiTheme="minorHAnsi"/>
                <w:b/>
              </w:rPr>
              <w:t>-  the</w:t>
            </w:r>
            <w:proofErr w:type="gramEnd"/>
            <w:r w:rsidR="000C159B" w:rsidRPr="002531E7">
              <w:rPr>
                <w:rFonts w:asciiTheme="minorHAnsi" w:hAnsiTheme="minorHAnsi"/>
                <w:b/>
              </w:rPr>
              <w:t xml:space="preserve"> </w:t>
            </w:r>
            <w:r w:rsidRPr="002531E7">
              <w:rPr>
                <w:rFonts w:asciiTheme="minorHAnsi" w:hAnsiTheme="minorHAnsi"/>
                <w:b/>
              </w:rPr>
              <w:t xml:space="preserve">formal </w:t>
            </w:r>
            <w:r w:rsidR="000C159B" w:rsidRPr="002531E7">
              <w:rPr>
                <w:rFonts w:asciiTheme="minorHAnsi" w:hAnsiTheme="minorHAnsi"/>
                <w:b/>
              </w:rPr>
              <w:t xml:space="preserve">addition of this group of patients will require </w:t>
            </w:r>
            <w:r>
              <w:rPr>
                <w:rFonts w:asciiTheme="minorHAnsi" w:hAnsiTheme="minorHAnsi"/>
                <w:b/>
              </w:rPr>
              <w:t xml:space="preserve">specific </w:t>
            </w:r>
            <w:r w:rsidR="000C159B" w:rsidRPr="002531E7">
              <w:rPr>
                <w:rFonts w:asciiTheme="minorHAnsi" w:hAnsiTheme="minorHAnsi"/>
                <w:b/>
              </w:rPr>
              <w:t>approval by governments.</w:t>
            </w:r>
            <w:r w:rsidR="000C159B" w:rsidRPr="002531E7">
              <w:rPr>
                <w:rFonts w:asciiTheme="minorHAnsi" w:hAnsiTheme="minorHAnsi"/>
              </w:rPr>
              <w:t xml:space="preserve"> (B</w:t>
            </w:r>
            <w:r w:rsidR="0054529B" w:rsidRPr="002531E7">
              <w:rPr>
                <w:rFonts w:asciiTheme="minorHAnsi" w:hAnsiTheme="minorHAnsi"/>
              </w:rPr>
              <w:t>)</w:t>
            </w:r>
          </w:p>
        </w:tc>
      </w:tr>
      <w:tr w:rsidR="0054529B" w:rsidRPr="0054529B" w14:paraId="43389D7A" w14:textId="77777777" w:rsidTr="000C159B">
        <w:trPr>
          <w:gridAfter w:val="1"/>
          <w:wAfter w:w="44" w:type="dxa"/>
        </w:trPr>
        <w:tc>
          <w:tcPr>
            <w:tcW w:w="1689" w:type="dxa"/>
            <w:shd w:val="clear" w:color="auto" w:fill="D9D9D9" w:themeFill="background1" w:themeFillShade="D9"/>
          </w:tcPr>
          <w:p w14:paraId="33C9BF25" w14:textId="77777777" w:rsidR="0054529B" w:rsidRPr="0054529B" w:rsidRDefault="0054529B" w:rsidP="00D764F3">
            <w:pPr>
              <w:rPr>
                <w:rFonts w:asciiTheme="minorHAnsi" w:hAnsiTheme="minorHAnsi"/>
                <w:b/>
              </w:rPr>
            </w:pPr>
            <w:r w:rsidRPr="0054529B">
              <w:rPr>
                <w:rFonts w:asciiTheme="minorHAnsi" w:hAnsiTheme="minorHAnsi"/>
              </w:rPr>
              <w:br w:type="page"/>
            </w:r>
            <w:r w:rsidRPr="0054529B">
              <w:rPr>
                <w:rFonts w:asciiTheme="minorHAnsi" w:hAnsiTheme="minorHAnsi"/>
                <w:b/>
              </w:rPr>
              <w:t>Qualifying Criteria</w:t>
            </w:r>
          </w:p>
        </w:tc>
        <w:tc>
          <w:tcPr>
            <w:tcW w:w="4690" w:type="dxa"/>
          </w:tcPr>
          <w:p w14:paraId="3CC241E4" w14:textId="21D8843D" w:rsidR="0054529B" w:rsidRPr="0054529B" w:rsidRDefault="0054529B" w:rsidP="00CA345D">
            <w:pPr>
              <w:rPr>
                <w:rFonts w:asciiTheme="minorHAnsi" w:hAnsiTheme="minorHAnsi"/>
                <w:b/>
              </w:rPr>
            </w:pPr>
            <w:r w:rsidRPr="0054529B">
              <w:rPr>
                <w:rFonts w:asciiTheme="minorHAnsi" w:hAnsiTheme="minorHAnsi"/>
                <w:color w:val="000000"/>
              </w:rPr>
              <w:t>Women who are pregnant or attempting to conceive and their most recent pregnancy ended in delivery of a foetus shown to have had NH.</w:t>
            </w:r>
          </w:p>
        </w:tc>
        <w:tc>
          <w:tcPr>
            <w:tcW w:w="4536" w:type="dxa"/>
            <w:gridSpan w:val="3"/>
          </w:tcPr>
          <w:p w14:paraId="0A55D66E" w14:textId="77777777" w:rsidR="0054529B" w:rsidRPr="0054529B" w:rsidRDefault="0054529B" w:rsidP="001E3138">
            <w:pPr>
              <w:rPr>
                <w:rFonts w:asciiTheme="minorHAnsi" w:hAnsiTheme="minorHAnsi"/>
                <w:b/>
              </w:rPr>
            </w:pPr>
            <w:r w:rsidRPr="0054529B">
              <w:rPr>
                <w:rFonts w:asciiTheme="minorHAnsi" w:hAnsiTheme="minorHAnsi"/>
                <w:b/>
              </w:rPr>
              <w:t>Pregnant women who have had a previous pregnancy affected by NH.</w:t>
            </w:r>
          </w:p>
          <w:p w14:paraId="1A0FEB44" w14:textId="77777777" w:rsidR="0054529B" w:rsidRPr="0054529B" w:rsidRDefault="0054529B" w:rsidP="001E3138">
            <w:pPr>
              <w:rPr>
                <w:rStyle w:val="CommentReference"/>
                <w:rFonts w:asciiTheme="minorHAnsi" w:hAnsiTheme="minorHAnsi"/>
                <w:sz w:val="22"/>
                <w:szCs w:val="22"/>
              </w:rPr>
            </w:pPr>
          </w:p>
          <w:p w14:paraId="6FC1571B" w14:textId="77777777" w:rsidR="0054529B" w:rsidRPr="002531E7" w:rsidRDefault="0054529B" w:rsidP="002531E7">
            <w:pPr>
              <w:pStyle w:val="ListParagraph"/>
              <w:numPr>
                <w:ilvl w:val="0"/>
                <w:numId w:val="23"/>
              </w:numPr>
              <w:jc w:val="center"/>
              <w:rPr>
                <w:rFonts w:asciiTheme="minorHAnsi" w:hAnsiTheme="minorHAnsi"/>
              </w:rPr>
            </w:pPr>
            <w:r w:rsidRPr="002531E7">
              <w:rPr>
                <w:rFonts w:asciiTheme="minorHAnsi" w:hAnsiTheme="minorHAnsi"/>
              </w:rPr>
              <w:t>Pregnant woman or woman attempting to conceive with a previous pregnancy ending in delivery of a fetus shown to have had NH.</w:t>
            </w:r>
          </w:p>
          <w:p w14:paraId="6737AAFB" w14:textId="77777777" w:rsidR="0054529B" w:rsidRPr="0054529B" w:rsidRDefault="0054529B" w:rsidP="001E3138">
            <w:pPr>
              <w:rPr>
                <w:rStyle w:val="CommentReference"/>
                <w:rFonts w:asciiTheme="minorHAnsi" w:hAnsiTheme="minorHAnsi"/>
                <w:sz w:val="22"/>
                <w:szCs w:val="22"/>
              </w:rPr>
            </w:pPr>
          </w:p>
          <w:p w14:paraId="5DA748E8" w14:textId="77777777" w:rsidR="0054529B" w:rsidRPr="0054529B" w:rsidRDefault="0054529B" w:rsidP="001E3138">
            <w:pPr>
              <w:rPr>
                <w:rStyle w:val="CommentReference"/>
                <w:rFonts w:asciiTheme="minorHAnsi" w:hAnsiTheme="minorHAnsi"/>
                <w:sz w:val="22"/>
                <w:szCs w:val="22"/>
              </w:rPr>
            </w:pPr>
          </w:p>
          <w:p w14:paraId="75A4D16E" w14:textId="77777777" w:rsidR="0054529B" w:rsidRPr="0054529B" w:rsidRDefault="0054529B" w:rsidP="001E3138">
            <w:pPr>
              <w:rPr>
                <w:rStyle w:val="CommentReference"/>
                <w:rFonts w:asciiTheme="minorHAnsi" w:hAnsiTheme="minorHAnsi"/>
                <w:b/>
                <w:sz w:val="22"/>
                <w:szCs w:val="22"/>
              </w:rPr>
            </w:pPr>
            <w:r w:rsidRPr="0054529B">
              <w:rPr>
                <w:rStyle w:val="CommentReference"/>
                <w:rFonts w:asciiTheme="minorHAnsi" w:hAnsiTheme="minorHAnsi"/>
                <w:b/>
                <w:sz w:val="22"/>
                <w:szCs w:val="22"/>
              </w:rPr>
              <w:t>Neonate with NH.</w:t>
            </w:r>
          </w:p>
          <w:p w14:paraId="4F037168" w14:textId="77777777" w:rsidR="0054529B" w:rsidRPr="0054529B" w:rsidRDefault="0054529B" w:rsidP="001E3138">
            <w:pPr>
              <w:rPr>
                <w:rStyle w:val="CommentReference"/>
                <w:rFonts w:asciiTheme="minorHAnsi" w:hAnsiTheme="minorHAnsi"/>
                <w:sz w:val="22"/>
                <w:szCs w:val="22"/>
              </w:rPr>
            </w:pPr>
          </w:p>
          <w:p w14:paraId="7A82D96B" w14:textId="77777777" w:rsidR="0054529B" w:rsidRDefault="0054529B" w:rsidP="005D4EEE">
            <w:pPr>
              <w:pStyle w:val="ListParagraph"/>
              <w:numPr>
                <w:ilvl w:val="0"/>
                <w:numId w:val="23"/>
              </w:numPr>
              <w:rPr>
                <w:rStyle w:val="CommentReference"/>
                <w:rFonts w:asciiTheme="minorHAnsi" w:hAnsiTheme="minorHAnsi"/>
                <w:sz w:val="22"/>
                <w:szCs w:val="22"/>
              </w:rPr>
            </w:pPr>
            <w:r w:rsidRPr="002531E7">
              <w:rPr>
                <w:rStyle w:val="CommentReference"/>
                <w:rFonts w:asciiTheme="minorHAnsi" w:hAnsiTheme="minorHAnsi"/>
                <w:sz w:val="22"/>
                <w:szCs w:val="22"/>
              </w:rPr>
              <w:t>A diagnosis of NH confirmed in a neonate by exclusion of other causes of neonatal liver failure and findings of high ferritin in liver biopsy, and MRI demonstration of iron overload.</w:t>
            </w:r>
          </w:p>
          <w:p w14:paraId="5AA2DC5B" w14:textId="2BE13A35" w:rsidR="005D4EEE" w:rsidRPr="0054529B" w:rsidRDefault="005D4EEE" w:rsidP="005D4EEE">
            <w:pPr>
              <w:pStyle w:val="ListParagraph"/>
              <w:ind w:left="360"/>
              <w:rPr>
                <w:rFonts w:asciiTheme="minorHAnsi" w:hAnsiTheme="minorHAnsi"/>
              </w:rPr>
            </w:pPr>
          </w:p>
        </w:tc>
        <w:tc>
          <w:tcPr>
            <w:tcW w:w="4678" w:type="dxa"/>
          </w:tcPr>
          <w:p w14:paraId="0A15F99E" w14:textId="77777777" w:rsidR="0054529B" w:rsidRPr="0054529B" w:rsidRDefault="0054529B" w:rsidP="001E3138">
            <w:pPr>
              <w:keepNext/>
              <w:keepLines/>
              <w:outlineLvl w:val="5"/>
              <w:rPr>
                <w:rFonts w:asciiTheme="minorHAnsi" w:hAnsiTheme="minorHAnsi"/>
              </w:rPr>
            </w:pPr>
          </w:p>
          <w:p w14:paraId="4BDCBFF7" w14:textId="77777777" w:rsidR="0054529B" w:rsidRPr="0054529B" w:rsidRDefault="0054529B" w:rsidP="001E3138">
            <w:pPr>
              <w:keepNext/>
              <w:keepLines/>
              <w:outlineLvl w:val="5"/>
              <w:rPr>
                <w:rFonts w:asciiTheme="minorHAnsi" w:hAnsiTheme="minorHAnsi"/>
              </w:rPr>
            </w:pPr>
          </w:p>
          <w:p w14:paraId="6EBD413E" w14:textId="77777777" w:rsidR="0054529B" w:rsidRPr="0054529B" w:rsidRDefault="0054529B" w:rsidP="001E3138">
            <w:pPr>
              <w:keepNext/>
              <w:keepLines/>
              <w:outlineLvl w:val="5"/>
              <w:rPr>
                <w:rFonts w:asciiTheme="minorHAnsi" w:hAnsiTheme="minorHAnsi"/>
              </w:rPr>
            </w:pPr>
          </w:p>
          <w:p w14:paraId="6D7CD18B" w14:textId="08C47A27" w:rsidR="0054529B" w:rsidRPr="0054529B" w:rsidRDefault="0054529B" w:rsidP="001E3138">
            <w:pPr>
              <w:keepNext/>
              <w:keepLines/>
              <w:outlineLvl w:val="5"/>
              <w:rPr>
                <w:rFonts w:asciiTheme="minorHAnsi" w:hAnsiTheme="minorHAnsi"/>
              </w:rPr>
            </w:pPr>
            <w:r w:rsidRPr="0054529B">
              <w:rPr>
                <w:rFonts w:asciiTheme="minorHAnsi" w:hAnsiTheme="minorHAnsi"/>
              </w:rPr>
              <w:t xml:space="preserve">Qualifying Criteria aligned with </w:t>
            </w:r>
            <w:r w:rsidR="00183BAB" w:rsidRPr="0054529B">
              <w:rPr>
                <w:rFonts w:asciiTheme="minorHAnsi" w:hAnsiTheme="minorHAnsi"/>
              </w:rPr>
              <w:t>current criteria</w:t>
            </w:r>
            <w:r w:rsidRPr="0054529B">
              <w:rPr>
                <w:rFonts w:asciiTheme="minorHAnsi" w:hAnsiTheme="minorHAnsi"/>
              </w:rPr>
              <w:t xml:space="preserve"> however, SWG recommends wording in the current version is too restrictive to limit to the ‘most recent’ pregnancy (Qualifying criteria) and the wording of the original indication should be used (previous </w:t>
            </w:r>
            <w:r w:rsidR="00183BAB" w:rsidRPr="0054529B">
              <w:rPr>
                <w:rFonts w:asciiTheme="minorHAnsi" w:hAnsiTheme="minorHAnsi"/>
              </w:rPr>
              <w:t>pregnancy</w:t>
            </w:r>
            <w:r w:rsidRPr="0054529B">
              <w:rPr>
                <w:rFonts w:asciiTheme="minorHAnsi" w:hAnsiTheme="minorHAnsi"/>
              </w:rPr>
              <w:t>).  (A)</w:t>
            </w:r>
          </w:p>
          <w:p w14:paraId="687FC298" w14:textId="77777777" w:rsidR="0054529B" w:rsidRPr="0054529B" w:rsidRDefault="0054529B" w:rsidP="001E3138">
            <w:pPr>
              <w:keepNext/>
              <w:keepLines/>
              <w:outlineLvl w:val="5"/>
              <w:rPr>
                <w:rFonts w:asciiTheme="minorHAnsi" w:hAnsiTheme="minorHAnsi"/>
              </w:rPr>
            </w:pPr>
          </w:p>
          <w:p w14:paraId="4B2E1DC3" w14:textId="15060F40" w:rsidR="0054529B" w:rsidRPr="0054529B" w:rsidRDefault="0054529B" w:rsidP="00D62F40">
            <w:pPr>
              <w:keepNext/>
              <w:keepLines/>
              <w:outlineLvl w:val="5"/>
              <w:rPr>
                <w:rFonts w:asciiTheme="minorHAnsi" w:hAnsiTheme="minorHAnsi"/>
              </w:rPr>
            </w:pPr>
            <w:r w:rsidRPr="0054529B">
              <w:rPr>
                <w:rFonts w:asciiTheme="minorHAnsi" w:hAnsiTheme="minorHAnsi"/>
              </w:rPr>
              <w:t>Qualifying criteria and evidence items defined to c</w:t>
            </w:r>
            <w:r w:rsidR="000C159B">
              <w:rPr>
                <w:rFonts w:asciiTheme="minorHAnsi" w:hAnsiTheme="minorHAnsi"/>
              </w:rPr>
              <w:t>onfirm Neonatal NH diagnosis. (B</w:t>
            </w:r>
            <w:r w:rsidRPr="0054529B">
              <w:rPr>
                <w:rFonts w:asciiTheme="minorHAnsi" w:hAnsiTheme="minorHAnsi"/>
              </w:rPr>
              <w:t>)</w:t>
            </w:r>
          </w:p>
        </w:tc>
      </w:tr>
      <w:tr w:rsidR="0054529B" w:rsidRPr="0054529B" w14:paraId="1C202E5B" w14:textId="77777777" w:rsidTr="000C159B">
        <w:trPr>
          <w:gridAfter w:val="1"/>
          <w:wAfter w:w="44" w:type="dxa"/>
        </w:trPr>
        <w:tc>
          <w:tcPr>
            <w:tcW w:w="1689" w:type="dxa"/>
            <w:shd w:val="clear" w:color="auto" w:fill="D9D9D9" w:themeFill="background1" w:themeFillShade="D9"/>
          </w:tcPr>
          <w:p w14:paraId="6DFE30C7" w14:textId="77777777" w:rsidR="0054529B" w:rsidRPr="0054529B" w:rsidRDefault="0054529B" w:rsidP="00D764F3">
            <w:pPr>
              <w:rPr>
                <w:rFonts w:asciiTheme="minorHAnsi" w:hAnsiTheme="minorHAnsi"/>
                <w:b/>
              </w:rPr>
            </w:pPr>
            <w:r w:rsidRPr="0054529B">
              <w:rPr>
                <w:rFonts w:asciiTheme="minorHAnsi" w:hAnsiTheme="minorHAnsi"/>
              </w:rPr>
              <w:br w:type="page"/>
            </w:r>
            <w:r w:rsidRPr="0054529B">
              <w:rPr>
                <w:rFonts w:asciiTheme="minorHAnsi" w:hAnsiTheme="minorHAnsi"/>
                <w:b/>
              </w:rPr>
              <w:t>Review Criteria</w:t>
            </w:r>
          </w:p>
        </w:tc>
        <w:tc>
          <w:tcPr>
            <w:tcW w:w="4690" w:type="dxa"/>
          </w:tcPr>
          <w:p w14:paraId="6F8F973C" w14:textId="77777777" w:rsidR="0054529B" w:rsidRPr="0054529B" w:rsidRDefault="0054529B" w:rsidP="0054529B">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Occurrence of NH, or evidence of liver disease (serum ferritin and a-fetoprotein levels, coagulopathy) in the offspring of women who have previously given birth to an NH-affected neonate. </w:t>
            </w:r>
          </w:p>
          <w:p w14:paraId="72A9CE48" w14:textId="77777777" w:rsidR="0054529B" w:rsidRPr="0054529B" w:rsidRDefault="0054529B" w:rsidP="0054529B">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Requirement for liver transplantation in </w:t>
            </w:r>
            <w:r w:rsidRPr="0054529B">
              <w:rPr>
                <w:rFonts w:asciiTheme="minorHAnsi" w:eastAsia="Times New Roman" w:hAnsiTheme="minorHAnsi" w:cs="Times New Roman"/>
                <w:color w:val="000000"/>
                <w:lang w:eastAsia="en-AU"/>
              </w:rPr>
              <w:lastRenderedPageBreak/>
              <w:t xml:space="preserve">these neonates. </w:t>
            </w:r>
          </w:p>
          <w:p w14:paraId="775B992A" w14:textId="77777777" w:rsidR="0054529B" w:rsidRPr="0054529B" w:rsidRDefault="0054529B" w:rsidP="0054529B">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Survival and development of infants following maternal IVIg therapy during pregnancy.</w:t>
            </w:r>
          </w:p>
          <w:p w14:paraId="517BF026" w14:textId="77777777" w:rsidR="0054529B" w:rsidRPr="0054529B" w:rsidRDefault="0054529B"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100FC796" w14:textId="77777777" w:rsidR="0054529B" w:rsidRPr="0054529B" w:rsidRDefault="0054529B" w:rsidP="001E3138">
            <w:pPr>
              <w:rPr>
                <w:rFonts w:asciiTheme="minorHAnsi" w:hAnsiTheme="minorHAnsi"/>
                <w:b/>
              </w:rPr>
            </w:pPr>
            <w:r w:rsidRPr="0054529B">
              <w:rPr>
                <w:rFonts w:asciiTheme="minorHAnsi" w:hAnsiTheme="minorHAnsi"/>
                <w:b/>
              </w:rPr>
              <w:lastRenderedPageBreak/>
              <w:t>Pregnant women who have had a previous pregnancy affected by NH.</w:t>
            </w:r>
          </w:p>
          <w:p w14:paraId="2D663A07" w14:textId="77777777" w:rsidR="002531E7" w:rsidRDefault="002531E7" w:rsidP="001E3138">
            <w:pPr>
              <w:spacing w:before="100" w:beforeAutospacing="1" w:after="120"/>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Review is not mandated for this indication however the following criteria may be useful in assessing the effectiveness </w:t>
            </w:r>
            <w:proofErr w:type="gramStart"/>
            <w:r>
              <w:rPr>
                <w:rFonts w:asciiTheme="minorHAnsi" w:eastAsia="Times New Roman" w:hAnsiTheme="minorHAnsi" w:cs="Times New Roman"/>
                <w:color w:val="000000"/>
                <w:lang w:eastAsia="en-AU"/>
              </w:rPr>
              <w:t>of  therapy</w:t>
            </w:r>
            <w:proofErr w:type="gramEnd"/>
            <w:r>
              <w:rPr>
                <w:rFonts w:asciiTheme="minorHAnsi" w:eastAsia="Times New Roman" w:hAnsiTheme="minorHAnsi" w:cs="Times New Roman"/>
                <w:color w:val="000000"/>
                <w:lang w:eastAsia="en-AU"/>
              </w:rPr>
              <w:t xml:space="preserve">. </w:t>
            </w:r>
          </w:p>
          <w:p w14:paraId="24E0F3EA" w14:textId="71666E4E" w:rsidR="0054529B" w:rsidRPr="005D4EEE" w:rsidRDefault="0054529B" w:rsidP="005D4EEE">
            <w:pPr>
              <w:pStyle w:val="ListParagraph"/>
              <w:numPr>
                <w:ilvl w:val="0"/>
                <w:numId w:val="25"/>
              </w:numPr>
              <w:spacing w:before="100" w:beforeAutospacing="1" w:after="120"/>
              <w:rPr>
                <w:rFonts w:asciiTheme="minorHAnsi" w:eastAsia="Times New Roman" w:hAnsiTheme="minorHAnsi" w:cs="Times New Roman"/>
                <w:color w:val="000000"/>
                <w:lang w:eastAsia="en-AU"/>
              </w:rPr>
            </w:pPr>
            <w:r w:rsidRPr="005D4EEE">
              <w:rPr>
                <w:rFonts w:asciiTheme="minorHAnsi" w:eastAsia="Times New Roman" w:hAnsiTheme="minorHAnsi" w:cs="Times New Roman"/>
                <w:color w:val="000000"/>
                <w:lang w:eastAsia="en-AU"/>
              </w:rPr>
              <w:t xml:space="preserve">The occurrence of NH, or evidence of liver disease in the offspring of women </w:t>
            </w:r>
            <w:r w:rsidRPr="005D4EEE">
              <w:rPr>
                <w:rFonts w:asciiTheme="minorHAnsi" w:eastAsia="Times New Roman" w:hAnsiTheme="minorHAnsi" w:cs="Times New Roman"/>
                <w:color w:val="000000"/>
                <w:lang w:eastAsia="en-AU"/>
              </w:rPr>
              <w:lastRenderedPageBreak/>
              <w:t xml:space="preserve">who have previously given birth to an NH-affected neonate. </w:t>
            </w:r>
          </w:p>
          <w:p w14:paraId="26AFA023" w14:textId="77777777" w:rsidR="0054529B" w:rsidRPr="0054529B" w:rsidRDefault="0054529B" w:rsidP="001E3138">
            <w:pPr>
              <w:rPr>
                <w:rFonts w:asciiTheme="minorHAnsi" w:hAnsiTheme="minorHAnsi"/>
                <w:b/>
              </w:rPr>
            </w:pPr>
          </w:p>
          <w:p w14:paraId="3A9F14AA" w14:textId="77777777" w:rsidR="0054529B" w:rsidRPr="0054529B" w:rsidRDefault="0054529B" w:rsidP="001E3138">
            <w:pPr>
              <w:rPr>
                <w:rStyle w:val="CommentReference"/>
                <w:rFonts w:asciiTheme="minorHAnsi" w:hAnsiTheme="minorHAnsi"/>
                <w:b/>
                <w:sz w:val="22"/>
                <w:szCs w:val="22"/>
              </w:rPr>
            </w:pPr>
            <w:r w:rsidRPr="0054529B">
              <w:rPr>
                <w:rStyle w:val="CommentReference"/>
                <w:rFonts w:asciiTheme="minorHAnsi" w:hAnsiTheme="minorHAnsi"/>
                <w:b/>
                <w:sz w:val="22"/>
                <w:szCs w:val="22"/>
              </w:rPr>
              <w:t>Neonate with NH.</w:t>
            </w:r>
          </w:p>
          <w:p w14:paraId="03E88F35" w14:textId="77777777" w:rsidR="0054529B" w:rsidRPr="0054529B" w:rsidRDefault="0054529B" w:rsidP="001E3138">
            <w:pPr>
              <w:rPr>
                <w:rStyle w:val="CommentReference"/>
                <w:rFonts w:asciiTheme="minorHAnsi" w:hAnsiTheme="minorHAnsi"/>
                <w:b/>
                <w:sz w:val="22"/>
                <w:szCs w:val="22"/>
              </w:rPr>
            </w:pPr>
          </w:p>
          <w:p w14:paraId="7FA8CC88" w14:textId="77777777" w:rsidR="005D4EEE" w:rsidRDefault="005D4EEE" w:rsidP="005D4EEE">
            <w:pPr>
              <w:rPr>
                <w:rFonts w:asciiTheme="minorHAnsi" w:hAnsiTheme="minorHAnsi"/>
              </w:rPr>
            </w:pPr>
            <w:r w:rsidRPr="005D4EEE">
              <w:rPr>
                <w:rFonts w:asciiTheme="minorHAnsi" w:eastAsia="Times New Roman" w:hAnsiTheme="minorHAnsi" w:cs="Times New Roman"/>
                <w:color w:val="000000"/>
                <w:lang w:eastAsia="en-AU"/>
              </w:rPr>
              <w:t xml:space="preserve">Review is not mandated for this indication however the following criteria may be useful in assessing the effectiveness </w:t>
            </w:r>
            <w:proofErr w:type="gramStart"/>
            <w:r w:rsidRPr="005D4EEE">
              <w:rPr>
                <w:rFonts w:asciiTheme="minorHAnsi" w:eastAsia="Times New Roman" w:hAnsiTheme="minorHAnsi" w:cs="Times New Roman"/>
                <w:color w:val="000000"/>
                <w:lang w:eastAsia="en-AU"/>
              </w:rPr>
              <w:t>of  therapy</w:t>
            </w:r>
            <w:proofErr w:type="gramEnd"/>
            <w:r>
              <w:rPr>
                <w:rFonts w:asciiTheme="minorHAnsi" w:hAnsiTheme="minorHAnsi"/>
              </w:rPr>
              <w:t>.</w:t>
            </w:r>
          </w:p>
          <w:p w14:paraId="75CF1DDF" w14:textId="77777777" w:rsidR="005D4EEE" w:rsidRDefault="005D4EEE" w:rsidP="005D4EEE">
            <w:pPr>
              <w:rPr>
                <w:rFonts w:asciiTheme="minorHAnsi" w:hAnsiTheme="minorHAnsi"/>
              </w:rPr>
            </w:pPr>
          </w:p>
          <w:p w14:paraId="642884DA" w14:textId="3A523ADC" w:rsidR="0054529B" w:rsidRPr="005D4EEE" w:rsidRDefault="0054529B" w:rsidP="005D4EEE">
            <w:pPr>
              <w:pStyle w:val="ListParagraph"/>
              <w:numPr>
                <w:ilvl w:val="0"/>
                <w:numId w:val="25"/>
              </w:numPr>
              <w:rPr>
                <w:rFonts w:asciiTheme="minorHAnsi" w:hAnsiTheme="minorHAnsi"/>
              </w:rPr>
            </w:pPr>
            <w:r w:rsidRPr="005D4EEE">
              <w:rPr>
                <w:rFonts w:asciiTheme="minorHAnsi" w:hAnsiTheme="minorHAnsi"/>
              </w:rPr>
              <w:t>Evidence of li</w:t>
            </w:r>
            <w:r w:rsidR="002531E7" w:rsidRPr="005D4EEE">
              <w:rPr>
                <w:rFonts w:asciiTheme="minorHAnsi" w:hAnsiTheme="minorHAnsi"/>
              </w:rPr>
              <w:t xml:space="preserve">ver disease in the neonate </w:t>
            </w:r>
          </w:p>
          <w:p w14:paraId="5EFB5E2A" w14:textId="5CE3D7F8" w:rsidR="0054529B" w:rsidRPr="0054529B" w:rsidRDefault="0054529B" w:rsidP="005D4EEE">
            <w:pPr>
              <w:pStyle w:val="ListParagraph"/>
              <w:numPr>
                <w:ilvl w:val="0"/>
                <w:numId w:val="24"/>
              </w:numPr>
              <w:spacing w:before="100" w:beforeAutospacing="1" w:after="120"/>
              <w:rPr>
                <w:rFonts w:asciiTheme="minorHAnsi" w:hAnsiTheme="minorHAnsi"/>
              </w:rPr>
            </w:pPr>
            <w:r w:rsidRPr="0054529B">
              <w:rPr>
                <w:rFonts w:asciiTheme="minorHAnsi" w:eastAsia="Times New Roman" w:hAnsiTheme="minorHAnsi" w:cs="Times New Roman"/>
                <w:color w:val="000000"/>
                <w:lang w:eastAsia="en-AU"/>
              </w:rPr>
              <w:t xml:space="preserve">Requirement for liver transplantation in the neonate </w:t>
            </w:r>
          </w:p>
        </w:tc>
        <w:tc>
          <w:tcPr>
            <w:tcW w:w="4678" w:type="dxa"/>
          </w:tcPr>
          <w:p w14:paraId="499871E7" w14:textId="77777777" w:rsidR="0054529B" w:rsidRPr="0054529B" w:rsidRDefault="0054529B" w:rsidP="001E3138">
            <w:pPr>
              <w:spacing w:after="200"/>
              <w:rPr>
                <w:rFonts w:asciiTheme="minorHAnsi" w:hAnsiTheme="minorHAnsi"/>
              </w:rPr>
            </w:pPr>
            <w:r w:rsidRPr="0054529B">
              <w:rPr>
                <w:rFonts w:asciiTheme="minorHAnsi" w:hAnsiTheme="minorHAnsi"/>
              </w:rPr>
              <w:lastRenderedPageBreak/>
              <w:t>While the maximum term would be 42 weeks for a normal pregnancy, these pregnancies are likely to be induced earlier.  SWG confirmed that the maximum time of 5 months treatment  (i.e. treat from 18 until 38 weeks pregnant) was sufficient. (A)</w:t>
            </w:r>
          </w:p>
          <w:p w14:paraId="1422DF2B" w14:textId="77777777" w:rsidR="0054529B" w:rsidRPr="0054529B" w:rsidRDefault="0054529B" w:rsidP="001E3138">
            <w:pPr>
              <w:spacing w:after="200"/>
              <w:rPr>
                <w:rFonts w:asciiTheme="minorHAnsi" w:hAnsiTheme="minorHAnsi"/>
              </w:rPr>
            </w:pPr>
          </w:p>
          <w:p w14:paraId="18D839DC" w14:textId="24D4B3E4" w:rsidR="0054529B" w:rsidRPr="0054529B" w:rsidRDefault="000C159B" w:rsidP="001E3138">
            <w:pPr>
              <w:spacing w:after="200"/>
              <w:rPr>
                <w:rFonts w:asciiTheme="minorHAnsi" w:hAnsiTheme="minorHAnsi"/>
              </w:rPr>
            </w:pPr>
            <w:r>
              <w:rPr>
                <w:rFonts w:asciiTheme="minorHAnsi" w:hAnsiTheme="minorHAnsi"/>
              </w:rPr>
              <w:lastRenderedPageBreak/>
              <w:t>Outcome data have</w:t>
            </w:r>
            <w:r w:rsidR="0054529B" w:rsidRPr="0054529B">
              <w:rPr>
                <w:rFonts w:asciiTheme="minorHAnsi" w:hAnsiTheme="minorHAnsi"/>
              </w:rPr>
              <w:t xml:space="preserve"> been defined. (A)</w:t>
            </w:r>
          </w:p>
          <w:p w14:paraId="3A30711B" w14:textId="77777777" w:rsidR="0054529B" w:rsidRPr="0054529B" w:rsidRDefault="0054529B" w:rsidP="001E3138">
            <w:pPr>
              <w:spacing w:after="200"/>
              <w:rPr>
                <w:rFonts w:asciiTheme="minorHAnsi" w:hAnsiTheme="minorHAnsi"/>
              </w:rPr>
            </w:pPr>
          </w:p>
          <w:p w14:paraId="6F6FFDE2" w14:textId="77777777" w:rsidR="0054529B" w:rsidRPr="0054529B" w:rsidRDefault="0054529B" w:rsidP="001E3138">
            <w:pPr>
              <w:spacing w:after="200"/>
              <w:rPr>
                <w:rFonts w:asciiTheme="minorHAnsi" w:hAnsiTheme="minorHAnsi"/>
              </w:rPr>
            </w:pPr>
          </w:p>
          <w:p w14:paraId="724BEEDB" w14:textId="77777777" w:rsidR="0054529B" w:rsidRPr="0054529B" w:rsidRDefault="0054529B" w:rsidP="001E3138">
            <w:pPr>
              <w:spacing w:after="200"/>
              <w:rPr>
                <w:rFonts w:asciiTheme="minorHAnsi" w:hAnsiTheme="minorHAnsi"/>
              </w:rPr>
            </w:pPr>
          </w:p>
          <w:p w14:paraId="3024954D" w14:textId="77777777" w:rsidR="0054529B" w:rsidRPr="0054529B" w:rsidRDefault="0054529B" w:rsidP="001E3138">
            <w:pPr>
              <w:spacing w:after="200"/>
              <w:rPr>
                <w:rFonts w:asciiTheme="minorHAnsi" w:hAnsiTheme="minorHAnsi"/>
              </w:rPr>
            </w:pPr>
          </w:p>
          <w:p w14:paraId="408A7E68" w14:textId="30F7CC4E" w:rsidR="0054529B" w:rsidRPr="0054529B" w:rsidRDefault="0054529B" w:rsidP="00A138FA">
            <w:pPr>
              <w:spacing w:after="200"/>
              <w:rPr>
                <w:rFonts w:asciiTheme="minorHAnsi" w:hAnsiTheme="minorHAnsi"/>
              </w:rPr>
            </w:pPr>
          </w:p>
        </w:tc>
      </w:tr>
      <w:tr w:rsidR="0054529B" w:rsidRPr="0054529B" w14:paraId="404D96CF" w14:textId="77777777" w:rsidTr="000C159B">
        <w:trPr>
          <w:gridAfter w:val="1"/>
          <w:wAfter w:w="44" w:type="dxa"/>
        </w:trPr>
        <w:tc>
          <w:tcPr>
            <w:tcW w:w="1689" w:type="dxa"/>
            <w:shd w:val="clear" w:color="auto" w:fill="D9D9D9" w:themeFill="background1" w:themeFillShade="D9"/>
          </w:tcPr>
          <w:p w14:paraId="199F12FB" w14:textId="09BB699B" w:rsidR="0054529B" w:rsidRPr="0054529B" w:rsidRDefault="0054529B" w:rsidP="00BD341A">
            <w:pPr>
              <w:rPr>
                <w:rFonts w:asciiTheme="minorHAnsi" w:hAnsiTheme="minorHAnsi"/>
                <w:b/>
              </w:rPr>
            </w:pPr>
            <w:r w:rsidRPr="0054529B">
              <w:rPr>
                <w:rFonts w:asciiTheme="minorHAnsi" w:hAnsiTheme="minorHAnsi"/>
                <w:b/>
              </w:rPr>
              <w:lastRenderedPageBreak/>
              <w:t>Dose</w:t>
            </w:r>
          </w:p>
        </w:tc>
        <w:tc>
          <w:tcPr>
            <w:tcW w:w="4690" w:type="dxa"/>
          </w:tcPr>
          <w:p w14:paraId="762F9856"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1 g/kg body weight weekly from the 18th week until the end of gestation.</w:t>
            </w:r>
          </w:p>
          <w:p w14:paraId="1AF41048"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Refer to the current product information sheet for further information.</w:t>
            </w:r>
          </w:p>
          <w:p w14:paraId="20216982"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70E1036D" w14:textId="14B62D81" w:rsidR="0054529B" w:rsidRPr="0054529B" w:rsidRDefault="0054529B" w:rsidP="00B9002B">
            <w:pPr>
              <w:spacing w:after="225" w:line="360" w:lineRule="atLeast"/>
              <w:rPr>
                <w:rFonts w:asciiTheme="minorHAnsi" w:eastAsia="Times New Roman" w:hAnsiTheme="minorHAnsi" w:cs="Times New Roman"/>
                <w:color w:val="000000"/>
                <w:lang w:eastAsia="en-AU"/>
              </w:rPr>
            </w:pPr>
          </w:p>
        </w:tc>
        <w:tc>
          <w:tcPr>
            <w:tcW w:w="4536" w:type="dxa"/>
            <w:gridSpan w:val="3"/>
          </w:tcPr>
          <w:p w14:paraId="3CD9616A" w14:textId="77777777" w:rsidR="0054529B" w:rsidRPr="0054529B" w:rsidRDefault="0054529B" w:rsidP="001E3138">
            <w:pPr>
              <w:rPr>
                <w:rFonts w:asciiTheme="minorHAnsi" w:hAnsiTheme="minorHAnsi"/>
                <w:b/>
              </w:rPr>
            </w:pPr>
            <w:r w:rsidRPr="0054529B">
              <w:rPr>
                <w:rFonts w:asciiTheme="minorHAnsi" w:hAnsiTheme="minorHAnsi"/>
                <w:b/>
              </w:rPr>
              <w:t>Pregnant women who have had a previous pregnancy affected by NH.</w:t>
            </w:r>
          </w:p>
          <w:p w14:paraId="7A7AFA65" w14:textId="77777777" w:rsidR="0054529B" w:rsidRPr="0054529B" w:rsidRDefault="0054529B" w:rsidP="001E3138">
            <w:pPr>
              <w:spacing w:before="100" w:beforeAutospacing="1" w:after="120"/>
              <w:rPr>
                <w:rFonts w:asciiTheme="minorHAnsi" w:eastAsia="Times New Roman" w:hAnsiTheme="minorHAnsi" w:cs="Times New Roman"/>
                <w:color w:val="000000"/>
                <w:lang w:eastAsia="en-AU"/>
              </w:rPr>
            </w:pPr>
            <w:r w:rsidRPr="0054529B">
              <w:rPr>
                <w:rFonts w:asciiTheme="minorHAnsi" w:eastAsia="Times New Roman" w:hAnsiTheme="minorHAnsi" w:cstheme="minorHAnsi"/>
                <w:b/>
                <w:color w:val="000000"/>
              </w:rPr>
              <w:t>Maintenance</w:t>
            </w:r>
            <w:r w:rsidRPr="0054529B">
              <w:rPr>
                <w:rFonts w:asciiTheme="minorHAnsi" w:eastAsia="Times New Roman" w:hAnsiTheme="minorHAnsi" w:cstheme="minorHAnsi"/>
                <w:color w:val="000000"/>
              </w:rPr>
              <w:t xml:space="preserve"> - </w:t>
            </w:r>
            <w:r w:rsidRPr="0054529B">
              <w:rPr>
                <w:rFonts w:asciiTheme="minorHAnsi" w:eastAsia="Times New Roman" w:hAnsiTheme="minorHAnsi" w:cs="Times New Roman"/>
                <w:color w:val="000000"/>
              </w:rPr>
              <w:t>1 g/kg body weight (to a maximum of 100 kg) weekly from the 18</w:t>
            </w:r>
            <w:r w:rsidRPr="0054529B">
              <w:rPr>
                <w:rFonts w:asciiTheme="minorHAnsi" w:eastAsia="Times New Roman" w:hAnsiTheme="minorHAnsi" w:cs="Times New Roman"/>
                <w:color w:val="000000"/>
                <w:vertAlign w:val="superscript"/>
              </w:rPr>
              <w:t>th</w:t>
            </w:r>
            <w:r w:rsidRPr="0054529B">
              <w:rPr>
                <w:rFonts w:asciiTheme="minorHAnsi" w:eastAsia="Times New Roman" w:hAnsiTheme="minorHAnsi" w:cs="Times New Roman"/>
                <w:color w:val="000000"/>
              </w:rPr>
              <w:t xml:space="preserve"> week until the end of gestation.</w:t>
            </w:r>
          </w:p>
          <w:p w14:paraId="00CF1BCB" w14:textId="77777777" w:rsidR="0054529B" w:rsidRPr="0054529B" w:rsidRDefault="0054529B" w:rsidP="001E3138">
            <w:pPr>
              <w:ind w:left="2160" w:hanging="2160"/>
              <w:rPr>
                <w:rFonts w:asciiTheme="minorHAnsi" w:eastAsia="Times New Roman" w:hAnsiTheme="minorHAnsi" w:cs="Times New Roman"/>
                <w:color w:val="000000"/>
                <w:lang w:eastAsia="en-AU"/>
              </w:rPr>
            </w:pPr>
          </w:p>
          <w:p w14:paraId="2E7487D0" w14:textId="77777777" w:rsidR="0054529B" w:rsidRPr="0054529B" w:rsidRDefault="0054529B" w:rsidP="001E3138">
            <w:pPr>
              <w:rPr>
                <w:rStyle w:val="CommentReference"/>
                <w:rFonts w:asciiTheme="minorHAnsi" w:hAnsiTheme="minorHAnsi"/>
                <w:b/>
                <w:sz w:val="22"/>
                <w:szCs w:val="22"/>
              </w:rPr>
            </w:pPr>
            <w:r w:rsidRPr="0054529B">
              <w:rPr>
                <w:rStyle w:val="CommentReference"/>
                <w:rFonts w:asciiTheme="minorHAnsi" w:hAnsiTheme="minorHAnsi"/>
                <w:b/>
                <w:sz w:val="22"/>
                <w:szCs w:val="22"/>
              </w:rPr>
              <w:t xml:space="preserve">Neonate with NH. </w:t>
            </w:r>
          </w:p>
          <w:p w14:paraId="38FC1664" w14:textId="77777777" w:rsidR="0054529B" w:rsidRPr="0054529B" w:rsidRDefault="0054529B" w:rsidP="001E3138">
            <w:pPr>
              <w:rPr>
                <w:rStyle w:val="CommentReference"/>
                <w:rFonts w:asciiTheme="minorHAnsi" w:hAnsiTheme="minorHAnsi"/>
                <w:b/>
                <w:sz w:val="22"/>
                <w:szCs w:val="22"/>
              </w:rPr>
            </w:pPr>
          </w:p>
          <w:p w14:paraId="69CD3F20" w14:textId="7F78EB32" w:rsidR="0054529B" w:rsidRPr="0054529B" w:rsidRDefault="005D4EEE" w:rsidP="001E3138">
            <w:pPr>
              <w:rPr>
                <w:rFonts w:asciiTheme="minorHAnsi" w:hAnsiTheme="minorHAnsi"/>
                <w:b/>
              </w:rPr>
            </w:pPr>
            <w:proofErr w:type="gramStart"/>
            <w:r w:rsidRPr="0054529B">
              <w:rPr>
                <w:rFonts w:asciiTheme="minorHAnsi" w:eastAsia="Times New Roman" w:hAnsiTheme="minorHAnsi" w:cstheme="minorHAnsi"/>
                <w:b/>
                <w:color w:val="000000"/>
              </w:rPr>
              <w:t>Maintenance</w:t>
            </w:r>
            <w:r w:rsidRPr="0054529B">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 -</w:t>
            </w:r>
            <w:proofErr w:type="gramEnd"/>
            <w:r>
              <w:rPr>
                <w:rFonts w:asciiTheme="minorHAnsi" w:eastAsia="Times New Roman" w:hAnsiTheme="minorHAnsi" w:cstheme="minorHAnsi"/>
                <w:color w:val="000000"/>
              </w:rPr>
              <w:t xml:space="preserve"> </w:t>
            </w:r>
            <w:r w:rsidR="002531E7">
              <w:rPr>
                <w:rFonts w:asciiTheme="minorHAnsi" w:eastAsia="Times New Roman" w:hAnsiTheme="minorHAnsi" w:cs="Times New Roman"/>
                <w:color w:val="000000"/>
                <w:lang w:eastAsia="en-AU"/>
              </w:rPr>
              <w:t>1-</w:t>
            </w:r>
            <w:r w:rsidR="0054529B" w:rsidRPr="0054529B">
              <w:rPr>
                <w:rFonts w:asciiTheme="minorHAnsi" w:eastAsia="Times New Roman" w:hAnsiTheme="minorHAnsi" w:cs="Times New Roman"/>
                <w:color w:val="000000"/>
                <w:lang w:eastAsia="en-AU"/>
              </w:rPr>
              <w:t xml:space="preserve"> 2 g/kg following exchange transfusion in the first 7 days and then 1 g/kg weekly, as required.</w:t>
            </w:r>
          </w:p>
          <w:p w14:paraId="01FB99E4" w14:textId="77777777" w:rsidR="0054529B" w:rsidRPr="0054529B" w:rsidRDefault="0054529B" w:rsidP="001E3138">
            <w:pPr>
              <w:rPr>
                <w:rFonts w:asciiTheme="minorHAnsi" w:eastAsia="Times New Roman" w:hAnsiTheme="minorHAnsi" w:cs="Times New Roman"/>
                <w:color w:val="000000"/>
                <w:lang w:eastAsia="en-AU"/>
              </w:rPr>
            </w:pPr>
          </w:p>
          <w:p w14:paraId="530007BA" w14:textId="77777777" w:rsidR="0054529B" w:rsidRPr="0054529B" w:rsidRDefault="0054529B" w:rsidP="001E3138">
            <w:pPr>
              <w:rPr>
                <w:rFonts w:asciiTheme="minorHAnsi" w:eastAsia="Times New Roman" w:hAnsiTheme="minorHAnsi" w:cs="Times New Roman"/>
                <w:color w:val="000000"/>
                <w:lang w:eastAsia="en-AU"/>
              </w:rPr>
            </w:pPr>
          </w:p>
          <w:p w14:paraId="47C53C24" w14:textId="77777777" w:rsidR="0054529B" w:rsidRDefault="0054529B" w:rsidP="001E3138">
            <w:pPr>
              <w:spacing w:after="120"/>
              <w:ind w:left="34"/>
              <w:rPr>
                <w:rFonts w:asciiTheme="minorHAnsi" w:eastAsia="Times New Roman" w:hAnsiTheme="minorHAnsi" w:cs="Times New Roman"/>
                <w:bCs/>
                <w:color w:val="000000"/>
              </w:rPr>
            </w:pPr>
            <w:r w:rsidRPr="0054529B">
              <w:rPr>
                <w:rFonts w:asciiTheme="minorHAnsi" w:eastAsia="Times New Roman" w:hAnsiTheme="minorHAnsi" w:cs="Times New Roman"/>
                <w:bCs/>
                <w:color w:val="000000"/>
              </w:rPr>
              <w:t>The aim should be to use the lowest dose possible that achieves the appropriate clinical outcome for each patient.</w:t>
            </w:r>
          </w:p>
          <w:p w14:paraId="6182E402" w14:textId="33F65833" w:rsidR="002531E7" w:rsidRPr="0054529B" w:rsidRDefault="002531E7" w:rsidP="001E3138">
            <w:pPr>
              <w:spacing w:after="120"/>
              <w:ind w:left="34"/>
              <w:rPr>
                <w:rFonts w:asciiTheme="minorHAnsi" w:eastAsia="Times New Roman" w:hAnsiTheme="minorHAnsi" w:cs="Times New Roman"/>
                <w:bCs/>
                <w:color w:val="000000"/>
              </w:rPr>
            </w:pPr>
            <w:r>
              <w:rPr>
                <w:rFonts w:asciiTheme="minorHAnsi" w:eastAsia="Times New Roman" w:hAnsiTheme="minorHAnsi" w:cs="Times New Roman"/>
                <w:bCs/>
                <w:color w:val="000000"/>
              </w:rPr>
              <w:t xml:space="preserve">Dosing above 1g/kg per day is contraindicated for some </w:t>
            </w:r>
            <w:proofErr w:type="spellStart"/>
            <w:r>
              <w:rPr>
                <w:rFonts w:asciiTheme="minorHAnsi" w:eastAsia="Times New Roman" w:hAnsiTheme="minorHAnsi" w:cs="Times New Roman"/>
                <w:bCs/>
                <w:color w:val="000000"/>
              </w:rPr>
              <w:t>IVig</w:t>
            </w:r>
            <w:proofErr w:type="spellEnd"/>
            <w:r>
              <w:rPr>
                <w:rFonts w:asciiTheme="minorHAnsi" w:eastAsia="Times New Roman" w:hAnsiTheme="minorHAnsi" w:cs="Times New Roman"/>
                <w:bCs/>
                <w:color w:val="000000"/>
              </w:rPr>
              <w:t xml:space="preserve"> products. </w:t>
            </w:r>
          </w:p>
          <w:p w14:paraId="76A9E5F5" w14:textId="67C0B8D4" w:rsidR="0054529B" w:rsidRPr="0054529B" w:rsidRDefault="0054529B" w:rsidP="0054529B">
            <w:pPr>
              <w:spacing w:after="120"/>
              <w:ind w:left="34"/>
              <w:rPr>
                <w:rFonts w:asciiTheme="minorHAnsi" w:eastAsia="Times New Roman" w:hAnsiTheme="minorHAnsi" w:cstheme="minorHAnsi"/>
                <w:b/>
                <w:color w:val="000000"/>
              </w:rPr>
            </w:pPr>
            <w:r w:rsidRPr="0054529B">
              <w:rPr>
                <w:rFonts w:asciiTheme="minorHAnsi" w:eastAsia="Times New Roman" w:hAnsiTheme="minorHAnsi" w:cs="Times New Roman"/>
                <w:b/>
                <w:bCs/>
                <w:color w:val="000000"/>
              </w:rPr>
              <w:t xml:space="preserve">Refer to the current product information sheet </w:t>
            </w:r>
            <w:r w:rsidRPr="0054529B">
              <w:rPr>
                <w:rFonts w:asciiTheme="minorHAnsi" w:eastAsia="Times New Roman" w:hAnsiTheme="minorHAnsi" w:cs="Times New Roman"/>
                <w:b/>
                <w:bCs/>
                <w:color w:val="000000"/>
              </w:rPr>
              <w:lastRenderedPageBreak/>
              <w:t>for further information.</w:t>
            </w:r>
          </w:p>
        </w:tc>
        <w:tc>
          <w:tcPr>
            <w:tcW w:w="4678" w:type="dxa"/>
          </w:tcPr>
          <w:p w14:paraId="1F3AA1E0" w14:textId="77777777" w:rsidR="0054529B" w:rsidRPr="0054529B" w:rsidRDefault="0054529B" w:rsidP="001E3138">
            <w:pPr>
              <w:spacing w:after="240" w:line="20" w:lineRule="atLeast"/>
              <w:rPr>
                <w:rFonts w:asciiTheme="minorHAnsi" w:eastAsia="Times New Roman" w:hAnsiTheme="minorHAnsi" w:cstheme="minorHAnsi"/>
                <w:color w:val="000000"/>
              </w:rPr>
            </w:pPr>
            <w:r w:rsidRPr="0054529B">
              <w:rPr>
                <w:rFonts w:asciiTheme="minorHAnsi" w:eastAsia="Times New Roman" w:hAnsiTheme="minorHAnsi" w:cstheme="minorHAnsi"/>
                <w:color w:val="000000"/>
              </w:rPr>
              <w:lastRenderedPageBreak/>
              <w:t xml:space="preserve">Dosing in pregnant women consistent with current version with the addition of defining a </w:t>
            </w:r>
            <w:r w:rsidRPr="0054529B">
              <w:rPr>
                <w:rStyle w:val="CommentReference"/>
                <w:rFonts w:asciiTheme="minorHAnsi" w:hAnsiTheme="minorHAnsi"/>
                <w:sz w:val="22"/>
                <w:szCs w:val="22"/>
              </w:rPr>
              <w:t>maximum maternal weight of 100Kg given the high incidence of obesity in the pregnant population. (B)</w:t>
            </w:r>
          </w:p>
          <w:p w14:paraId="67ABC729" w14:textId="77777777" w:rsidR="0054529B" w:rsidRDefault="0054529B" w:rsidP="001E3138">
            <w:pPr>
              <w:spacing w:after="240" w:line="20" w:lineRule="atLeast"/>
              <w:rPr>
                <w:rFonts w:asciiTheme="minorHAnsi" w:eastAsia="Times New Roman" w:hAnsiTheme="minorHAnsi" w:cstheme="minorHAnsi"/>
                <w:color w:val="000000"/>
              </w:rPr>
            </w:pPr>
          </w:p>
          <w:p w14:paraId="0CA25B8C" w14:textId="77777777" w:rsidR="002531E7" w:rsidRPr="0054529B" w:rsidRDefault="002531E7" w:rsidP="001E3138">
            <w:pPr>
              <w:spacing w:after="240" w:line="20" w:lineRule="atLeast"/>
              <w:rPr>
                <w:rFonts w:asciiTheme="minorHAnsi" w:eastAsia="Times New Roman" w:hAnsiTheme="minorHAnsi" w:cstheme="minorHAnsi"/>
                <w:color w:val="000000"/>
              </w:rPr>
            </w:pPr>
          </w:p>
          <w:p w14:paraId="2B964E7B" w14:textId="224CC6B9" w:rsidR="0054529B" w:rsidRPr="0054529B" w:rsidRDefault="0054529B" w:rsidP="0054529B">
            <w:pPr>
              <w:spacing w:after="240" w:line="20" w:lineRule="atLeast"/>
              <w:rPr>
                <w:rFonts w:asciiTheme="minorHAnsi" w:eastAsia="Times New Roman" w:hAnsiTheme="minorHAnsi" w:cstheme="minorHAnsi"/>
                <w:color w:val="000000"/>
              </w:rPr>
            </w:pPr>
            <w:r w:rsidRPr="0054529B">
              <w:rPr>
                <w:rFonts w:asciiTheme="minorHAnsi" w:eastAsia="Times New Roman" w:hAnsiTheme="minorHAnsi" w:cstheme="minorHAnsi"/>
                <w:color w:val="000000"/>
              </w:rPr>
              <w:t xml:space="preserve">Dosing for neonates consistent with literature. (B) </w:t>
            </w:r>
          </w:p>
        </w:tc>
      </w:tr>
      <w:tr w:rsidR="007B5825" w:rsidRPr="0054529B" w14:paraId="25196AAA" w14:textId="77777777" w:rsidTr="000C159B">
        <w:tc>
          <w:tcPr>
            <w:tcW w:w="15637" w:type="dxa"/>
            <w:gridSpan w:val="7"/>
            <w:shd w:val="clear" w:color="auto" w:fill="DBE5F1" w:themeFill="accent1" w:themeFillTint="33"/>
          </w:tcPr>
          <w:p w14:paraId="64E44AE0" w14:textId="0DE58D97" w:rsidR="007B5825" w:rsidRPr="0054529B" w:rsidRDefault="007B5825" w:rsidP="00531EC4">
            <w:pPr>
              <w:spacing w:before="120" w:after="120"/>
              <w:jc w:val="center"/>
              <w:rPr>
                <w:rFonts w:asciiTheme="minorHAnsi" w:hAnsiTheme="minorHAnsi"/>
                <w:b/>
              </w:rPr>
            </w:pPr>
            <w:r>
              <w:rPr>
                <w:rFonts w:asciiTheme="minorHAnsi" w:hAnsiTheme="minorHAnsi"/>
                <w:b/>
              </w:rPr>
              <w:lastRenderedPageBreak/>
              <w:t>BIBLIOGRAPHY</w:t>
            </w:r>
            <w:bookmarkStart w:id="0" w:name="_GoBack"/>
            <w:bookmarkEnd w:id="0"/>
          </w:p>
        </w:tc>
      </w:tr>
      <w:tr w:rsidR="007B5825" w:rsidRPr="0054529B" w14:paraId="22B39F1A" w14:textId="77777777" w:rsidTr="007B5825">
        <w:tc>
          <w:tcPr>
            <w:tcW w:w="15637" w:type="dxa"/>
            <w:gridSpan w:val="7"/>
            <w:shd w:val="clear" w:color="auto" w:fill="auto"/>
          </w:tcPr>
          <w:p w14:paraId="467F74E0" w14:textId="62684D53" w:rsidR="007B5825" w:rsidRPr="007B5825" w:rsidRDefault="007B5825" w:rsidP="007B5825">
            <w:pPr>
              <w:spacing w:before="120" w:after="120"/>
              <w:rPr>
                <w:rFonts w:asciiTheme="minorHAnsi" w:hAnsiTheme="minorHAnsi"/>
                <w:b/>
              </w:rPr>
            </w:pPr>
            <w:r w:rsidRPr="007B5825">
              <w:rPr>
                <w:rFonts w:asciiTheme="minorHAnsi" w:hAnsiTheme="minorHAnsi" w:cs="Helvetica"/>
                <w:color w:val="333333"/>
                <w:sz w:val="21"/>
                <w:szCs w:val="21"/>
              </w:rPr>
              <w:t xml:space="preserve">Flynn, DM, Mohan, N, McKiernan, P, et al 2003, ‚Progress in treatment and outcome for children with neonatal </w:t>
            </w:r>
            <w:proofErr w:type="spellStart"/>
            <w:r w:rsidRPr="007B5825">
              <w:rPr>
                <w:rFonts w:asciiTheme="minorHAnsi" w:hAnsiTheme="minorHAnsi" w:cs="Helvetica"/>
                <w:color w:val="333333"/>
                <w:sz w:val="21"/>
                <w:szCs w:val="21"/>
              </w:rPr>
              <w:t>haemochromatosis</w:t>
            </w:r>
            <w:proofErr w:type="spellEnd"/>
            <w:r w:rsidRPr="007B5825">
              <w:rPr>
                <w:rFonts w:asciiTheme="minorHAnsi" w:hAnsiTheme="minorHAnsi" w:cs="Helvetica"/>
                <w:color w:val="333333"/>
                <w:sz w:val="21"/>
                <w:szCs w:val="21"/>
              </w:rPr>
              <w:t xml:space="preserve">’, </w:t>
            </w:r>
            <w:r w:rsidRPr="007B5825">
              <w:rPr>
                <w:rStyle w:val="Emphasis"/>
                <w:rFonts w:asciiTheme="minorHAnsi" w:hAnsiTheme="minorHAnsi" w:cs="Helvetica"/>
                <w:color w:val="333333"/>
                <w:sz w:val="21"/>
                <w:szCs w:val="21"/>
              </w:rPr>
              <w:t>Archives of Disease in Childhood – Foetal Neonatal Edition</w:t>
            </w:r>
            <w:r w:rsidRPr="007B5825">
              <w:rPr>
                <w:rFonts w:asciiTheme="minorHAnsi" w:hAnsiTheme="minorHAnsi" w:cs="Helvetica"/>
                <w:color w:val="333333"/>
                <w:sz w:val="21"/>
                <w:szCs w:val="21"/>
              </w:rPr>
              <w:t>, vol. 88, no. 2, pp. F124–7.</w:t>
            </w:r>
            <w:r w:rsidRPr="007B5825">
              <w:rPr>
                <w:rFonts w:asciiTheme="minorHAnsi" w:hAnsiTheme="minorHAnsi" w:cs="Helvetica"/>
                <w:color w:val="333333"/>
                <w:sz w:val="21"/>
                <w:szCs w:val="21"/>
              </w:rPr>
              <w:br/>
            </w:r>
            <w:r w:rsidRPr="007B5825">
              <w:rPr>
                <w:rFonts w:asciiTheme="minorHAnsi" w:hAnsiTheme="minorHAnsi" w:cs="Helvetica"/>
                <w:color w:val="333333"/>
                <w:sz w:val="21"/>
                <w:szCs w:val="21"/>
              </w:rPr>
              <w:br/>
            </w:r>
            <w:proofErr w:type="spellStart"/>
            <w:r w:rsidRPr="007B5825">
              <w:rPr>
                <w:rFonts w:asciiTheme="minorHAnsi" w:hAnsiTheme="minorHAnsi" w:cs="Helvetica"/>
                <w:color w:val="333333"/>
                <w:sz w:val="21"/>
                <w:szCs w:val="21"/>
              </w:rPr>
              <w:t>Knisely</w:t>
            </w:r>
            <w:proofErr w:type="spellEnd"/>
            <w:r w:rsidRPr="007B5825">
              <w:rPr>
                <w:rFonts w:asciiTheme="minorHAnsi" w:hAnsiTheme="minorHAnsi" w:cs="Helvetica"/>
                <w:color w:val="333333"/>
                <w:sz w:val="21"/>
                <w:szCs w:val="21"/>
              </w:rPr>
              <w:t xml:space="preserve">, AS, </w:t>
            </w:r>
            <w:proofErr w:type="spellStart"/>
            <w:r w:rsidRPr="007B5825">
              <w:rPr>
                <w:rFonts w:asciiTheme="minorHAnsi" w:hAnsiTheme="minorHAnsi" w:cs="Helvetica"/>
                <w:color w:val="333333"/>
                <w:sz w:val="21"/>
                <w:szCs w:val="21"/>
              </w:rPr>
              <w:t>Mieli-Vergani</w:t>
            </w:r>
            <w:proofErr w:type="spellEnd"/>
            <w:r w:rsidRPr="007B5825">
              <w:rPr>
                <w:rFonts w:asciiTheme="minorHAnsi" w:hAnsiTheme="minorHAnsi" w:cs="Helvetica"/>
                <w:color w:val="333333"/>
                <w:sz w:val="21"/>
                <w:szCs w:val="21"/>
              </w:rPr>
              <w:t xml:space="preserve">, G &amp; </w:t>
            </w:r>
            <w:proofErr w:type="spellStart"/>
            <w:r w:rsidRPr="007B5825">
              <w:rPr>
                <w:rFonts w:asciiTheme="minorHAnsi" w:hAnsiTheme="minorHAnsi" w:cs="Helvetica"/>
                <w:color w:val="333333"/>
                <w:sz w:val="21"/>
                <w:szCs w:val="21"/>
              </w:rPr>
              <w:t>Whitington</w:t>
            </w:r>
            <w:proofErr w:type="spellEnd"/>
            <w:r w:rsidRPr="007B5825">
              <w:rPr>
                <w:rFonts w:asciiTheme="minorHAnsi" w:hAnsiTheme="minorHAnsi" w:cs="Helvetica"/>
                <w:color w:val="333333"/>
                <w:sz w:val="21"/>
                <w:szCs w:val="21"/>
              </w:rPr>
              <w:t xml:space="preserve">, PF 2003, ‘Neonatal </w:t>
            </w:r>
            <w:proofErr w:type="spellStart"/>
            <w:r w:rsidRPr="007B5825">
              <w:rPr>
                <w:rFonts w:asciiTheme="minorHAnsi" w:hAnsiTheme="minorHAnsi" w:cs="Helvetica"/>
                <w:color w:val="333333"/>
                <w:sz w:val="21"/>
                <w:szCs w:val="21"/>
              </w:rPr>
              <w:t>haemochromatosis</w:t>
            </w:r>
            <w:proofErr w:type="spellEnd"/>
            <w:r w:rsidRPr="007B5825">
              <w:rPr>
                <w:rFonts w:asciiTheme="minorHAnsi" w:hAnsiTheme="minorHAnsi" w:cs="Helvetica"/>
                <w:color w:val="333333"/>
                <w:sz w:val="21"/>
                <w:szCs w:val="21"/>
              </w:rPr>
              <w:t xml:space="preserve">’, </w:t>
            </w:r>
            <w:r w:rsidRPr="007B5825">
              <w:rPr>
                <w:rStyle w:val="Emphasis"/>
                <w:rFonts w:asciiTheme="minorHAnsi" w:hAnsiTheme="minorHAnsi" w:cs="Helvetica"/>
                <w:color w:val="333333"/>
                <w:sz w:val="21"/>
                <w:szCs w:val="21"/>
              </w:rPr>
              <w:t>Gastroenterology Clinics of North America</w:t>
            </w:r>
            <w:r w:rsidRPr="007B5825">
              <w:rPr>
                <w:rFonts w:asciiTheme="minorHAnsi" w:hAnsiTheme="minorHAnsi" w:cs="Helvetica"/>
                <w:color w:val="333333"/>
                <w:sz w:val="21"/>
                <w:szCs w:val="21"/>
              </w:rPr>
              <w:t>, vol. 32, no. 3, pp. 877–89, vi–vii.</w:t>
            </w:r>
            <w:r w:rsidRPr="007B5825">
              <w:rPr>
                <w:rFonts w:asciiTheme="minorHAnsi" w:hAnsiTheme="minorHAnsi" w:cs="Helvetica"/>
                <w:color w:val="333333"/>
                <w:sz w:val="21"/>
                <w:szCs w:val="21"/>
              </w:rPr>
              <w:br/>
            </w:r>
            <w:r w:rsidRPr="007B5825">
              <w:rPr>
                <w:rFonts w:asciiTheme="minorHAnsi" w:hAnsiTheme="minorHAnsi" w:cs="Helvetica"/>
                <w:color w:val="333333"/>
                <w:sz w:val="21"/>
                <w:szCs w:val="21"/>
              </w:rPr>
              <w:br/>
              <w:t xml:space="preserve">Rand, EB, </w:t>
            </w:r>
            <w:proofErr w:type="spellStart"/>
            <w:r w:rsidRPr="007B5825">
              <w:rPr>
                <w:rFonts w:asciiTheme="minorHAnsi" w:hAnsiTheme="minorHAnsi" w:cs="Helvetica"/>
                <w:color w:val="333333"/>
                <w:sz w:val="21"/>
                <w:szCs w:val="21"/>
              </w:rPr>
              <w:t>Karpen</w:t>
            </w:r>
            <w:proofErr w:type="spellEnd"/>
            <w:r w:rsidRPr="007B5825">
              <w:rPr>
                <w:rFonts w:asciiTheme="minorHAnsi" w:hAnsiTheme="minorHAnsi" w:cs="Helvetica"/>
                <w:color w:val="333333"/>
                <w:sz w:val="21"/>
                <w:szCs w:val="21"/>
              </w:rPr>
              <w:t xml:space="preserve">, SJ, Kelly, S, et al 2009, ‘Treatment of hemochromatosis with exchange transfusion and intravenous immunoglobulin’, </w:t>
            </w:r>
            <w:r w:rsidRPr="007B5825">
              <w:rPr>
                <w:rStyle w:val="Emphasis"/>
                <w:rFonts w:asciiTheme="minorHAnsi" w:hAnsiTheme="minorHAnsi" w:cs="Helvetica"/>
                <w:color w:val="333333"/>
                <w:sz w:val="21"/>
                <w:szCs w:val="21"/>
              </w:rPr>
              <w:t xml:space="preserve">Journal of </w:t>
            </w:r>
            <w:proofErr w:type="spellStart"/>
            <w:r w:rsidRPr="007B5825">
              <w:rPr>
                <w:rStyle w:val="Emphasis"/>
                <w:rFonts w:asciiTheme="minorHAnsi" w:hAnsiTheme="minorHAnsi" w:cs="Helvetica"/>
                <w:color w:val="333333"/>
                <w:sz w:val="21"/>
                <w:szCs w:val="21"/>
              </w:rPr>
              <w:t>Pediatrics</w:t>
            </w:r>
            <w:proofErr w:type="spellEnd"/>
            <w:r w:rsidRPr="007B5825">
              <w:rPr>
                <w:rStyle w:val="Emphasis"/>
                <w:rFonts w:asciiTheme="minorHAnsi" w:hAnsiTheme="minorHAnsi" w:cs="Helvetica"/>
                <w:color w:val="333333"/>
                <w:sz w:val="21"/>
                <w:szCs w:val="21"/>
              </w:rPr>
              <w:t>,</w:t>
            </w:r>
            <w:r w:rsidRPr="007B5825">
              <w:rPr>
                <w:rFonts w:asciiTheme="minorHAnsi" w:hAnsiTheme="minorHAnsi" w:cs="Helvetica"/>
                <w:color w:val="333333"/>
                <w:sz w:val="21"/>
                <w:szCs w:val="21"/>
              </w:rPr>
              <w:t xml:space="preserve"> vol. 155, no. 4, pp. 566–71.</w:t>
            </w:r>
            <w:r w:rsidRPr="007B5825">
              <w:rPr>
                <w:rFonts w:asciiTheme="minorHAnsi" w:hAnsiTheme="minorHAnsi" w:cs="Helvetica"/>
                <w:color w:val="333333"/>
                <w:sz w:val="21"/>
                <w:szCs w:val="21"/>
              </w:rPr>
              <w:br/>
            </w:r>
            <w:r w:rsidRPr="007B5825">
              <w:rPr>
                <w:rFonts w:asciiTheme="minorHAnsi" w:hAnsiTheme="minorHAnsi" w:cs="Helvetica"/>
                <w:color w:val="333333"/>
                <w:sz w:val="21"/>
                <w:szCs w:val="21"/>
              </w:rPr>
              <w:br/>
              <w:t xml:space="preserve">Rodriguez, F, </w:t>
            </w:r>
            <w:proofErr w:type="spellStart"/>
            <w:r w:rsidRPr="007B5825">
              <w:rPr>
                <w:rFonts w:asciiTheme="minorHAnsi" w:hAnsiTheme="minorHAnsi" w:cs="Helvetica"/>
                <w:color w:val="333333"/>
                <w:sz w:val="21"/>
                <w:szCs w:val="21"/>
              </w:rPr>
              <w:t>Kallas</w:t>
            </w:r>
            <w:proofErr w:type="spellEnd"/>
            <w:r w:rsidRPr="007B5825">
              <w:rPr>
                <w:rFonts w:asciiTheme="minorHAnsi" w:hAnsiTheme="minorHAnsi" w:cs="Helvetica"/>
                <w:color w:val="333333"/>
                <w:sz w:val="21"/>
                <w:szCs w:val="21"/>
              </w:rPr>
              <w:t xml:space="preserve">, M, Nash, R, et al 2005, ‘Neonatal </w:t>
            </w:r>
            <w:proofErr w:type="spellStart"/>
            <w:r w:rsidRPr="007B5825">
              <w:rPr>
                <w:rFonts w:asciiTheme="minorHAnsi" w:hAnsiTheme="minorHAnsi" w:cs="Helvetica"/>
                <w:color w:val="333333"/>
                <w:sz w:val="21"/>
                <w:szCs w:val="21"/>
              </w:rPr>
              <w:t>haemochromatosis</w:t>
            </w:r>
            <w:proofErr w:type="spellEnd"/>
            <w:r w:rsidRPr="007B5825">
              <w:rPr>
                <w:rFonts w:asciiTheme="minorHAnsi" w:hAnsiTheme="minorHAnsi" w:cs="Helvetica"/>
                <w:color w:val="333333"/>
                <w:sz w:val="21"/>
                <w:szCs w:val="21"/>
              </w:rPr>
              <w:t xml:space="preserve"> – medical treatment vs. transplantation: the King’s experience’, </w:t>
            </w:r>
            <w:r w:rsidRPr="007B5825">
              <w:rPr>
                <w:rStyle w:val="Emphasis"/>
                <w:rFonts w:asciiTheme="minorHAnsi" w:hAnsiTheme="minorHAnsi" w:cs="Helvetica"/>
                <w:color w:val="333333"/>
                <w:sz w:val="21"/>
                <w:szCs w:val="21"/>
              </w:rPr>
              <w:t>Liver Transplantation</w:t>
            </w:r>
            <w:r w:rsidRPr="007B5825">
              <w:rPr>
                <w:rFonts w:asciiTheme="minorHAnsi" w:hAnsiTheme="minorHAnsi" w:cs="Helvetica"/>
                <w:color w:val="333333"/>
                <w:sz w:val="21"/>
                <w:szCs w:val="21"/>
              </w:rPr>
              <w:t>, vol. 11, no. 11, pp. 1417–24.</w:t>
            </w:r>
            <w:r w:rsidRPr="007B5825">
              <w:rPr>
                <w:rFonts w:asciiTheme="minorHAnsi" w:hAnsiTheme="minorHAnsi" w:cs="Helvetica"/>
                <w:color w:val="333333"/>
                <w:sz w:val="21"/>
                <w:szCs w:val="21"/>
              </w:rPr>
              <w:br/>
            </w:r>
            <w:r w:rsidRPr="007B5825">
              <w:rPr>
                <w:rFonts w:asciiTheme="minorHAnsi" w:hAnsiTheme="minorHAnsi" w:cs="Helvetica"/>
                <w:color w:val="333333"/>
                <w:sz w:val="21"/>
                <w:szCs w:val="21"/>
              </w:rPr>
              <w:br/>
              <w:t xml:space="preserve">Schneider, BL 1996, ‘Neonatal liver failure’, </w:t>
            </w:r>
            <w:r w:rsidRPr="007B5825">
              <w:rPr>
                <w:rStyle w:val="Emphasis"/>
                <w:rFonts w:asciiTheme="minorHAnsi" w:hAnsiTheme="minorHAnsi" w:cs="Helvetica"/>
                <w:color w:val="333333"/>
                <w:sz w:val="21"/>
                <w:szCs w:val="21"/>
              </w:rPr>
              <w:t xml:space="preserve">Current Opinion in Paediatrics, </w:t>
            </w:r>
            <w:r w:rsidRPr="007B5825">
              <w:rPr>
                <w:rFonts w:asciiTheme="minorHAnsi" w:hAnsiTheme="minorHAnsi" w:cs="Helvetica"/>
                <w:color w:val="333333"/>
                <w:sz w:val="21"/>
                <w:szCs w:val="21"/>
              </w:rPr>
              <w:t>vol. 8, pp. 495–501.</w:t>
            </w:r>
            <w:r w:rsidRPr="007B5825">
              <w:rPr>
                <w:rFonts w:asciiTheme="minorHAnsi" w:hAnsiTheme="minorHAnsi" w:cs="Helvetica"/>
                <w:color w:val="333333"/>
                <w:sz w:val="21"/>
                <w:szCs w:val="21"/>
              </w:rPr>
              <w:br/>
            </w:r>
            <w:r w:rsidRPr="007B5825">
              <w:rPr>
                <w:rFonts w:asciiTheme="minorHAnsi" w:hAnsiTheme="minorHAnsi" w:cs="Helvetica"/>
                <w:color w:val="333333"/>
                <w:sz w:val="21"/>
                <w:szCs w:val="21"/>
              </w:rPr>
              <w:br/>
              <w:t xml:space="preserve">Whittington, PF &amp; Hibbard, JU 2004, ‘High-dose immunoglobulin during pregnancy for recurrent neonatal </w:t>
            </w:r>
            <w:proofErr w:type="spellStart"/>
            <w:r w:rsidRPr="007B5825">
              <w:rPr>
                <w:rFonts w:asciiTheme="minorHAnsi" w:hAnsiTheme="minorHAnsi" w:cs="Helvetica"/>
                <w:color w:val="333333"/>
                <w:sz w:val="21"/>
                <w:szCs w:val="21"/>
              </w:rPr>
              <w:t>haemochromatosis</w:t>
            </w:r>
            <w:proofErr w:type="spellEnd"/>
            <w:r w:rsidRPr="007B5825">
              <w:rPr>
                <w:rFonts w:asciiTheme="minorHAnsi" w:hAnsiTheme="minorHAnsi" w:cs="Helvetica"/>
                <w:color w:val="333333"/>
                <w:sz w:val="21"/>
                <w:szCs w:val="21"/>
              </w:rPr>
              <w:t xml:space="preserve">’, </w:t>
            </w:r>
            <w:r w:rsidRPr="007B5825">
              <w:rPr>
                <w:rStyle w:val="Emphasis"/>
                <w:rFonts w:asciiTheme="minorHAnsi" w:hAnsiTheme="minorHAnsi" w:cs="Helvetica"/>
                <w:color w:val="333333"/>
                <w:sz w:val="21"/>
                <w:szCs w:val="21"/>
              </w:rPr>
              <w:t>Lancet</w:t>
            </w:r>
            <w:r w:rsidRPr="007B5825">
              <w:rPr>
                <w:rFonts w:asciiTheme="minorHAnsi" w:hAnsiTheme="minorHAnsi" w:cs="Helvetica"/>
                <w:color w:val="333333"/>
                <w:sz w:val="21"/>
                <w:szCs w:val="21"/>
              </w:rPr>
              <w:t>, vol. 364, pp. 1690–8.</w:t>
            </w:r>
            <w:r w:rsidRPr="007B5825">
              <w:rPr>
                <w:rFonts w:asciiTheme="minorHAnsi" w:hAnsiTheme="minorHAnsi" w:cs="Helvetica"/>
                <w:color w:val="333333"/>
                <w:sz w:val="21"/>
                <w:szCs w:val="21"/>
              </w:rPr>
              <w:br/>
            </w:r>
            <w:r w:rsidRPr="007B5825">
              <w:rPr>
                <w:rFonts w:asciiTheme="minorHAnsi" w:hAnsiTheme="minorHAnsi" w:cs="Helvetica"/>
                <w:color w:val="333333"/>
                <w:sz w:val="21"/>
                <w:szCs w:val="21"/>
              </w:rPr>
              <w:br/>
              <w:t xml:space="preserve">Whittington, PF, Kelly, S &amp; </w:t>
            </w:r>
            <w:proofErr w:type="spellStart"/>
            <w:r w:rsidRPr="007B5825">
              <w:rPr>
                <w:rFonts w:asciiTheme="minorHAnsi" w:hAnsiTheme="minorHAnsi" w:cs="Helvetica"/>
                <w:color w:val="333333"/>
                <w:sz w:val="21"/>
                <w:szCs w:val="21"/>
              </w:rPr>
              <w:t>Ekong</w:t>
            </w:r>
            <w:proofErr w:type="spellEnd"/>
            <w:r w:rsidRPr="007B5825">
              <w:rPr>
                <w:rFonts w:asciiTheme="minorHAnsi" w:hAnsiTheme="minorHAnsi" w:cs="Helvetica"/>
                <w:color w:val="333333"/>
                <w:sz w:val="21"/>
                <w:szCs w:val="21"/>
              </w:rPr>
              <w:t xml:space="preserve">, UD 2005, ‘Neonatal </w:t>
            </w:r>
            <w:proofErr w:type="spellStart"/>
            <w:r w:rsidRPr="007B5825">
              <w:rPr>
                <w:rFonts w:asciiTheme="minorHAnsi" w:hAnsiTheme="minorHAnsi" w:cs="Helvetica"/>
                <w:color w:val="333333"/>
                <w:sz w:val="21"/>
                <w:szCs w:val="21"/>
              </w:rPr>
              <w:t>haemochromatosis</w:t>
            </w:r>
            <w:proofErr w:type="spellEnd"/>
            <w:r w:rsidRPr="007B5825">
              <w:rPr>
                <w:rFonts w:asciiTheme="minorHAnsi" w:hAnsiTheme="minorHAnsi" w:cs="Helvetica"/>
                <w:color w:val="333333"/>
                <w:sz w:val="21"/>
                <w:szCs w:val="21"/>
              </w:rPr>
              <w:t xml:space="preserve">: foetal liver disease leading to liver failure in the foetus and newborn’, </w:t>
            </w:r>
            <w:r w:rsidRPr="007B5825">
              <w:rPr>
                <w:rStyle w:val="Emphasis"/>
                <w:rFonts w:asciiTheme="minorHAnsi" w:hAnsiTheme="minorHAnsi" w:cs="Helvetica"/>
                <w:color w:val="333333"/>
                <w:sz w:val="21"/>
                <w:szCs w:val="21"/>
              </w:rPr>
              <w:t>Paediatric Transplantation</w:t>
            </w:r>
            <w:r w:rsidRPr="007B5825">
              <w:rPr>
                <w:rFonts w:asciiTheme="minorHAnsi" w:hAnsiTheme="minorHAnsi" w:cs="Helvetica"/>
                <w:color w:val="333333"/>
                <w:sz w:val="21"/>
                <w:szCs w:val="21"/>
              </w:rPr>
              <w:t>, vol. 9, pp. 640–5.</w:t>
            </w:r>
          </w:p>
        </w:tc>
      </w:tr>
      <w:tr w:rsidR="00B9002B" w:rsidRPr="0054529B" w14:paraId="56DF5EE9" w14:textId="77777777" w:rsidTr="000C159B">
        <w:tc>
          <w:tcPr>
            <w:tcW w:w="15637" w:type="dxa"/>
            <w:gridSpan w:val="7"/>
            <w:shd w:val="clear" w:color="auto" w:fill="DBE5F1" w:themeFill="accent1" w:themeFillTint="33"/>
          </w:tcPr>
          <w:p w14:paraId="5F9449C8" w14:textId="77777777" w:rsidR="00B9002B" w:rsidRPr="0054529B" w:rsidRDefault="00B9002B" w:rsidP="00531EC4">
            <w:pPr>
              <w:spacing w:before="120" w:after="120"/>
              <w:jc w:val="center"/>
              <w:rPr>
                <w:rFonts w:asciiTheme="minorHAnsi" w:hAnsiTheme="minorHAnsi"/>
                <w:b/>
              </w:rPr>
            </w:pPr>
            <w:r w:rsidRPr="0054529B">
              <w:rPr>
                <w:rFonts w:asciiTheme="minorHAnsi" w:hAnsiTheme="minorHAnsi"/>
                <w:b/>
              </w:rPr>
              <w:t>END OF DOCUMENT</w:t>
            </w:r>
          </w:p>
        </w:tc>
      </w:tr>
    </w:tbl>
    <w:p w14:paraId="56C4F5C3" w14:textId="513E5BCE" w:rsidR="00401119" w:rsidRPr="0054529B" w:rsidRDefault="00401119" w:rsidP="00DA29E8">
      <w:pPr>
        <w:pStyle w:val="NormalWeb"/>
        <w:spacing w:line="360" w:lineRule="atLeast"/>
        <w:rPr>
          <w:b/>
          <w:bCs/>
          <w:color w:val="FFFFFF"/>
        </w:rPr>
      </w:pPr>
    </w:p>
    <w:sectPr w:rsidR="00401119" w:rsidRPr="0054529B" w:rsidSect="00DA29E8">
      <w:headerReference w:type="even" r:id="rId14"/>
      <w:footerReference w:type="default" r:id="rId15"/>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E83DB7" w:rsidRDefault="00E83DB7" w:rsidP="00856708">
      <w:pPr>
        <w:spacing w:after="0"/>
      </w:pPr>
      <w:r>
        <w:separator/>
      </w:r>
    </w:p>
  </w:endnote>
  <w:endnote w:type="continuationSeparator" w:id="0">
    <w:p w14:paraId="3BD488C1" w14:textId="77777777" w:rsidR="00E83DB7" w:rsidRDefault="00E83DB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E83DB7" w:rsidRPr="00856708" w:rsidRDefault="00E83DB7"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B5825">
      <w:rPr>
        <w:noProof/>
        <w:sz w:val="20"/>
        <w:szCs w:val="20"/>
      </w:rPr>
      <w:t>5</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E83DB7" w:rsidRDefault="00E83DB7" w:rsidP="00856708">
      <w:pPr>
        <w:spacing w:after="0"/>
      </w:pPr>
      <w:r>
        <w:separator/>
      </w:r>
    </w:p>
  </w:footnote>
  <w:footnote w:type="continuationSeparator" w:id="0">
    <w:p w14:paraId="053F1952" w14:textId="77777777" w:rsidR="00E83DB7" w:rsidRDefault="00E83DB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E83DB7" w:rsidRDefault="007B5825">
    <w:pPr>
      <w:pStyle w:val="Header"/>
    </w:pPr>
    <w:sdt>
      <w:sdtPr>
        <w:id w:val="171999623"/>
        <w:placeholder>
          <w:docPart w:val="4318DC39B0B5714AA1272BAEF2DE62E2"/>
        </w:placeholder>
        <w:temporary/>
        <w:showingPlcHdr/>
      </w:sdtPr>
      <w:sdtEndPr/>
      <w:sdtContent>
        <w:r w:rsidR="00E83DB7">
          <w:t>[Type text]</w:t>
        </w:r>
      </w:sdtContent>
    </w:sdt>
    <w:r w:rsidR="00E83DB7">
      <w:ptab w:relativeTo="margin" w:alignment="center" w:leader="none"/>
    </w:r>
    <w:sdt>
      <w:sdtPr>
        <w:id w:val="171999624"/>
        <w:placeholder>
          <w:docPart w:val="255F24039E3CD646BF4EC89E9F52221B"/>
        </w:placeholder>
        <w:temporary/>
        <w:showingPlcHdr/>
      </w:sdtPr>
      <w:sdtEndPr/>
      <w:sdtContent>
        <w:r w:rsidR="00E83DB7">
          <w:t>[Type text]</w:t>
        </w:r>
      </w:sdtContent>
    </w:sdt>
    <w:r w:rsidR="00E83DB7">
      <w:ptab w:relativeTo="margin" w:alignment="right" w:leader="none"/>
    </w:r>
    <w:sdt>
      <w:sdtPr>
        <w:id w:val="171999625"/>
        <w:placeholder>
          <w:docPart w:val="B2E672F6A46DC34D85472E78455D4ECB"/>
        </w:placeholder>
        <w:temporary/>
        <w:showingPlcHdr/>
      </w:sdtPr>
      <w:sdtEndPr/>
      <w:sdtContent>
        <w:r w:rsidR="00E83DB7">
          <w:t>[Type text]</w:t>
        </w:r>
      </w:sdtContent>
    </w:sdt>
  </w:p>
  <w:p w14:paraId="1DFDD247" w14:textId="77777777" w:rsidR="00E83DB7" w:rsidRDefault="00E83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377"/>
    <w:multiLevelType w:val="hybridMultilevel"/>
    <w:tmpl w:val="4B72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70204"/>
    <w:multiLevelType w:val="hybridMultilevel"/>
    <w:tmpl w:val="8A3A5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3B0FCE"/>
    <w:multiLevelType w:val="hybridMultilevel"/>
    <w:tmpl w:val="0938143C"/>
    <w:lvl w:ilvl="0" w:tplc="EEF4CBB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70AFB"/>
    <w:multiLevelType w:val="hybridMultilevel"/>
    <w:tmpl w:val="F814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2546E"/>
    <w:multiLevelType w:val="hybridMultilevel"/>
    <w:tmpl w:val="896A25BA"/>
    <w:lvl w:ilvl="0" w:tplc="EEF4CBB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78740E"/>
    <w:multiLevelType w:val="hybridMultilevel"/>
    <w:tmpl w:val="0976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6"/>
  </w:num>
  <w:num w:numId="3">
    <w:abstractNumId w:val="3"/>
  </w:num>
  <w:num w:numId="4">
    <w:abstractNumId w:val="12"/>
  </w:num>
  <w:num w:numId="5">
    <w:abstractNumId w:val="19"/>
  </w:num>
  <w:num w:numId="6">
    <w:abstractNumId w:val="22"/>
  </w:num>
  <w:num w:numId="7">
    <w:abstractNumId w:val="20"/>
  </w:num>
  <w:num w:numId="8">
    <w:abstractNumId w:val="15"/>
  </w:num>
  <w:num w:numId="9">
    <w:abstractNumId w:val="5"/>
  </w:num>
  <w:num w:numId="10">
    <w:abstractNumId w:val="10"/>
  </w:num>
  <w:num w:numId="11">
    <w:abstractNumId w:val="24"/>
  </w:num>
  <w:num w:numId="12">
    <w:abstractNumId w:val="2"/>
  </w:num>
  <w:num w:numId="13">
    <w:abstractNumId w:val="18"/>
  </w:num>
  <w:num w:numId="14">
    <w:abstractNumId w:val="23"/>
  </w:num>
  <w:num w:numId="15">
    <w:abstractNumId w:val="13"/>
  </w:num>
  <w:num w:numId="16">
    <w:abstractNumId w:val="1"/>
  </w:num>
  <w:num w:numId="17">
    <w:abstractNumId w:val="14"/>
  </w:num>
  <w:num w:numId="18">
    <w:abstractNumId w:val="4"/>
  </w:num>
  <w:num w:numId="19">
    <w:abstractNumId w:val="7"/>
  </w:num>
  <w:num w:numId="20">
    <w:abstractNumId w:val="17"/>
  </w:num>
  <w:num w:numId="21">
    <w:abstractNumId w:val="9"/>
  </w:num>
  <w:num w:numId="22">
    <w:abstractNumId w:val="21"/>
  </w:num>
  <w:num w:numId="23">
    <w:abstractNumId w:val="8"/>
  </w:num>
  <w:num w:numId="24">
    <w:abstractNumId w:val="16"/>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3D82"/>
    <w:rsid w:val="000648B7"/>
    <w:rsid w:val="000666FC"/>
    <w:rsid w:val="0006713B"/>
    <w:rsid w:val="00070ABB"/>
    <w:rsid w:val="00070E7B"/>
    <w:rsid w:val="000725A5"/>
    <w:rsid w:val="00083485"/>
    <w:rsid w:val="000860B9"/>
    <w:rsid w:val="000B12CB"/>
    <w:rsid w:val="000B40A7"/>
    <w:rsid w:val="000C033B"/>
    <w:rsid w:val="000C159B"/>
    <w:rsid w:val="000C5A6D"/>
    <w:rsid w:val="000D2614"/>
    <w:rsid w:val="000E2EB1"/>
    <w:rsid w:val="00100457"/>
    <w:rsid w:val="00105D8F"/>
    <w:rsid w:val="001247EB"/>
    <w:rsid w:val="00125082"/>
    <w:rsid w:val="00126E6D"/>
    <w:rsid w:val="00133F9F"/>
    <w:rsid w:val="0015477B"/>
    <w:rsid w:val="00154F1C"/>
    <w:rsid w:val="001553D2"/>
    <w:rsid w:val="00175C82"/>
    <w:rsid w:val="00183BAB"/>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21C9F"/>
    <w:rsid w:val="00225477"/>
    <w:rsid w:val="0023523E"/>
    <w:rsid w:val="002443F8"/>
    <w:rsid w:val="0024548E"/>
    <w:rsid w:val="002531E7"/>
    <w:rsid w:val="002537F2"/>
    <w:rsid w:val="002608B9"/>
    <w:rsid w:val="00260AB3"/>
    <w:rsid w:val="00271AA0"/>
    <w:rsid w:val="00275108"/>
    <w:rsid w:val="00287F96"/>
    <w:rsid w:val="00295CD3"/>
    <w:rsid w:val="002B7C81"/>
    <w:rsid w:val="002D0D26"/>
    <w:rsid w:val="002E7263"/>
    <w:rsid w:val="002F2EF0"/>
    <w:rsid w:val="002F3C9E"/>
    <w:rsid w:val="003135AA"/>
    <w:rsid w:val="0032018C"/>
    <w:rsid w:val="00325297"/>
    <w:rsid w:val="003279B9"/>
    <w:rsid w:val="003440C1"/>
    <w:rsid w:val="00344F8E"/>
    <w:rsid w:val="00345163"/>
    <w:rsid w:val="003512A4"/>
    <w:rsid w:val="00370E54"/>
    <w:rsid w:val="00375B4C"/>
    <w:rsid w:val="00396DC9"/>
    <w:rsid w:val="003A1CDF"/>
    <w:rsid w:val="003A331F"/>
    <w:rsid w:val="003B28FA"/>
    <w:rsid w:val="003D1E94"/>
    <w:rsid w:val="003D27F1"/>
    <w:rsid w:val="003E7D3B"/>
    <w:rsid w:val="00401119"/>
    <w:rsid w:val="00405321"/>
    <w:rsid w:val="00427894"/>
    <w:rsid w:val="004464E3"/>
    <w:rsid w:val="00460480"/>
    <w:rsid w:val="004607DE"/>
    <w:rsid w:val="00461AB0"/>
    <w:rsid w:val="004825CB"/>
    <w:rsid w:val="00496C05"/>
    <w:rsid w:val="004971CE"/>
    <w:rsid w:val="004B0BBD"/>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4529B"/>
    <w:rsid w:val="005533AE"/>
    <w:rsid w:val="00555B41"/>
    <w:rsid w:val="00557266"/>
    <w:rsid w:val="00562489"/>
    <w:rsid w:val="00571E8E"/>
    <w:rsid w:val="00572393"/>
    <w:rsid w:val="0058089D"/>
    <w:rsid w:val="00580D93"/>
    <w:rsid w:val="00586D24"/>
    <w:rsid w:val="005874DB"/>
    <w:rsid w:val="005938D0"/>
    <w:rsid w:val="005B1275"/>
    <w:rsid w:val="005C23AD"/>
    <w:rsid w:val="005C55D0"/>
    <w:rsid w:val="005D41A3"/>
    <w:rsid w:val="005D4EEE"/>
    <w:rsid w:val="005D64B9"/>
    <w:rsid w:val="005E2598"/>
    <w:rsid w:val="005E3562"/>
    <w:rsid w:val="005F6D36"/>
    <w:rsid w:val="006134F8"/>
    <w:rsid w:val="006542B9"/>
    <w:rsid w:val="006562E8"/>
    <w:rsid w:val="00671C69"/>
    <w:rsid w:val="006771CE"/>
    <w:rsid w:val="00685779"/>
    <w:rsid w:val="006909F4"/>
    <w:rsid w:val="00695F52"/>
    <w:rsid w:val="006B0F84"/>
    <w:rsid w:val="006B2B0F"/>
    <w:rsid w:val="006C3D7C"/>
    <w:rsid w:val="006C4643"/>
    <w:rsid w:val="006D6C0C"/>
    <w:rsid w:val="006E147E"/>
    <w:rsid w:val="006E434F"/>
    <w:rsid w:val="007153DA"/>
    <w:rsid w:val="00717D84"/>
    <w:rsid w:val="00725750"/>
    <w:rsid w:val="007322C3"/>
    <w:rsid w:val="007342DB"/>
    <w:rsid w:val="00741F50"/>
    <w:rsid w:val="00742B78"/>
    <w:rsid w:val="0074479F"/>
    <w:rsid w:val="00744CEC"/>
    <w:rsid w:val="007528F5"/>
    <w:rsid w:val="00767F78"/>
    <w:rsid w:val="00780598"/>
    <w:rsid w:val="0078301C"/>
    <w:rsid w:val="00785DA4"/>
    <w:rsid w:val="00795ACA"/>
    <w:rsid w:val="007A2B44"/>
    <w:rsid w:val="007A4C4E"/>
    <w:rsid w:val="007B4075"/>
    <w:rsid w:val="007B5825"/>
    <w:rsid w:val="007B71C8"/>
    <w:rsid w:val="007C0216"/>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72A85"/>
    <w:rsid w:val="00883368"/>
    <w:rsid w:val="00886AC7"/>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836EC"/>
    <w:rsid w:val="00991FB8"/>
    <w:rsid w:val="009A7641"/>
    <w:rsid w:val="009C16DA"/>
    <w:rsid w:val="009C2E16"/>
    <w:rsid w:val="009C4CA4"/>
    <w:rsid w:val="009D19EE"/>
    <w:rsid w:val="009E38CC"/>
    <w:rsid w:val="009E5588"/>
    <w:rsid w:val="009E5681"/>
    <w:rsid w:val="00A01274"/>
    <w:rsid w:val="00A1080E"/>
    <w:rsid w:val="00A138FA"/>
    <w:rsid w:val="00A23319"/>
    <w:rsid w:val="00A445C4"/>
    <w:rsid w:val="00A5345D"/>
    <w:rsid w:val="00A57A03"/>
    <w:rsid w:val="00A60FCB"/>
    <w:rsid w:val="00A71FD8"/>
    <w:rsid w:val="00A77FB6"/>
    <w:rsid w:val="00A86DC6"/>
    <w:rsid w:val="00A9161D"/>
    <w:rsid w:val="00A96745"/>
    <w:rsid w:val="00AB465F"/>
    <w:rsid w:val="00AB75DD"/>
    <w:rsid w:val="00AC5F0B"/>
    <w:rsid w:val="00AC612A"/>
    <w:rsid w:val="00AD156D"/>
    <w:rsid w:val="00AD389B"/>
    <w:rsid w:val="00AE0DE0"/>
    <w:rsid w:val="00AE53FC"/>
    <w:rsid w:val="00AF5B79"/>
    <w:rsid w:val="00AF650A"/>
    <w:rsid w:val="00B10F26"/>
    <w:rsid w:val="00B11B17"/>
    <w:rsid w:val="00B27962"/>
    <w:rsid w:val="00B32820"/>
    <w:rsid w:val="00B3726E"/>
    <w:rsid w:val="00B37382"/>
    <w:rsid w:val="00B4181A"/>
    <w:rsid w:val="00B44EA3"/>
    <w:rsid w:val="00B4755B"/>
    <w:rsid w:val="00B50D87"/>
    <w:rsid w:val="00B52FBD"/>
    <w:rsid w:val="00B57717"/>
    <w:rsid w:val="00B771B8"/>
    <w:rsid w:val="00B77CE3"/>
    <w:rsid w:val="00B8323E"/>
    <w:rsid w:val="00B9002B"/>
    <w:rsid w:val="00B926C4"/>
    <w:rsid w:val="00B94604"/>
    <w:rsid w:val="00BA1EBD"/>
    <w:rsid w:val="00BA313A"/>
    <w:rsid w:val="00BC7BCC"/>
    <w:rsid w:val="00BD341A"/>
    <w:rsid w:val="00BD5EB8"/>
    <w:rsid w:val="00BD637C"/>
    <w:rsid w:val="00BF23E8"/>
    <w:rsid w:val="00C05E1D"/>
    <w:rsid w:val="00C06419"/>
    <w:rsid w:val="00C07E96"/>
    <w:rsid w:val="00C24D0D"/>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62F40"/>
    <w:rsid w:val="00D63549"/>
    <w:rsid w:val="00D66EE0"/>
    <w:rsid w:val="00D73334"/>
    <w:rsid w:val="00D75182"/>
    <w:rsid w:val="00D764F3"/>
    <w:rsid w:val="00D9319E"/>
    <w:rsid w:val="00D93EFB"/>
    <w:rsid w:val="00DA29E8"/>
    <w:rsid w:val="00DA75F5"/>
    <w:rsid w:val="00DC55D3"/>
    <w:rsid w:val="00E0042B"/>
    <w:rsid w:val="00E05EF5"/>
    <w:rsid w:val="00E14773"/>
    <w:rsid w:val="00E231E3"/>
    <w:rsid w:val="00E24316"/>
    <w:rsid w:val="00E256D0"/>
    <w:rsid w:val="00E34794"/>
    <w:rsid w:val="00E37D31"/>
    <w:rsid w:val="00E414E1"/>
    <w:rsid w:val="00E61C55"/>
    <w:rsid w:val="00E6243A"/>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EF7B76"/>
    <w:rsid w:val="00F26FF4"/>
    <w:rsid w:val="00F31D02"/>
    <w:rsid w:val="00F42BA9"/>
    <w:rsid w:val="00F4386E"/>
    <w:rsid w:val="00F45071"/>
    <w:rsid w:val="00F56889"/>
    <w:rsid w:val="00F620F9"/>
    <w:rsid w:val="00F62275"/>
    <w:rsid w:val="00F873C6"/>
    <w:rsid w:val="00F97569"/>
    <w:rsid w:val="00FA743D"/>
    <w:rsid w:val="00FB4AB8"/>
    <w:rsid w:val="00FC6796"/>
    <w:rsid w:val="00FD0B58"/>
    <w:rsid w:val="00FE019D"/>
    <w:rsid w:val="00FE25FE"/>
    <w:rsid w:val="00FE3A39"/>
    <w:rsid w:val="00FF3D83"/>
    <w:rsid w:val="00FF66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859E0"/>
    <w:rsid w:val="0084452C"/>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2C3BAB-2C6B-458A-BD92-653F150D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6</Pages>
  <Words>1556</Words>
  <Characters>8716</Characters>
  <Application>Microsoft Office Word</Application>
  <DocSecurity>0</DocSecurity>
  <Lines>363</Lines>
  <Paragraphs>130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Melody Black</cp:lastModifiedBy>
  <cp:revision>3</cp:revision>
  <cp:lastPrinted>2014-11-11T01:42:00Z</cp:lastPrinted>
  <dcterms:created xsi:type="dcterms:W3CDTF">2015-06-12T00:33:00Z</dcterms:created>
  <dcterms:modified xsi:type="dcterms:W3CDTF">2015-06-13T16:13:00Z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