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3FFBF" w14:textId="13EB9E14" w:rsidR="00447869" w:rsidRPr="00190F6D" w:rsidRDefault="00447869" w:rsidP="00447869">
      <w:pPr>
        <w:pStyle w:val="Heading3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90F6D">
        <w:rPr>
          <w:rFonts w:asciiTheme="minorHAnsi" w:hAnsiTheme="minorHAnsi"/>
          <w:sz w:val="22"/>
          <w:szCs w:val="22"/>
        </w:rPr>
        <w:t>Specialist Working Group for Neurology</w:t>
      </w:r>
    </w:p>
    <w:p w14:paraId="76A70A8A" w14:textId="77777777" w:rsidR="00447869" w:rsidRPr="00190F6D" w:rsidRDefault="00447869" w:rsidP="00447869">
      <w:pPr>
        <w:pStyle w:val="Heading4"/>
        <w:rPr>
          <w:rFonts w:asciiTheme="minorHAnsi" w:hAnsiTheme="minorHAnsi"/>
          <w:i/>
        </w:rPr>
      </w:pPr>
      <w:r w:rsidRPr="00190F6D">
        <w:rPr>
          <w:rFonts w:asciiTheme="minorHAnsi" w:hAnsiTheme="minorHAnsi"/>
        </w:rPr>
        <w:t xml:space="preserve">Proposed changes to the </w:t>
      </w:r>
      <w:r w:rsidRPr="00190F6D">
        <w:rPr>
          <w:rFonts w:asciiTheme="minorHAnsi" w:hAnsiTheme="minorHAnsi"/>
          <w:i/>
        </w:rPr>
        <w:t>Criteria for the clinical use of intravenous immunoglobulin in Australia, Second Edition</w:t>
      </w:r>
    </w:p>
    <w:p w14:paraId="673CEA5D" w14:textId="1DDC937D" w:rsidR="00447869" w:rsidRPr="00190F6D" w:rsidRDefault="00447869" w:rsidP="00447869">
      <w:pPr>
        <w:rPr>
          <w:rFonts w:asciiTheme="minorHAnsi" w:hAnsiTheme="minorHAnsi"/>
        </w:rPr>
      </w:pPr>
    </w:p>
    <w:tbl>
      <w:tblPr>
        <w:tblStyle w:val="TableGrid"/>
        <w:tblW w:w="14601" w:type="dxa"/>
        <w:tblInd w:w="-318" w:type="dxa"/>
        <w:tblLook w:val="0680" w:firstRow="0" w:lastRow="0" w:firstColumn="1" w:lastColumn="0" w:noHBand="1" w:noVBand="1"/>
      </w:tblPr>
      <w:tblGrid>
        <w:gridCol w:w="1560"/>
        <w:gridCol w:w="4819"/>
        <w:gridCol w:w="1559"/>
        <w:gridCol w:w="1559"/>
        <w:gridCol w:w="1560"/>
        <w:gridCol w:w="3544"/>
      </w:tblGrid>
      <w:tr w:rsidR="00447869" w:rsidRPr="00447869" w14:paraId="3482A9BE" w14:textId="77777777" w:rsidTr="00447869">
        <w:trPr>
          <w:tblHeader/>
        </w:trPr>
        <w:tc>
          <w:tcPr>
            <w:tcW w:w="1560" w:type="dxa"/>
            <w:shd w:val="clear" w:color="auto" w:fill="C6D9F1" w:themeFill="text2" w:themeFillTint="33"/>
          </w:tcPr>
          <w:p w14:paraId="21059855" w14:textId="22858F88" w:rsidR="00447869" w:rsidRPr="00447869" w:rsidRDefault="00447869" w:rsidP="0044786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14:paraId="6EB1BC5C" w14:textId="59C4D461" w:rsidR="00447869" w:rsidRPr="00447869" w:rsidRDefault="00447869" w:rsidP="0044786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CRITERIA FOR THE CLINICAL USE OF INTRAVENOUS IMMUNOGLOBULIN IN AUSTRALIA, SECOND EDITION (CRITERIA)</w:t>
            </w:r>
          </w:p>
        </w:tc>
        <w:tc>
          <w:tcPr>
            <w:tcW w:w="4678" w:type="dxa"/>
            <w:gridSpan w:val="3"/>
            <w:shd w:val="clear" w:color="auto" w:fill="C6D9F1" w:themeFill="text2" w:themeFillTint="33"/>
          </w:tcPr>
          <w:p w14:paraId="3393FA34" w14:textId="1CD76B17" w:rsidR="00447869" w:rsidRPr="00447869" w:rsidRDefault="00447869" w:rsidP="0044786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PROPOSED REVISIONS TO THE CRITERIA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6534F841" w14:textId="77777777" w:rsidR="00447869" w:rsidRPr="00447869" w:rsidRDefault="00447869" w:rsidP="00447869">
            <w:pPr>
              <w:spacing w:before="120" w:after="120"/>
              <w:jc w:val="center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SWG RATIONALE FOR PROPOSED CHANGE</w:t>
            </w:r>
          </w:p>
          <w:p w14:paraId="3C24B958" w14:textId="77777777" w:rsidR="00447869" w:rsidRPr="00447869" w:rsidRDefault="00447869" w:rsidP="00447869">
            <w:pPr>
              <w:spacing w:before="120" w:after="120"/>
              <w:jc w:val="center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(A) Administrative)</w:t>
            </w:r>
          </w:p>
          <w:p w14:paraId="67E735BD" w14:textId="6CC1D8A7" w:rsidR="00447869" w:rsidRPr="00447869" w:rsidRDefault="00447869" w:rsidP="00447869">
            <w:pPr>
              <w:spacing w:before="120" w:after="120"/>
              <w:jc w:val="center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(B) Progressive</w:t>
            </w:r>
          </w:p>
          <w:p w14:paraId="4EF25C34" w14:textId="2C058C85" w:rsidR="00447869" w:rsidRPr="00447869" w:rsidRDefault="00447869" w:rsidP="0044786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(C) Programmed</w:t>
            </w:r>
          </w:p>
        </w:tc>
      </w:tr>
      <w:tr w:rsidR="00447869" w:rsidRPr="00447869" w14:paraId="3520D7EB" w14:textId="77777777" w:rsidTr="00447869">
        <w:tc>
          <w:tcPr>
            <w:tcW w:w="1560" w:type="dxa"/>
            <w:shd w:val="clear" w:color="auto" w:fill="D9D9D9" w:themeFill="background1" w:themeFillShade="D9"/>
          </w:tcPr>
          <w:p w14:paraId="0D1E6254" w14:textId="356FDB28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Condition Name</w:t>
            </w:r>
          </w:p>
        </w:tc>
        <w:tc>
          <w:tcPr>
            <w:tcW w:w="4819" w:type="dxa"/>
          </w:tcPr>
          <w:p w14:paraId="61AEF94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447869">
              <w:rPr>
                <w:rFonts w:asciiTheme="minorHAnsi" w:hAnsiTheme="minorHAnsi"/>
              </w:rPr>
              <w:t>Opsoclonus</w:t>
            </w:r>
            <w:proofErr w:type="spellEnd"/>
            <w:r w:rsidRPr="00447869">
              <w:rPr>
                <w:rFonts w:asciiTheme="minorHAnsi" w:hAnsiTheme="minorHAnsi"/>
              </w:rPr>
              <w:t>-myoclonus ataxia (OMA)</w:t>
            </w:r>
          </w:p>
        </w:tc>
        <w:tc>
          <w:tcPr>
            <w:tcW w:w="4678" w:type="dxa"/>
            <w:gridSpan w:val="3"/>
          </w:tcPr>
          <w:p w14:paraId="109DB438" w14:textId="7C13CFDE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447869">
              <w:rPr>
                <w:rFonts w:asciiTheme="minorHAnsi" w:hAnsiTheme="minorHAnsi"/>
              </w:rPr>
              <w:t>Opsoclonus</w:t>
            </w:r>
            <w:proofErr w:type="spellEnd"/>
            <w:r w:rsidRPr="00447869">
              <w:rPr>
                <w:rFonts w:asciiTheme="minorHAnsi" w:hAnsiTheme="minorHAnsi"/>
              </w:rPr>
              <w:t>-myoclonus ataxia (OMA)</w:t>
            </w:r>
          </w:p>
        </w:tc>
        <w:tc>
          <w:tcPr>
            <w:tcW w:w="3544" w:type="dxa"/>
          </w:tcPr>
          <w:p w14:paraId="0D178E41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47869" w:rsidRPr="00447869" w14:paraId="4571AA6E" w14:textId="77777777" w:rsidTr="00447869">
        <w:tc>
          <w:tcPr>
            <w:tcW w:w="1560" w:type="dxa"/>
            <w:shd w:val="clear" w:color="auto" w:fill="D9D9D9" w:themeFill="background1" w:themeFillShade="D9"/>
          </w:tcPr>
          <w:p w14:paraId="5328DF4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  <w:b/>
              </w:rPr>
              <w:t>Specialty</w:t>
            </w:r>
          </w:p>
        </w:tc>
        <w:tc>
          <w:tcPr>
            <w:tcW w:w="4819" w:type="dxa"/>
          </w:tcPr>
          <w:p w14:paraId="620B899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Neurology</w:t>
            </w:r>
          </w:p>
        </w:tc>
        <w:tc>
          <w:tcPr>
            <w:tcW w:w="4678" w:type="dxa"/>
            <w:gridSpan w:val="3"/>
          </w:tcPr>
          <w:p w14:paraId="6FA9CF39" w14:textId="25D446C3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Neurology</w:t>
            </w:r>
          </w:p>
        </w:tc>
        <w:tc>
          <w:tcPr>
            <w:tcW w:w="3544" w:type="dxa"/>
          </w:tcPr>
          <w:p w14:paraId="607FC37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47869" w:rsidRPr="00447869" w14:paraId="05830344" w14:textId="77777777" w:rsidTr="00447869">
        <w:tc>
          <w:tcPr>
            <w:tcW w:w="1560" w:type="dxa"/>
            <w:shd w:val="clear" w:color="auto" w:fill="D9D9D9" w:themeFill="background1" w:themeFillShade="D9"/>
          </w:tcPr>
          <w:p w14:paraId="11FC0AA7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  <w:b/>
              </w:rPr>
              <w:t>Chapter</w:t>
            </w:r>
          </w:p>
        </w:tc>
        <w:tc>
          <w:tcPr>
            <w:tcW w:w="4819" w:type="dxa"/>
          </w:tcPr>
          <w:p w14:paraId="0D31713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6</w:t>
            </w:r>
          </w:p>
        </w:tc>
        <w:tc>
          <w:tcPr>
            <w:tcW w:w="4678" w:type="dxa"/>
            <w:gridSpan w:val="3"/>
          </w:tcPr>
          <w:p w14:paraId="3CD084C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2682723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47869" w:rsidRPr="00447869" w14:paraId="7509F68F" w14:textId="77777777" w:rsidTr="00447869">
        <w:tc>
          <w:tcPr>
            <w:tcW w:w="1560" w:type="dxa"/>
            <w:shd w:val="clear" w:color="auto" w:fill="D9D9D9" w:themeFill="background1" w:themeFillShade="D9"/>
          </w:tcPr>
          <w:p w14:paraId="0E20F6D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Specific Conditions</w:t>
            </w:r>
          </w:p>
          <w:p w14:paraId="1888BC5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14:paraId="50ADE7B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3"/>
          </w:tcPr>
          <w:p w14:paraId="77F30C57" w14:textId="77777777" w:rsidR="00447869" w:rsidRPr="00447869" w:rsidRDefault="00447869" w:rsidP="00447869">
            <w:pPr>
              <w:numPr>
                <w:ilvl w:val="0"/>
                <w:numId w:val="31"/>
              </w:numPr>
              <w:shd w:val="clear" w:color="auto" w:fill="FFFFFF"/>
              <w:spacing w:before="120" w:after="120"/>
              <w:rPr>
                <w:rFonts w:asciiTheme="minorHAnsi" w:eastAsia="Times New Roman" w:hAnsiTheme="minorHAnsi" w:cs="Arial"/>
                <w:color w:val="333333"/>
                <w:lang w:eastAsia="en-AU"/>
              </w:rPr>
            </w:pPr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>Idiopathic</w:t>
            </w:r>
          </w:p>
          <w:p w14:paraId="422D504E" w14:textId="77777777" w:rsidR="00447869" w:rsidRPr="00447869" w:rsidRDefault="00447869" w:rsidP="00447869">
            <w:pPr>
              <w:numPr>
                <w:ilvl w:val="0"/>
                <w:numId w:val="31"/>
              </w:numPr>
              <w:shd w:val="clear" w:color="auto" w:fill="FFFFFF"/>
              <w:spacing w:before="120" w:after="120"/>
              <w:rPr>
                <w:rFonts w:asciiTheme="minorHAnsi" w:eastAsia="Times New Roman" w:hAnsiTheme="minorHAnsi" w:cs="Arial"/>
                <w:color w:val="333333"/>
                <w:lang w:eastAsia="en-AU"/>
              </w:rPr>
            </w:pPr>
            <w:proofErr w:type="spellStart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>Paraneoplastic</w:t>
            </w:r>
            <w:proofErr w:type="spellEnd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 xml:space="preserve"> associated </w:t>
            </w:r>
            <w:proofErr w:type="spellStart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>neuroblastoma</w:t>
            </w:r>
            <w:proofErr w:type="spellEnd"/>
          </w:p>
          <w:p w14:paraId="5F6E8CFC" w14:textId="77777777" w:rsidR="00447869" w:rsidRPr="00447869" w:rsidRDefault="00447869" w:rsidP="00447869">
            <w:pPr>
              <w:numPr>
                <w:ilvl w:val="0"/>
                <w:numId w:val="31"/>
              </w:numPr>
              <w:shd w:val="clear" w:color="auto" w:fill="FFFFFF"/>
              <w:spacing w:before="120" w:after="120"/>
              <w:rPr>
                <w:rFonts w:asciiTheme="minorHAnsi" w:eastAsia="Times New Roman" w:hAnsiTheme="minorHAnsi" w:cs="Arial"/>
                <w:color w:val="333333"/>
                <w:lang w:eastAsia="en-AU"/>
              </w:rPr>
            </w:pPr>
            <w:proofErr w:type="spellStart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>Paraneoplastic</w:t>
            </w:r>
            <w:proofErr w:type="spellEnd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 xml:space="preserve"> associated small cell lung cancer</w:t>
            </w:r>
          </w:p>
          <w:p w14:paraId="2F2398C8" w14:textId="77777777" w:rsidR="00447869" w:rsidRPr="00447869" w:rsidRDefault="00447869" w:rsidP="00447869">
            <w:pPr>
              <w:numPr>
                <w:ilvl w:val="0"/>
                <w:numId w:val="31"/>
              </w:numPr>
              <w:shd w:val="clear" w:color="auto" w:fill="FFFFFF"/>
              <w:spacing w:before="120" w:after="120"/>
              <w:rPr>
                <w:rFonts w:asciiTheme="minorHAnsi" w:eastAsia="Times New Roman" w:hAnsiTheme="minorHAnsi" w:cs="Arial"/>
                <w:color w:val="333333"/>
                <w:lang w:eastAsia="en-AU"/>
              </w:rPr>
            </w:pPr>
            <w:proofErr w:type="spellStart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>Paraneoplastic</w:t>
            </w:r>
            <w:proofErr w:type="spellEnd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 xml:space="preserve"> associated breast cancer</w:t>
            </w:r>
          </w:p>
          <w:p w14:paraId="3AA015DA" w14:textId="3024FBEB" w:rsidR="00447869" w:rsidRPr="00447869" w:rsidRDefault="00447869" w:rsidP="00447869">
            <w:pPr>
              <w:numPr>
                <w:ilvl w:val="0"/>
                <w:numId w:val="31"/>
              </w:num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>Paraneoplastic</w:t>
            </w:r>
            <w:proofErr w:type="spellEnd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 xml:space="preserve"> associated other tumour type</w:t>
            </w:r>
          </w:p>
        </w:tc>
        <w:tc>
          <w:tcPr>
            <w:tcW w:w="3544" w:type="dxa"/>
          </w:tcPr>
          <w:p w14:paraId="2A731E0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47869" w:rsidRPr="00447869" w14:paraId="25B20F1F" w14:textId="77777777" w:rsidTr="00447869">
        <w:tc>
          <w:tcPr>
            <w:tcW w:w="1560" w:type="dxa"/>
            <w:shd w:val="clear" w:color="auto" w:fill="D9D9D9" w:themeFill="background1" w:themeFillShade="D9"/>
          </w:tcPr>
          <w:p w14:paraId="1A44D05A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Level of Evidence</w:t>
            </w:r>
          </w:p>
          <w:p w14:paraId="5CF9BEAC" w14:textId="646FFA4F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14:paraId="7414AC3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Small case studies only; insufficient data</w:t>
            </w:r>
          </w:p>
          <w:p w14:paraId="5820A59B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(Category 4a).</w:t>
            </w:r>
          </w:p>
        </w:tc>
        <w:tc>
          <w:tcPr>
            <w:tcW w:w="4678" w:type="dxa"/>
            <w:gridSpan w:val="3"/>
          </w:tcPr>
          <w:p w14:paraId="1FACAA9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Small case studies only; insufficient data</w:t>
            </w:r>
          </w:p>
          <w:p w14:paraId="777E187A" w14:textId="3E1946E3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(Category 4a).</w:t>
            </w:r>
          </w:p>
        </w:tc>
        <w:tc>
          <w:tcPr>
            <w:tcW w:w="3544" w:type="dxa"/>
          </w:tcPr>
          <w:p w14:paraId="3B7DF31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47869" w:rsidRPr="00447869" w14:paraId="06864448" w14:textId="77777777" w:rsidTr="00447869">
        <w:tc>
          <w:tcPr>
            <w:tcW w:w="1560" w:type="dxa"/>
            <w:shd w:val="clear" w:color="auto" w:fill="D9D9D9" w:themeFill="background1" w:themeFillShade="D9"/>
          </w:tcPr>
          <w:p w14:paraId="3AFAF0A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lastRenderedPageBreak/>
              <w:t>Justification for Evidence Category</w:t>
            </w:r>
          </w:p>
          <w:p w14:paraId="47F00393" w14:textId="36E29D10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14:paraId="5DC5F95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The Asia–Pacific </w:t>
            </w:r>
            <w:proofErr w:type="spellStart"/>
            <w:r w:rsidRPr="00447869">
              <w:rPr>
                <w:rFonts w:asciiTheme="minorHAnsi" w:hAnsiTheme="minorHAnsi"/>
              </w:rPr>
              <w:t>IVIg</w:t>
            </w:r>
            <w:proofErr w:type="spellEnd"/>
            <w:r w:rsidRPr="00447869">
              <w:rPr>
                <w:rFonts w:asciiTheme="minorHAnsi" w:hAnsiTheme="minorHAnsi"/>
              </w:rPr>
              <w:t xml:space="preserve"> Advisory Board (2004)</w:t>
            </w:r>
          </w:p>
          <w:p w14:paraId="0EFC5242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consensus statement summarises several case</w:t>
            </w:r>
          </w:p>
          <w:p w14:paraId="00EC6FEB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reports suggesting that </w:t>
            </w:r>
            <w:proofErr w:type="spellStart"/>
            <w:r w:rsidRPr="00447869">
              <w:rPr>
                <w:rFonts w:asciiTheme="minorHAnsi" w:hAnsiTheme="minorHAnsi"/>
              </w:rPr>
              <w:t>IVIg</w:t>
            </w:r>
            <w:proofErr w:type="spellEnd"/>
            <w:r w:rsidRPr="00447869">
              <w:rPr>
                <w:rFonts w:asciiTheme="minorHAnsi" w:hAnsiTheme="minorHAnsi"/>
              </w:rPr>
              <w:t xml:space="preserve"> is useful in idiopathic</w:t>
            </w:r>
          </w:p>
          <w:p w14:paraId="098E37DB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OMA and childhood </w:t>
            </w:r>
            <w:proofErr w:type="spellStart"/>
            <w:r w:rsidRPr="00447869">
              <w:rPr>
                <w:rFonts w:asciiTheme="minorHAnsi" w:hAnsiTheme="minorHAnsi"/>
              </w:rPr>
              <w:t>paraneoplastic</w:t>
            </w:r>
            <w:proofErr w:type="spellEnd"/>
            <w:r w:rsidRPr="00447869">
              <w:rPr>
                <w:rFonts w:asciiTheme="minorHAnsi" w:hAnsiTheme="minorHAnsi"/>
              </w:rPr>
              <w:t xml:space="preserve"> OMA associated with </w:t>
            </w:r>
            <w:proofErr w:type="spellStart"/>
            <w:r w:rsidRPr="00447869">
              <w:rPr>
                <w:rFonts w:asciiTheme="minorHAnsi" w:hAnsiTheme="minorHAnsi"/>
              </w:rPr>
              <w:t>neuroblastoma</w:t>
            </w:r>
            <w:proofErr w:type="spellEnd"/>
            <w:r w:rsidRPr="00447869">
              <w:rPr>
                <w:rFonts w:asciiTheme="minorHAnsi" w:hAnsiTheme="minorHAnsi"/>
              </w:rPr>
              <w:t>.</w:t>
            </w:r>
          </w:p>
        </w:tc>
        <w:tc>
          <w:tcPr>
            <w:tcW w:w="4678" w:type="dxa"/>
            <w:gridSpan w:val="3"/>
          </w:tcPr>
          <w:p w14:paraId="300189DA" w14:textId="31DB5C9B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  <w:color w:val="000000"/>
              </w:rPr>
              <w:t xml:space="preserve">The Asia–Pacific </w:t>
            </w:r>
            <w:proofErr w:type="spellStart"/>
            <w:r w:rsidRPr="00447869">
              <w:rPr>
                <w:rFonts w:asciiTheme="minorHAnsi" w:hAnsiTheme="minorHAnsi"/>
                <w:color w:val="000000"/>
              </w:rPr>
              <w:t>IVIg</w:t>
            </w:r>
            <w:proofErr w:type="spellEnd"/>
            <w:r w:rsidRPr="00447869">
              <w:rPr>
                <w:rFonts w:asciiTheme="minorHAnsi" w:hAnsiTheme="minorHAnsi"/>
                <w:color w:val="000000"/>
              </w:rPr>
              <w:t xml:space="preserve"> Advisory Board (2004) consensus statement summarises several case reports suggesting that intravenous immunoglobulin (</w:t>
            </w:r>
            <w:proofErr w:type="spellStart"/>
            <w:r w:rsidRPr="00447869">
              <w:rPr>
                <w:rFonts w:asciiTheme="minorHAnsi" w:hAnsiTheme="minorHAnsi"/>
                <w:color w:val="000000"/>
              </w:rPr>
              <w:t>IVIg</w:t>
            </w:r>
            <w:proofErr w:type="spellEnd"/>
            <w:r w:rsidRPr="00447869">
              <w:rPr>
                <w:rFonts w:asciiTheme="minorHAnsi" w:hAnsiTheme="minorHAnsi"/>
                <w:color w:val="000000"/>
              </w:rPr>
              <w:t xml:space="preserve">) is useful in idiopathic OMA and childhood </w:t>
            </w:r>
            <w:proofErr w:type="spellStart"/>
            <w:r w:rsidRPr="00447869">
              <w:rPr>
                <w:rFonts w:asciiTheme="minorHAnsi" w:hAnsiTheme="minorHAnsi"/>
                <w:color w:val="000000"/>
              </w:rPr>
              <w:t>paraneoplastic</w:t>
            </w:r>
            <w:proofErr w:type="spellEnd"/>
            <w:r w:rsidRPr="00447869">
              <w:rPr>
                <w:rFonts w:asciiTheme="minorHAnsi" w:hAnsiTheme="minorHAnsi"/>
                <w:color w:val="000000"/>
              </w:rPr>
              <w:t xml:space="preserve"> OMA associated with </w:t>
            </w:r>
            <w:proofErr w:type="spellStart"/>
            <w:r w:rsidRPr="00447869">
              <w:rPr>
                <w:rFonts w:asciiTheme="minorHAnsi" w:hAnsiTheme="minorHAnsi"/>
                <w:color w:val="000000"/>
              </w:rPr>
              <w:t>neuroblastoma</w:t>
            </w:r>
            <w:proofErr w:type="spellEnd"/>
            <w:r w:rsidRPr="00447869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3544" w:type="dxa"/>
          </w:tcPr>
          <w:p w14:paraId="46124580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No change. While there have been further </w:t>
            </w:r>
            <w:proofErr w:type="gramStart"/>
            <w:r w:rsidRPr="00447869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case</w:t>
            </w:r>
            <w:proofErr w:type="gramEnd"/>
            <w:r w:rsidRPr="00447869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series showing benefit, there will be no other evidence for this rare disease. </w:t>
            </w:r>
          </w:p>
        </w:tc>
      </w:tr>
      <w:tr w:rsidR="00447869" w:rsidRPr="00447869" w14:paraId="06CC0A91" w14:textId="77777777" w:rsidTr="00447869">
        <w:tc>
          <w:tcPr>
            <w:tcW w:w="1560" w:type="dxa"/>
            <w:shd w:val="clear" w:color="auto" w:fill="D9D9D9" w:themeFill="background1" w:themeFillShade="D9"/>
          </w:tcPr>
          <w:p w14:paraId="67F6236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Description and Diagnostic Criteria</w:t>
            </w:r>
          </w:p>
          <w:p w14:paraId="68B8BE18" w14:textId="2EB04C06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14:paraId="126187D9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OMA is an immune</w:t>
            </w:r>
            <w:r w:rsidRPr="00447869">
              <w:rPr>
                <w:rFonts w:ascii="MS Gothic" w:eastAsia="MS Gothic" w:hAnsi="MS Gothic" w:cs="MS Gothic" w:hint="eastAsia"/>
              </w:rPr>
              <w:t>‑</w:t>
            </w:r>
            <w:r w:rsidRPr="00447869">
              <w:rPr>
                <w:rFonts w:asciiTheme="minorHAnsi" w:hAnsiTheme="minorHAnsi"/>
              </w:rPr>
              <w:t xml:space="preserve">mediated monophasic or multiphasic disorder consisting of </w:t>
            </w:r>
            <w:proofErr w:type="spellStart"/>
            <w:r w:rsidRPr="00447869">
              <w:rPr>
                <w:rFonts w:asciiTheme="minorHAnsi" w:hAnsiTheme="minorHAnsi"/>
              </w:rPr>
              <w:t>opsoclonus</w:t>
            </w:r>
            <w:proofErr w:type="spellEnd"/>
            <w:r w:rsidRPr="00447869">
              <w:rPr>
                <w:rFonts w:asciiTheme="minorHAnsi" w:hAnsiTheme="minorHAnsi"/>
              </w:rPr>
              <w:t xml:space="preserve"> (conjugate chaotic eye movements), cerebellar ataxia, and arrhythmic myoclonus affecting the trunk, the head and the extremities.</w:t>
            </w:r>
          </w:p>
          <w:p w14:paraId="42A53D3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582B29D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OMA may be either </w:t>
            </w:r>
            <w:proofErr w:type="spellStart"/>
            <w:r w:rsidRPr="00447869">
              <w:rPr>
                <w:rFonts w:asciiTheme="minorHAnsi" w:hAnsiTheme="minorHAnsi"/>
              </w:rPr>
              <w:t>paraneoplastic</w:t>
            </w:r>
            <w:proofErr w:type="spellEnd"/>
            <w:r w:rsidRPr="00447869">
              <w:rPr>
                <w:rFonts w:asciiTheme="minorHAnsi" w:hAnsiTheme="minorHAnsi"/>
              </w:rPr>
              <w:t xml:space="preserve"> or idiopathic, presumably </w:t>
            </w:r>
            <w:proofErr w:type="spellStart"/>
            <w:r w:rsidRPr="00447869">
              <w:rPr>
                <w:rFonts w:asciiTheme="minorHAnsi" w:hAnsiTheme="minorHAnsi"/>
              </w:rPr>
              <w:t>para</w:t>
            </w:r>
            <w:proofErr w:type="spellEnd"/>
            <w:r w:rsidRPr="00447869">
              <w:rPr>
                <w:rFonts w:asciiTheme="minorHAnsi" w:hAnsiTheme="minorHAnsi"/>
              </w:rPr>
              <w:t>-infectious (e.g. post-viral).</w:t>
            </w:r>
          </w:p>
          <w:p w14:paraId="0AF137C3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In children, OMA complicates about 2–3% of</w:t>
            </w:r>
          </w:p>
          <w:p w14:paraId="62F4E3B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proofErr w:type="spellStart"/>
            <w:proofErr w:type="gramStart"/>
            <w:r w:rsidRPr="00447869">
              <w:rPr>
                <w:rFonts w:asciiTheme="minorHAnsi" w:hAnsiTheme="minorHAnsi"/>
              </w:rPr>
              <w:t>neuroblastomas</w:t>
            </w:r>
            <w:proofErr w:type="spellEnd"/>
            <w:proofErr w:type="gramEnd"/>
            <w:r w:rsidRPr="00447869">
              <w:rPr>
                <w:rFonts w:asciiTheme="minorHAnsi" w:hAnsiTheme="minorHAnsi"/>
              </w:rPr>
              <w:t>. In adults, it may occur in association with several cancers, most commonly small-cell lung cancer and breast cancer.</w:t>
            </w:r>
          </w:p>
        </w:tc>
        <w:tc>
          <w:tcPr>
            <w:tcW w:w="4678" w:type="dxa"/>
            <w:gridSpan w:val="3"/>
          </w:tcPr>
          <w:p w14:paraId="67D0E64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OMA is an immune</w:t>
            </w:r>
            <w:r w:rsidRPr="00447869">
              <w:rPr>
                <w:rFonts w:ascii="MS Gothic" w:eastAsia="MS Gothic" w:hAnsi="MS Gothic" w:cs="MS Gothic" w:hint="eastAsia"/>
              </w:rPr>
              <w:t>‑</w:t>
            </w:r>
            <w:r w:rsidRPr="00447869">
              <w:rPr>
                <w:rFonts w:asciiTheme="minorHAnsi" w:hAnsiTheme="minorHAnsi"/>
              </w:rPr>
              <w:t xml:space="preserve">mediated monophasic or multiphasic disorder consisting of </w:t>
            </w:r>
            <w:proofErr w:type="spellStart"/>
            <w:r w:rsidRPr="00447869">
              <w:rPr>
                <w:rFonts w:asciiTheme="minorHAnsi" w:hAnsiTheme="minorHAnsi"/>
              </w:rPr>
              <w:t>opsoclonus</w:t>
            </w:r>
            <w:proofErr w:type="spellEnd"/>
            <w:r w:rsidRPr="00447869">
              <w:rPr>
                <w:rFonts w:asciiTheme="minorHAnsi" w:hAnsiTheme="minorHAnsi"/>
              </w:rPr>
              <w:t xml:space="preserve"> (conjugate chaotic eye movements), cerebellar ataxia, and arrhythmic myoclonus affecting the trunk, the head and the extremities.</w:t>
            </w:r>
          </w:p>
          <w:p w14:paraId="54201DB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6F20FE72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OMA may be either </w:t>
            </w:r>
            <w:proofErr w:type="spellStart"/>
            <w:r w:rsidRPr="00447869">
              <w:rPr>
                <w:rFonts w:asciiTheme="minorHAnsi" w:hAnsiTheme="minorHAnsi"/>
              </w:rPr>
              <w:t>paraneoplastic</w:t>
            </w:r>
            <w:proofErr w:type="spellEnd"/>
            <w:r w:rsidRPr="00447869">
              <w:rPr>
                <w:rFonts w:asciiTheme="minorHAnsi" w:hAnsiTheme="minorHAnsi"/>
              </w:rPr>
              <w:t xml:space="preserve"> or idiopathic, presumably </w:t>
            </w:r>
            <w:proofErr w:type="spellStart"/>
            <w:r w:rsidRPr="00447869">
              <w:rPr>
                <w:rFonts w:asciiTheme="minorHAnsi" w:hAnsiTheme="minorHAnsi"/>
              </w:rPr>
              <w:t>para</w:t>
            </w:r>
            <w:proofErr w:type="spellEnd"/>
            <w:r w:rsidRPr="00447869">
              <w:rPr>
                <w:rFonts w:asciiTheme="minorHAnsi" w:hAnsiTheme="minorHAnsi"/>
              </w:rPr>
              <w:t>-infectious (e.g. post-viral).</w:t>
            </w:r>
          </w:p>
          <w:p w14:paraId="5FCE5D1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In children, OMA complicates about 2–3% of</w:t>
            </w:r>
          </w:p>
          <w:p w14:paraId="0AD70B90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proofErr w:type="spellStart"/>
            <w:proofErr w:type="gramStart"/>
            <w:r w:rsidRPr="00447869">
              <w:rPr>
                <w:rFonts w:asciiTheme="minorHAnsi" w:hAnsiTheme="minorHAnsi"/>
              </w:rPr>
              <w:t>neuroblastomas</w:t>
            </w:r>
            <w:proofErr w:type="spellEnd"/>
            <w:proofErr w:type="gramEnd"/>
            <w:r w:rsidRPr="00447869">
              <w:rPr>
                <w:rFonts w:asciiTheme="minorHAnsi" w:hAnsiTheme="minorHAnsi"/>
              </w:rPr>
              <w:t>. In adults, it may occur in association with several cancers, most commonly small-cell lung cancer and breast cancer.</w:t>
            </w:r>
          </w:p>
        </w:tc>
        <w:tc>
          <w:tcPr>
            <w:tcW w:w="3544" w:type="dxa"/>
          </w:tcPr>
          <w:p w14:paraId="76E3479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No change. </w:t>
            </w:r>
          </w:p>
        </w:tc>
      </w:tr>
      <w:tr w:rsidR="00447869" w:rsidRPr="00447869" w14:paraId="4C87BD9C" w14:textId="77777777" w:rsidTr="00447869">
        <w:tc>
          <w:tcPr>
            <w:tcW w:w="1560" w:type="dxa"/>
            <w:shd w:val="clear" w:color="auto" w:fill="D9D9D9" w:themeFill="background1" w:themeFillShade="D9"/>
          </w:tcPr>
          <w:p w14:paraId="5CBE062F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Diagnosis is required</w:t>
            </w:r>
          </w:p>
        </w:tc>
        <w:tc>
          <w:tcPr>
            <w:tcW w:w="4819" w:type="dxa"/>
            <w:vMerge w:val="restart"/>
          </w:tcPr>
          <w:p w14:paraId="01002B0B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Diagnosis  of OMA by a neurologist </w:t>
            </w:r>
          </w:p>
          <w:p w14:paraId="7E800309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Note</w:t>
            </w:r>
            <w:r w:rsidRPr="00447869">
              <w:rPr>
                <w:rFonts w:asciiTheme="minorHAnsi" w:hAnsiTheme="minorHAnsi"/>
              </w:rPr>
              <w:t xml:space="preserve">: Given the rarity of OMA and its devastating effects, </w:t>
            </w:r>
            <w:proofErr w:type="spellStart"/>
            <w:r w:rsidRPr="00447869">
              <w:rPr>
                <w:rFonts w:asciiTheme="minorHAnsi" w:hAnsiTheme="minorHAnsi"/>
              </w:rPr>
              <w:t>IVIg</w:t>
            </w:r>
            <w:proofErr w:type="spellEnd"/>
            <w:r w:rsidRPr="00447869">
              <w:rPr>
                <w:rFonts w:asciiTheme="minorHAnsi" w:hAnsiTheme="minorHAnsi"/>
              </w:rPr>
              <w:t xml:space="preserve"> should be used where it is considered appropriate by a neurologist.</w:t>
            </w:r>
          </w:p>
        </w:tc>
        <w:tc>
          <w:tcPr>
            <w:tcW w:w="1559" w:type="dxa"/>
          </w:tcPr>
          <w:p w14:paraId="1001596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Yes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ECF571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By which specialty</w:t>
            </w:r>
          </w:p>
        </w:tc>
        <w:tc>
          <w:tcPr>
            <w:tcW w:w="1560" w:type="dxa"/>
          </w:tcPr>
          <w:p w14:paraId="134C5683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Neurologist</w:t>
            </w:r>
          </w:p>
        </w:tc>
        <w:tc>
          <w:tcPr>
            <w:tcW w:w="3544" w:type="dxa"/>
            <w:vMerge w:val="restart"/>
          </w:tcPr>
          <w:p w14:paraId="729F9490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No change - Diagnosis and prescribing must be undertaken by a neurologist. </w:t>
            </w:r>
          </w:p>
        </w:tc>
      </w:tr>
      <w:tr w:rsidR="00447869" w:rsidRPr="00447869" w14:paraId="73C760DA" w14:textId="77777777" w:rsidTr="00447869">
        <w:tc>
          <w:tcPr>
            <w:tcW w:w="1560" w:type="dxa"/>
            <w:shd w:val="clear" w:color="auto" w:fill="D9D9D9" w:themeFill="background1" w:themeFillShade="D9"/>
          </w:tcPr>
          <w:p w14:paraId="0E81DC2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 xml:space="preserve">Diagnosis </w:t>
            </w:r>
            <w:r w:rsidRPr="00447869">
              <w:rPr>
                <w:rFonts w:asciiTheme="minorHAnsi" w:hAnsiTheme="minorHAnsi"/>
                <w:b/>
              </w:rPr>
              <w:lastRenderedPageBreak/>
              <w:t>must be verified</w:t>
            </w:r>
          </w:p>
        </w:tc>
        <w:tc>
          <w:tcPr>
            <w:tcW w:w="4819" w:type="dxa"/>
            <w:vMerge/>
          </w:tcPr>
          <w:p w14:paraId="26E84DF1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902D4B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No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CA84DB9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By which </w:t>
            </w:r>
            <w:r w:rsidRPr="00447869">
              <w:rPr>
                <w:rFonts w:asciiTheme="minorHAnsi" w:hAnsiTheme="minorHAnsi"/>
              </w:rPr>
              <w:lastRenderedPageBreak/>
              <w:t>specialty</w:t>
            </w:r>
          </w:p>
        </w:tc>
        <w:tc>
          <w:tcPr>
            <w:tcW w:w="1560" w:type="dxa"/>
          </w:tcPr>
          <w:p w14:paraId="1FBA7DB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544" w:type="dxa"/>
            <w:vMerge/>
          </w:tcPr>
          <w:p w14:paraId="507672BB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47869" w:rsidRPr="00447869" w14:paraId="23E13614" w14:textId="77777777" w:rsidTr="00447869">
        <w:tc>
          <w:tcPr>
            <w:tcW w:w="1560" w:type="dxa"/>
            <w:shd w:val="clear" w:color="auto" w:fill="D9D9D9" w:themeFill="background1" w:themeFillShade="D9"/>
          </w:tcPr>
          <w:p w14:paraId="42DB81CF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lastRenderedPageBreak/>
              <w:t>Exclusion Criteria</w:t>
            </w:r>
          </w:p>
          <w:p w14:paraId="7A0FAA5A" w14:textId="3C615A85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14:paraId="46073BD3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Adult </w:t>
            </w:r>
            <w:proofErr w:type="spellStart"/>
            <w:r w:rsidRPr="00447869">
              <w:rPr>
                <w:rFonts w:asciiTheme="minorHAnsi" w:hAnsiTheme="minorHAnsi"/>
              </w:rPr>
              <w:t>paraneoplastic</w:t>
            </w:r>
            <w:proofErr w:type="spellEnd"/>
            <w:r w:rsidRPr="00447869">
              <w:rPr>
                <w:rFonts w:asciiTheme="minorHAnsi" w:hAnsiTheme="minorHAnsi"/>
              </w:rPr>
              <w:t xml:space="preserve"> OMA.</w:t>
            </w:r>
          </w:p>
        </w:tc>
        <w:tc>
          <w:tcPr>
            <w:tcW w:w="4678" w:type="dxa"/>
            <w:gridSpan w:val="3"/>
          </w:tcPr>
          <w:p w14:paraId="1E8EF4AE" w14:textId="7DDA8012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strike/>
              </w:rPr>
            </w:pPr>
          </w:p>
        </w:tc>
        <w:tc>
          <w:tcPr>
            <w:tcW w:w="3544" w:type="dxa"/>
          </w:tcPr>
          <w:p w14:paraId="6D4D87A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The SWG could not find any evidence as to why this exclusion existed. </w:t>
            </w:r>
            <w:r w:rsidRPr="00447869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The incidence was very rare, and was treated in the same way as Idiopathic OMA in adults, that is, with </w:t>
            </w:r>
            <w:proofErr w:type="spellStart"/>
            <w:r w:rsidRPr="00447869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Ig</w:t>
            </w:r>
            <w:proofErr w:type="spellEnd"/>
            <w:r w:rsidRPr="00447869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as second line treatment after steroids.  </w:t>
            </w:r>
          </w:p>
        </w:tc>
      </w:tr>
      <w:tr w:rsidR="00447869" w:rsidRPr="00447869" w14:paraId="1B762A42" w14:textId="77777777" w:rsidTr="00447869">
        <w:tc>
          <w:tcPr>
            <w:tcW w:w="1560" w:type="dxa"/>
            <w:shd w:val="clear" w:color="auto" w:fill="D9D9D9" w:themeFill="background1" w:themeFillShade="D9"/>
          </w:tcPr>
          <w:p w14:paraId="11E46EF1" w14:textId="77777777" w:rsidR="00447869" w:rsidRPr="00447869" w:rsidRDefault="00447869" w:rsidP="00447869">
            <w:pPr>
              <w:pStyle w:val="Heading1"/>
              <w:spacing w:before="120" w:after="12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447869">
              <w:rPr>
                <w:rFonts w:asciiTheme="minorHAnsi" w:hAnsiTheme="minorHAnsi"/>
                <w:b/>
                <w:sz w:val="22"/>
                <w:szCs w:val="22"/>
              </w:rPr>
              <w:t>Indications</w:t>
            </w:r>
          </w:p>
        </w:tc>
        <w:tc>
          <w:tcPr>
            <w:tcW w:w="48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3"/>
            </w:tblGrid>
            <w:tr w:rsidR="00447869" w:rsidRPr="00447869" w14:paraId="7E4EE9FD" w14:textId="77777777">
              <w:trPr>
                <w:trHeight w:val="108"/>
              </w:trPr>
              <w:tc>
                <w:tcPr>
                  <w:tcW w:w="0" w:type="auto"/>
                </w:tcPr>
                <w:p w14:paraId="0380C695" w14:textId="77777777" w:rsidR="00447869" w:rsidRPr="00447869" w:rsidRDefault="00447869" w:rsidP="00447869">
                  <w:pPr>
                    <w:autoSpaceDE w:val="0"/>
                    <w:autoSpaceDN w:val="0"/>
                    <w:adjustRightInd w:val="0"/>
                    <w:spacing w:before="120" w:after="120" w:line="181" w:lineRule="atLeast"/>
                    <w:rPr>
                      <w:rFonts w:asciiTheme="minorHAnsi" w:eastAsiaTheme="minorHAnsi" w:hAnsiTheme="minorHAnsi" w:cs="DIN-Light"/>
                      <w:color w:val="000000"/>
                    </w:rPr>
                  </w:pPr>
                  <w:r w:rsidRPr="00447869">
                    <w:rPr>
                      <w:rFonts w:asciiTheme="minorHAnsi" w:eastAsiaTheme="minorHAnsi" w:hAnsiTheme="minorHAnsi" w:cs="DIN-Light"/>
                      <w:color w:val="000000"/>
                    </w:rPr>
                    <w:t>Long-term maintenance therapy of OMA in association with other tumour therapies.</w:t>
                  </w:r>
                </w:p>
              </w:tc>
            </w:tr>
          </w:tbl>
          <w:p w14:paraId="34738107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3"/>
          </w:tcPr>
          <w:p w14:paraId="4E29B598" w14:textId="04E15486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Child with OMA.</w:t>
            </w:r>
          </w:p>
          <w:p w14:paraId="31287012" w14:textId="77777777" w:rsidR="00447869" w:rsidRPr="00447869" w:rsidRDefault="00447869" w:rsidP="00447869">
            <w:pPr>
              <w:spacing w:before="120" w:after="120"/>
              <w:rPr>
                <w:rFonts w:asciiTheme="minorHAnsi" w:eastAsia="Times New Roman" w:hAnsiTheme="minorHAnsi" w:cs="Times New Roman"/>
                <w:b/>
                <w:color w:val="000000"/>
                <w:lang w:eastAsia="en-AU"/>
              </w:rPr>
            </w:pPr>
          </w:p>
          <w:p w14:paraId="776032EF" w14:textId="2F3E7058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  <w:b/>
              </w:rPr>
              <w:t>Second-line treatment of OMA in adults following the use of corticosteroids.</w:t>
            </w:r>
          </w:p>
        </w:tc>
        <w:tc>
          <w:tcPr>
            <w:tcW w:w="3544" w:type="dxa"/>
          </w:tcPr>
          <w:p w14:paraId="408EF73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The use of 2 indications allows adults with idiopathic OMA to be treated after a course of steroids. Children are eligible for </w:t>
            </w:r>
            <w:proofErr w:type="spellStart"/>
            <w:r w:rsidRPr="00447869">
              <w:rPr>
                <w:rFonts w:asciiTheme="minorHAnsi" w:hAnsiTheme="minorHAnsi"/>
              </w:rPr>
              <w:t>Ig</w:t>
            </w:r>
            <w:proofErr w:type="spellEnd"/>
            <w:r w:rsidRPr="00447869">
              <w:rPr>
                <w:rFonts w:asciiTheme="minorHAnsi" w:hAnsiTheme="minorHAnsi"/>
              </w:rPr>
              <w:t xml:space="preserve"> as first line therapy. </w:t>
            </w:r>
          </w:p>
          <w:p w14:paraId="47AE73CF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47869" w:rsidRPr="00447869" w14:paraId="1D2C38E5" w14:textId="77777777" w:rsidTr="00447869">
        <w:tc>
          <w:tcPr>
            <w:tcW w:w="1560" w:type="dxa"/>
            <w:shd w:val="clear" w:color="auto" w:fill="D9D9D9" w:themeFill="background1" w:themeFillShade="D9"/>
          </w:tcPr>
          <w:p w14:paraId="1F3FF40E" w14:textId="77777777" w:rsidR="00447869" w:rsidRPr="00447869" w:rsidRDefault="00447869" w:rsidP="00447869">
            <w:pPr>
              <w:pStyle w:val="Heading1"/>
              <w:spacing w:before="120" w:after="12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447869">
              <w:rPr>
                <w:rFonts w:asciiTheme="minorHAnsi" w:hAnsiTheme="minorHAnsi"/>
                <w:b/>
                <w:sz w:val="22"/>
                <w:szCs w:val="22"/>
              </w:rPr>
              <w:t>Qualifying Criteria</w:t>
            </w:r>
          </w:p>
        </w:tc>
        <w:tc>
          <w:tcPr>
            <w:tcW w:w="4819" w:type="dxa"/>
          </w:tcPr>
          <w:p w14:paraId="73827AE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Diagnosis of OMA by a neurologist:</w:t>
            </w:r>
          </w:p>
          <w:p w14:paraId="6FB1C423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 In children;</w:t>
            </w:r>
          </w:p>
          <w:p w14:paraId="11BE52DA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OR</w:t>
            </w:r>
          </w:p>
          <w:p w14:paraId="4D7D2A7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As second-line treatment following the use of adrenocorticotrophic hormone or corticosteroids.</w:t>
            </w:r>
          </w:p>
          <w:p w14:paraId="55D31D0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3"/>
          </w:tcPr>
          <w:p w14:paraId="1F0E654D" w14:textId="0968A3C8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Child with OMA.</w:t>
            </w:r>
          </w:p>
          <w:p w14:paraId="0650EBD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  <w:color w:val="A6A6A6" w:themeColor="background1" w:themeShade="A6"/>
              </w:rPr>
            </w:pPr>
          </w:p>
          <w:p w14:paraId="5784B68B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Patient with OMA is younger than 18 years</w:t>
            </w:r>
          </w:p>
          <w:p w14:paraId="707BBF44" w14:textId="0E5FF1E5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AND</w:t>
            </w:r>
          </w:p>
          <w:p w14:paraId="438B1F57" w14:textId="30052726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Clinical assessment indicates significant disability, as measured by the Cerebellar Functional System Score with a value of at least 2 points. </w:t>
            </w:r>
          </w:p>
          <w:p w14:paraId="55B63962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1DB2215A" w14:textId="67E6C5EE" w:rsidR="00447869" w:rsidRPr="00447869" w:rsidRDefault="00447869" w:rsidP="00447869">
            <w:pPr>
              <w:pStyle w:val="ListParagraph"/>
              <w:spacing w:before="120" w:after="120" w:line="276" w:lineRule="auto"/>
              <w:ind w:left="0"/>
              <w:rPr>
                <w:rFonts w:asciiTheme="minorHAnsi" w:hAnsiTheme="minorHAnsi"/>
                <w:i/>
              </w:rPr>
            </w:pPr>
            <w:r w:rsidRPr="00447869">
              <w:rPr>
                <w:rFonts w:asciiTheme="minorHAnsi" w:hAnsiTheme="minorHAnsi"/>
                <w:i/>
              </w:rPr>
              <w:t>As there is no validated measure for OMA, the Cerebellar Functional System Score has been selected from the Expanded Disability Status Scale (</w:t>
            </w:r>
            <w:proofErr w:type="spellStart"/>
            <w:r w:rsidRPr="00447869">
              <w:rPr>
                <w:rFonts w:asciiTheme="minorHAnsi" w:hAnsiTheme="minorHAnsi"/>
                <w:i/>
              </w:rPr>
              <w:t>Kurtzke</w:t>
            </w:r>
            <w:proofErr w:type="spellEnd"/>
            <w:r w:rsidRPr="00447869">
              <w:rPr>
                <w:rFonts w:asciiTheme="minorHAnsi" w:hAnsiTheme="minorHAnsi"/>
                <w:i/>
              </w:rPr>
              <w:t xml:space="preserve"> 1983).</w:t>
            </w:r>
          </w:p>
          <w:p w14:paraId="2965C4C0" w14:textId="58CFA2B5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Second-line treatment for OMA in adults following the use of corticosteroids.</w:t>
            </w:r>
          </w:p>
          <w:p w14:paraId="4039CDAC" w14:textId="7E3B0B26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A6A6A6" w:themeColor="background1" w:themeShade="A6"/>
              </w:rPr>
            </w:pPr>
          </w:p>
          <w:p w14:paraId="6A68EAEA" w14:textId="66B2C23A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</w:rPr>
              <w:t>Adult with OMA in whom a</w:t>
            </w:r>
            <w:r w:rsidRPr="00447869">
              <w:rPr>
                <w:rFonts w:asciiTheme="minorHAnsi" w:hAnsiTheme="minorHAnsi"/>
                <w:b/>
              </w:rPr>
              <w:t xml:space="preserve"> </w:t>
            </w:r>
            <w:r w:rsidRPr="00447869">
              <w:rPr>
                <w:rFonts w:asciiTheme="minorHAnsi" w:hAnsiTheme="minorHAnsi"/>
              </w:rPr>
              <w:t>standard course of steroid therapy has been undertaken (or steroids are contraindicated).</w:t>
            </w:r>
          </w:p>
          <w:p w14:paraId="5609002E" w14:textId="77777777" w:rsidR="00447869" w:rsidRPr="00447869" w:rsidRDefault="00447869" w:rsidP="00447869">
            <w:pPr>
              <w:spacing w:before="120" w:after="120" w:line="276" w:lineRule="auto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AND</w:t>
            </w:r>
          </w:p>
          <w:p w14:paraId="47A3C4DE" w14:textId="714D7503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Clinical assessment demonstrates disability as measured by the cerebellar functional system score with a value of at least two points.  </w:t>
            </w:r>
          </w:p>
        </w:tc>
        <w:tc>
          <w:tcPr>
            <w:tcW w:w="3544" w:type="dxa"/>
          </w:tcPr>
          <w:p w14:paraId="70C4545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lastRenderedPageBreak/>
              <w:t xml:space="preserve">SWG confirmed the revision of the second qualifying criteria by removal of the reference to ACTH given that ACTH is rarely used in Australia. </w:t>
            </w:r>
          </w:p>
          <w:p w14:paraId="36E533DA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1202F15D" w14:textId="0922B44D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The cerebellar functional system score was chosen to demonstrate initial disability and response. </w:t>
            </w:r>
          </w:p>
          <w:p w14:paraId="15F234F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lastRenderedPageBreak/>
              <w:t xml:space="preserve">Values of the cerebellar functional system score are: </w:t>
            </w:r>
          </w:p>
          <w:p w14:paraId="07E763DE" w14:textId="77777777" w:rsidR="00447869" w:rsidRPr="00447869" w:rsidRDefault="00447869" w:rsidP="00447869">
            <w:pPr>
              <w:spacing w:before="120" w:after="120" w:line="276" w:lineRule="auto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0. -Normal – no evidence of cerebellar dysfunction</w:t>
            </w:r>
          </w:p>
          <w:p w14:paraId="52EEF797" w14:textId="77777777" w:rsidR="00447869" w:rsidRPr="00447869" w:rsidRDefault="00447869" w:rsidP="0044786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Abnormal signs without disability</w:t>
            </w:r>
          </w:p>
          <w:p w14:paraId="349D41AF" w14:textId="77777777" w:rsidR="00447869" w:rsidRPr="00447869" w:rsidRDefault="00447869" w:rsidP="0044786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Mild ataxia</w:t>
            </w:r>
          </w:p>
          <w:p w14:paraId="0FEDAAA6" w14:textId="77777777" w:rsidR="00447869" w:rsidRPr="00447869" w:rsidRDefault="00447869" w:rsidP="0044786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Moderate ataxia - </w:t>
            </w:r>
          </w:p>
          <w:p w14:paraId="2BB84E24" w14:textId="77777777" w:rsidR="00447869" w:rsidRPr="00447869" w:rsidRDefault="00447869" w:rsidP="0044786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Severe ataxia - all limbs or gait</w:t>
            </w:r>
          </w:p>
          <w:p w14:paraId="589A7885" w14:textId="77777777" w:rsidR="00447869" w:rsidRPr="00447869" w:rsidRDefault="00447869" w:rsidP="00447869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36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Unable to perform co-ordinated movements due to ataxia</w:t>
            </w:r>
          </w:p>
          <w:p w14:paraId="40061289" w14:textId="77777777" w:rsidR="00447869" w:rsidRPr="00447869" w:rsidRDefault="00447869" w:rsidP="00447869">
            <w:pPr>
              <w:pStyle w:val="ListParagraph"/>
              <w:spacing w:before="120" w:after="120" w:line="276" w:lineRule="auto"/>
              <w:ind w:left="363"/>
              <w:rPr>
                <w:rFonts w:asciiTheme="minorHAnsi" w:hAnsiTheme="minorHAnsi"/>
              </w:rPr>
            </w:pPr>
          </w:p>
          <w:p w14:paraId="4401F81F" w14:textId="43F54DF7" w:rsidR="00447869" w:rsidRPr="00447869" w:rsidRDefault="00447869" w:rsidP="00447869">
            <w:pPr>
              <w:pStyle w:val="ListParagraph"/>
              <w:spacing w:before="120" w:after="120" w:line="276" w:lineRule="auto"/>
              <w:ind w:left="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Changes in </w:t>
            </w:r>
            <w:proofErr w:type="spellStart"/>
            <w:r w:rsidRPr="00447869">
              <w:rPr>
                <w:rFonts w:asciiTheme="minorHAnsi" w:hAnsiTheme="minorHAnsi"/>
              </w:rPr>
              <w:t>opsoclonus</w:t>
            </w:r>
            <w:proofErr w:type="spellEnd"/>
            <w:r w:rsidRPr="00447869">
              <w:rPr>
                <w:rFonts w:asciiTheme="minorHAnsi" w:hAnsiTheme="minorHAnsi"/>
              </w:rPr>
              <w:t xml:space="preserve"> symptoms will be rated as: </w:t>
            </w:r>
          </w:p>
          <w:p w14:paraId="23680F94" w14:textId="77777777" w:rsidR="00447869" w:rsidRPr="00447869" w:rsidRDefault="00447869" w:rsidP="00447869">
            <w:pPr>
              <w:pStyle w:val="ListParagraph"/>
              <w:numPr>
                <w:ilvl w:val="0"/>
                <w:numId w:val="24"/>
              </w:numPr>
              <w:spacing w:before="120" w:after="120"/>
              <w:ind w:left="459" w:hanging="28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Deterioration in symptoms</w:t>
            </w:r>
          </w:p>
          <w:p w14:paraId="6A2A6F23" w14:textId="77777777" w:rsidR="00447869" w:rsidRPr="00447869" w:rsidRDefault="00447869" w:rsidP="00447869">
            <w:pPr>
              <w:pStyle w:val="ListParagraph"/>
              <w:numPr>
                <w:ilvl w:val="0"/>
                <w:numId w:val="24"/>
              </w:numPr>
              <w:spacing w:before="120" w:after="120"/>
              <w:ind w:left="459" w:hanging="28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Symptoms stable</w:t>
            </w:r>
          </w:p>
          <w:p w14:paraId="78F691C4" w14:textId="77777777" w:rsidR="00447869" w:rsidRPr="00447869" w:rsidRDefault="00447869" w:rsidP="00447869">
            <w:pPr>
              <w:pStyle w:val="ListParagraph"/>
              <w:numPr>
                <w:ilvl w:val="0"/>
                <w:numId w:val="24"/>
              </w:numPr>
              <w:spacing w:before="120" w:after="120"/>
              <w:ind w:left="459" w:hanging="28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Mild improvement </w:t>
            </w:r>
          </w:p>
          <w:p w14:paraId="2642F64E" w14:textId="77777777" w:rsidR="00447869" w:rsidRPr="00447869" w:rsidRDefault="00447869" w:rsidP="00447869">
            <w:pPr>
              <w:pStyle w:val="ListParagraph"/>
              <w:numPr>
                <w:ilvl w:val="0"/>
                <w:numId w:val="24"/>
              </w:numPr>
              <w:spacing w:before="120" w:after="120"/>
              <w:ind w:left="459" w:hanging="28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Moderate improvement</w:t>
            </w:r>
          </w:p>
          <w:p w14:paraId="390E5E0F" w14:textId="7CC18CD5" w:rsidR="00447869" w:rsidRPr="00447869" w:rsidRDefault="00447869" w:rsidP="00447869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ind w:left="3" w:hanging="28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Significant improvement </w:t>
            </w:r>
          </w:p>
        </w:tc>
      </w:tr>
      <w:tr w:rsidR="00447869" w:rsidRPr="00447869" w14:paraId="5C7FE508" w14:textId="77777777" w:rsidTr="00447869">
        <w:tc>
          <w:tcPr>
            <w:tcW w:w="1560" w:type="dxa"/>
            <w:shd w:val="clear" w:color="auto" w:fill="D9D9D9" w:themeFill="background1" w:themeFillShade="D9"/>
          </w:tcPr>
          <w:p w14:paraId="448F728C" w14:textId="77777777" w:rsidR="00447869" w:rsidRPr="00447869" w:rsidRDefault="00447869" w:rsidP="00447869">
            <w:pPr>
              <w:pStyle w:val="Heading1"/>
              <w:spacing w:before="120" w:after="12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4478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Review Criteria</w:t>
            </w:r>
          </w:p>
        </w:tc>
        <w:tc>
          <w:tcPr>
            <w:tcW w:w="4819" w:type="dxa"/>
          </w:tcPr>
          <w:p w14:paraId="4E2A3807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Review</w:t>
            </w:r>
          </w:p>
          <w:p w14:paraId="44B4563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Regular review by neurologist is required; frequency as determined by clinical status of patient.</w:t>
            </w:r>
          </w:p>
          <w:p w14:paraId="555C1E2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49FD6B0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For stable patients on maintenance treatment, review by a neurologist is required at least annually.</w:t>
            </w:r>
          </w:p>
          <w:p w14:paraId="1A00A3FF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25A0320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Effectiveness</w:t>
            </w:r>
          </w:p>
          <w:p w14:paraId="0DACC9F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Objective indicators of relief of symptoms of OMA and improvement or stabilisation of scores of ADLs.</w:t>
            </w:r>
          </w:p>
        </w:tc>
        <w:tc>
          <w:tcPr>
            <w:tcW w:w="4678" w:type="dxa"/>
            <w:gridSpan w:val="3"/>
          </w:tcPr>
          <w:p w14:paraId="38CD70EF" w14:textId="6D31EA0C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lastRenderedPageBreak/>
              <w:t>Child with OMA.</w:t>
            </w:r>
          </w:p>
          <w:p w14:paraId="3C7256F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35D068E4" w14:textId="21616BFA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Regular review by a neurologist is required; frequency as determined by the clinical status of </w:t>
            </w:r>
            <w:r w:rsidRPr="00447869">
              <w:rPr>
                <w:rFonts w:asciiTheme="minorHAnsi" w:hAnsiTheme="minorHAnsi"/>
              </w:rPr>
              <w:lastRenderedPageBreak/>
              <w:t>the patient.</w:t>
            </w:r>
          </w:p>
          <w:p w14:paraId="1754C8C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2AA7148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For stable patients on maintenance treatment, review by a neurologist is required at least annually.</w:t>
            </w:r>
          </w:p>
          <w:p w14:paraId="66CAFBD2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142B8866" w14:textId="69AFBC43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Efficacy of immunoglobulin (</w:t>
            </w:r>
            <w:proofErr w:type="spellStart"/>
            <w:r w:rsidRPr="00447869">
              <w:rPr>
                <w:rFonts w:asciiTheme="minorHAnsi" w:hAnsiTheme="minorHAnsi"/>
              </w:rPr>
              <w:t>Ig</w:t>
            </w:r>
            <w:proofErr w:type="spellEnd"/>
            <w:r w:rsidRPr="00447869">
              <w:rPr>
                <w:rFonts w:asciiTheme="minorHAnsi" w:hAnsiTheme="minorHAnsi"/>
              </w:rPr>
              <w:t>) treatment is demonstrated by improvement in symptoms of OMA and improvement in or no deterioration of disability.</w:t>
            </w:r>
          </w:p>
          <w:p w14:paraId="651C741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0F9F6C2E" w14:textId="0ADBD3BA" w:rsidR="00447869" w:rsidRPr="00447869" w:rsidRDefault="00447869" w:rsidP="00447869">
            <w:pPr>
              <w:spacing w:before="120" w:after="120" w:line="0" w:lineRule="atLeast"/>
              <w:rPr>
                <w:rFonts w:asciiTheme="minorHAnsi" w:eastAsia="Times New Roman" w:hAnsiTheme="minorHAnsi" w:cs="Times New Roman"/>
                <w:b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lang w:eastAsia="en-AU"/>
              </w:rPr>
              <w:t>On review of the initial authorisation period</w:t>
            </w:r>
          </w:p>
          <w:p w14:paraId="7205ECE9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4F0E6DD4" w14:textId="55F26F1E" w:rsidR="00447869" w:rsidRPr="00447869" w:rsidRDefault="00447869" w:rsidP="00447869">
            <w:pPr>
              <w:spacing w:before="120" w:after="120" w:line="276" w:lineRule="auto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Patient demonstrates clinical improvement in, or stabilisation of, </w:t>
            </w:r>
            <w:proofErr w:type="spellStart"/>
            <w:r w:rsidRPr="00447869">
              <w:rPr>
                <w:rFonts w:asciiTheme="minorHAnsi" w:hAnsiTheme="minorHAnsi"/>
              </w:rPr>
              <w:t>opsoclonus</w:t>
            </w:r>
            <w:proofErr w:type="spellEnd"/>
            <w:r w:rsidRPr="00447869">
              <w:rPr>
                <w:rFonts w:asciiTheme="minorHAnsi" w:hAnsiTheme="minorHAnsi"/>
              </w:rPr>
              <w:t xml:space="preserve"> symptoms after six months treatment.</w:t>
            </w:r>
          </w:p>
          <w:p w14:paraId="779830F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AND </w:t>
            </w:r>
          </w:p>
          <w:p w14:paraId="249B2A21" w14:textId="2ED5A060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There has been no further deterioration or some improvement in the degree of disability as measured by the Cerebellar Functional System Score. </w:t>
            </w:r>
          </w:p>
          <w:p w14:paraId="38CB79A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7106E491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447869">
              <w:rPr>
                <w:rFonts w:asciiTheme="minorHAnsi" w:hAnsiTheme="minorHAnsi"/>
                <w:color w:val="000000"/>
              </w:rPr>
              <w:t>For stable patients on maintenance treatment, review by a neurologist is required at least annually.</w:t>
            </w:r>
          </w:p>
          <w:p w14:paraId="307B8AE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0E8CC66B" w14:textId="438EE53B" w:rsidR="00447869" w:rsidRPr="00447869" w:rsidRDefault="00447869" w:rsidP="00447869">
            <w:pPr>
              <w:spacing w:before="120" w:after="120" w:line="0" w:lineRule="atLeast"/>
              <w:rPr>
                <w:rFonts w:asciiTheme="minorHAnsi" w:eastAsia="Times New Roman" w:hAnsiTheme="minorHAnsi" w:cs="Times New Roman"/>
                <w:b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lang w:eastAsia="en-AU"/>
              </w:rPr>
              <w:t>On review of a continuing authorisation period</w:t>
            </w:r>
          </w:p>
          <w:p w14:paraId="49A4AC12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17301144" w14:textId="3CF8C3DB" w:rsidR="00447869" w:rsidRPr="00447869" w:rsidRDefault="00447869" w:rsidP="00447869">
            <w:pPr>
              <w:spacing w:before="120" w:after="120" w:line="276" w:lineRule="auto"/>
              <w:rPr>
                <w:rFonts w:asciiTheme="minorHAnsi" w:hAnsiTheme="minorHAnsi"/>
              </w:rPr>
            </w:pPr>
            <w:proofErr w:type="gramStart"/>
            <w:r w:rsidRPr="00447869">
              <w:rPr>
                <w:rFonts w:asciiTheme="minorHAnsi" w:hAnsiTheme="minorHAnsi"/>
              </w:rPr>
              <w:t>Patients demonstrates</w:t>
            </w:r>
            <w:proofErr w:type="gramEnd"/>
            <w:r w:rsidRPr="00447869">
              <w:rPr>
                <w:rFonts w:asciiTheme="minorHAnsi" w:hAnsiTheme="minorHAnsi"/>
              </w:rPr>
              <w:t xml:space="preserve"> clinical improvement or stability in </w:t>
            </w:r>
            <w:proofErr w:type="spellStart"/>
            <w:r w:rsidRPr="00447869">
              <w:rPr>
                <w:rFonts w:asciiTheme="minorHAnsi" w:hAnsiTheme="minorHAnsi"/>
              </w:rPr>
              <w:t>opsoclonus</w:t>
            </w:r>
            <w:proofErr w:type="spellEnd"/>
            <w:r w:rsidRPr="00447869">
              <w:rPr>
                <w:rFonts w:asciiTheme="minorHAnsi" w:hAnsiTheme="minorHAnsi"/>
              </w:rPr>
              <w:t xml:space="preserve"> symptoms.</w:t>
            </w:r>
          </w:p>
          <w:p w14:paraId="2A1319C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AND</w:t>
            </w:r>
          </w:p>
          <w:p w14:paraId="39D17483" w14:textId="7D1602DF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There has been no further deterioration in the degree of disability as measured by the Cerebellar Functional System Score. </w:t>
            </w:r>
          </w:p>
          <w:p w14:paraId="686089EB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5A97E81E" w14:textId="3132F781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447869">
              <w:rPr>
                <w:rFonts w:asciiTheme="minorHAnsi" w:hAnsiTheme="minorHAnsi"/>
                <w:color w:val="000000"/>
              </w:rPr>
              <w:t>Regular review by a neurologist is required; frequency as determined by the clinical status of the patient.</w:t>
            </w:r>
          </w:p>
          <w:p w14:paraId="10B0A862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447869">
              <w:rPr>
                <w:rFonts w:asciiTheme="minorHAnsi" w:hAnsiTheme="minorHAnsi"/>
                <w:color w:val="000000"/>
              </w:rPr>
              <w:t xml:space="preserve">For stable patients on maintenance treatment, review by a neurologist is required at least annually. </w:t>
            </w:r>
          </w:p>
          <w:p w14:paraId="58FCBB41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</w:p>
          <w:p w14:paraId="6438772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A6A6A6" w:themeColor="background1" w:themeShade="A6"/>
              </w:rPr>
            </w:pPr>
          </w:p>
          <w:p w14:paraId="653F7B1D" w14:textId="4FB5A1D6" w:rsidR="00447869" w:rsidRPr="00447869" w:rsidRDefault="00447869" w:rsidP="00447869">
            <w:pPr>
              <w:spacing w:before="120" w:after="120" w:line="276" w:lineRule="auto"/>
              <w:rPr>
                <w:rFonts w:asciiTheme="minorHAnsi" w:hAnsiTheme="minorHAnsi"/>
                <w:b/>
                <w:i/>
              </w:rPr>
            </w:pPr>
            <w:r w:rsidRPr="00447869">
              <w:rPr>
                <w:rFonts w:asciiTheme="minorHAnsi" w:hAnsiTheme="minorHAnsi"/>
                <w:b/>
              </w:rPr>
              <w:t>Second-line treatment for OMA in adults following the use of corticosteroids.</w:t>
            </w:r>
          </w:p>
          <w:p w14:paraId="6EF4D4C6" w14:textId="41862824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Regular review by a neurologist is required; frequency as determined by the clinical status of the patient.</w:t>
            </w:r>
          </w:p>
          <w:p w14:paraId="4193AE7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59999CF1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For stable patients on maintenance treatment, review by a neurologist is required at least annually.</w:t>
            </w:r>
          </w:p>
          <w:p w14:paraId="7526B7D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6967C1B1" w14:textId="060E5BEC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Efficacy of </w:t>
            </w:r>
            <w:proofErr w:type="spellStart"/>
            <w:r w:rsidRPr="00447869">
              <w:rPr>
                <w:rFonts w:asciiTheme="minorHAnsi" w:hAnsiTheme="minorHAnsi"/>
              </w:rPr>
              <w:t>Ig</w:t>
            </w:r>
            <w:proofErr w:type="spellEnd"/>
            <w:r w:rsidRPr="00447869">
              <w:rPr>
                <w:rFonts w:asciiTheme="minorHAnsi" w:hAnsiTheme="minorHAnsi"/>
              </w:rPr>
              <w:t xml:space="preserve"> treatment is demonstrated by improvement in symptoms of OMA and improvement in, or no deterioration of, disability.</w:t>
            </w:r>
          </w:p>
          <w:p w14:paraId="4C7E969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6309C648" w14:textId="5BFCED10" w:rsidR="00447869" w:rsidRPr="00447869" w:rsidRDefault="00447869" w:rsidP="00447869">
            <w:pPr>
              <w:spacing w:before="120" w:after="120" w:line="0" w:lineRule="atLeast"/>
              <w:rPr>
                <w:rFonts w:asciiTheme="minorHAnsi" w:eastAsia="Times New Roman" w:hAnsiTheme="minorHAnsi" w:cs="Times New Roman"/>
                <w:b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lang w:eastAsia="en-AU"/>
              </w:rPr>
              <w:t>On review of the initial authorisation period</w:t>
            </w:r>
          </w:p>
          <w:p w14:paraId="0CE0F979" w14:textId="5E09C357" w:rsidR="00447869" w:rsidRPr="00447869" w:rsidRDefault="00447869" w:rsidP="00447869">
            <w:pPr>
              <w:spacing w:before="120" w:after="120" w:line="276" w:lineRule="auto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Patient demonstrates clinical improvement in </w:t>
            </w:r>
            <w:proofErr w:type="spellStart"/>
            <w:r w:rsidRPr="00447869">
              <w:rPr>
                <w:rFonts w:asciiTheme="minorHAnsi" w:hAnsiTheme="minorHAnsi"/>
              </w:rPr>
              <w:t>opsoclonus</w:t>
            </w:r>
            <w:proofErr w:type="spellEnd"/>
            <w:r w:rsidRPr="00447869">
              <w:rPr>
                <w:rFonts w:asciiTheme="minorHAnsi" w:hAnsiTheme="minorHAnsi"/>
              </w:rPr>
              <w:t xml:space="preserve"> symptoms.</w:t>
            </w:r>
          </w:p>
          <w:p w14:paraId="2DCF4437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AND</w:t>
            </w:r>
          </w:p>
          <w:p w14:paraId="0378C0BC" w14:textId="658B949F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There has been no further deterioration or some improvement in the degree of disability as </w:t>
            </w:r>
            <w:r w:rsidRPr="00447869">
              <w:rPr>
                <w:rFonts w:asciiTheme="minorHAnsi" w:hAnsiTheme="minorHAnsi"/>
              </w:rPr>
              <w:lastRenderedPageBreak/>
              <w:t>measured by the Cerebellar Functional System Score.</w:t>
            </w:r>
          </w:p>
          <w:p w14:paraId="6CA51B8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151DB548" w14:textId="059BCEB9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447869">
              <w:rPr>
                <w:rFonts w:asciiTheme="minorHAnsi" w:hAnsiTheme="minorHAnsi"/>
                <w:color w:val="000000"/>
              </w:rPr>
              <w:t>Regular review by a neurologist is required; frequency as determined by the clinical status of the patient.</w:t>
            </w:r>
          </w:p>
          <w:p w14:paraId="2FC0374A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447869">
              <w:rPr>
                <w:rFonts w:asciiTheme="minorHAnsi" w:hAnsiTheme="minorHAnsi"/>
                <w:color w:val="000000"/>
              </w:rPr>
              <w:t>For stable patients on maintenance treatment, review by a neurologist is required at least annually.</w:t>
            </w:r>
          </w:p>
          <w:p w14:paraId="7C15EB32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</w:p>
          <w:p w14:paraId="668B6A63" w14:textId="111F567B" w:rsidR="00447869" w:rsidRPr="00447869" w:rsidRDefault="00447869" w:rsidP="00447869">
            <w:pPr>
              <w:spacing w:before="120" w:after="120" w:line="0" w:lineRule="atLeast"/>
              <w:rPr>
                <w:rFonts w:asciiTheme="minorHAnsi" w:eastAsia="Times New Roman" w:hAnsiTheme="minorHAnsi" w:cs="Times New Roman"/>
                <w:b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lang w:eastAsia="en-AU"/>
              </w:rPr>
              <w:t>On review of a continuing authorisation period</w:t>
            </w:r>
          </w:p>
          <w:p w14:paraId="602322B1" w14:textId="204CE116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Patient demonstrates stable or improved </w:t>
            </w:r>
            <w:proofErr w:type="spellStart"/>
            <w:r w:rsidRPr="00447869">
              <w:rPr>
                <w:rFonts w:asciiTheme="minorHAnsi" w:hAnsiTheme="minorHAnsi"/>
              </w:rPr>
              <w:t>opsoclonus</w:t>
            </w:r>
            <w:proofErr w:type="spellEnd"/>
            <w:r w:rsidRPr="00447869">
              <w:rPr>
                <w:rFonts w:asciiTheme="minorHAnsi" w:hAnsiTheme="minorHAnsi"/>
              </w:rPr>
              <w:t xml:space="preserve"> symptoms.</w:t>
            </w:r>
          </w:p>
          <w:p w14:paraId="3EF6CD6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AND</w:t>
            </w:r>
          </w:p>
          <w:p w14:paraId="1D328784" w14:textId="13A1BB72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There has been no further deterioration in the degree of disability as measured by the Cerebellar Functional System Score.</w:t>
            </w:r>
          </w:p>
          <w:p w14:paraId="7E47F10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A6A6A6" w:themeColor="background1" w:themeShade="A6"/>
              </w:rPr>
            </w:pPr>
          </w:p>
          <w:p w14:paraId="28F643C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447869">
              <w:rPr>
                <w:rFonts w:asciiTheme="minorHAnsi" w:hAnsiTheme="minorHAnsi"/>
                <w:color w:val="000000"/>
              </w:rPr>
              <w:t>For stable patients on maintenance treatment, review by a neurologist is required at least annually.</w:t>
            </w:r>
          </w:p>
          <w:p w14:paraId="0A93FA6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309D1BC2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163EB86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7F34C923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27154AB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76E0F46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2F0DC32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3E057D93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73AF3D47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24CEB492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28F20E8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6924CB9A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43A3BC5F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7B7E51CA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3814A4F3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0B08CDC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6BCB1A6A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69C14D8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37C7A84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018F982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7CCC699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47869" w:rsidRPr="00447869" w14:paraId="202B191B" w14:textId="77777777" w:rsidTr="00447869">
        <w:tc>
          <w:tcPr>
            <w:tcW w:w="1560" w:type="dxa"/>
            <w:shd w:val="clear" w:color="auto" w:fill="D9D9D9" w:themeFill="background1" w:themeFillShade="D9"/>
          </w:tcPr>
          <w:p w14:paraId="31825A72" w14:textId="77777777" w:rsidR="00447869" w:rsidRPr="00447869" w:rsidRDefault="00447869" w:rsidP="00447869">
            <w:pPr>
              <w:pStyle w:val="Heading1"/>
              <w:spacing w:before="120" w:after="12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4478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Dose</w:t>
            </w:r>
          </w:p>
        </w:tc>
        <w:tc>
          <w:tcPr>
            <w:tcW w:w="4819" w:type="dxa"/>
          </w:tcPr>
          <w:p w14:paraId="70D4888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  <w:b/>
              </w:rPr>
              <w:t>Induction:</w:t>
            </w:r>
            <w:r w:rsidRPr="00447869">
              <w:rPr>
                <w:rFonts w:asciiTheme="minorHAnsi" w:hAnsiTheme="minorHAnsi"/>
              </w:rPr>
              <w:t xml:space="preserve"> 1–2 g/kg in 2 to 5 divided doses.</w:t>
            </w:r>
          </w:p>
          <w:p w14:paraId="248676F7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558EA5F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  <w:b/>
              </w:rPr>
              <w:t>Maintenance:</w:t>
            </w:r>
            <w:r w:rsidRPr="00447869">
              <w:rPr>
                <w:rFonts w:asciiTheme="minorHAnsi" w:hAnsiTheme="minorHAnsi"/>
              </w:rPr>
              <w:t xml:space="preserve"> 0.4–1 g/kg, 4 to 6 weekly.</w:t>
            </w:r>
          </w:p>
          <w:p w14:paraId="5C82C6F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Aim for the minimum dose to maintain optimal functional status.</w:t>
            </w:r>
          </w:p>
          <w:p w14:paraId="20177BFF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3FFCBB0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Refer to the current product information sheet for further information.</w:t>
            </w:r>
          </w:p>
          <w:p w14:paraId="5DA0E49F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006F8E1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The aim should be to use the lowest dose possible that achieves the appropriate clinical outcome for each patient</w:t>
            </w:r>
            <w:r w:rsidRPr="00447869">
              <w:rPr>
                <w:rFonts w:asciiTheme="minorHAnsi" w:hAnsiTheme="minorHAnsi"/>
              </w:rPr>
              <w:t>.</w:t>
            </w:r>
          </w:p>
        </w:tc>
        <w:tc>
          <w:tcPr>
            <w:tcW w:w="4678" w:type="dxa"/>
            <w:gridSpan w:val="3"/>
          </w:tcPr>
          <w:p w14:paraId="1126E76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Child with OMA</w:t>
            </w:r>
          </w:p>
          <w:p w14:paraId="1C88E3E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4A9B6A82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447869">
              <w:rPr>
                <w:rStyle w:val="Strong"/>
                <w:rFonts w:asciiTheme="minorHAnsi" w:hAnsiTheme="minorHAnsi"/>
                <w:color w:val="000000"/>
              </w:rPr>
              <w:t>Induction:</w:t>
            </w:r>
            <w:r w:rsidRPr="00447869">
              <w:rPr>
                <w:rFonts w:asciiTheme="minorHAnsi" w:hAnsiTheme="minorHAnsi"/>
                <w:color w:val="000000"/>
              </w:rPr>
              <w:t xml:space="preserve"> 1–2 g/kg in 2 to 5 divided doses.</w:t>
            </w:r>
          </w:p>
          <w:p w14:paraId="2D068DF0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447869">
              <w:rPr>
                <w:rStyle w:val="Strong"/>
                <w:rFonts w:asciiTheme="minorHAnsi" w:hAnsiTheme="minorHAnsi"/>
                <w:color w:val="000000"/>
              </w:rPr>
              <w:t>Maintenance:</w:t>
            </w:r>
            <w:r w:rsidRPr="00447869">
              <w:rPr>
                <w:rFonts w:asciiTheme="minorHAnsi" w:hAnsiTheme="minorHAnsi"/>
                <w:color w:val="000000"/>
              </w:rPr>
              <w:t xml:space="preserve"> 0.4–1 g/kg, 4 to 6 weekly.</w:t>
            </w:r>
          </w:p>
          <w:p w14:paraId="46DF01CB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The aim should be to use the lowest dose possible that achieves the appropriate clinical outcome for each patient.</w:t>
            </w:r>
          </w:p>
          <w:p w14:paraId="4C198F52" w14:textId="77777777" w:rsidR="00447869" w:rsidRPr="00447869" w:rsidRDefault="00447869" w:rsidP="00447869">
            <w:pPr>
              <w:pStyle w:val="heading1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47869">
              <w:rPr>
                <w:rFonts w:asciiTheme="minorHAnsi" w:hAnsiTheme="minorHAnsi"/>
                <w:sz w:val="22"/>
                <w:szCs w:val="22"/>
              </w:rPr>
              <w:t>Refer to the current product information sheet for further information.</w:t>
            </w:r>
          </w:p>
          <w:p w14:paraId="00DA509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52531B9B" w14:textId="6AF36364" w:rsidR="00447869" w:rsidRPr="00447869" w:rsidRDefault="00447869" w:rsidP="00447869">
            <w:pPr>
              <w:spacing w:before="120" w:after="120" w:line="276" w:lineRule="auto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Second-line treatment for OMA in adults following the use of corticosteroids.</w:t>
            </w:r>
          </w:p>
          <w:p w14:paraId="5956E63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447869">
              <w:rPr>
                <w:rStyle w:val="Strong"/>
                <w:rFonts w:asciiTheme="minorHAnsi" w:hAnsiTheme="minorHAnsi"/>
                <w:color w:val="000000"/>
              </w:rPr>
              <w:t>Induction:</w:t>
            </w:r>
            <w:r w:rsidRPr="00447869">
              <w:rPr>
                <w:rFonts w:asciiTheme="minorHAnsi" w:hAnsiTheme="minorHAnsi"/>
                <w:color w:val="000000"/>
              </w:rPr>
              <w:t xml:space="preserve"> 1–2 g/kg in 2 to 5 divided doses.</w:t>
            </w:r>
          </w:p>
          <w:p w14:paraId="56BBF22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447869">
              <w:rPr>
                <w:rStyle w:val="Strong"/>
                <w:rFonts w:asciiTheme="minorHAnsi" w:hAnsiTheme="minorHAnsi"/>
                <w:color w:val="000000"/>
              </w:rPr>
              <w:t>Maintenance:</w:t>
            </w:r>
            <w:r w:rsidRPr="00447869">
              <w:rPr>
                <w:rFonts w:asciiTheme="minorHAnsi" w:hAnsiTheme="minorHAnsi"/>
                <w:color w:val="000000"/>
              </w:rPr>
              <w:t xml:space="preserve"> 0.4–1 g/kg, 4 to 6 weekly.</w:t>
            </w:r>
          </w:p>
          <w:p w14:paraId="3ECC8F7B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The aim should be to use the lowest dose possible that achieves the appropriate clinical outcome for each patient.</w:t>
            </w:r>
          </w:p>
          <w:p w14:paraId="4CF81B60" w14:textId="77777777" w:rsidR="00447869" w:rsidRPr="00447869" w:rsidRDefault="00447869" w:rsidP="00447869">
            <w:pPr>
              <w:pStyle w:val="heading1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47869">
              <w:rPr>
                <w:rFonts w:asciiTheme="minorHAnsi" w:hAnsiTheme="minorHAnsi"/>
                <w:sz w:val="22"/>
                <w:szCs w:val="22"/>
              </w:rPr>
              <w:t>Refer to the current product information sheet for further information.</w:t>
            </w:r>
          </w:p>
          <w:p w14:paraId="52ABCD0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23E51488" w14:textId="6A89B588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No change to dosing. </w:t>
            </w:r>
          </w:p>
        </w:tc>
      </w:tr>
    </w:tbl>
    <w:p w14:paraId="080A0424" w14:textId="77777777" w:rsidR="00447869" w:rsidRDefault="00447869" w:rsidP="00447869">
      <w:pPr>
        <w:spacing w:before="120" w:after="120"/>
        <w:rPr>
          <w:rFonts w:asciiTheme="minorHAnsi" w:hAnsiTheme="minorHAnsi"/>
        </w:rPr>
        <w:sectPr w:rsidR="00447869" w:rsidSect="00447869">
          <w:footerReference w:type="default" r:id="rId9"/>
          <w:pgSz w:w="16839" w:h="11907" w:orient="landscape" w:code="9"/>
          <w:pgMar w:top="1440" w:right="1440" w:bottom="1133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4601" w:type="dxa"/>
        <w:tblInd w:w="-318" w:type="dxa"/>
        <w:tblLook w:val="0680" w:firstRow="0" w:lastRow="0" w:firstColumn="1" w:lastColumn="0" w:noHBand="1" w:noVBand="1"/>
      </w:tblPr>
      <w:tblGrid>
        <w:gridCol w:w="2836"/>
        <w:gridCol w:w="2977"/>
        <w:gridCol w:w="5137"/>
        <w:gridCol w:w="3651"/>
      </w:tblGrid>
      <w:tr w:rsidR="00447869" w:rsidRPr="00FD2CCD" w14:paraId="60100318" w14:textId="77777777" w:rsidTr="00C75068">
        <w:tc>
          <w:tcPr>
            <w:tcW w:w="14601" w:type="dxa"/>
            <w:gridSpan w:val="4"/>
            <w:shd w:val="clear" w:color="auto" w:fill="DBE5F1" w:themeFill="accent1" w:themeFillTint="33"/>
          </w:tcPr>
          <w:p w14:paraId="40037799" w14:textId="034D90C1" w:rsidR="00447869" w:rsidRPr="00FD2CCD" w:rsidRDefault="00447869" w:rsidP="00FD2CCD">
            <w:pPr>
              <w:spacing w:before="120" w:after="120"/>
              <w:rPr>
                <w:rFonts w:asciiTheme="minorHAnsi" w:hAnsiTheme="minorHAnsi"/>
                <w:b/>
              </w:rPr>
            </w:pPr>
            <w:r w:rsidRPr="00FD2CCD">
              <w:rPr>
                <w:rFonts w:asciiTheme="minorHAnsi" w:hAnsiTheme="minorHAnsi"/>
                <w:b/>
              </w:rPr>
              <w:lastRenderedPageBreak/>
              <w:t>POTENTIAL OPERATIONAL IMPACT</w:t>
            </w:r>
          </w:p>
        </w:tc>
      </w:tr>
      <w:tr w:rsidR="00447869" w:rsidRPr="00FD2CCD" w14:paraId="51BDD3B0" w14:textId="77777777" w:rsidTr="00C75068">
        <w:tc>
          <w:tcPr>
            <w:tcW w:w="14601" w:type="dxa"/>
            <w:gridSpan w:val="4"/>
            <w:shd w:val="clear" w:color="auto" w:fill="auto"/>
          </w:tcPr>
          <w:p w14:paraId="20F77E87" w14:textId="62911D3E" w:rsidR="00447869" w:rsidRPr="00FD2CCD" w:rsidRDefault="00FD2CCD" w:rsidP="00FD2CCD">
            <w:pPr>
              <w:pStyle w:val="Heading1"/>
              <w:spacing w:before="120" w:after="120" w:line="240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D2CCD">
              <w:rPr>
                <w:rFonts w:asciiTheme="minorHAnsi" w:eastAsia="Dotum" w:hAnsiTheme="minorHAnsi"/>
                <w:bCs w:val="0"/>
                <w:color w:val="auto"/>
                <w:spacing w:val="0"/>
                <w:sz w:val="22"/>
                <w:szCs w:val="22"/>
              </w:rPr>
              <w:t xml:space="preserve">There is not expected to be any significant impact operationally as the definition of the Cerebellar functional system scoring and rating for change in </w:t>
            </w:r>
            <w:proofErr w:type="spellStart"/>
            <w:r w:rsidRPr="00FD2CCD">
              <w:rPr>
                <w:rFonts w:asciiTheme="minorHAnsi" w:eastAsia="Dotum" w:hAnsiTheme="minorHAnsi"/>
                <w:bCs w:val="0"/>
                <w:color w:val="auto"/>
                <w:spacing w:val="0"/>
                <w:sz w:val="22"/>
                <w:szCs w:val="22"/>
              </w:rPr>
              <w:t>opsoclonus</w:t>
            </w:r>
            <w:proofErr w:type="spellEnd"/>
            <w:r w:rsidRPr="00FD2CCD">
              <w:rPr>
                <w:rFonts w:asciiTheme="minorHAnsi" w:eastAsia="Dotum" w:hAnsiTheme="minorHAnsi"/>
                <w:bCs w:val="0"/>
                <w:color w:val="auto"/>
                <w:spacing w:val="0"/>
                <w:sz w:val="22"/>
                <w:szCs w:val="22"/>
              </w:rPr>
              <w:t xml:space="preserve"> symptoms will be fully documented</w:t>
            </w:r>
            <w:r w:rsidR="00C75068">
              <w:rPr>
                <w:rFonts w:asciiTheme="minorHAnsi" w:eastAsia="Dotum" w:hAnsiTheme="minorHAnsi"/>
                <w:bCs w:val="0"/>
                <w:color w:val="auto"/>
                <w:spacing w:val="0"/>
                <w:sz w:val="22"/>
                <w:szCs w:val="22"/>
              </w:rPr>
              <w:t xml:space="preserve"> in the </w:t>
            </w:r>
            <w:proofErr w:type="spellStart"/>
            <w:r w:rsidR="00C75068">
              <w:rPr>
                <w:rFonts w:asciiTheme="minorHAnsi" w:eastAsia="Dotum" w:hAnsiTheme="minorHAnsi"/>
                <w:bCs w:val="0"/>
                <w:color w:val="auto"/>
                <w:spacing w:val="0"/>
                <w:sz w:val="22"/>
                <w:szCs w:val="22"/>
              </w:rPr>
              <w:t>Ig</w:t>
            </w:r>
            <w:proofErr w:type="spellEnd"/>
            <w:r w:rsidR="00C75068">
              <w:rPr>
                <w:rFonts w:asciiTheme="minorHAnsi" w:eastAsia="Dotum" w:hAnsiTheme="minorHAnsi"/>
                <w:bCs w:val="0"/>
                <w:color w:val="auto"/>
                <w:spacing w:val="0"/>
                <w:sz w:val="22"/>
                <w:szCs w:val="22"/>
              </w:rPr>
              <w:t xml:space="preserve"> system</w:t>
            </w:r>
            <w:r w:rsidRPr="00FD2CCD">
              <w:rPr>
                <w:rFonts w:asciiTheme="minorHAnsi" w:eastAsia="Dotum" w:hAnsiTheme="minorHAnsi"/>
                <w:bCs w:val="0"/>
                <w:color w:val="auto"/>
                <w:spacing w:val="0"/>
                <w:sz w:val="22"/>
                <w:szCs w:val="22"/>
              </w:rPr>
              <w:t xml:space="preserve">.  </w:t>
            </w:r>
          </w:p>
        </w:tc>
      </w:tr>
      <w:tr w:rsidR="00C75068" w:rsidRPr="00BF6734" w14:paraId="370EC584" w14:textId="77777777" w:rsidTr="00C75068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4"/>
            <w:shd w:val="clear" w:color="auto" w:fill="DBE5F1" w:themeFill="accent1" w:themeFillTint="33"/>
          </w:tcPr>
          <w:p w14:paraId="5C01405B" w14:textId="77777777" w:rsidR="00C75068" w:rsidRPr="00BF6734" w:rsidRDefault="00C75068" w:rsidP="00531EC4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POTENTIAL IMPACT ON DEMAND</w:t>
            </w:r>
          </w:p>
        </w:tc>
      </w:tr>
      <w:tr w:rsidR="00C75068" w:rsidRPr="00BF6734" w14:paraId="6B7B546D" w14:textId="77777777" w:rsidTr="00C75068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4CBC265B" w14:textId="77777777" w:rsidR="00C75068" w:rsidRPr="00BF6734" w:rsidRDefault="00C75068" w:rsidP="00531EC4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Patient Numbers</w:t>
            </w:r>
          </w:p>
          <w:p w14:paraId="13D96CD6" w14:textId="77777777" w:rsidR="00C75068" w:rsidRDefault="00C75068" w:rsidP="00531EC4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2013-14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  <w:p w14:paraId="69183CE2" w14:textId="1730FA8E" w:rsidR="00C75068" w:rsidRPr="00BF6734" w:rsidRDefault="00C75068" w:rsidP="00531EC4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Usage 2013/14</w:t>
            </w:r>
          </w:p>
        </w:tc>
        <w:tc>
          <w:tcPr>
            <w:tcW w:w="2977" w:type="dxa"/>
          </w:tcPr>
          <w:p w14:paraId="36B285FC" w14:textId="77777777" w:rsidR="00C75068" w:rsidRDefault="00C75068" w:rsidP="00C7506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5E32EA7D" w14:textId="79CADC66" w:rsidR="00C75068" w:rsidRPr="00C75068" w:rsidRDefault="00C75068" w:rsidP="00C75068">
            <w:pPr>
              <w:rPr>
                <w:rFonts w:asciiTheme="minorHAnsi" w:hAnsiTheme="minorHAnsi"/>
              </w:rPr>
            </w:pPr>
            <w:r w:rsidRPr="00C75068">
              <w:rPr>
                <w:rFonts w:asciiTheme="minorHAnsi" w:hAnsiTheme="minorHAnsi"/>
              </w:rPr>
              <w:t>26 patients (&lt;1%)</w:t>
            </w:r>
          </w:p>
          <w:p w14:paraId="625A95F9" w14:textId="77777777" w:rsidR="00C75068" w:rsidRPr="00C75068" w:rsidRDefault="00C75068" w:rsidP="00C75068">
            <w:pPr>
              <w:rPr>
                <w:rFonts w:asciiTheme="minorHAnsi" w:hAnsiTheme="minorHAnsi"/>
              </w:rPr>
            </w:pPr>
          </w:p>
          <w:p w14:paraId="4838661F" w14:textId="77777777" w:rsidR="00C75068" w:rsidRPr="00C75068" w:rsidRDefault="00C75068" w:rsidP="00C75068">
            <w:pPr>
              <w:rPr>
                <w:rFonts w:asciiTheme="minorHAnsi" w:hAnsiTheme="minorHAnsi"/>
              </w:rPr>
            </w:pPr>
            <w:r w:rsidRPr="00C75068">
              <w:rPr>
                <w:rFonts w:asciiTheme="minorHAnsi" w:hAnsiTheme="minorHAnsi"/>
              </w:rPr>
              <w:t xml:space="preserve">2013/14 Usage: &lt; 1% </w:t>
            </w:r>
          </w:p>
          <w:p w14:paraId="1B5DCFE9" w14:textId="0132C5C3" w:rsidR="00C75068" w:rsidRPr="00BF6734" w:rsidRDefault="00C75068" w:rsidP="00531EC4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5137" w:type="dxa"/>
          </w:tcPr>
          <w:p w14:paraId="78FDCC2C" w14:textId="310289FF" w:rsidR="00C75068" w:rsidRPr="00C75068" w:rsidRDefault="00C75068" w:rsidP="00531EC4">
            <w:pPr>
              <w:ind w:left="-43" w:right="9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C75068">
              <w:rPr>
                <w:rFonts w:asciiTheme="minorHAnsi" w:hAnsiTheme="minorHAnsi"/>
              </w:rPr>
              <w:t>Given the very few patients with this condition it is unlikely that there will be any significant impact on demand.</w:t>
            </w:r>
          </w:p>
        </w:tc>
        <w:tc>
          <w:tcPr>
            <w:tcW w:w="3651" w:type="dxa"/>
          </w:tcPr>
          <w:p w14:paraId="3B8EAC78" w14:textId="77777777" w:rsidR="00C75068" w:rsidRPr="00BF6734" w:rsidRDefault="00C75068" w:rsidP="00531EC4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C75068" w:rsidRPr="00BF6734" w14:paraId="6C97FBCD" w14:textId="77777777" w:rsidTr="00C75068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4"/>
            <w:shd w:val="clear" w:color="auto" w:fill="DBE5F1" w:themeFill="accent1" w:themeFillTint="33"/>
          </w:tcPr>
          <w:p w14:paraId="7562DBD2" w14:textId="77777777" w:rsidR="00C75068" w:rsidRPr="00BF6734" w:rsidRDefault="00C75068" w:rsidP="00531EC4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POTENTIAL IMPACT ON COST</w:t>
            </w:r>
          </w:p>
        </w:tc>
      </w:tr>
      <w:tr w:rsidR="00C75068" w:rsidRPr="00BF6734" w14:paraId="4A502F48" w14:textId="77777777" w:rsidTr="00C75068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1DA3D2B3" w14:textId="77777777" w:rsidR="00C75068" w:rsidRPr="00BF6734" w:rsidRDefault="00C75068" w:rsidP="00531EC4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Current cost</w:t>
            </w:r>
          </w:p>
        </w:tc>
        <w:tc>
          <w:tcPr>
            <w:tcW w:w="2977" w:type="dxa"/>
          </w:tcPr>
          <w:p w14:paraId="30D6CDCF" w14:textId="77777777" w:rsidR="00C75068" w:rsidRPr="00BF6734" w:rsidRDefault="00C75068" w:rsidP="00531EC4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5137" w:type="dxa"/>
          </w:tcPr>
          <w:p w14:paraId="3BA23B31" w14:textId="77777777" w:rsidR="00C75068" w:rsidRPr="00BF6734" w:rsidRDefault="00C75068" w:rsidP="00531EC4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Anticipated reduction in cost, if any</w:t>
            </w:r>
          </w:p>
          <w:p w14:paraId="59C59B18" w14:textId="77777777" w:rsidR="00C75068" w:rsidRPr="00BF6734" w:rsidRDefault="00C75068" w:rsidP="00531EC4">
            <w:pPr>
              <w:spacing w:before="120" w:after="120"/>
              <w:rPr>
                <w:rFonts w:asciiTheme="minorHAnsi" w:hAnsiTheme="minorHAnsi"/>
              </w:rPr>
            </w:pPr>
            <w:r w:rsidRPr="00BF6734">
              <w:rPr>
                <w:rFonts w:asciiTheme="minorHAnsi" w:hAnsiTheme="minorHAnsi"/>
                <w:b/>
              </w:rPr>
              <w:t>Marginal</w:t>
            </w:r>
            <w:r w:rsidRPr="00BF6734">
              <w:rPr>
                <w:rFonts w:asciiTheme="minorHAnsi" w:hAnsiTheme="minorHAnsi"/>
              </w:rPr>
              <w:t xml:space="preserve"> = borderline or unchanged from current cost</w:t>
            </w:r>
          </w:p>
          <w:p w14:paraId="0CDBCED3" w14:textId="77777777" w:rsidR="00C75068" w:rsidRPr="00BF6734" w:rsidRDefault="00C75068" w:rsidP="00531EC4">
            <w:pPr>
              <w:spacing w:before="120" w:after="120"/>
              <w:rPr>
                <w:rFonts w:asciiTheme="minorHAnsi" w:hAnsiTheme="minorHAnsi"/>
              </w:rPr>
            </w:pPr>
            <w:r w:rsidRPr="00BF6734">
              <w:rPr>
                <w:rFonts w:asciiTheme="minorHAnsi" w:hAnsiTheme="minorHAnsi"/>
                <w:b/>
              </w:rPr>
              <w:t>Minor</w:t>
            </w:r>
            <w:r w:rsidRPr="00BF6734">
              <w:rPr>
                <w:rFonts w:asciiTheme="minorHAnsi" w:hAnsiTheme="minorHAnsi"/>
              </w:rPr>
              <w:t xml:space="preserve"> = decrease by $500K - $1.99M from current cost</w:t>
            </w:r>
          </w:p>
          <w:p w14:paraId="679A25BA" w14:textId="77777777" w:rsidR="00C75068" w:rsidRPr="00BF6734" w:rsidRDefault="00C75068" w:rsidP="00531EC4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Major</w:t>
            </w:r>
            <w:r w:rsidRPr="00BF6734">
              <w:rPr>
                <w:rFonts w:asciiTheme="minorHAnsi" w:hAnsiTheme="minorHAnsi"/>
              </w:rPr>
              <w:t xml:space="preserve"> =  decrease $2M+ from current cost</w:t>
            </w:r>
          </w:p>
        </w:tc>
        <w:tc>
          <w:tcPr>
            <w:tcW w:w="3651" w:type="dxa"/>
          </w:tcPr>
          <w:p w14:paraId="1FA64FCD" w14:textId="77777777" w:rsidR="00C75068" w:rsidRPr="00BF6734" w:rsidRDefault="00C75068" w:rsidP="00531EC4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>Marginal</w:t>
            </w:r>
          </w:p>
        </w:tc>
      </w:tr>
      <w:tr w:rsidR="00FD2CCD" w:rsidRPr="00FD2CCD" w14:paraId="1F29F2F5" w14:textId="77777777" w:rsidTr="00C75068">
        <w:tc>
          <w:tcPr>
            <w:tcW w:w="14601" w:type="dxa"/>
            <w:gridSpan w:val="4"/>
            <w:shd w:val="clear" w:color="auto" w:fill="DBE5F1" w:themeFill="accent1" w:themeFillTint="33"/>
          </w:tcPr>
          <w:p w14:paraId="485FD2E2" w14:textId="13694AA0" w:rsidR="00FD2CCD" w:rsidRPr="00FD2CCD" w:rsidRDefault="00FD2CCD" w:rsidP="00FD2CCD">
            <w:pPr>
              <w:spacing w:before="120" w:after="120"/>
              <w:rPr>
                <w:rFonts w:asciiTheme="minorHAnsi" w:hAnsiTheme="minorHAnsi"/>
                <w:b/>
              </w:rPr>
            </w:pPr>
            <w:r w:rsidRPr="00FD2CCD">
              <w:rPr>
                <w:rFonts w:asciiTheme="minorHAnsi" w:hAnsiTheme="minorHAnsi"/>
                <w:b/>
              </w:rPr>
              <w:t>BIBLIOGRAPHY</w:t>
            </w:r>
          </w:p>
        </w:tc>
      </w:tr>
      <w:tr w:rsidR="00FD2CCD" w:rsidRPr="00FD2CCD" w14:paraId="062BA046" w14:textId="77777777" w:rsidTr="00C75068">
        <w:tc>
          <w:tcPr>
            <w:tcW w:w="14601" w:type="dxa"/>
            <w:gridSpan w:val="4"/>
            <w:shd w:val="clear" w:color="auto" w:fill="auto"/>
          </w:tcPr>
          <w:p w14:paraId="4C4ECD6D" w14:textId="445B7B08" w:rsidR="00FD2CCD" w:rsidRPr="00FD2CCD" w:rsidRDefault="00FD2CCD" w:rsidP="00FD2CCD">
            <w:pPr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FD2CCD">
              <w:rPr>
                <w:rFonts w:asciiTheme="minorHAnsi" w:hAnsiTheme="minorHAnsi"/>
                <w:color w:val="333333"/>
              </w:rPr>
              <w:t>Glatz</w:t>
            </w:r>
            <w:proofErr w:type="spellEnd"/>
            <w:r w:rsidRPr="00FD2CCD">
              <w:rPr>
                <w:rFonts w:asciiTheme="minorHAnsi" w:hAnsiTheme="minorHAnsi"/>
                <w:color w:val="333333"/>
              </w:rPr>
              <w:t xml:space="preserve">, K, </w:t>
            </w:r>
            <w:proofErr w:type="spellStart"/>
            <w:r w:rsidRPr="00FD2CCD">
              <w:rPr>
                <w:rFonts w:asciiTheme="minorHAnsi" w:hAnsiTheme="minorHAnsi"/>
                <w:color w:val="333333"/>
              </w:rPr>
              <w:t>Meinck</w:t>
            </w:r>
            <w:proofErr w:type="spellEnd"/>
            <w:r w:rsidRPr="00FD2CCD">
              <w:rPr>
                <w:rFonts w:asciiTheme="minorHAnsi" w:hAnsiTheme="minorHAnsi"/>
                <w:color w:val="333333"/>
              </w:rPr>
              <w:t xml:space="preserve">, HM &amp; </w:t>
            </w:r>
            <w:proofErr w:type="spellStart"/>
            <w:r w:rsidRPr="00FD2CCD">
              <w:rPr>
                <w:rFonts w:asciiTheme="minorHAnsi" w:hAnsiTheme="minorHAnsi"/>
                <w:color w:val="333333"/>
              </w:rPr>
              <w:t>Wildemann</w:t>
            </w:r>
            <w:proofErr w:type="spellEnd"/>
            <w:r w:rsidRPr="00FD2CCD">
              <w:rPr>
                <w:rFonts w:asciiTheme="minorHAnsi" w:hAnsiTheme="minorHAnsi"/>
                <w:color w:val="333333"/>
              </w:rPr>
              <w:t xml:space="preserve">, B 2003, ‘Para-infectious </w:t>
            </w:r>
            <w:proofErr w:type="spellStart"/>
            <w:r w:rsidRPr="00FD2CCD">
              <w:rPr>
                <w:rFonts w:asciiTheme="minorHAnsi" w:hAnsiTheme="minorHAnsi"/>
                <w:color w:val="333333"/>
              </w:rPr>
              <w:t>opsoclonus</w:t>
            </w:r>
            <w:proofErr w:type="spellEnd"/>
            <w:r w:rsidRPr="00FD2CCD">
              <w:rPr>
                <w:rFonts w:asciiTheme="minorHAnsi" w:hAnsiTheme="minorHAnsi"/>
                <w:color w:val="333333"/>
              </w:rPr>
              <w:t xml:space="preserve">-myoclonus syndrome: high dose intravenous </w:t>
            </w:r>
            <w:proofErr w:type="spellStart"/>
            <w:r w:rsidRPr="00FD2CCD">
              <w:rPr>
                <w:rFonts w:asciiTheme="minorHAnsi" w:hAnsiTheme="minorHAnsi"/>
                <w:color w:val="333333"/>
              </w:rPr>
              <w:t>immunoglobulins</w:t>
            </w:r>
            <w:proofErr w:type="spellEnd"/>
            <w:r w:rsidRPr="00FD2CCD">
              <w:rPr>
                <w:rFonts w:asciiTheme="minorHAnsi" w:hAnsiTheme="minorHAnsi"/>
                <w:color w:val="333333"/>
              </w:rPr>
              <w:t xml:space="preserve"> are effective’, </w:t>
            </w:r>
            <w:r w:rsidRPr="00FD2CCD">
              <w:rPr>
                <w:rStyle w:val="Emphasis"/>
                <w:rFonts w:asciiTheme="minorHAnsi" w:hAnsiTheme="minorHAnsi"/>
                <w:color w:val="333333"/>
              </w:rPr>
              <w:t>Journal of Neurology, Neurosurgery and Psychiatry</w:t>
            </w:r>
            <w:r w:rsidRPr="00FD2CCD">
              <w:rPr>
                <w:rFonts w:asciiTheme="minorHAnsi" w:hAnsiTheme="minorHAnsi"/>
                <w:color w:val="333333"/>
              </w:rPr>
              <w:t>, vol. 74, no. 2, pp. 279–80.</w:t>
            </w:r>
            <w:r w:rsidRPr="00FD2CCD">
              <w:rPr>
                <w:rFonts w:asciiTheme="minorHAnsi" w:hAnsiTheme="minorHAnsi"/>
                <w:color w:val="333333"/>
              </w:rPr>
              <w:br/>
              <w:t xml:space="preserve">Kornberg, AJ, for the Asia–Pacific </w:t>
            </w:r>
            <w:proofErr w:type="spellStart"/>
            <w:r w:rsidRPr="00FD2CCD">
              <w:rPr>
                <w:rFonts w:asciiTheme="minorHAnsi" w:hAnsiTheme="minorHAnsi"/>
                <w:color w:val="333333"/>
              </w:rPr>
              <w:t>IVIg</w:t>
            </w:r>
            <w:proofErr w:type="spellEnd"/>
            <w:r w:rsidRPr="00FD2CCD">
              <w:rPr>
                <w:rFonts w:asciiTheme="minorHAnsi" w:hAnsiTheme="minorHAnsi"/>
                <w:color w:val="333333"/>
              </w:rPr>
              <w:t xml:space="preserve"> Advisory Board 2004, </w:t>
            </w:r>
            <w:r w:rsidRPr="00FD2CCD">
              <w:rPr>
                <w:rStyle w:val="Emphasis"/>
                <w:rFonts w:asciiTheme="minorHAnsi" w:hAnsiTheme="minorHAnsi"/>
                <w:color w:val="333333"/>
              </w:rPr>
              <w:t xml:space="preserve">Bringing consensus to the use of </w:t>
            </w:r>
            <w:proofErr w:type="spellStart"/>
            <w:r w:rsidRPr="00FD2CCD">
              <w:rPr>
                <w:rStyle w:val="Emphasis"/>
                <w:rFonts w:asciiTheme="minorHAnsi" w:hAnsiTheme="minorHAnsi"/>
                <w:color w:val="333333"/>
              </w:rPr>
              <w:t>IVIg</w:t>
            </w:r>
            <w:proofErr w:type="spellEnd"/>
            <w:r w:rsidRPr="00FD2CCD">
              <w:rPr>
                <w:rStyle w:val="Emphasis"/>
                <w:rFonts w:asciiTheme="minorHAnsi" w:hAnsiTheme="minorHAnsi"/>
                <w:color w:val="333333"/>
              </w:rPr>
              <w:t xml:space="preserve"> in neurology. Expert consensus statements on the use of </w:t>
            </w:r>
            <w:proofErr w:type="spellStart"/>
            <w:r w:rsidRPr="00FD2CCD">
              <w:rPr>
                <w:rStyle w:val="Emphasis"/>
                <w:rFonts w:asciiTheme="minorHAnsi" w:hAnsiTheme="minorHAnsi"/>
                <w:color w:val="333333"/>
              </w:rPr>
              <w:t>IVIg</w:t>
            </w:r>
            <w:proofErr w:type="spellEnd"/>
            <w:r w:rsidRPr="00FD2CCD">
              <w:rPr>
                <w:rStyle w:val="Emphasis"/>
                <w:rFonts w:asciiTheme="minorHAnsi" w:hAnsiTheme="minorHAnsi"/>
                <w:color w:val="333333"/>
              </w:rPr>
              <w:t xml:space="preserve"> in neurology</w:t>
            </w:r>
            <w:r w:rsidRPr="00FD2CCD">
              <w:rPr>
                <w:rFonts w:asciiTheme="minorHAnsi" w:hAnsiTheme="minorHAnsi"/>
                <w:color w:val="333333"/>
              </w:rPr>
              <w:t xml:space="preserve">, 1st </w:t>
            </w:r>
            <w:proofErr w:type="spellStart"/>
            <w:r w:rsidRPr="00FD2CCD">
              <w:rPr>
                <w:rFonts w:asciiTheme="minorHAnsi" w:hAnsiTheme="minorHAnsi"/>
                <w:color w:val="333333"/>
              </w:rPr>
              <w:t>edn</w:t>
            </w:r>
            <w:proofErr w:type="spellEnd"/>
            <w:r w:rsidRPr="00FD2CCD">
              <w:rPr>
                <w:rFonts w:asciiTheme="minorHAnsi" w:hAnsiTheme="minorHAnsi"/>
                <w:color w:val="333333"/>
              </w:rPr>
              <w:t xml:space="preserve">, Asia–Pacific </w:t>
            </w:r>
            <w:proofErr w:type="spellStart"/>
            <w:r w:rsidRPr="00FD2CCD">
              <w:rPr>
                <w:rFonts w:asciiTheme="minorHAnsi" w:hAnsiTheme="minorHAnsi"/>
                <w:color w:val="333333"/>
              </w:rPr>
              <w:t>IVIg</w:t>
            </w:r>
            <w:proofErr w:type="spellEnd"/>
            <w:r w:rsidRPr="00FD2CCD">
              <w:rPr>
                <w:rFonts w:asciiTheme="minorHAnsi" w:hAnsiTheme="minorHAnsi"/>
                <w:color w:val="333333"/>
              </w:rPr>
              <w:t xml:space="preserve"> Advisory Board, Melbourne, pp. 80–82.</w:t>
            </w:r>
            <w:r w:rsidRPr="00FD2CCD">
              <w:rPr>
                <w:rFonts w:asciiTheme="minorHAnsi" w:hAnsiTheme="minorHAnsi"/>
                <w:color w:val="333333"/>
              </w:rPr>
              <w:br/>
            </w:r>
            <w:proofErr w:type="spellStart"/>
            <w:r w:rsidRPr="00FD2CCD">
              <w:rPr>
                <w:rFonts w:asciiTheme="minorHAnsi" w:hAnsiTheme="minorHAnsi"/>
                <w:color w:val="333333"/>
              </w:rPr>
              <w:t>Kurtzke</w:t>
            </w:r>
            <w:proofErr w:type="spellEnd"/>
            <w:r w:rsidRPr="00FD2CCD">
              <w:rPr>
                <w:rFonts w:asciiTheme="minorHAnsi" w:hAnsiTheme="minorHAnsi"/>
                <w:color w:val="333333"/>
              </w:rPr>
              <w:t xml:space="preserve">, JF 1983, ‘Rating neurologic impairment in multiple sclerosis: an expanded disability status scale (EDSS)’, </w:t>
            </w:r>
            <w:r w:rsidRPr="00FD2CCD">
              <w:rPr>
                <w:rStyle w:val="Emphasis"/>
                <w:rFonts w:asciiTheme="minorHAnsi" w:hAnsiTheme="minorHAnsi"/>
                <w:color w:val="333333"/>
              </w:rPr>
              <w:t>Neurology</w:t>
            </w:r>
            <w:r w:rsidRPr="00FD2CCD">
              <w:rPr>
                <w:rFonts w:asciiTheme="minorHAnsi" w:hAnsiTheme="minorHAnsi"/>
                <w:color w:val="333333"/>
              </w:rPr>
              <w:t>, vol. 33, no. 11, pp. 1444–1452.</w:t>
            </w:r>
            <w:r w:rsidRPr="00FD2CCD">
              <w:rPr>
                <w:rFonts w:asciiTheme="minorHAnsi" w:hAnsiTheme="minorHAnsi"/>
                <w:color w:val="333333"/>
              </w:rPr>
              <w:br/>
              <w:t xml:space="preserve">National Institute of Neurological Disorders 2006, ‘NINDS </w:t>
            </w:r>
            <w:proofErr w:type="spellStart"/>
            <w:r w:rsidRPr="00FD2CCD">
              <w:rPr>
                <w:rFonts w:asciiTheme="minorHAnsi" w:hAnsiTheme="minorHAnsi"/>
                <w:color w:val="333333"/>
              </w:rPr>
              <w:t>opsoclonus</w:t>
            </w:r>
            <w:proofErr w:type="spellEnd"/>
            <w:r w:rsidRPr="00FD2CCD">
              <w:rPr>
                <w:rFonts w:asciiTheme="minorHAnsi" w:hAnsiTheme="minorHAnsi"/>
                <w:color w:val="333333"/>
              </w:rPr>
              <w:t xml:space="preserve"> myoclonus information page’, January. Available from: www.ninds.nih. </w:t>
            </w:r>
            <w:proofErr w:type="spellStart"/>
            <w:r w:rsidRPr="00FD2CCD">
              <w:rPr>
                <w:rFonts w:asciiTheme="minorHAnsi" w:hAnsiTheme="minorHAnsi"/>
                <w:color w:val="333333"/>
              </w:rPr>
              <w:t>gov</w:t>
            </w:r>
            <w:proofErr w:type="spellEnd"/>
            <w:r w:rsidRPr="00FD2CCD">
              <w:rPr>
                <w:rFonts w:asciiTheme="minorHAnsi" w:hAnsiTheme="minorHAnsi"/>
                <w:color w:val="333333"/>
              </w:rPr>
              <w:t>/disorders/</w:t>
            </w:r>
            <w:proofErr w:type="spellStart"/>
            <w:r w:rsidRPr="00FD2CCD">
              <w:rPr>
                <w:rFonts w:asciiTheme="minorHAnsi" w:hAnsiTheme="minorHAnsi"/>
                <w:color w:val="333333"/>
              </w:rPr>
              <w:t>opsoclonus_myoclonus</w:t>
            </w:r>
            <w:proofErr w:type="spellEnd"/>
            <w:r w:rsidRPr="00FD2CCD">
              <w:rPr>
                <w:rFonts w:asciiTheme="minorHAnsi" w:hAnsiTheme="minorHAnsi"/>
                <w:color w:val="333333"/>
              </w:rPr>
              <w:t>/opsoclonus_myoclonus.htm [cited 7 Dec 2007]</w:t>
            </w:r>
          </w:p>
        </w:tc>
      </w:tr>
      <w:tr w:rsidR="00FD2CCD" w:rsidRPr="00FD2CCD" w14:paraId="59AC038B" w14:textId="77777777" w:rsidTr="00C75068">
        <w:tc>
          <w:tcPr>
            <w:tcW w:w="14601" w:type="dxa"/>
            <w:gridSpan w:val="4"/>
            <w:shd w:val="clear" w:color="auto" w:fill="DBE5F1" w:themeFill="accent1" w:themeFillTint="33"/>
          </w:tcPr>
          <w:p w14:paraId="65005AE6" w14:textId="567EFAC0" w:rsidR="00FD2CCD" w:rsidRPr="00FD2CCD" w:rsidRDefault="00FD2CCD" w:rsidP="00FD2CCD">
            <w:pPr>
              <w:spacing w:before="120" w:after="120"/>
              <w:rPr>
                <w:rFonts w:asciiTheme="minorHAnsi" w:hAnsiTheme="minorHAnsi"/>
                <w:b/>
              </w:rPr>
            </w:pPr>
            <w:r w:rsidRPr="00FD2CCD">
              <w:rPr>
                <w:rFonts w:asciiTheme="minorHAnsi" w:hAnsiTheme="minorHAnsi"/>
                <w:b/>
              </w:rPr>
              <w:t>END OF DOCUMENT</w:t>
            </w:r>
          </w:p>
        </w:tc>
      </w:tr>
    </w:tbl>
    <w:p w14:paraId="0ADADEB2" w14:textId="72DA26D1" w:rsidR="00447869" w:rsidRPr="00FD2CCD" w:rsidRDefault="00447869" w:rsidP="00FD2CCD"/>
    <w:sectPr w:rsidR="00447869" w:rsidRPr="00FD2CCD" w:rsidSect="00447869">
      <w:type w:val="continuous"/>
      <w:pgSz w:w="16839" w:h="11907" w:orient="landscape" w:code="9"/>
      <w:pgMar w:top="1440" w:right="1440" w:bottom="113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4928B" w14:textId="77777777" w:rsidR="00447869" w:rsidRDefault="00447869" w:rsidP="00856708">
      <w:pPr>
        <w:spacing w:after="0"/>
      </w:pPr>
      <w:r>
        <w:separator/>
      </w:r>
    </w:p>
  </w:endnote>
  <w:endnote w:type="continuationSeparator" w:id="0">
    <w:p w14:paraId="134E4CC9" w14:textId="77777777" w:rsidR="00447869" w:rsidRDefault="00447869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N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525E8" w14:textId="77777777" w:rsidR="00447869" w:rsidRPr="00856708" w:rsidRDefault="00447869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5815B9">
      <w:rPr>
        <w:noProof/>
        <w:sz w:val="20"/>
        <w:szCs w:val="20"/>
      </w:rPr>
      <w:t>5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9FB12" w14:textId="77777777" w:rsidR="00447869" w:rsidRDefault="00447869" w:rsidP="00856708">
      <w:pPr>
        <w:spacing w:after="0"/>
      </w:pPr>
      <w:r>
        <w:separator/>
      </w:r>
    </w:p>
  </w:footnote>
  <w:footnote w:type="continuationSeparator" w:id="0">
    <w:p w14:paraId="5DFE5A76" w14:textId="77777777" w:rsidR="00447869" w:rsidRDefault="00447869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A87F28"/>
    <w:multiLevelType w:val="hybridMultilevel"/>
    <w:tmpl w:val="6EBF54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DB7B68"/>
    <w:multiLevelType w:val="hybridMultilevel"/>
    <w:tmpl w:val="B68855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BC2D58"/>
    <w:multiLevelType w:val="hybridMultilevel"/>
    <w:tmpl w:val="B6886A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9F10B1"/>
    <w:multiLevelType w:val="hybridMultilevel"/>
    <w:tmpl w:val="6DFCF990"/>
    <w:lvl w:ilvl="0" w:tplc="0409001B">
      <w:start w:val="1"/>
      <w:numFmt w:val="lowerRoman"/>
      <w:lvlText w:val="%1."/>
      <w:lvlJc w:val="right"/>
      <w:pPr>
        <w:ind w:left="1795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057570CC"/>
    <w:multiLevelType w:val="hybridMultilevel"/>
    <w:tmpl w:val="6117DE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6E7F16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47667A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2947A29"/>
    <w:multiLevelType w:val="multilevel"/>
    <w:tmpl w:val="8A0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82DC6"/>
    <w:multiLevelType w:val="hybridMultilevel"/>
    <w:tmpl w:val="79F40D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925D73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11670AD"/>
    <w:multiLevelType w:val="hybridMultilevel"/>
    <w:tmpl w:val="F790FD7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F08BA"/>
    <w:multiLevelType w:val="hybridMultilevel"/>
    <w:tmpl w:val="EBD8718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2550D"/>
    <w:multiLevelType w:val="hybridMultilevel"/>
    <w:tmpl w:val="427C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68D0155"/>
    <w:multiLevelType w:val="hybridMultilevel"/>
    <w:tmpl w:val="D15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71BD4"/>
    <w:multiLevelType w:val="hybridMultilevel"/>
    <w:tmpl w:val="6DFCF99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BCE719"/>
    <w:multiLevelType w:val="hybridMultilevel"/>
    <w:tmpl w:val="3D5A05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1D10A28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A8567D5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D961A14"/>
    <w:multiLevelType w:val="hybridMultilevel"/>
    <w:tmpl w:val="3A2C206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32582F"/>
    <w:multiLevelType w:val="hybridMultilevel"/>
    <w:tmpl w:val="67BE83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243016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  <w:sz w:val="18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8245E1"/>
    <w:multiLevelType w:val="hybridMultilevel"/>
    <w:tmpl w:val="6366972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B6EAB62">
      <w:numFmt w:val="bullet"/>
      <w:lvlText w:val=""/>
      <w:lvlJc w:val="left"/>
      <w:pPr>
        <w:ind w:left="2340" w:hanging="360"/>
      </w:pPr>
      <w:rPr>
        <w:rFonts w:ascii="Wingdings" w:eastAsia="Dotum" w:hAnsi="Wingdings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2B98"/>
    <w:multiLevelType w:val="hybridMultilevel"/>
    <w:tmpl w:val="5D980EE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E73143E"/>
    <w:multiLevelType w:val="hybridMultilevel"/>
    <w:tmpl w:val="77DA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C5097"/>
    <w:multiLevelType w:val="hybridMultilevel"/>
    <w:tmpl w:val="6DFCF99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79E6CD1"/>
    <w:multiLevelType w:val="hybridMultilevel"/>
    <w:tmpl w:val="160134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BEE31E7"/>
    <w:multiLevelType w:val="hybridMultilevel"/>
    <w:tmpl w:val="5CBE7584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6"/>
  </w:num>
  <w:num w:numId="4">
    <w:abstractNumId w:val="26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28"/>
  </w:num>
  <w:num w:numId="11">
    <w:abstractNumId w:val="18"/>
  </w:num>
  <w:num w:numId="12">
    <w:abstractNumId w:val="23"/>
  </w:num>
  <w:num w:numId="13">
    <w:abstractNumId w:val="10"/>
  </w:num>
  <w:num w:numId="14">
    <w:abstractNumId w:val="15"/>
  </w:num>
  <w:num w:numId="15">
    <w:abstractNumId w:val="9"/>
  </w:num>
  <w:num w:numId="16">
    <w:abstractNumId w:val="25"/>
  </w:num>
  <w:num w:numId="17">
    <w:abstractNumId w:val="5"/>
  </w:num>
  <w:num w:numId="18">
    <w:abstractNumId w:val="13"/>
  </w:num>
  <w:num w:numId="19">
    <w:abstractNumId w:val="21"/>
  </w:num>
  <w:num w:numId="20">
    <w:abstractNumId w:val="29"/>
  </w:num>
  <w:num w:numId="21">
    <w:abstractNumId w:val="11"/>
  </w:num>
  <w:num w:numId="22">
    <w:abstractNumId w:val="22"/>
  </w:num>
  <w:num w:numId="23">
    <w:abstractNumId w:val="8"/>
  </w:num>
  <w:num w:numId="24">
    <w:abstractNumId w:val="3"/>
  </w:num>
  <w:num w:numId="25">
    <w:abstractNumId w:val="24"/>
  </w:num>
  <w:num w:numId="26">
    <w:abstractNumId w:val="17"/>
  </w:num>
  <w:num w:numId="27">
    <w:abstractNumId w:val="27"/>
  </w:num>
  <w:num w:numId="28">
    <w:abstractNumId w:val="19"/>
  </w:num>
  <w:num w:numId="29">
    <w:abstractNumId w:val="20"/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0F"/>
    <w:rsid w:val="00036EDC"/>
    <w:rsid w:val="000E4D1E"/>
    <w:rsid w:val="00165F48"/>
    <w:rsid w:val="0017270F"/>
    <w:rsid w:val="001849B2"/>
    <w:rsid w:val="00184E12"/>
    <w:rsid w:val="00190F6D"/>
    <w:rsid w:val="001A2460"/>
    <w:rsid w:val="0021213D"/>
    <w:rsid w:val="002306B2"/>
    <w:rsid w:val="00236B19"/>
    <w:rsid w:val="00240825"/>
    <w:rsid w:val="002537F2"/>
    <w:rsid w:val="00275679"/>
    <w:rsid w:val="002936DD"/>
    <w:rsid w:val="00295CD3"/>
    <w:rsid w:val="002B2AB9"/>
    <w:rsid w:val="003666B5"/>
    <w:rsid w:val="00395032"/>
    <w:rsid w:val="003D27F1"/>
    <w:rsid w:val="00403201"/>
    <w:rsid w:val="00445EDE"/>
    <w:rsid w:val="00447869"/>
    <w:rsid w:val="00454FA8"/>
    <w:rsid w:val="00460325"/>
    <w:rsid w:val="00463B0C"/>
    <w:rsid w:val="004D4636"/>
    <w:rsid w:val="00531E6D"/>
    <w:rsid w:val="00540020"/>
    <w:rsid w:val="005815B9"/>
    <w:rsid w:val="00584BEC"/>
    <w:rsid w:val="005D2C3D"/>
    <w:rsid w:val="00602D7D"/>
    <w:rsid w:val="00644285"/>
    <w:rsid w:val="00657F36"/>
    <w:rsid w:val="00666AA5"/>
    <w:rsid w:val="00670D34"/>
    <w:rsid w:val="006A6D3D"/>
    <w:rsid w:val="006B0323"/>
    <w:rsid w:val="006B4C33"/>
    <w:rsid w:val="006D2521"/>
    <w:rsid w:val="006D2FA8"/>
    <w:rsid w:val="006F1FA7"/>
    <w:rsid w:val="00787242"/>
    <w:rsid w:val="007B2100"/>
    <w:rsid w:val="007C7B0F"/>
    <w:rsid w:val="008041F6"/>
    <w:rsid w:val="00856708"/>
    <w:rsid w:val="00893E0A"/>
    <w:rsid w:val="00933536"/>
    <w:rsid w:val="0093594E"/>
    <w:rsid w:val="00951B85"/>
    <w:rsid w:val="00982D63"/>
    <w:rsid w:val="009B04BD"/>
    <w:rsid w:val="009E38CC"/>
    <w:rsid w:val="00A0276B"/>
    <w:rsid w:val="00A357C4"/>
    <w:rsid w:val="00B3726E"/>
    <w:rsid w:val="00BD735D"/>
    <w:rsid w:val="00C21002"/>
    <w:rsid w:val="00C34D27"/>
    <w:rsid w:val="00C75068"/>
    <w:rsid w:val="00CD5856"/>
    <w:rsid w:val="00D16B82"/>
    <w:rsid w:val="00D17FEC"/>
    <w:rsid w:val="00D24193"/>
    <w:rsid w:val="00D96987"/>
    <w:rsid w:val="00DB17C2"/>
    <w:rsid w:val="00DB1925"/>
    <w:rsid w:val="00DD166F"/>
    <w:rsid w:val="00EB78FB"/>
    <w:rsid w:val="00F66136"/>
    <w:rsid w:val="00FD2CCD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54B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0F"/>
    <w:rPr>
      <w:rFonts w:ascii="Tahoma" w:eastAsia="Dotum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17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17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Pa17">
    <w:name w:val="Pa17"/>
    <w:basedOn w:val="Normal"/>
    <w:next w:val="Normal"/>
    <w:uiPriority w:val="99"/>
    <w:rsid w:val="00DD166F"/>
    <w:pPr>
      <w:autoSpaceDE w:val="0"/>
      <w:autoSpaceDN w:val="0"/>
      <w:adjustRightInd w:val="0"/>
      <w:spacing w:after="0" w:line="181" w:lineRule="atLeast"/>
    </w:pPr>
    <w:rPr>
      <w:rFonts w:ascii="DIN-Medium" w:eastAsiaTheme="minorHAnsi" w:hAnsi="DIN-Medium" w:cstheme="minorBidi"/>
      <w:sz w:val="24"/>
      <w:szCs w:val="24"/>
    </w:rPr>
  </w:style>
  <w:style w:type="paragraph" w:customStyle="1" w:styleId="Default">
    <w:name w:val="Default"/>
    <w:rsid w:val="00DD166F"/>
    <w:pPr>
      <w:autoSpaceDE w:val="0"/>
      <w:autoSpaceDN w:val="0"/>
      <w:adjustRightInd w:val="0"/>
      <w:spacing w:after="0" w:line="240" w:lineRule="auto"/>
    </w:pPr>
    <w:rPr>
      <w:rFonts w:ascii="DIN-Light" w:hAnsi="DIN-Light" w:cs="DIN-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heading10">
    <w:name w:val="heading1"/>
    <w:basedOn w:val="Normal"/>
    <w:rsid w:val="00584BEC"/>
    <w:pPr>
      <w:spacing w:after="225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584BEC"/>
    <w:rPr>
      <w:b/>
      <w:bCs/>
    </w:rPr>
  </w:style>
  <w:style w:type="character" w:styleId="Emphasis">
    <w:name w:val="Emphasis"/>
    <w:basedOn w:val="DefaultParagraphFont"/>
    <w:uiPriority w:val="20"/>
    <w:qFormat/>
    <w:rsid w:val="00FD2C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0F"/>
    <w:rPr>
      <w:rFonts w:ascii="Tahoma" w:eastAsia="Dotum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17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17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Pa17">
    <w:name w:val="Pa17"/>
    <w:basedOn w:val="Normal"/>
    <w:next w:val="Normal"/>
    <w:uiPriority w:val="99"/>
    <w:rsid w:val="00DD166F"/>
    <w:pPr>
      <w:autoSpaceDE w:val="0"/>
      <w:autoSpaceDN w:val="0"/>
      <w:adjustRightInd w:val="0"/>
      <w:spacing w:after="0" w:line="181" w:lineRule="atLeast"/>
    </w:pPr>
    <w:rPr>
      <w:rFonts w:ascii="DIN-Medium" w:eastAsiaTheme="minorHAnsi" w:hAnsi="DIN-Medium" w:cstheme="minorBidi"/>
      <w:sz w:val="24"/>
      <w:szCs w:val="24"/>
    </w:rPr>
  </w:style>
  <w:style w:type="paragraph" w:customStyle="1" w:styleId="Default">
    <w:name w:val="Default"/>
    <w:rsid w:val="00DD166F"/>
    <w:pPr>
      <w:autoSpaceDE w:val="0"/>
      <w:autoSpaceDN w:val="0"/>
      <w:adjustRightInd w:val="0"/>
      <w:spacing w:after="0" w:line="240" w:lineRule="auto"/>
    </w:pPr>
    <w:rPr>
      <w:rFonts w:ascii="DIN-Light" w:hAnsi="DIN-Light" w:cs="DIN-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heading10">
    <w:name w:val="heading1"/>
    <w:basedOn w:val="Normal"/>
    <w:rsid w:val="00584BEC"/>
    <w:pPr>
      <w:spacing w:after="225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584BEC"/>
    <w:rPr>
      <w:b/>
      <w:bCs/>
    </w:rPr>
  </w:style>
  <w:style w:type="character" w:styleId="Emphasis">
    <w:name w:val="Emphasis"/>
    <w:basedOn w:val="DefaultParagraphFont"/>
    <w:uiPriority w:val="20"/>
    <w:qFormat/>
    <w:rsid w:val="00FD2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9F68ED-19C7-48A4-8970-16D2142B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Petra</cp:lastModifiedBy>
  <cp:revision>3</cp:revision>
  <dcterms:created xsi:type="dcterms:W3CDTF">2015-11-15T23:27:00Z</dcterms:created>
  <dcterms:modified xsi:type="dcterms:W3CDTF">2015-11-16T01:05:00Z</dcterms:modified>
</cp:coreProperties>
</file>