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61" w:rsidRPr="000F748F" w:rsidRDefault="00C33C6A" w:rsidP="0022002D">
      <w:pPr>
        <w:tabs>
          <w:tab w:val="left" w:pos="3975"/>
        </w:tabs>
        <w:jc w:val="center"/>
        <w:rPr>
          <w:b/>
          <w:sz w:val="48"/>
          <w:szCs w:val="48"/>
        </w:rPr>
      </w:pPr>
      <w:bookmarkStart w:id="0" w:name="_GoBack"/>
      <w:bookmarkEnd w:id="0"/>
      <w:r>
        <w:rPr>
          <w:noProof/>
          <w:sz w:val="48"/>
          <w:szCs w:val="48"/>
          <w:lang w:eastAsia="en-AU"/>
        </w:rPr>
        <w:drawing>
          <wp:anchor distT="0" distB="0" distL="114300" distR="114300" simplePos="0" relativeHeight="251663360" behindDoc="0" locked="0" layoutInCell="1" allowOverlap="1" wp14:anchorId="730B4923" wp14:editId="1301BAEE">
            <wp:simplePos x="0" y="0"/>
            <wp:positionH relativeFrom="column">
              <wp:posOffset>4108450</wp:posOffset>
            </wp:positionH>
            <wp:positionV relativeFrom="paragraph">
              <wp:posOffset>-708660</wp:posOffset>
            </wp:positionV>
            <wp:extent cx="2154555" cy="5740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4555" cy="5740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en-AU"/>
        </w:rPr>
        <w:drawing>
          <wp:anchor distT="0" distB="0" distL="114300" distR="114300" simplePos="0" relativeHeight="251662336" behindDoc="0" locked="0" layoutInCell="1" allowOverlap="1" wp14:anchorId="446CEFA3" wp14:editId="22321C61">
            <wp:simplePos x="0" y="0"/>
            <wp:positionH relativeFrom="column">
              <wp:posOffset>-99695</wp:posOffset>
            </wp:positionH>
            <wp:positionV relativeFrom="paragraph">
              <wp:posOffset>-734695</wp:posOffset>
            </wp:positionV>
            <wp:extent cx="2847975" cy="701675"/>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7975" cy="70167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05284956"/>
      <w:r w:rsidR="00B07C61" w:rsidRPr="000F748F">
        <w:rPr>
          <w:b/>
          <w:sz w:val="48"/>
          <w:szCs w:val="48"/>
        </w:rPr>
        <w:t>Patient Information and Informed Consent</w:t>
      </w:r>
      <w:bookmarkEnd w:id="1"/>
    </w:p>
    <w:p w:rsidR="00B07C61" w:rsidRPr="00FD27EE" w:rsidRDefault="00B07C61" w:rsidP="00B07C61">
      <w:pPr>
        <w:pStyle w:val="Heading4"/>
        <w:pBdr>
          <w:top w:val="single" w:sz="4" w:space="1" w:color="auto"/>
          <w:left w:val="single" w:sz="4" w:space="4" w:color="auto"/>
          <w:bottom w:val="single" w:sz="4" w:space="1" w:color="auto"/>
          <w:right w:val="single" w:sz="4" w:space="4" w:color="auto"/>
        </w:pBdr>
        <w:shd w:val="clear" w:color="auto" w:fill="E5B8B7" w:themeFill="accent2" w:themeFillTint="66"/>
        <w:spacing w:after="240"/>
      </w:pPr>
      <w:r>
        <w:t>Information for patients</w:t>
      </w:r>
    </w:p>
    <w:p w:rsidR="00B07C61" w:rsidRDefault="00DF71B4" w:rsidP="00B07C61">
      <w:pPr>
        <w:jc w:val="both"/>
        <w:rPr>
          <w:rFonts w:ascii="Arial" w:hAnsi="Arial" w:cs="Arial"/>
          <w:sz w:val="20"/>
          <w:szCs w:val="20"/>
        </w:rPr>
      </w:pPr>
      <w:r>
        <w:rPr>
          <w:rFonts w:ascii="Arial" w:hAnsi="Arial" w:cs="Arial"/>
          <w:sz w:val="20"/>
          <w:szCs w:val="20"/>
        </w:rPr>
        <w:t>We request</w:t>
      </w:r>
      <w:r w:rsidR="00F67E7B">
        <w:rPr>
          <w:rFonts w:ascii="Arial" w:hAnsi="Arial" w:cs="Arial"/>
          <w:sz w:val="20"/>
          <w:szCs w:val="20"/>
        </w:rPr>
        <w:t xml:space="preserve"> that</w:t>
      </w:r>
      <w:r w:rsidR="00B07C61">
        <w:rPr>
          <w:rFonts w:ascii="Arial" w:hAnsi="Arial" w:cs="Arial"/>
          <w:sz w:val="20"/>
          <w:szCs w:val="20"/>
        </w:rPr>
        <w:t xml:space="preserve"> you/your child register in the Australian Bleeding Disorders Registry (ABDR). If you/your child have been getting treatment and care for your/their bleeding disorder, you/they may already be registered, and we </w:t>
      </w:r>
      <w:r>
        <w:rPr>
          <w:rFonts w:ascii="Arial" w:hAnsi="Arial" w:cs="Arial"/>
          <w:sz w:val="20"/>
          <w:szCs w:val="20"/>
        </w:rPr>
        <w:t xml:space="preserve">ask that </w:t>
      </w:r>
      <w:r w:rsidR="00B07C61">
        <w:rPr>
          <w:rFonts w:ascii="Arial" w:hAnsi="Arial" w:cs="Arial"/>
          <w:sz w:val="20"/>
          <w:szCs w:val="20"/>
        </w:rPr>
        <w:t xml:space="preserve">you/your child continue being a part of the ABDR. Before you do, it is important that you understand what is involved and what will be done with the information you provide. This form contains answers to some of the questions you might have. At the end of this form is a section for you to sign to confirm you agree to participate. If you have any questions after reading this form, please contact the relevant person before signing this form. You will find a list of contact details </w:t>
      </w:r>
      <w:r w:rsidR="00B07C61" w:rsidRPr="00971B40">
        <w:rPr>
          <w:rFonts w:ascii="Arial" w:hAnsi="Arial" w:cs="Arial"/>
          <w:sz w:val="20"/>
          <w:szCs w:val="20"/>
        </w:rPr>
        <w:t>on the next page.</w:t>
      </w:r>
      <w:r w:rsidR="00B07C61">
        <w:rPr>
          <w:rFonts w:ascii="Arial" w:hAnsi="Arial" w:cs="Arial"/>
          <w:sz w:val="20"/>
          <w:szCs w:val="20"/>
        </w:rPr>
        <w:t xml:space="preserve"> </w:t>
      </w:r>
    </w:p>
    <w:p w:rsidR="00B07C61" w:rsidRPr="00E56A8B" w:rsidRDefault="00B07C61" w:rsidP="00B07C61">
      <w:pPr>
        <w:pStyle w:val="Heading4"/>
      </w:pPr>
      <w:r w:rsidRPr="00E56A8B">
        <w:t>What is the ABDR?</w:t>
      </w:r>
    </w:p>
    <w:p w:rsidR="00B07C61" w:rsidRDefault="00B07C61" w:rsidP="00B07C61">
      <w:pPr>
        <w:jc w:val="both"/>
        <w:rPr>
          <w:rFonts w:ascii="Arial" w:hAnsi="Arial" w:cs="Arial"/>
          <w:sz w:val="20"/>
          <w:szCs w:val="20"/>
        </w:rPr>
      </w:pPr>
      <w:r>
        <w:rPr>
          <w:rFonts w:ascii="Arial" w:hAnsi="Arial" w:cs="Arial"/>
          <w:sz w:val="20"/>
          <w:szCs w:val="20"/>
        </w:rPr>
        <w:t xml:space="preserve">The Australian Bleeding Disorders Registry (ABDR) is a computer database of healthcare information about people with bleeding disorders. This information </w:t>
      </w:r>
      <w:r w:rsidR="008A45A1">
        <w:rPr>
          <w:rFonts w:ascii="Arial" w:hAnsi="Arial" w:cs="Arial"/>
          <w:sz w:val="20"/>
          <w:szCs w:val="20"/>
        </w:rPr>
        <w:t xml:space="preserve">recorded </w:t>
      </w:r>
      <w:r>
        <w:rPr>
          <w:rFonts w:ascii="Arial" w:hAnsi="Arial" w:cs="Arial"/>
          <w:sz w:val="20"/>
          <w:szCs w:val="20"/>
        </w:rPr>
        <w:t>includes your name and contact details, information about your health</w:t>
      </w:r>
      <w:r w:rsidR="008A45A1">
        <w:rPr>
          <w:rFonts w:ascii="Arial" w:hAnsi="Arial" w:cs="Arial"/>
          <w:sz w:val="20"/>
          <w:szCs w:val="20"/>
        </w:rPr>
        <w:t xml:space="preserve"> and treatments</w:t>
      </w:r>
      <w:r>
        <w:rPr>
          <w:rFonts w:ascii="Arial" w:hAnsi="Arial" w:cs="Arial"/>
          <w:sz w:val="20"/>
          <w:szCs w:val="20"/>
        </w:rPr>
        <w:t xml:space="preserve"> (such as your </w:t>
      </w:r>
      <w:r w:rsidR="008A45A1">
        <w:rPr>
          <w:rFonts w:ascii="Arial" w:hAnsi="Arial" w:cs="Arial"/>
          <w:sz w:val="20"/>
          <w:szCs w:val="20"/>
        </w:rPr>
        <w:t xml:space="preserve">height and weight, </w:t>
      </w:r>
      <w:r>
        <w:rPr>
          <w:rFonts w:ascii="Arial" w:hAnsi="Arial" w:cs="Arial"/>
          <w:sz w:val="20"/>
          <w:szCs w:val="20"/>
        </w:rPr>
        <w:t>diagnoses, treatment plan and</w:t>
      </w:r>
      <w:r w:rsidR="008A45A1">
        <w:rPr>
          <w:rFonts w:ascii="Arial" w:hAnsi="Arial" w:cs="Arial"/>
          <w:sz w:val="20"/>
          <w:szCs w:val="20"/>
        </w:rPr>
        <w:t xml:space="preserve"> use of</w:t>
      </w:r>
      <w:r>
        <w:rPr>
          <w:rFonts w:ascii="Arial" w:hAnsi="Arial" w:cs="Arial"/>
          <w:sz w:val="20"/>
          <w:szCs w:val="20"/>
        </w:rPr>
        <w:t xml:space="preserve"> </w:t>
      </w:r>
      <w:r w:rsidR="008A45A1">
        <w:rPr>
          <w:rFonts w:ascii="Arial" w:hAnsi="Arial" w:cs="Arial"/>
          <w:sz w:val="20"/>
          <w:szCs w:val="20"/>
        </w:rPr>
        <w:t>treatment products</w:t>
      </w:r>
      <w:r>
        <w:rPr>
          <w:rFonts w:ascii="Arial" w:hAnsi="Arial" w:cs="Arial"/>
          <w:sz w:val="20"/>
          <w:szCs w:val="20"/>
        </w:rPr>
        <w:t>), what health services you have used (such as doctors’ appointments and hospital admissions)</w:t>
      </w:r>
      <w:r w:rsidR="008A45A1">
        <w:rPr>
          <w:rFonts w:ascii="Arial" w:hAnsi="Arial" w:cs="Arial"/>
          <w:sz w:val="20"/>
          <w:szCs w:val="20"/>
        </w:rPr>
        <w:t>,</w:t>
      </w:r>
      <w:r>
        <w:rPr>
          <w:rFonts w:ascii="Arial" w:hAnsi="Arial" w:cs="Arial"/>
          <w:sz w:val="20"/>
          <w:szCs w:val="20"/>
        </w:rPr>
        <w:t xml:space="preserve"> and </w:t>
      </w:r>
      <w:r w:rsidR="008A45A1">
        <w:rPr>
          <w:rFonts w:ascii="Arial" w:hAnsi="Arial" w:cs="Arial"/>
          <w:sz w:val="20"/>
          <w:szCs w:val="20"/>
        </w:rPr>
        <w:t xml:space="preserve">whether </w:t>
      </w:r>
      <w:r>
        <w:rPr>
          <w:rFonts w:ascii="Arial" w:hAnsi="Arial" w:cs="Arial"/>
          <w:sz w:val="20"/>
          <w:szCs w:val="20"/>
        </w:rPr>
        <w:t>you faced any complications through your treatment.</w:t>
      </w:r>
    </w:p>
    <w:p w:rsidR="00B07C61" w:rsidRDefault="008A45A1" w:rsidP="00B07C61">
      <w:pPr>
        <w:jc w:val="both"/>
        <w:rPr>
          <w:rFonts w:ascii="Arial" w:hAnsi="Arial" w:cs="Arial"/>
          <w:sz w:val="20"/>
          <w:szCs w:val="20"/>
        </w:rPr>
      </w:pPr>
      <w:r>
        <w:rPr>
          <w:rFonts w:ascii="Arial" w:hAnsi="Arial" w:cs="Arial"/>
          <w:sz w:val="20"/>
          <w:szCs w:val="20"/>
        </w:rPr>
        <w:t xml:space="preserve">The ABDR is not your hospital medical record. The ABDR is a special medical record about you and your bleeding disorder condition that is separate to other hospital and/or health care service medical records. </w:t>
      </w:r>
    </w:p>
    <w:p w:rsidR="00B07C61" w:rsidRPr="004F6F86" w:rsidRDefault="00B07C61" w:rsidP="00670E59">
      <w:pPr>
        <w:pStyle w:val="Heading4"/>
        <w:tabs>
          <w:tab w:val="left" w:pos="6966"/>
        </w:tabs>
      </w:pPr>
      <w:r>
        <w:t>How will the ABDR help me?</w:t>
      </w:r>
      <w:r w:rsidR="008A45A1">
        <w:tab/>
      </w:r>
    </w:p>
    <w:p w:rsidR="00B07C61" w:rsidRDefault="008A45A1" w:rsidP="00B07C61">
      <w:pPr>
        <w:jc w:val="both"/>
        <w:rPr>
          <w:rFonts w:ascii="Arial" w:hAnsi="Arial" w:cs="Arial"/>
          <w:sz w:val="20"/>
          <w:szCs w:val="20"/>
        </w:rPr>
      </w:pPr>
      <w:r>
        <w:rPr>
          <w:rFonts w:ascii="Arial" w:hAnsi="Arial" w:cs="Arial"/>
          <w:sz w:val="20"/>
          <w:szCs w:val="20"/>
        </w:rPr>
        <w:t>ABDR helps your doctor and other health professionals in your treating team at your Haemophilia Treatment Centre (HTC) to understand your care and treatment needs, and is used to check which treatments work best for you to improve your health and wellbeing.</w:t>
      </w:r>
      <w:r w:rsidR="00B07C61">
        <w:rPr>
          <w:rFonts w:ascii="Arial" w:hAnsi="Arial" w:cs="Arial"/>
          <w:sz w:val="20"/>
          <w:szCs w:val="20"/>
        </w:rPr>
        <w:t xml:space="preserve"> If you travel, or move interstate, you can say if you want this medical record to be available to specified staff in HTCs around Australia.</w:t>
      </w:r>
      <w:r w:rsidRPr="008A45A1">
        <w:rPr>
          <w:rFonts w:ascii="Arial" w:hAnsi="Arial" w:cs="Arial"/>
          <w:sz w:val="20"/>
          <w:szCs w:val="20"/>
        </w:rPr>
        <w:t xml:space="preserve"> </w:t>
      </w:r>
      <w:r>
        <w:rPr>
          <w:rFonts w:ascii="Arial" w:hAnsi="Arial" w:cs="Arial"/>
          <w:sz w:val="20"/>
          <w:szCs w:val="20"/>
        </w:rPr>
        <w:t>The ABDR also helps Government to plan so that there are enough treatment products in Australia to meet the needs of all patients with bleeding disorders.</w:t>
      </w:r>
    </w:p>
    <w:p w:rsidR="00B07C61" w:rsidRDefault="00B07C61" w:rsidP="00B07C61">
      <w:pPr>
        <w:pStyle w:val="Heading4"/>
      </w:pPr>
      <w:r>
        <w:t xml:space="preserve">I have heard of </w:t>
      </w:r>
      <w:proofErr w:type="spellStart"/>
      <w:r>
        <w:t>MyABDR</w:t>
      </w:r>
      <w:proofErr w:type="spellEnd"/>
      <w:r>
        <w:t>. What is it</w:t>
      </w:r>
      <w:r w:rsidRPr="004F6F86">
        <w:t>?</w:t>
      </w:r>
    </w:p>
    <w:p w:rsidR="00B07C61" w:rsidRDefault="00B07C61" w:rsidP="00B07C61">
      <w:pPr>
        <w:jc w:val="both"/>
        <w:rPr>
          <w:rFonts w:ascii="Arial" w:hAnsi="Arial" w:cs="Arial"/>
          <w:sz w:val="20"/>
          <w:szCs w:val="20"/>
        </w:rPr>
      </w:pPr>
      <w:proofErr w:type="spellStart"/>
      <w:r>
        <w:rPr>
          <w:rFonts w:ascii="Arial" w:hAnsi="Arial" w:cs="Arial"/>
          <w:sz w:val="20"/>
          <w:szCs w:val="20"/>
        </w:rPr>
        <w:t>MyABDR</w:t>
      </w:r>
      <w:proofErr w:type="spellEnd"/>
      <w:r>
        <w:rPr>
          <w:rFonts w:ascii="Arial" w:hAnsi="Arial" w:cs="Arial"/>
          <w:sz w:val="20"/>
          <w:szCs w:val="20"/>
        </w:rPr>
        <w:t xml:space="preserve"> is a secure app for smartphones and a computer website for people with bleeding disorders or parents/caregivers. The </w:t>
      </w:r>
      <w:proofErr w:type="spellStart"/>
      <w:r>
        <w:rPr>
          <w:rFonts w:ascii="Arial" w:hAnsi="Arial" w:cs="Arial"/>
          <w:sz w:val="20"/>
          <w:szCs w:val="20"/>
        </w:rPr>
        <w:t>MyABDR</w:t>
      </w:r>
      <w:proofErr w:type="spellEnd"/>
      <w:r>
        <w:rPr>
          <w:rFonts w:ascii="Arial" w:hAnsi="Arial" w:cs="Arial"/>
          <w:sz w:val="20"/>
          <w:szCs w:val="20"/>
        </w:rPr>
        <w:t xml:space="preserve"> app and website link directly to the ABDR. You can use </w:t>
      </w:r>
      <w:proofErr w:type="spellStart"/>
      <w:r>
        <w:rPr>
          <w:rFonts w:ascii="Arial" w:hAnsi="Arial" w:cs="Arial"/>
          <w:sz w:val="20"/>
          <w:szCs w:val="20"/>
        </w:rPr>
        <w:t>MyABDR</w:t>
      </w:r>
      <w:proofErr w:type="spellEnd"/>
      <w:r>
        <w:rPr>
          <w:rFonts w:ascii="Arial" w:hAnsi="Arial" w:cs="Arial"/>
          <w:sz w:val="20"/>
          <w:szCs w:val="20"/>
        </w:rPr>
        <w:t xml:space="preserve"> to record home treatments and bleeds and manage treatment product stock. If you don’t want to use the app or website, you can use the </w:t>
      </w:r>
      <w:proofErr w:type="spellStart"/>
      <w:r>
        <w:rPr>
          <w:rFonts w:ascii="Arial" w:hAnsi="Arial" w:cs="Arial"/>
          <w:sz w:val="20"/>
          <w:szCs w:val="20"/>
        </w:rPr>
        <w:t>MyABDR</w:t>
      </w:r>
      <w:proofErr w:type="spellEnd"/>
      <w:r>
        <w:rPr>
          <w:rFonts w:ascii="Arial" w:hAnsi="Arial" w:cs="Arial"/>
          <w:sz w:val="20"/>
          <w:szCs w:val="20"/>
        </w:rPr>
        <w:t xml:space="preserve"> paper-based treatment diary. No other apps, websites or treatment diaries will link directly to the ABDR.</w:t>
      </w:r>
    </w:p>
    <w:p w:rsidR="00B07C61" w:rsidRDefault="00B07C61" w:rsidP="00B07C61">
      <w:pPr>
        <w:jc w:val="both"/>
        <w:rPr>
          <w:rFonts w:ascii="Arial" w:hAnsi="Arial" w:cs="Arial"/>
          <w:sz w:val="20"/>
          <w:szCs w:val="20"/>
        </w:rPr>
      </w:pPr>
      <w:r>
        <w:rPr>
          <w:rFonts w:ascii="Arial" w:hAnsi="Arial" w:cs="Arial"/>
          <w:sz w:val="20"/>
          <w:szCs w:val="20"/>
        </w:rPr>
        <w:t xml:space="preserve">If you agree to use </w:t>
      </w:r>
      <w:proofErr w:type="spellStart"/>
      <w:r>
        <w:rPr>
          <w:rFonts w:ascii="Arial" w:hAnsi="Arial" w:cs="Arial"/>
          <w:sz w:val="20"/>
          <w:szCs w:val="20"/>
        </w:rPr>
        <w:t>MyABDR</w:t>
      </w:r>
      <w:proofErr w:type="spellEnd"/>
      <w:r>
        <w:rPr>
          <w:rFonts w:ascii="Arial" w:hAnsi="Arial" w:cs="Arial"/>
          <w:sz w:val="20"/>
          <w:szCs w:val="20"/>
        </w:rPr>
        <w:t xml:space="preserve">, you will enter the information about your bleeds, treatment and product stock using the app or website. The information you enter into the </w:t>
      </w:r>
      <w:proofErr w:type="spellStart"/>
      <w:r>
        <w:rPr>
          <w:rFonts w:ascii="Arial" w:hAnsi="Arial" w:cs="Arial"/>
          <w:sz w:val="20"/>
          <w:szCs w:val="20"/>
        </w:rPr>
        <w:t>MyABDR</w:t>
      </w:r>
      <w:proofErr w:type="spellEnd"/>
      <w:r>
        <w:rPr>
          <w:rFonts w:ascii="Arial" w:hAnsi="Arial" w:cs="Arial"/>
          <w:sz w:val="20"/>
          <w:szCs w:val="20"/>
        </w:rPr>
        <w:t xml:space="preserve"> app or website will be available in the ABDR system used by your treatment team at your HTC as soon as you transmit it. You will be able to check all the information you enter later on the app or website.</w:t>
      </w:r>
    </w:p>
    <w:p w:rsidR="00B07C61" w:rsidRPr="006711BE" w:rsidRDefault="00B07C61" w:rsidP="00B07C61">
      <w:pPr>
        <w:jc w:val="both"/>
        <w:rPr>
          <w:rFonts w:ascii="Arial" w:hAnsi="Arial" w:cs="Arial"/>
          <w:sz w:val="20"/>
          <w:szCs w:val="20"/>
        </w:rPr>
      </w:pPr>
      <w:r>
        <w:rPr>
          <w:rFonts w:ascii="Arial" w:hAnsi="Arial" w:cs="Arial"/>
          <w:sz w:val="20"/>
          <w:szCs w:val="20"/>
        </w:rPr>
        <w:t xml:space="preserve">You can get more information about </w:t>
      </w:r>
      <w:proofErr w:type="spellStart"/>
      <w:r>
        <w:rPr>
          <w:rFonts w:ascii="Arial" w:hAnsi="Arial" w:cs="Arial"/>
          <w:sz w:val="20"/>
          <w:szCs w:val="20"/>
        </w:rPr>
        <w:t>MyABDR</w:t>
      </w:r>
      <w:proofErr w:type="spellEnd"/>
      <w:r>
        <w:rPr>
          <w:rFonts w:ascii="Arial" w:hAnsi="Arial" w:cs="Arial"/>
          <w:sz w:val="20"/>
          <w:szCs w:val="20"/>
        </w:rPr>
        <w:t xml:space="preserve"> from your doctor at your HTC or by visiting </w:t>
      </w:r>
      <w:hyperlink r:id="rId11" w:history="1">
        <w:r w:rsidRPr="00F52A2E">
          <w:rPr>
            <w:rStyle w:val="Hyperlink"/>
            <w:rFonts w:ascii="Arial" w:hAnsi="Arial" w:cs="Arial"/>
          </w:rPr>
          <w:t>http://www.haemophilia.org.au/foundationsandservices/myabdr</w:t>
        </w:r>
      </w:hyperlink>
      <w:r>
        <w:rPr>
          <w:rFonts w:ascii="Arial" w:hAnsi="Arial" w:cs="Arial"/>
          <w:sz w:val="20"/>
          <w:szCs w:val="20"/>
        </w:rPr>
        <w:t xml:space="preserve">. </w:t>
      </w:r>
    </w:p>
    <w:p w:rsidR="00B07C61" w:rsidRPr="004F6F86" w:rsidRDefault="00B07C61" w:rsidP="00B07C61">
      <w:pPr>
        <w:pStyle w:val="Heading4"/>
      </w:pPr>
      <w:r w:rsidRPr="004F6F86">
        <w:t>Which patients can join the ABDR?</w:t>
      </w:r>
    </w:p>
    <w:p w:rsidR="00B07C61" w:rsidRDefault="00B07C61" w:rsidP="00B07C61">
      <w:pPr>
        <w:jc w:val="both"/>
        <w:rPr>
          <w:rFonts w:ascii="Arial" w:hAnsi="Arial" w:cs="Arial"/>
          <w:sz w:val="20"/>
          <w:szCs w:val="20"/>
        </w:rPr>
      </w:pPr>
      <w:r>
        <w:rPr>
          <w:rFonts w:ascii="Arial" w:hAnsi="Arial" w:cs="Arial"/>
          <w:sz w:val="20"/>
          <w:szCs w:val="20"/>
        </w:rPr>
        <w:t>Australians diagnosed with a bleeding disorder are eligible to join. These bleeding disorders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07C61" w:rsidTr="00971B40">
        <w:tc>
          <w:tcPr>
            <w:tcW w:w="4981" w:type="dxa"/>
            <w:shd w:val="clear" w:color="auto" w:fill="auto"/>
          </w:tcPr>
          <w:p w:rsidR="00B07C61" w:rsidRDefault="00B07C61" w:rsidP="00971B40">
            <w:pPr>
              <w:jc w:val="both"/>
              <w:rPr>
                <w:rFonts w:ascii="Arial" w:hAnsi="Arial" w:cs="Arial"/>
                <w:sz w:val="20"/>
                <w:szCs w:val="20"/>
              </w:rPr>
            </w:pPr>
            <w:r>
              <w:rPr>
                <w:rFonts w:ascii="Arial" w:hAnsi="Arial" w:cs="Arial"/>
                <w:sz w:val="20"/>
                <w:szCs w:val="20"/>
              </w:rPr>
              <w:t>Haemophilia A, B, and C</w:t>
            </w:r>
          </w:p>
        </w:tc>
        <w:tc>
          <w:tcPr>
            <w:tcW w:w="4981" w:type="dxa"/>
            <w:shd w:val="clear" w:color="auto" w:fill="auto"/>
          </w:tcPr>
          <w:p w:rsidR="00B07C61" w:rsidRDefault="00B07C61" w:rsidP="00971B40">
            <w:pPr>
              <w:jc w:val="both"/>
              <w:rPr>
                <w:rFonts w:ascii="Arial" w:hAnsi="Arial" w:cs="Arial"/>
                <w:sz w:val="20"/>
                <w:szCs w:val="20"/>
              </w:rPr>
            </w:pPr>
            <w:r>
              <w:rPr>
                <w:rFonts w:ascii="Arial" w:hAnsi="Arial" w:cs="Arial"/>
                <w:sz w:val="20"/>
                <w:szCs w:val="20"/>
              </w:rPr>
              <w:t xml:space="preserve">von </w:t>
            </w:r>
            <w:proofErr w:type="spellStart"/>
            <w:r>
              <w:rPr>
                <w:rFonts w:ascii="Arial" w:hAnsi="Arial" w:cs="Arial"/>
                <w:sz w:val="20"/>
                <w:szCs w:val="20"/>
              </w:rPr>
              <w:t>Willebrand</w:t>
            </w:r>
            <w:proofErr w:type="spellEnd"/>
            <w:r>
              <w:rPr>
                <w:rFonts w:ascii="Arial" w:hAnsi="Arial" w:cs="Arial"/>
                <w:sz w:val="20"/>
                <w:szCs w:val="20"/>
              </w:rPr>
              <w:t xml:space="preserve"> disease (1, 2, 2A, 2B, 2M, and 3) </w:t>
            </w:r>
          </w:p>
        </w:tc>
      </w:tr>
      <w:tr w:rsidR="00B07C61" w:rsidTr="00971B40">
        <w:tc>
          <w:tcPr>
            <w:tcW w:w="4981" w:type="dxa"/>
            <w:shd w:val="clear" w:color="auto" w:fill="auto"/>
          </w:tcPr>
          <w:p w:rsidR="00B07C61" w:rsidRDefault="00B07C61" w:rsidP="00971B40">
            <w:pPr>
              <w:jc w:val="both"/>
              <w:rPr>
                <w:rFonts w:ascii="Arial" w:hAnsi="Arial" w:cs="Arial"/>
                <w:sz w:val="20"/>
                <w:szCs w:val="20"/>
              </w:rPr>
            </w:pPr>
            <w:r>
              <w:rPr>
                <w:rFonts w:ascii="Arial" w:hAnsi="Arial" w:cs="Arial"/>
                <w:sz w:val="20"/>
                <w:szCs w:val="20"/>
              </w:rPr>
              <w:t>Other factor deficiencies (e.g. Factor II, V, X, XII, XIII)</w:t>
            </w:r>
          </w:p>
        </w:tc>
        <w:tc>
          <w:tcPr>
            <w:tcW w:w="4981" w:type="dxa"/>
            <w:shd w:val="clear" w:color="auto" w:fill="auto"/>
          </w:tcPr>
          <w:p w:rsidR="00B07C61" w:rsidRDefault="00B07C61" w:rsidP="00971B40">
            <w:pPr>
              <w:jc w:val="both"/>
              <w:rPr>
                <w:rFonts w:ascii="Arial" w:hAnsi="Arial" w:cs="Arial"/>
                <w:sz w:val="20"/>
                <w:szCs w:val="20"/>
              </w:rPr>
            </w:pPr>
            <w:r>
              <w:rPr>
                <w:rFonts w:ascii="Arial" w:hAnsi="Arial" w:cs="Arial"/>
                <w:sz w:val="20"/>
                <w:szCs w:val="20"/>
              </w:rPr>
              <w:t>Fibrinogen disorders</w:t>
            </w:r>
          </w:p>
        </w:tc>
      </w:tr>
      <w:tr w:rsidR="00B07C61" w:rsidTr="00971B40">
        <w:tc>
          <w:tcPr>
            <w:tcW w:w="4981" w:type="dxa"/>
            <w:shd w:val="clear" w:color="auto" w:fill="auto"/>
          </w:tcPr>
          <w:p w:rsidR="00B07C61" w:rsidRDefault="00B07C61" w:rsidP="00971B40">
            <w:pPr>
              <w:jc w:val="both"/>
              <w:rPr>
                <w:rFonts w:ascii="Arial" w:hAnsi="Arial" w:cs="Arial"/>
                <w:sz w:val="20"/>
                <w:szCs w:val="20"/>
              </w:rPr>
            </w:pPr>
            <w:r>
              <w:rPr>
                <w:rFonts w:ascii="Arial" w:hAnsi="Arial" w:cs="Arial"/>
                <w:sz w:val="20"/>
                <w:szCs w:val="20"/>
              </w:rPr>
              <w:t>(A)Symptomatic carriers (Haemophilia A and B)</w:t>
            </w:r>
          </w:p>
        </w:tc>
        <w:tc>
          <w:tcPr>
            <w:tcW w:w="4981" w:type="dxa"/>
            <w:shd w:val="clear" w:color="auto" w:fill="auto"/>
          </w:tcPr>
          <w:p w:rsidR="00B07C61" w:rsidRDefault="00B07C61" w:rsidP="00971B40">
            <w:pPr>
              <w:jc w:val="both"/>
              <w:rPr>
                <w:rFonts w:ascii="Arial" w:hAnsi="Arial" w:cs="Arial"/>
                <w:sz w:val="20"/>
                <w:szCs w:val="20"/>
              </w:rPr>
            </w:pPr>
            <w:r>
              <w:rPr>
                <w:rFonts w:ascii="Arial" w:hAnsi="Arial" w:cs="Arial"/>
                <w:sz w:val="20"/>
                <w:szCs w:val="20"/>
              </w:rPr>
              <w:t>Platelet disorders</w:t>
            </w:r>
          </w:p>
        </w:tc>
      </w:tr>
      <w:tr w:rsidR="00B07C61" w:rsidTr="00971B40">
        <w:tc>
          <w:tcPr>
            <w:tcW w:w="4981" w:type="dxa"/>
            <w:shd w:val="clear" w:color="auto" w:fill="auto"/>
          </w:tcPr>
          <w:p w:rsidR="00B07C61" w:rsidRDefault="00B07C61" w:rsidP="00971B40">
            <w:pPr>
              <w:jc w:val="both"/>
              <w:rPr>
                <w:rFonts w:ascii="Arial" w:hAnsi="Arial" w:cs="Arial"/>
                <w:sz w:val="20"/>
                <w:szCs w:val="20"/>
              </w:rPr>
            </w:pPr>
            <w:r>
              <w:rPr>
                <w:rFonts w:ascii="Arial" w:hAnsi="Arial" w:cs="Arial"/>
                <w:sz w:val="20"/>
                <w:szCs w:val="20"/>
              </w:rPr>
              <w:t xml:space="preserve">Acquired bleeding disorders </w:t>
            </w:r>
          </w:p>
        </w:tc>
        <w:tc>
          <w:tcPr>
            <w:tcW w:w="4981" w:type="dxa"/>
            <w:shd w:val="clear" w:color="auto" w:fill="auto"/>
          </w:tcPr>
          <w:p w:rsidR="00B07C61" w:rsidRDefault="00B07C61" w:rsidP="00971B40">
            <w:pPr>
              <w:jc w:val="both"/>
              <w:rPr>
                <w:rFonts w:ascii="Arial" w:hAnsi="Arial" w:cs="Arial"/>
                <w:sz w:val="20"/>
                <w:szCs w:val="20"/>
              </w:rPr>
            </w:pPr>
            <w:r>
              <w:rPr>
                <w:rFonts w:ascii="Arial" w:hAnsi="Arial" w:cs="Arial"/>
                <w:sz w:val="20"/>
                <w:szCs w:val="20"/>
              </w:rPr>
              <w:t>Vascular disorders</w:t>
            </w:r>
          </w:p>
        </w:tc>
      </w:tr>
      <w:tr w:rsidR="00622BE6" w:rsidTr="00A12CB0">
        <w:tc>
          <w:tcPr>
            <w:tcW w:w="9962" w:type="dxa"/>
            <w:gridSpan w:val="2"/>
            <w:shd w:val="clear" w:color="auto" w:fill="auto"/>
          </w:tcPr>
          <w:p w:rsidR="00622BE6" w:rsidRDefault="00622BE6" w:rsidP="00971B40">
            <w:pPr>
              <w:jc w:val="both"/>
              <w:rPr>
                <w:rFonts w:ascii="Arial" w:hAnsi="Arial" w:cs="Arial"/>
                <w:sz w:val="20"/>
                <w:szCs w:val="20"/>
              </w:rPr>
            </w:pPr>
            <w:r w:rsidRPr="009A59A2">
              <w:rPr>
                <w:noProof/>
                <w:sz w:val="56"/>
                <w:szCs w:val="56"/>
                <w:lang w:eastAsia="en-AU"/>
              </w:rPr>
              <w:drawing>
                <wp:anchor distT="0" distB="0" distL="114300" distR="114300" simplePos="0" relativeHeight="251666432" behindDoc="1" locked="0" layoutInCell="1" allowOverlap="1" wp14:anchorId="57A0F56B" wp14:editId="54F3DE17">
                  <wp:simplePos x="0" y="0"/>
                  <wp:positionH relativeFrom="column">
                    <wp:posOffset>4434840</wp:posOffset>
                  </wp:positionH>
                  <wp:positionV relativeFrom="paragraph">
                    <wp:posOffset>103505</wp:posOffset>
                  </wp:positionV>
                  <wp:extent cx="1743075" cy="566420"/>
                  <wp:effectExtent l="0" t="0" r="9525" b="5080"/>
                  <wp:wrapTight wrapText="bothSides">
                    <wp:wrapPolygon edited="0">
                      <wp:start x="0" y="0"/>
                      <wp:lineTo x="0" y="21067"/>
                      <wp:lineTo x="21482" y="21067"/>
                      <wp:lineTo x="21482" y="0"/>
                      <wp:lineTo x="0" y="0"/>
                    </wp:wrapPolygon>
                  </wp:wrapTight>
                  <wp:docPr id="9" name="Picture 9" descr="S:\Communications\Logos\NBA\NBA Logo\jpeg_small\NBA-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NBA\NBA Logo\jpeg_small\NBA-Logo_RGB_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1" locked="0" layoutInCell="1" allowOverlap="1" wp14:anchorId="48FE59E6" wp14:editId="60CBACFC">
                  <wp:simplePos x="0" y="0"/>
                  <wp:positionH relativeFrom="column">
                    <wp:posOffset>2344420</wp:posOffset>
                  </wp:positionH>
                  <wp:positionV relativeFrom="paragraph">
                    <wp:posOffset>20320</wp:posOffset>
                  </wp:positionV>
                  <wp:extent cx="1433830" cy="657225"/>
                  <wp:effectExtent l="0" t="0" r="0" b="9525"/>
                  <wp:wrapTight wrapText="bothSides">
                    <wp:wrapPolygon edited="0">
                      <wp:start x="0" y="0"/>
                      <wp:lineTo x="0" y="21287"/>
                      <wp:lineTo x="21236" y="21287"/>
                      <wp:lineTo x="21236" y="0"/>
                      <wp:lineTo x="0" y="0"/>
                    </wp:wrapPolygon>
                  </wp:wrapTight>
                  <wp:docPr id="8" name="Picture 8" descr="Haemophilia Foundatio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emophilia Foundation Austral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383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00B836FD" wp14:editId="3622298E">
                  <wp:simplePos x="0" y="0"/>
                  <wp:positionH relativeFrom="column">
                    <wp:posOffset>64770</wp:posOffset>
                  </wp:positionH>
                  <wp:positionV relativeFrom="paragraph">
                    <wp:posOffset>43815</wp:posOffset>
                  </wp:positionV>
                  <wp:extent cx="1245870" cy="694690"/>
                  <wp:effectExtent l="0" t="0" r="0" b="0"/>
                  <wp:wrapTight wrapText="bothSides">
                    <wp:wrapPolygon edited="0">
                      <wp:start x="0" y="0"/>
                      <wp:lineTo x="0" y="20731"/>
                      <wp:lineTo x="21138" y="20731"/>
                      <wp:lineTo x="21138" y="0"/>
                      <wp:lineTo x="0" y="0"/>
                    </wp:wrapPolygon>
                  </wp:wrapTight>
                  <wp:docPr id="7" name="Picture 7" descr="ahcd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do-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5870" cy="6946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F748F" w:rsidRPr="000F748F" w:rsidRDefault="00C33C6A" w:rsidP="000F748F">
      <w:pPr>
        <w:jc w:val="center"/>
        <w:rPr>
          <w:sz w:val="16"/>
          <w:szCs w:val="16"/>
        </w:rPr>
      </w:pPr>
      <w:r>
        <w:rPr>
          <w:noProof/>
          <w:sz w:val="56"/>
          <w:szCs w:val="56"/>
          <w:lang w:eastAsia="en-AU"/>
        </w:rPr>
        <w:lastRenderedPageBreak/>
        <w:t xml:space="preserve">    </w:t>
      </w:r>
    </w:p>
    <w:p w:rsidR="00B07C61" w:rsidRDefault="00B07C61" w:rsidP="000F748F">
      <w:pPr>
        <w:pStyle w:val="Heading4"/>
        <w:keepNext/>
        <w:jc w:val="both"/>
      </w:pPr>
      <w:r>
        <w:t>What do other patients think of the ABDR?</w:t>
      </w:r>
    </w:p>
    <w:p w:rsidR="00B07C61" w:rsidRDefault="00B07C61" w:rsidP="00B07C61">
      <w:pPr>
        <w:jc w:val="both"/>
        <w:rPr>
          <w:rFonts w:ascii="Arial" w:hAnsi="Arial" w:cs="Arial"/>
          <w:sz w:val="20"/>
          <w:szCs w:val="20"/>
        </w:rPr>
      </w:pPr>
      <w:r>
        <w:rPr>
          <w:rFonts w:ascii="Arial" w:hAnsi="Arial" w:cs="Arial"/>
          <w:sz w:val="20"/>
          <w:szCs w:val="20"/>
          <w:lang w:eastAsia="en-AU"/>
        </w:rPr>
        <w:t>The ABDR is not new – it has been around since 1988 when it was first funded by the Haemophilia Foundation Australia (HFA). There are now more than 5000 patients in the ABDR, which includes most HTC patients in Australia. They think it is important for their information to be in the ABDR so that they get the treatment and care they need.</w:t>
      </w:r>
      <w:r w:rsidRPr="00033E8B">
        <w:rPr>
          <w:rFonts w:ascii="Arial" w:hAnsi="Arial" w:cs="Arial"/>
          <w:sz w:val="20"/>
          <w:szCs w:val="20"/>
          <w:lang w:eastAsia="en-AU"/>
        </w:rPr>
        <w:t xml:space="preserve"> </w:t>
      </w:r>
      <w:r>
        <w:rPr>
          <w:rFonts w:ascii="Arial" w:hAnsi="Arial" w:cs="Arial"/>
          <w:sz w:val="20"/>
          <w:szCs w:val="20"/>
          <w:lang w:eastAsia="en-AU"/>
        </w:rPr>
        <w:t>The ABDR is now provided by the National Blood Authority, an Australian Government Agency.</w:t>
      </w:r>
    </w:p>
    <w:p w:rsidR="00B07C61" w:rsidRDefault="00B07C61" w:rsidP="00B07C61">
      <w:pPr>
        <w:pStyle w:val="Heading4"/>
        <w:jc w:val="both"/>
      </w:pPr>
      <w:r>
        <w:t xml:space="preserve">How do I register for the ABDR or </w:t>
      </w:r>
      <w:proofErr w:type="spellStart"/>
      <w:r>
        <w:t>MyABDR</w:t>
      </w:r>
      <w:proofErr w:type="spellEnd"/>
      <w:r>
        <w:t>?</w:t>
      </w:r>
    </w:p>
    <w:p w:rsidR="00B07C61" w:rsidRDefault="00B07C61" w:rsidP="00B07C61">
      <w:pPr>
        <w:jc w:val="both"/>
        <w:rPr>
          <w:rFonts w:ascii="Arial" w:hAnsi="Arial" w:cs="Arial"/>
          <w:sz w:val="20"/>
          <w:szCs w:val="20"/>
        </w:rPr>
      </w:pPr>
      <w:r>
        <w:rPr>
          <w:rFonts w:ascii="Arial" w:hAnsi="Arial" w:cs="Arial"/>
          <w:sz w:val="20"/>
          <w:szCs w:val="20"/>
        </w:rPr>
        <w:t>If you consent to being included in the ABDR, then your treating doctor and treatment team at you</w:t>
      </w:r>
      <w:r w:rsidR="00BA7C93">
        <w:rPr>
          <w:rFonts w:ascii="Arial" w:hAnsi="Arial" w:cs="Arial"/>
          <w:sz w:val="20"/>
          <w:szCs w:val="20"/>
        </w:rPr>
        <w:t>r</w:t>
      </w:r>
      <w:r>
        <w:rPr>
          <w:rFonts w:ascii="Arial" w:hAnsi="Arial" w:cs="Arial"/>
          <w:sz w:val="20"/>
          <w:szCs w:val="20"/>
        </w:rPr>
        <w:t xml:space="preserve"> HTC will register you and give you a copy of this form to keep if you want to look at it again later. If you would like to register for </w:t>
      </w:r>
      <w:proofErr w:type="spellStart"/>
      <w:r>
        <w:rPr>
          <w:rFonts w:ascii="Arial" w:hAnsi="Arial" w:cs="Arial"/>
          <w:sz w:val="20"/>
          <w:szCs w:val="20"/>
        </w:rPr>
        <w:t>MyABDR</w:t>
      </w:r>
      <w:proofErr w:type="spellEnd"/>
      <w:r>
        <w:rPr>
          <w:rFonts w:ascii="Arial" w:hAnsi="Arial" w:cs="Arial"/>
          <w:sz w:val="20"/>
          <w:szCs w:val="20"/>
        </w:rPr>
        <w:t xml:space="preserve"> at a time convenient to you, then go to </w:t>
      </w:r>
      <w:hyperlink r:id="rId15" w:history="1">
        <w:r w:rsidRPr="00F52A2E">
          <w:rPr>
            <w:rStyle w:val="Hyperlink"/>
            <w:rFonts w:ascii="Arial" w:hAnsi="Arial" w:cs="Arial"/>
          </w:rPr>
          <w:t>http://www.blood.gov.au/myabdr</w:t>
        </w:r>
      </w:hyperlink>
      <w:r>
        <w:rPr>
          <w:rFonts w:ascii="Arial" w:hAnsi="Arial" w:cs="Arial"/>
          <w:sz w:val="20"/>
          <w:szCs w:val="20"/>
        </w:rPr>
        <w:t xml:space="preserve">. </w:t>
      </w:r>
    </w:p>
    <w:p w:rsidR="00B07C61" w:rsidRDefault="00B07C61" w:rsidP="00B07C61">
      <w:pPr>
        <w:pStyle w:val="Heading4"/>
        <w:jc w:val="both"/>
      </w:pPr>
      <w:r>
        <w:t>What if I don’t want to be in the ABDR, will it affect my treatment?</w:t>
      </w:r>
    </w:p>
    <w:p w:rsidR="00B07C61" w:rsidRPr="005B3FF3" w:rsidRDefault="00B07C61" w:rsidP="00B07C61">
      <w:pPr>
        <w:jc w:val="both"/>
        <w:rPr>
          <w:rFonts w:ascii="Arial" w:hAnsi="Arial" w:cs="Arial"/>
          <w:sz w:val="20"/>
          <w:szCs w:val="20"/>
          <w:lang w:eastAsia="en-AU"/>
        </w:rPr>
      </w:pPr>
      <w:r>
        <w:rPr>
          <w:rFonts w:ascii="Arial" w:hAnsi="Arial" w:cs="Arial"/>
          <w:sz w:val="20"/>
          <w:szCs w:val="20"/>
          <w:lang w:eastAsia="en-AU"/>
        </w:rPr>
        <w:t xml:space="preserve">The ABDR is completely voluntary. You can opt out of the ABDR at any time. If you choose not to be in the ABDR then </w:t>
      </w:r>
      <w:r w:rsidR="00DF71B4">
        <w:rPr>
          <w:rFonts w:ascii="Arial" w:hAnsi="Arial" w:cs="Arial"/>
          <w:sz w:val="20"/>
          <w:szCs w:val="20"/>
          <w:lang w:eastAsia="en-AU"/>
        </w:rPr>
        <w:t>this will not impact your treatment. However, y</w:t>
      </w:r>
      <w:r>
        <w:rPr>
          <w:rFonts w:ascii="Arial" w:hAnsi="Arial" w:cs="Arial"/>
          <w:sz w:val="20"/>
          <w:szCs w:val="20"/>
          <w:lang w:eastAsia="en-AU"/>
        </w:rPr>
        <w:t xml:space="preserve">our doctor and haemophilia treatment team at HTCs around Australia will not be able to </w:t>
      </w:r>
      <w:r w:rsidR="00DF71B4">
        <w:rPr>
          <w:rFonts w:ascii="Arial" w:hAnsi="Arial" w:cs="Arial"/>
          <w:sz w:val="20"/>
          <w:szCs w:val="20"/>
          <w:lang w:eastAsia="en-AU"/>
        </w:rPr>
        <w:t xml:space="preserve">readily </w:t>
      </w:r>
      <w:r>
        <w:rPr>
          <w:rFonts w:ascii="Arial" w:hAnsi="Arial" w:cs="Arial"/>
          <w:sz w:val="20"/>
          <w:szCs w:val="20"/>
          <w:lang w:eastAsia="en-AU"/>
        </w:rPr>
        <w:t>access your latest medical records</w:t>
      </w:r>
      <w:r w:rsidR="00DF71B4">
        <w:rPr>
          <w:rFonts w:ascii="Arial" w:hAnsi="Arial" w:cs="Arial"/>
          <w:sz w:val="20"/>
          <w:szCs w:val="20"/>
          <w:lang w:eastAsia="en-AU"/>
        </w:rPr>
        <w:t xml:space="preserve"> </w:t>
      </w:r>
      <w:r w:rsidR="00F67E7B">
        <w:rPr>
          <w:rFonts w:ascii="Arial" w:hAnsi="Arial" w:cs="Arial"/>
          <w:sz w:val="20"/>
          <w:szCs w:val="20"/>
          <w:lang w:eastAsia="en-AU"/>
        </w:rPr>
        <w:t>as easily as</w:t>
      </w:r>
      <w:r w:rsidR="00DF71B4">
        <w:rPr>
          <w:rFonts w:ascii="Arial" w:hAnsi="Arial" w:cs="Arial"/>
          <w:sz w:val="20"/>
          <w:szCs w:val="20"/>
          <w:lang w:eastAsia="en-AU"/>
        </w:rPr>
        <w:t xml:space="preserve"> they can if you are a part of ABDR</w:t>
      </w:r>
      <w:r>
        <w:rPr>
          <w:rFonts w:ascii="Arial" w:hAnsi="Arial" w:cs="Arial"/>
          <w:sz w:val="20"/>
          <w:szCs w:val="20"/>
          <w:lang w:eastAsia="en-AU"/>
        </w:rPr>
        <w:t xml:space="preserve">. It will also be </w:t>
      </w:r>
      <w:r w:rsidR="00DF71B4">
        <w:rPr>
          <w:rFonts w:ascii="Arial" w:hAnsi="Arial" w:cs="Arial"/>
          <w:sz w:val="20"/>
          <w:szCs w:val="20"/>
          <w:lang w:eastAsia="en-AU"/>
        </w:rPr>
        <w:t xml:space="preserve">harder </w:t>
      </w:r>
      <w:r>
        <w:rPr>
          <w:rFonts w:ascii="Arial" w:hAnsi="Arial" w:cs="Arial"/>
          <w:sz w:val="20"/>
          <w:szCs w:val="20"/>
          <w:lang w:eastAsia="en-AU"/>
        </w:rPr>
        <w:t xml:space="preserve">for the National Blood Authority to </w:t>
      </w:r>
      <w:r w:rsidR="00DF71B4">
        <w:rPr>
          <w:rFonts w:ascii="Arial" w:hAnsi="Arial" w:cs="Arial"/>
          <w:sz w:val="20"/>
          <w:szCs w:val="20"/>
          <w:lang w:eastAsia="en-AU"/>
        </w:rPr>
        <w:t xml:space="preserve">accurately </w:t>
      </w:r>
      <w:r w:rsidR="00156533">
        <w:rPr>
          <w:rFonts w:ascii="Arial" w:hAnsi="Arial" w:cs="Arial"/>
          <w:sz w:val="20"/>
          <w:szCs w:val="20"/>
          <w:lang w:eastAsia="en-AU"/>
        </w:rPr>
        <w:t>forecast</w:t>
      </w:r>
      <w:r w:rsidR="00DF71B4">
        <w:rPr>
          <w:rFonts w:ascii="Arial" w:hAnsi="Arial" w:cs="Arial"/>
          <w:sz w:val="20"/>
          <w:szCs w:val="20"/>
          <w:lang w:eastAsia="en-AU"/>
        </w:rPr>
        <w:t xml:space="preserve"> what </w:t>
      </w:r>
      <w:r>
        <w:rPr>
          <w:rFonts w:ascii="Arial" w:hAnsi="Arial" w:cs="Arial"/>
          <w:sz w:val="20"/>
          <w:szCs w:val="20"/>
          <w:lang w:eastAsia="en-AU"/>
        </w:rPr>
        <w:t xml:space="preserve">products </w:t>
      </w:r>
      <w:r w:rsidR="00DF71B4">
        <w:rPr>
          <w:rFonts w:ascii="Arial" w:hAnsi="Arial" w:cs="Arial"/>
          <w:sz w:val="20"/>
          <w:szCs w:val="20"/>
          <w:lang w:eastAsia="en-AU"/>
        </w:rPr>
        <w:t xml:space="preserve">are required </w:t>
      </w:r>
      <w:r>
        <w:rPr>
          <w:rFonts w:ascii="Arial" w:hAnsi="Arial" w:cs="Arial"/>
          <w:sz w:val="20"/>
          <w:szCs w:val="20"/>
          <w:lang w:eastAsia="en-AU"/>
        </w:rPr>
        <w:t xml:space="preserve">to treat </w:t>
      </w:r>
      <w:r w:rsidR="00F67E7B">
        <w:rPr>
          <w:rFonts w:ascii="Arial" w:hAnsi="Arial" w:cs="Arial"/>
          <w:sz w:val="20"/>
          <w:szCs w:val="20"/>
          <w:lang w:eastAsia="en-AU"/>
        </w:rPr>
        <w:t>people with bleeding disorders in Australia</w:t>
      </w:r>
      <w:r>
        <w:rPr>
          <w:rFonts w:ascii="Arial" w:hAnsi="Arial" w:cs="Arial"/>
          <w:sz w:val="20"/>
          <w:szCs w:val="20"/>
          <w:lang w:eastAsia="en-AU"/>
        </w:rPr>
        <w:t>.</w:t>
      </w:r>
    </w:p>
    <w:p w:rsidR="00B07C61" w:rsidRDefault="00B07C61" w:rsidP="00670E59">
      <w:pPr>
        <w:pStyle w:val="Heading4"/>
        <w:tabs>
          <w:tab w:val="left" w:pos="6011"/>
        </w:tabs>
        <w:jc w:val="both"/>
      </w:pPr>
      <w:r>
        <w:t>What about my privacy?</w:t>
      </w:r>
      <w:r w:rsidR="00CB5502">
        <w:tab/>
      </w:r>
    </w:p>
    <w:p w:rsidR="00B07C61" w:rsidRDefault="00B07C61" w:rsidP="00B07C61">
      <w:pPr>
        <w:jc w:val="both"/>
      </w:pPr>
      <w:r>
        <w:rPr>
          <w:rFonts w:ascii="Arial" w:hAnsi="Arial" w:cs="Arial"/>
          <w:sz w:val="20"/>
          <w:szCs w:val="20"/>
        </w:rPr>
        <w:t xml:space="preserve">Any personal information about you that is collected and held in the ABDR is protected by law, including the </w:t>
      </w:r>
      <w:r w:rsidRPr="006D04F4">
        <w:rPr>
          <w:rFonts w:ascii="Arial" w:hAnsi="Arial" w:cs="Arial"/>
          <w:i/>
          <w:sz w:val="20"/>
          <w:szCs w:val="20"/>
        </w:rPr>
        <w:t>Privacy Act 1988</w:t>
      </w:r>
      <w:r>
        <w:rPr>
          <w:rFonts w:ascii="Arial" w:hAnsi="Arial" w:cs="Arial"/>
          <w:sz w:val="20"/>
          <w:szCs w:val="20"/>
        </w:rPr>
        <w:t xml:space="preserve"> (</w:t>
      </w:r>
      <w:proofErr w:type="spellStart"/>
      <w:r>
        <w:rPr>
          <w:rFonts w:ascii="Arial" w:hAnsi="Arial" w:cs="Arial"/>
          <w:sz w:val="20"/>
          <w:szCs w:val="20"/>
        </w:rPr>
        <w:t>Cth</w:t>
      </w:r>
      <w:proofErr w:type="spellEnd"/>
      <w:r>
        <w:rPr>
          <w:rFonts w:ascii="Arial" w:hAnsi="Arial" w:cs="Arial"/>
          <w:sz w:val="20"/>
          <w:szCs w:val="20"/>
        </w:rPr>
        <w:t>). The attached privacy collection notice explains how your privacy and personal information is protected.</w:t>
      </w:r>
      <w:r>
        <w:t xml:space="preserve"> </w:t>
      </w:r>
    </w:p>
    <w:p w:rsidR="00B07C61" w:rsidRDefault="00B07C61" w:rsidP="00B07C61">
      <w:pPr>
        <w:pStyle w:val="Heading4"/>
        <w:jc w:val="both"/>
      </w:pPr>
      <w:r>
        <w:t>Who can I contact if I would like more information?</w:t>
      </w:r>
    </w:p>
    <w:p w:rsidR="00B07C61" w:rsidRDefault="00B07C61" w:rsidP="00B07C61">
      <w:pPr>
        <w:jc w:val="both"/>
        <w:rPr>
          <w:rFonts w:ascii="Arial" w:hAnsi="Arial" w:cs="Arial"/>
          <w:sz w:val="20"/>
          <w:szCs w:val="20"/>
        </w:rPr>
      </w:pPr>
      <w:r>
        <w:rPr>
          <w:rFonts w:ascii="Arial" w:hAnsi="Arial" w:cs="Arial"/>
          <w:sz w:val="20"/>
          <w:szCs w:val="20"/>
        </w:rPr>
        <w:t xml:space="preserve">You can get further information and assistance about ABDR or </w:t>
      </w:r>
      <w:proofErr w:type="spellStart"/>
      <w:r>
        <w:rPr>
          <w:rFonts w:ascii="Arial" w:hAnsi="Arial" w:cs="Arial"/>
          <w:sz w:val="20"/>
          <w:szCs w:val="20"/>
        </w:rPr>
        <w:t>MyABDR</w:t>
      </w:r>
      <w:proofErr w:type="spellEnd"/>
      <w:r>
        <w:rPr>
          <w:rFonts w:ascii="Arial" w:hAnsi="Arial" w:cs="Arial"/>
          <w:sz w:val="20"/>
          <w:szCs w:val="20"/>
        </w:rPr>
        <w:t xml:space="preserve"> from:</w:t>
      </w:r>
    </w:p>
    <w:p w:rsidR="00B07C61" w:rsidRDefault="00B07C61" w:rsidP="0034009A">
      <w:pPr>
        <w:pStyle w:val="ListParagraph"/>
        <w:numPr>
          <w:ilvl w:val="0"/>
          <w:numId w:val="15"/>
        </w:numPr>
        <w:spacing w:line="276" w:lineRule="auto"/>
        <w:jc w:val="both"/>
        <w:rPr>
          <w:rFonts w:ascii="Arial" w:hAnsi="Arial" w:cs="Arial"/>
          <w:sz w:val="20"/>
          <w:szCs w:val="20"/>
        </w:rPr>
      </w:pPr>
      <w:r>
        <w:rPr>
          <w:rFonts w:ascii="Arial" w:hAnsi="Arial" w:cs="Arial"/>
          <w:sz w:val="20"/>
          <w:szCs w:val="20"/>
        </w:rPr>
        <w:t>T</w:t>
      </w:r>
      <w:r w:rsidRPr="0034009A">
        <w:rPr>
          <w:rFonts w:ascii="Arial" w:hAnsi="Arial" w:cs="Arial"/>
          <w:sz w:val="20"/>
          <w:szCs w:val="20"/>
        </w:rPr>
        <w:t>he ABDR support team</w:t>
      </w:r>
      <w:r>
        <w:rPr>
          <w:rFonts w:ascii="Arial" w:hAnsi="Arial" w:cs="Arial"/>
          <w:sz w:val="20"/>
          <w:szCs w:val="20"/>
        </w:rPr>
        <w:t xml:space="preserve"> at the NBA -</w:t>
      </w:r>
      <w:r w:rsidRPr="0034009A">
        <w:rPr>
          <w:rFonts w:ascii="Arial" w:hAnsi="Arial" w:cs="Arial"/>
          <w:sz w:val="20"/>
          <w:szCs w:val="20"/>
        </w:rPr>
        <w:t xml:space="preserve"> visit </w:t>
      </w:r>
      <w:hyperlink r:id="rId16" w:history="1">
        <w:r w:rsidRPr="005E38DB">
          <w:rPr>
            <w:rStyle w:val="Hyperlink"/>
            <w:rFonts w:ascii="Arial" w:hAnsi="Arial" w:cs="Arial"/>
          </w:rPr>
          <w:t>www.blood.gov.au</w:t>
        </w:r>
      </w:hyperlink>
      <w:r w:rsidRPr="0034009A">
        <w:rPr>
          <w:rFonts w:ascii="Arial" w:hAnsi="Arial" w:cs="Arial"/>
          <w:sz w:val="20"/>
          <w:szCs w:val="20"/>
        </w:rPr>
        <w:t xml:space="preserve"> or call 13 000 BLOOD (13 000 25663) or email </w:t>
      </w:r>
      <w:hyperlink r:id="rId17" w:history="1">
        <w:r w:rsidRPr="005E38DB">
          <w:rPr>
            <w:rStyle w:val="Hyperlink"/>
            <w:rFonts w:ascii="Arial" w:hAnsi="Arial" w:cs="Arial"/>
          </w:rPr>
          <w:t>abdr@blood.gov.au</w:t>
        </w:r>
      </w:hyperlink>
    </w:p>
    <w:p w:rsidR="00B07C61" w:rsidRPr="0034009A" w:rsidRDefault="00B07C61" w:rsidP="0034009A">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The Australian Haemophilia Centre Directors’ Organisation (AHCDO) - </w:t>
      </w:r>
      <w:r w:rsidRPr="0034009A">
        <w:rPr>
          <w:rFonts w:ascii="Arial" w:hAnsi="Arial" w:cs="Arial"/>
          <w:sz w:val="20"/>
          <w:szCs w:val="20"/>
        </w:rPr>
        <w:t xml:space="preserve">visit </w:t>
      </w:r>
      <w:hyperlink r:id="rId18" w:history="1">
        <w:r w:rsidRPr="0034009A">
          <w:rPr>
            <w:rStyle w:val="Hyperlink"/>
            <w:rFonts w:ascii="Arial" w:hAnsi="Arial" w:cs="Arial"/>
            <w:sz w:val="20"/>
            <w:szCs w:val="20"/>
          </w:rPr>
          <w:t>www.ahcdo.org.au</w:t>
        </w:r>
      </w:hyperlink>
      <w:r>
        <w:rPr>
          <w:rFonts w:ascii="Arial" w:hAnsi="Arial" w:cs="Arial"/>
          <w:sz w:val="20"/>
          <w:szCs w:val="20"/>
        </w:rPr>
        <w:t xml:space="preserve"> </w:t>
      </w:r>
      <w:r w:rsidRPr="0034009A">
        <w:rPr>
          <w:rFonts w:ascii="Arial" w:hAnsi="Arial" w:cs="Arial"/>
          <w:sz w:val="20"/>
          <w:szCs w:val="20"/>
        </w:rPr>
        <w:t xml:space="preserve">or call (03) 9885 1777 or email </w:t>
      </w:r>
      <w:hyperlink r:id="rId19" w:history="1">
        <w:r w:rsidRPr="0034009A">
          <w:rPr>
            <w:rStyle w:val="Hyperlink"/>
            <w:rFonts w:ascii="Arial" w:hAnsi="Arial" w:cs="Arial"/>
            <w:sz w:val="20"/>
            <w:szCs w:val="20"/>
          </w:rPr>
          <w:t>info@ahcdo.org.au</w:t>
        </w:r>
      </w:hyperlink>
      <w:r>
        <w:rPr>
          <w:rFonts w:ascii="Arial" w:hAnsi="Arial" w:cs="Arial"/>
          <w:sz w:val="20"/>
          <w:szCs w:val="20"/>
        </w:rPr>
        <w:t xml:space="preserve"> </w:t>
      </w:r>
    </w:p>
    <w:p w:rsidR="00B07C61" w:rsidRDefault="00B07C61" w:rsidP="00B07C61">
      <w:pPr>
        <w:pStyle w:val="Heading4"/>
        <w:pBdr>
          <w:top w:val="single" w:sz="4" w:space="1" w:color="auto"/>
          <w:left w:val="single" w:sz="4" w:space="4" w:color="auto"/>
          <w:bottom w:val="single" w:sz="4" w:space="1" w:color="auto"/>
          <w:right w:val="single" w:sz="4" w:space="4" w:color="auto"/>
        </w:pBdr>
        <w:shd w:val="clear" w:color="auto" w:fill="E5B8B7" w:themeFill="accent2" w:themeFillTint="66"/>
        <w:jc w:val="both"/>
      </w:pPr>
      <w:r>
        <w:t>Endorsements</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Endorsement from Haemophilia Foundation Australia (HFA)</w:t>
      </w:r>
    </w:p>
    <w:p w:rsidR="00B07C61" w:rsidRPr="007C29D0" w:rsidRDefault="00B07C61" w:rsidP="00B07C61">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jc w:val="both"/>
        <w:rPr>
          <w:rFonts w:ascii="Arial" w:hAnsi="Arial" w:cs="Arial"/>
          <w:iCs/>
          <w:color w:val="800000"/>
          <w:sz w:val="16"/>
          <w:szCs w:val="16"/>
        </w:rPr>
      </w:pPr>
      <w:r w:rsidRPr="007C29D0">
        <w:rPr>
          <w:rFonts w:ascii="Arial" w:hAnsi="Arial" w:cs="Arial"/>
          <w:iCs/>
          <w:color w:val="800000"/>
          <w:sz w:val="16"/>
          <w:szCs w:val="16"/>
        </w:rPr>
        <w:t>Haemophilia Foundation Australia supports the ABDR.  It helps doctors and other treating health professionals to understand more about the care and treatment needs of people affected by bleeding disorders. The ABDR will assist and guide planning to ensure treatment product is available when it is needed. We are confident the steps in place will mean accurate, reliable and confidential data is available and that your personal information is protected.</w:t>
      </w:r>
    </w:p>
    <w:p w:rsidR="00B07C61" w:rsidRPr="007C29D0" w:rsidRDefault="00D87888" w:rsidP="00B07C61">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jc w:val="both"/>
        <w:rPr>
          <w:rFonts w:ascii="Arial" w:hAnsi="Arial" w:cs="Arial"/>
          <w:iCs/>
          <w:color w:val="800000"/>
          <w:sz w:val="16"/>
          <w:szCs w:val="16"/>
        </w:rPr>
      </w:pPr>
      <w:hyperlink r:id="rId20" w:history="1">
        <w:r w:rsidR="00B07C61" w:rsidRPr="007C29D0">
          <w:rPr>
            <w:rStyle w:val="Hyperlink"/>
            <w:rFonts w:ascii="Arial" w:hAnsi="Arial" w:cs="Arial"/>
            <w:sz w:val="16"/>
            <w:szCs w:val="16"/>
          </w:rPr>
          <w:t>www.haemophilia.org.au</w:t>
        </w:r>
      </w:hyperlink>
      <w:r w:rsidR="00B07C61" w:rsidRPr="007C29D0">
        <w:rPr>
          <w:rFonts w:ascii="Arial" w:hAnsi="Arial" w:cs="Arial"/>
          <w:iCs/>
          <w:color w:val="800000"/>
          <w:sz w:val="16"/>
          <w:szCs w:val="16"/>
        </w:rPr>
        <w:t xml:space="preserve"> </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Endorsement from Australian Haemophilia Centre Directors’ Organisation (AHCDO)</w:t>
      </w:r>
    </w:p>
    <w:p w:rsidR="00B07C61" w:rsidRPr="007C29D0" w:rsidRDefault="00B07C61" w:rsidP="00B07C61">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jc w:val="both"/>
        <w:rPr>
          <w:rFonts w:ascii="Arial" w:hAnsi="Arial" w:cs="Arial"/>
          <w:bCs/>
          <w:iCs/>
          <w:sz w:val="16"/>
          <w:szCs w:val="16"/>
        </w:rPr>
      </w:pPr>
      <w:r w:rsidRPr="007C29D0">
        <w:rPr>
          <w:rFonts w:ascii="Arial" w:hAnsi="Arial" w:cs="Arial"/>
          <w:bCs/>
          <w:iCs/>
          <w:sz w:val="16"/>
          <w:szCs w:val="16"/>
        </w:rPr>
        <w:t>The ABDR is a valuable tool that provides a summary of those affected with haemophilia and other bleeding disorders in Australia.  Data from the ABDR is the best information available for clinicians to advise governments making policy decisions regarding treatment needs and product availability.</w:t>
      </w:r>
    </w:p>
    <w:p w:rsidR="00B07C61" w:rsidRPr="007C29D0" w:rsidRDefault="00B07C61" w:rsidP="00B07C61">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jc w:val="both"/>
        <w:rPr>
          <w:rFonts w:ascii="Arial" w:hAnsi="Arial" w:cs="Arial"/>
          <w:bCs/>
          <w:iCs/>
          <w:sz w:val="16"/>
          <w:szCs w:val="16"/>
        </w:rPr>
      </w:pPr>
      <w:r w:rsidRPr="007C29D0">
        <w:rPr>
          <w:rFonts w:ascii="Arial" w:hAnsi="Arial" w:cs="Arial"/>
          <w:bCs/>
          <w:iCs/>
          <w:sz w:val="16"/>
          <w:szCs w:val="16"/>
        </w:rPr>
        <w:t>National statistics available through the ABDR will give AHCDO an overview of practi</w:t>
      </w:r>
      <w:r>
        <w:rPr>
          <w:rFonts w:ascii="Arial" w:hAnsi="Arial" w:cs="Arial"/>
          <w:bCs/>
          <w:iCs/>
          <w:sz w:val="16"/>
          <w:szCs w:val="16"/>
        </w:rPr>
        <w:t>c</w:t>
      </w:r>
      <w:r w:rsidRPr="007C29D0">
        <w:rPr>
          <w:rFonts w:ascii="Arial" w:hAnsi="Arial" w:cs="Arial"/>
          <w:bCs/>
          <w:iCs/>
          <w:sz w:val="16"/>
          <w:szCs w:val="16"/>
        </w:rPr>
        <w:t xml:space="preserve">e and allow opportunities for improvement.  This data can be pooled to compare Australian treatment standards with international benchmarks. The ABDR will continue to provide the ability to assess quality of life and other important clinical questions arising across Australia.  </w:t>
      </w:r>
    </w:p>
    <w:p w:rsidR="00B07C61" w:rsidRPr="007C29D0" w:rsidRDefault="00B07C61" w:rsidP="00B07C61">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jc w:val="both"/>
        <w:rPr>
          <w:rFonts w:ascii="Arial" w:hAnsi="Arial" w:cs="Arial"/>
          <w:bCs/>
          <w:iCs/>
          <w:sz w:val="16"/>
          <w:szCs w:val="16"/>
        </w:rPr>
      </w:pPr>
      <w:r w:rsidRPr="007C29D0">
        <w:rPr>
          <w:rFonts w:ascii="Arial" w:hAnsi="Arial" w:cs="Arial"/>
          <w:bCs/>
          <w:iCs/>
          <w:sz w:val="16"/>
          <w:szCs w:val="16"/>
        </w:rPr>
        <w:t>AHCDO’s partnership on this initiative with the National Blood Authority, Haemophilia Foundation Australia and other specialist health professional groups is vital to the pursuit of excellence in clinical treatment practices.</w:t>
      </w:r>
    </w:p>
    <w:p w:rsidR="00B07C61" w:rsidRPr="007C29D0" w:rsidRDefault="00D87888" w:rsidP="00B07C61">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98"/>
        <w:jc w:val="both"/>
        <w:rPr>
          <w:rFonts w:ascii="Arial" w:hAnsi="Arial" w:cs="Arial"/>
          <w:bCs/>
          <w:iCs/>
          <w:sz w:val="16"/>
          <w:szCs w:val="16"/>
          <w:u w:val="single"/>
        </w:rPr>
      </w:pPr>
      <w:hyperlink r:id="rId21" w:history="1">
        <w:r w:rsidR="00B07C61" w:rsidRPr="007C29D0">
          <w:rPr>
            <w:rStyle w:val="Hyperlink"/>
            <w:rFonts w:ascii="Arial" w:hAnsi="Arial" w:cs="Arial"/>
            <w:bCs/>
            <w:sz w:val="16"/>
            <w:szCs w:val="16"/>
          </w:rPr>
          <w:t>www.ahcdo.org.au</w:t>
        </w:r>
      </w:hyperlink>
    </w:p>
    <w:p w:rsidR="0034009A" w:rsidRDefault="0034009A" w:rsidP="00B07C61"/>
    <w:p w:rsidR="0034009A" w:rsidRDefault="0034009A" w:rsidP="00B07C61">
      <w:pPr>
        <w:rPr>
          <w:rFonts w:ascii="Arial" w:hAnsi="Arial" w:cs="Arial"/>
          <w:b/>
          <w:lang w:eastAsia="en-AU"/>
        </w:rPr>
        <w:sectPr w:rsidR="0034009A" w:rsidSect="000F748F">
          <w:footerReference w:type="default" r:id="rId22"/>
          <w:headerReference w:type="first" r:id="rId23"/>
          <w:footerReference w:type="first" r:id="rId24"/>
          <w:pgSz w:w="11906" w:h="16838"/>
          <w:pgMar w:top="1134" w:right="907" w:bottom="851" w:left="907" w:header="567" w:footer="709" w:gutter="0"/>
          <w:cols w:space="708"/>
          <w:titlePg/>
          <w:docGrid w:linePitch="360"/>
        </w:sectPr>
      </w:pPr>
    </w:p>
    <w:p w:rsidR="00B07C61" w:rsidRDefault="00B07C61" w:rsidP="00B07C61">
      <w:pPr>
        <w:rPr>
          <w:rFonts w:ascii="Arial" w:hAnsi="Arial" w:cs="Arial"/>
          <w:b/>
          <w:lang w:eastAsia="en-AU"/>
        </w:rPr>
      </w:pPr>
    </w:p>
    <w:sectPr w:rsidR="00B07C61" w:rsidSect="003653D9">
      <w:headerReference w:type="first" r:id="rId25"/>
      <w:type w:val="continuous"/>
      <w:pgSz w:w="11906" w:h="16838"/>
      <w:pgMar w:top="1440" w:right="907" w:bottom="1276" w:left="90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2B" w:rsidRDefault="0039652B" w:rsidP="00856708">
      <w:pPr>
        <w:spacing w:after="0"/>
      </w:pPr>
      <w:r>
        <w:separator/>
      </w:r>
    </w:p>
  </w:endnote>
  <w:endnote w:type="continuationSeparator" w:id="0">
    <w:p w:rsidR="0039652B" w:rsidRDefault="0039652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F6291B" w:rsidTr="009D01C7">
      <w:tc>
        <w:tcPr>
          <w:tcW w:w="4774" w:type="dxa"/>
        </w:tcPr>
        <w:p w:rsidR="00F6291B" w:rsidRDefault="00F6291B" w:rsidP="009D01C7">
          <w:pPr>
            <w:pStyle w:val="Footer"/>
          </w:pPr>
        </w:p>
      </w:tc>
      <w:tc>
        <w:tcPr>
          <w:tcW w:w="4775" w:type="dxa"/>
        </w:tcPr>
        <w:p w:rsidR="00F6291B" w:rsidRDefault="00F6291B" w:rsidP="009D01C7">
          <w:pPr>
            <w:pStyle w:val="Footer"/>
            <w:jc w:val="right"/>
          </w:pPr>
        </w:p>
      </w:tc>
    </w:tr>
  </w:tbl>
  <w:p w:rsidR="0039652B" w:rsidRPr="00F6291B" w:rsidRDefault="0039652B" w:rsidP="00F62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97237"/>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F6291B" w:rsidTr="009D01C7">
          <w:tc>
            <w:tcPr>
              <w:tcW w:w="4774" w:type="dxa"/>
            </w:tcPr>
            <w:p w:rsidR="00F6291B" w:rsidRDefault="00F6291B" w:rsidP="009D01C7">
              <w:pPr>
                <w:pStyle w:val="Footer"/>
              </w:pPr>
            </w:p>
          </w:tc>
          <w:tc>
            <w:tcPr>
              <w:tcW w:w="4775" w:type="dxa"/>
            </w:tcPr>
            <w:p w:rsidR="00F6291B" w:rsidRDefault="00F6291B" w:rsidP="009D01C7">
              <w:pPr>
                <w:pStyle w:val="Footer"/>
                <w:jc w:val="right"/>
              </w:pPr>
            </w:p>
          </w:tc>
        </w:tr>
      </w:tbl>
      <w:p w:rsidR="0039652B" w:rsidRDefault="00D87888" w:rsidP="00F6291B">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2B" w:rsidRDefault="0039652B" w:rsidP="00856708">
      <w:pPr>
        <w:spacing w:after="0"/>
      </w:pPr>
      <w:r>
        <w:separator/>
      </w:r>
    </w:p>
  </w:footnote>
  <w:footnote w:type="continuationSeparator" w:id="0">
    <w:p w:rsidR="0039652B" w:rsidRDefault="0039652B"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2B" w:rsidRDefault="0039652B" w:rsidP="0034009A">
    <w:pPr>
      <w:pStyle w:val="Header"/>
      <w:tabs>
        <w:tab w:val="clear" w:pos="9026"/>
        <w:tab w:val="right" w:pos="9781"/>
      </w:tabs>
      <w:jc w:val="right"/>
      <w:rPr>
        <w:noProof/>
        <w:sz w:val="36"/>
        <w:szCs w:val="36"/>
        <w:lang w:eastAsia="en-AU"/>
      </w:rPr>
    </w:pPr>
    <w:r>
      <w:rPr>
        <w:noProof/>
        <w:sz w:val="36"/>
        <w:szCs w:val="36"/>
        <w:lang w:eastAsia="en-AU"/>
      </w:rPr>
      <w:t>Attachment A</w:t>
    </w:r>
  </w:p>
  <w:p w:rsidR="00C33C6A" w:rsidRDefault="00C33C6A" w:rsidP="0034009A">
    <w:pPr>
      <w:pStyle w:val="Header"/>
      <w:tabs>
        <w:tab w:val="clear" w:pos="9026"/>
        <w:tab w:val="right" w:pos="9781"/>
      </w:tabs>
      <w:jc w:val="right"/>
      <w:rPr>
        <w:noProof/>
        <w:sz w:val="36"/>
        <w:szCs w:val="36"/>
        <w:lang w:eastAsia="en-AU"/>
      </w:rPr>
    </w:pPr>
  </w:p>
  <w:p w:rsidR="00C33C6A" w:rsidRPr="0034009A" w:rsidRDefault="00C33C6A" w:rsidP="0034009A">
    <w:pPr>
      <w:pStyle w:val="Header"/>
      <w:tabs>
        <w:tab w:val="clear" w:pos="9026"/>
        <w:tab w:val="right" w:pos="9781"/>
      </w:tabs>
      <w:jc w:val="right"/>
      <w:rPr>
        <w:noProof/>
        <w:sz w:val="36"/>
        <w:szCs w:val="36"/>
        <w:lang w:eastAsia="en-AU"/>
      </w:rPr>
    </w:pPr>
  </w:p>
  <w:p w:rsidR="0039652B" w:rsidRPr="00822A90" w:rsidRDefault="0039652B" w:rsidP="004126FB">
    <w:pPr>
      <w:pStyle w:val="Header"/>
      <w:tabs>
        <w:tab w:val="clear" w:pos="9026"/>
        <w:tab w:val="right" w:pos="9781"/>
      </w:tabs>
      <w:rPr>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2B" w:rsidRPr="00822A90" w:rsidRDefault="0039652B" w:rsidP="00260791">
    <w:pPr>
      <w:pStyle w:val="Header"/>
      <w:tabs>
        <w:tab w:val="clear" w:pos="9026"/>
        <w:tab w:val="right" w:pos="9781"/>
      </w:tabs>
      <w:jc w:val="right"/>
      <w:rPr>
        <w:noProof/>
        <w:sz w:val="36"/>
        <w:szCs w:val="36"/>
        <w:lang w:eastAsia="en-AU"/>
      </w:rPr>
    </w:pPr>
    <w:r>
      <w:rPr>
        <w:noProof/>
        <w:sz w:val="36"/>
        <w:szCs w:val="36"/>
        <w:lang w:eastAsia="en-AU"/>
      </w:rPr>
      <w:t>Attachment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4C24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1621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625A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0851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A28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94A9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691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BC8F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20BE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FC899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05FE7"/>
    <w:multiLevelType w:val="hybridMultilevel"/>
    <w:tmpl w:val="CB1A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7D5251"/>
    <w:multiLevelType w:val="hybridMultilevel"/>
    <w:tmpl w:val="3F6EAE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83602E9"/>
    <w:multiLevelType w:val="hybridMultilevel"/>
    <w:tmpl w:val="8AC6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225A03"/>
    <w:multiLevelType w:val="multilevel"/>
    <w:tmpl w:val="2A541FEA"/>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nsid w:val="31361E5C"/>
    <w:multiLevelType w:val="hybridMultilevel"/>
    <w:tmpl w:val="BC30F394"/>
    <w:lvl w:ilvl="0" w:tplc="DA3E38AC">
      <w:start w:val="1"/>
      <w:numFmt w:val="bullet"/>
      <w:lvlText w:val="&gt;"/>
      <w:lvlJc w:val="left"/>
      <w:pPr>
        <w:ind w:left="720" w:hanging="360"/>
      </w:pPr>
      <w:rPr>
        <w:rFonts w:ascii="Calibri" w:hAnsi="Calibri" w:hint="default"/>
        <w:b/>
        <w:i w:val="0"/>
        <w:color w:val="BCBDBC"/>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25E0FE2"/>
    <w:multiLevelType w:val="hybridMultilevel"/>
    <w:tmpl w:val="2E48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CD375E"/>
    <w:multiLevelType w:val="multilevel"/>
    <w:tmpl w:val="7E841858"/>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nsid w:val="51B12F76"/>
    <w:multiLevelType w:val="multilevel"/>
    <w:tmpl w:val="F8581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22475BA"/>
    <w:multiLevelType w:val="hybridMultilevel"/>
    <w:tmpl w:val="4F7E2E22"/>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2">
    <w:nsid w:val="5F2855D8"/>
    <w:multiLevelType w:val="hybridMultilevel"/>
    <w:tmpl w:val="0924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4D0CE8"/>
    <w:multiLevelType w:val="hybridMultilevel"/>
    <w:tmpl w:val="B6F08B68"/>
    <w:lvl w:ilvl="0" w:tplc="DA3E38AC">
      <w:start w:val="1"/>
      <w:numFmt w:val="bullet"/>
      <w:lvlText w:val="&gt;"/>
      <w:lvlJc w:val="left"/>
      <w:pPr>
        <w:ind w:left="1080" w:hanging="72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B32B35"/>
    <w:multiLevelType w:val="hybridMultilevel"/>
    <w:tmpl w:val="3F6EAE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8"/>
  </w:num>
  <w:num w:numId="4">
    <w:abstractNumId w:val="24"/>
  </w:num>
  <w:num w:numId="5">
    <w:abstractNumId w:val="13"/>
  </w:num>
  <w:num w:numId="6">
    <w:abstractNumId w:val="25"/>
  </w:num>
  <w:num w:numId="7">
    <w:abstractNumId w:val="22"/>
  </w:num>
  <w:num w:numId="8">
    <w:abstractNumId w:val="11"/>
  </w:num>
  <w:num w:numId="9">
    <w:abstractNumId w:val="21"/>
  </w:num>
  <w:num w:numId="10">
    <w:abstractNumId w:val="21"/>
  </w:num>
  <w:num w:numId="11">
    <w:abstractNumId w:val="23"/>
  </w:num>
  <w:num w:numId="12">
    <w:abstractNumId w:val="15"/>
  </w:num>
  <w:num w:numId="13">
    <w:abstractNumId w:val="10"/>
  </w:num>
  <w:num w:numId="14">
    <w:abstractNumId w:val="17"/>
  </w:num>
  <w:num w:numId="15">
    <w:abstractNumId w:val="12"/>
  </w:num>
  <w:num w:numId="16">
    <w:abstractNumId w:val="20"/>
  </w:num>
  <w:num w:numId="17">
    <w:abstractNumId w:val="19"/>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3F"/>
    <w:rsid w:val="00017F4E"/>
    <w:rsid w:val="00023E69"/>
    <w:rsid w:val="00036EDC"/>
    <w:rsid w:val="0004070B"/>
    <w:rsid w:val="000411E6"/>
    <w:rsid w:val="000627E2"/>
    <w:rsid w:val="00075B8B"/>
    <w:rsid w:val="00076ADC"/>
    <w:rsid w:val="000869E5"/>
    <w:rsid w:val="000A3ECE"/>
    <w:rsid w:val="000D05A2"/>
    <w:rsid w:val="000D152F"/>
    <w:rsid w:val="000E71AE"/>
    <w:rsid w:val="000F1DE9"/>
    <w:rsid w:val="000F748F"/>
    <w:rsid w:val="00123243"/>
    <w:rsid w:val="00125B71"/>
    <w:rsid w:val="00131B45"/>
    <w:rsid w:val="00131FA7"/>
    <w:rsid w:val="00145B7D"/>
    <w:rsid w:val="00156533"/>
    <w:rsid w:val="001717A9"/>
    <w:rsid w:val="001A032D"/>
    <w:rsid w:val="001B50B4"/>
    <w:rsid w:val="001D1317"/>
    <w:rsid w:val="00204560"/>
    <w:rsid w:val="0022002D"/>
    <w:rsid w:val="00223109"/>
    <w:rsid w:val="0024439A"/>
    <w:rsid w:val="002537F2"/>
    <w:rsid w:val="00260791"/>
    <w:rsid w:val="00292965"/>
    <w:rsid w:val="00295CD3"/>
    <w:rsid w:val="002B7FF8"/>
    <w:rsid w:val="002F581A"/>
    <w:rsid w:val="00301E51"/>
    <w:rsid w:val="003029B1"/>
    <w:rsid w:val="00316244"/>
    <w:rsid w:val="003229E1"/>
    <w:rsid w:val="0034009A"/>
    <w:rsid w:val="00344858"/>
    <w:rsid w:val="003567CC"/>
    <w:rsid w:val="003653D9"/>
    <w:rsid w:val="00390DCE"/>
    <w:rsid w:val="00391283"/>
    <w:rsid w:val="0039652B"/>
    <w:rsid w:val="003C4AF5"/>
    <w:rsid w:val="003D27F1"/>
    <w:rsid w:val="003F101C"/>
    <w:rsid w:val="003F35DD"/>
    <w:rsid w:val="00410F69"/>
    <w:rsid w:val="004126FB"/>
    <w:rsid w:val="0041413D"/>
    <w:rsid w:val="00436346"/>
    <w:rsid w:val="00457AA4"/>
    <w:rsid w:val="00483115"/>
    <w:rsid w:val="004D4636"/>
    <w:rsid w:val="004E4387"/>
    <w:rsid w:val="004F60A2"/>
    <w:rsid w:val="00536EC5"/>
    <w:rsid w:val="00540020"/>
    <w:rsid w:val="0054034A"/>
    <w:rsid w:val="00556AA7"/>
    <w:rsid w:val="005638FF"/>
    <w:rsid w:val="00573C08"/>
    <w:rsid w:val="00573F83"/>
    <w:rsid w:val="005745AF"/>
    <w:rsid w:val="00580FA8"/>
    <w:rsid w:val="00590D65"/>
    <w:rsid w:val="005B2FCA"/>
    <w:rsid w:val="005D6F81"/>
    <w:rsid w:val="005D7C7E"/>
    <w:rsid w:val="005E63DA"/>
    <w:rsid w:val="00605512"/>
    <w:rsid w:val="006141DB"/>
    <w:rsid w:val="00620CB8"/>
    <w:rsid w:val="00622BE6"/>
    <w:rsid w:val="00651C66"/>
    <w:rsid w:val="006619E1"/>
    <w:rsid w:val="00670E59"/>
    <w:rsid w:val="00685C08"/>
    <w:rsid w:val="006B5DB5"/>
    <w:rsid w:val="006C270A"/>
    <w:rsid w:val="006D7BAA"/>
    <w:rsid w:val="006E6A3F"/>
    <w:rsid w:val="007123C0"/>
    <w:rsid w:val="007155FC"/>
    <w:rsid w:val="0071630F"/>
    <w:rsid w:val="00744EDD"/>
    <w:rsid w:val="00751440"/>
    <w:rsid w:val="00760457"/>
    <w:rsid w:val="007662D8"/>
    <w:rsid w:val="0077328C"/>
    <w:rsid w:val="00777D5B"/>
    <w:rsid w:val="007B7E48"/>
    <w:rsid w:val="007C50AB"/>
    <w:rsid w:val="007E6070"/>
    <w:rsid w:val="007F66D3"/>
    <w:rsid w:val="00856708"/>
    <w:rsid w:val="00885A70"/>
    <w:rsid w:val="00893E0A"/>
    <w:rsid w:val="008A45A1"/>
    <w:rsid w:val="008B2860"/>
    <w:rsid w:val="008C6F6C"/>
    <w:rsid w:val="008E1943"/>
    <w:rsid w:val="008E7C7A"/>
    <w:rsid w:val="008F3E23"/>
    <w:rsid w:val="008F463C"/>
    <w:rsid w:val="0090184C"/>
    <w:rsid w:val="009048F9"/>
    <w:rsid w:val="009162CE"/>
    <w:rsid w:val="00951B85"/>
    <w:rsid w:val="00962043"/>
    <w:rsid w:val="00971B40"/>
    <w:rsid w:val="00996FCE"/>
    <w:rsid w:val="009D4CB9"/>
    <w:rsid w:val="009E38CC"/>
    <w:rsid w:val="009F168A"/>
    <w:rsid w:val="009F2BCA"/>
    <w:rsid w:val="009F7383"/>
    <w:rsid w:val="00A26224"/>
    <w:rsid w:val="00A766E7"/>
    <w:rsid w:val="00A85F56"/>
    <w:rsid w:val="00AD13E6"/>
    <w:rsid w:val="00AD3E8C"/>
    <w:rsid w:val="00AD5071"/>
    <w:rsid w:val="00B03505"/>
    <w:rsid w:val="00B07C61"/>
    <w:rsid w:val="00B21785"/>
    <w:rsid w:val="00B3387B"/>
    <w:rsid w:val="00B3726E"/>
    <w:rsid w:val="00B86014"/>
    <w:rsid w:val="00B91D2C"/>
    <w:rsid w:val="00BA7C93"/>
    <w:rsid w:val="00BC04BF"/>
    <w:rsid w:val="00C15C61"/>
    <w:rsid w:val="00C33C6A"/>
    <w:rsid w:val="00C60321"/>
    <w:rsid w:val="00C667D7"/>
    <w:rsid w:val="00C9414B"/>
    <w:rsid w:val="00CA5894"/>
    <w:rsid w:val="00CB5502"/>
    <w:rsid w:val="00CB643A"/>
    <w:rsid w:val="00CF5C19"/>
    <w:rsid w:val="00CF69FB"/>
    <w:rsid w:val="00D03627"/>
    <w:rsid w:val="00D1139E"/>
    <w:rsid w:val="00D20B8D"/>
    <w:rsid w:val="00D81E5B"/>
    <w:rsid w:val="00D87888"/>
    <w:rsid w:val="00D90F0F"/>
    <w:rsid w:val="00D96229"/>
    <w:rsid w:val="00DA5938"/>
    <w:rsid w:val="00DC04B2"/>
    <w:rsid w:val="00DD09A7"/>
    <w:rsid w:val="00DD0DFC"/>
    <w:rsid w:val="00DE2B2C"/>
    <w:rsid w:val="00DF71B4"/>
    <w:rsid w:val="00E17E0C"/>
    <w:rsid w:val="00E303D5"/>
    <w:rsid w:val="00E64DA6"/>
    <w:rsid w:val="00E90A2F"/>
    <w:rsid w:val="00E9352B"/>
    <w:rsid w:val="00E96964"/>
    <w:rsid w:val="00EB592A"/>
    <w:rsid w:val="00EC1C5F"/>
    <w:rsid w:val="00EF5EDC"/>
    <w:rsid w:val="00F01DDC"/>
    <w:rsid w:val="00F01F56"/>
    <w:rsid w:val="00F07C3F"/>
    <w:rsid w:val="00F41B3B"/>
    <w:rsid w:val="00F46FF0"/>
    <w:rsid w:val="00F52EFD"/>
    <w:rsid w:val="00F54D35"/>
    <w:rsid w:val="00F57DB3"/>
    <w:rsid w:val="00F6291B"/>
    <w:rsid w:val="00F62954"/>
    <w:rsid w:val="00F67E7B"/>
    <w:rsid w:val="00F963F5"/>
    <w:rsid w:val="00FC5BC2"/>
    <w:rsid w:val="00FF16AC"/>
    <w:rsid w:val="00FF5CAD"/>
    <w:rsid w:val="00FF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8F"/>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302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1"/>
    <w:rPr>
      <w:rFonts w:ascii="Tahoma" w:eastAsia="Dotum" w:hAnsi="Tahoma" w:cs="Tahoma"/>
      <w:sz w:val="16"/>
      <w:szCs w:val="16"/>
    </w:rPr>
  </w:style>
  <w:style w:type="character" w:styleId="Hyperlink">
    <w:name w:val="Hyperlink"/>
    <w:uiPriority w:val="99"/>
    <w:rsid w:val="00D1139E"/>
    <w:rPr>
      <w:color w:val="0000FF"/>
      <w:u w:val="single"/>
    </w:rPr>
  </w:style>
  <w:style w:type="character" w:styleId="CommentReference">
    <w:name w:val="annotation reference"/>
    <w:uiPriority w:val="99"/>
    <w:semiHidden/>
    <w:rsid w:val="00D1139E"/>
    <w:rPr>
      <w:sz w:val="16"/>
      <w:szCs w:val="16"/>
    </w:rPr>
  </w:style>
  <w:style w:type="paragraph" w:styleId="CommentText">
    <w:name w:val="annotation text"/>
    <w:basedOn w:val="Normal"/>
    <w:link w:val="CommentTextChar"/>
    <w:uiPriority w:val="99"/>
    <w:semiHidden/>
    <w:rsid w:val="00D1139E"/>
    <w:rPr>
      <w:sz w:val="20"/>
      <w:szCs w:val="20"/>
      <w:lang w:eastAsia="en-AU"/>
    </w:rPr>
  </w:style>
  <w:style w:type="character" w:customStyle="1" w:styleId="CommentTextChar">
    <w:name w:val="Comment Text Char"/>
    <w:basedOn w:val="DefaultParagraphFont"/>
    <w:link w:val="CommentText"/>
    <w:uiPriority w:val="99"/>
    <w:semiHidden/>
    <w:rsid w:val="00D1139E"/>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410F69"/>
    <w:rPr>
      <w:b/>
      <w:bCs/>
      <w:lang w:eastAsia="en-US"/>
    </w:rPr>
  </w:style>
  <w:style w:type="character" w:customStyle="1" w:styleId="CommentSubjectChar">
    <w:name w:val="Comment Subject Char"/>
    <w:basedOn w:val="CommentTextChar"/>
    <w:link w:val="CommentSubject"/>
    <w:uiPriority w:val="99"/>
    <w:semiHidden/>
    <w:rsid w:val="00410F69"/>
    <w:rPr>
      <w:rFonts w:ascii="Calibri" w:eastAsia="Dotum" w:hAnsi="Calibri" w:cs="Calibri"/>
      <w:b/>
      <w:bCs/>
      <w:sz w:val="20"/>
      <w:szCs w:val="20"/>
      <w:lang w:eastAsia="en-AU"/>
    </w:rPr>
  </w:style>
  <w:style w:type="paragraph" w:styleId="Revision">
    <w:name w:val="Revision"/>
    <w:hidden/>
    <w:uiPriority w:val="99"/>
    <w:semiHidden/>
    <w:rsid w:val="00EC1C5F"/>
    <w:pPr>
      <w:spacing w:after="0" w:line="240" w:lineRule="auto"/>
    </w:pPr>
    <w:rPr>
      <w:rFonts w:ascii="Calibri" w:eastAsia="Dotum" w:hAnsi="Calibri" w:cs="Calibri"/>
    </w:rPr>
  </w:style>
  <w:style w:type="paragraph" w:styleId="Quote">
    <w:name w:val="Quote"/>
    <w:basedOn w:val="Normal"/>
    <w:next w:val="Normal"/>
    <w:link w:val="QuoteChar"/>
    <w:uiPriority w:val="29"/>
    <w:qFormat/>
    <w:rsid w:val="0034009A"/>
    <w:rPr>
      <w:i/>
      <w:iCs/>
      <w:color w:val="000000" w:themeColor="text1"/>
    </w:rPr>
  </w:style>
  <w:style w:type="character" w:customStyle="1" w:styleId="QuoteChar">
    <w:name w:val="Quote Char"/>
    <w:basedOn w:val="DefaultParagraphFont"/>
    <w:link w:val="Quote"/>
    <w:uiPriority w:val="29"/>
    <w:rsid w:val="0034009A"/>
    <w:rPr>
      <w:rFonts w:ascii="Calibri" w:eastAsia="Dotum" w:hAnsi="Calibri" w:cs="Calibri"/>
      <w:i/>
      <w:iCs/>
      <w:color w:val="000000" w:themeColor="text1"/>
    </w:rPr>
  </w:style>
  <w:style w:type="paragraph" w:styleId="TOCHeading">
    <w:name w:val="TOC Heading"/>
    <w:basedOn w:val="Heading1"/>
    <w:next w:val="Normal"/>
    <w:uiPriority w:val="39"/>
    <w:unhideWhenUsed/>
    <w:qFormat/>
    <w:rsid w:val="004126F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4126FB"/>
    <w:pPr>
      <w:spacing w:after="100"/>
    </w:pPr>
  </w:style>
  <w:style w:type="paragraph" w:styleId="TOC3">
    <w:name w:val="toc 3"/>
    <w:basedOn w:val="Normal"/>
    <w:next w:val="Normal"/>
    <w:autoRedefine/>
    <w:uiPriority w:val="39"/>
    <w:unhideWhenUsed/>
    <w:rsid w:val="004126FB"/>
    <w:pPr>
      <w:spacing w:after="100"/>
      <w:ind w:left="440"/>
    </w:pPr>
  </w:style>
  <w:style w:type="paragraph" w:styleId="Bibliography">
    <w:name w:val="Bibliography"/>
    <w:basedOn w:val="Normal"/>
    <w:next w:val="Normal"/>
    <w:uiPriority w:val="37"/>
    <w:semiHidden/>
    <w:unhideWhenUsed/>
    <w:rsid w:val="008B2860"/>
  </w:style>
  <w:style w:type="paragraph" w:styleId="BlockText">
    <w:name w:val="Block Text"/>
    <w:basedOn w:val="Normal"/>
    <w:uiPriority w:val="99"/>
    <w:semiHidden/>
    <w:unhideWhenUsed/>
    <w:rsid w:val="008B2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2860"/>
    <w:pPr>
      <w:spacing w:after="120"/>
    </w:pPr>
  </w:style>
  <w:style w:type="character" w:customStyle="1" w:styleId="BodyTextChar">
    <w:name w:val="Body Text Char"/>
    <w:basedOn w:val="DefaultParagraphFont"/>
    <w:link w:val="BodyText"/>
    <w:uiPriority w:val="99"/>
    <w:semiHidden/>
    <w:rsid w:val="008B2860"/>
    <w:rPr>
      <w:rFonts w:ascii="Calibri" w:eastAsia="Dotum" w:hAnsi="Calibri" w:cs="Calibri"/>
    </w:rPr>
  </w:style>
  <w:style w:type="paragraph" w:styleId="BodyText2">
    <w:name w:val="Body Text 2"/>
    <w:basedOn w:val="Normal"/>
    <w:link w:val="BodyText2Char"/>
    <w:uiPriority w:val="99"/>
    <w:semiHidden/>
    <w:unhideWhenUsed/>
    <w:rsid w:val="008B2860"/>
    <w:pPr>
      <w:spacing w:after="120" w:line="480" w:lineRule="auto"/>
    </w:pPr>
  </w:style>
  <w:style w:type="character" w:customStyle="1" w:styleId="BodyText2Char">
    <w:name w:val="Body Text 2 Char"/>
    <w:basedOn w:val="DefaultParagraphFont"/>
    <w:link w:val="BodyText2"/>
    <w:uiPriority w:val="99"/>
    <w:semiHidden/>
    <w:rsid w:val="008B2860"/>
    <w:rPr>
      <w:rFonts w:ascii="Calibri" w:eastAsia="Dotum" w:hAnsi="Calibri" w:cs="Calibri"/>
    </w:rPr>
  </w:style>
  <w:style w:type="paragraph" w:styleId="BodyText3">
    <w:name w:val="Body Text 3"/>
    <w:basedOn w:val="Normal"/>
    <w:link w:val="BodyText3Char"/>
    <w:uiPriority w:val="99"/>
    <w:semiHidden/>
    <w:unhideWhenUsed/>
    <w:rsid w:val="008B2860"/>
    <w:pPr>
      <w:spacing w:after="120"/>
    </w:pPr>
    <w:rPr>
      <w:sz w:val="16"/>
      <w:szCs w:val="16"/>
    </w:rPr>
  </w:style>
  <w:style w:type="character" w:customStyle="1" w:styleId="BodyText3Char">
    <w:name w:val="Body Text 3 Char"/>
    <w:basedOn w:val="DefaultParagraphFont"/>
    <w:link w:val="BodyText3"/>
    <w:uiPriority w:val="99"/>
    <w:semiHidden/>
    <w:rsid w:val="008B2860"/>
    <w:rPr>
      <w:rFonts w:ascii="Calibri" w:eastAsia="Dotum" w:hAnsi="Calibri" w:cs="Calibri"/>
      <w:sz w:val="16"/>
      <w:szCs w:val="16"/>
    </w:rPr>
  </w:style>
  <w:style w:type="paragraph" w:styleId="BodyTextFirstIndent">
    <w:name w:val="Body Text First Indent"/>
    <w:basedOn w:val="BodyText"/>
    <w:link w:val="BodyTextFirstIndentChar"/>
    <w:uiPriority w:val="99"/>
    <w:semiHidden/>
    <w:unhideWhenUsed/>
    <w:rsid w:val="008B2860"/>
    <w:pPr>
      <w:spacing w:after="200"/>
      <w:ind w:firstLine="360"/>
    </w:pPr>
  </w:style>
  <w:style w:type="character" w:customStyle="1" w:styleId="BodyTextFirstIndentChar">
    <w:name w:val="Body Text First Indent Char"/>
    <w:basedOn w:val="BodyTextChar"/>
    <w:link w:val="BodyTextFirstIndent"/>
    <w:uiPriority w:val="99"/>
    <w:semiHidden/>
    <w:rsid w:val="008B2860"/>
    <w:rPr>
      <w:rFonts w:ascii="Calibri" w:eastAsia="Dotum" w:hAnsi="Calibri" w:cs="Calibri"/>
    </w:rPr>
  </w:style>
  <w:style w:type="paragraph" w:styleId="BodyTextIndent">
    <w:name w:val="Body Text Indent"/>
    <w:basedOn w:val="Normal"/>
    <w:link w:val="BodyTextIndentChar"/>
    <w:uiPriority w:val="99"/>
    <w:semiHidden/>
    <w:unhideWhenUsed/>
    <w:rsid w:val="008B2860"/>
    <w:pPr>
      <w:spacing w:after="120"/>
      <w:ind w:left="283"/>
    </w:pPr>
  </w:style>
  <w:style w:type="character" w:customStyle="1" w:styleId="BodyTextIndentChar">
    <w:name w:val="Body Text Indent Char"/>
    <w:basedOn w:val="DefaultParagraphFont"/>
    <w:link w:val="BodyTextIndent"/>
    <w:uiPriority w:val="99"/>
    <w:semiHidden/>
    <w:rsid w:val="008B2860"/>
    <w:rPr>
      <w:rFonts w:ascii="Calibri" w:eastAsia="Dotum" w:hAnsi="Calibri" w:cs="Calibri"/>
    </w:rPr>
  </w:style>
  <w:style w:type="paragraph" w:styleId="BodyTextFirstIndent2">
    <w:name w:val="Body Text First Indent 2"/>
    <w:basedOn w:val="BodyTextIndent"/>
    <w:link w:val="BodyTextFirstIndent2Char"/>
    <w:uiPriority w:val="99"/>
    <w:semiHidden/>
    <w:unhideWhenUsed/>
    <w:rsid w:val="008B286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B2860"/>
    <w:rPr>
      <w:rFonts w:ascii="Calibri" w:eastAsia="Dotum" w:hAnsi="Calibri" w:cs="Calibri"/>
    </w:rPr>
  </w:style>
  <w:style w:type="paragraph" w:styleId="BodyTextIndent2">
    <w:name w:val="Body Text Indent 2"/>
    <w:basedOn w:val="Normal"/>
    <w:link w:val="BodyTextIndent2Char"/>
    <w:uiPriority w:val="99"/>
    <w:semiHidden/>
    <w:unhideWhenUsed/>
    <w:rsid w:val="008B2860"/>
    <w:pPr>
      <w:spacing w:after="120" w:line="480" w:lineRule="auto"/>
      <w:ind w:left="283"/>
    </w:pPr>
  </w:style>
  <w:style w:type="character" w:customStyle="1" w:styleId="BodyTextIndent2Char">
    <w:name w:val="Body Text Indent 2 Char"/>
    <w:basedOn w:val="DefaultParagraphFont"/>
    <w:link w:val="BodyTextIndent2"/>
    <w:uiPriority w:val="99"/>
    <w:semiHidden/>
    <w:rsid w:val="008B2860"/>
    <w:rPr>
      <w:rFonts w:ascii="Calibri" w:eastAsia="Dotum" w:hAnsi="Calibri" w:cs="Calibri"/>
    </w:rPr>
  </w:style>
  <w:style w:type="paragraph" w:styleId="BodyTextIndent3">
    <w:name w:val="Body Text Indent 3"/>
    <w:basedOn w:val="Normal"/>
    <w:link w:val="BodyTextIndent3Char"/>
    <w:uiPriority w:val="99"/>
    <w:semiHidden/>
    <w:unhideWhenUsed/>
    <w:rsid w:val="008B28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860"/>
    <w:rPr>
      <w:rFonts w:ascii="Calibri" w:eastAsia="Dotum" w:hAnsi="Calibri" w:cs="Calibri"/>
      <w:sz w:val="16"/>
      <w:szCs w:val="16"/>
    </w:rPr>
  </w:style>
  <w:style w:type="paragraph" w:styleId="Caption">
    <w:name w:val="caption"/>
    <w:basedOn w:val="Normal"/>
    <w:next w:val="Normal"/>
    <w:uiPriority w:val="35"/>
    <w:semiHidden/>
    <w:unhideWhenUsed/>
    <w:qFormat/>
    <w:rsid w:val="008B2860"/>
    <w:rPr>
      <w:b/>
      <w:bCs/>
      <w:color w:val="4F81BD" w:themeColor="accent1"/>
      <w:sz w:val="18"/>
      <w:szCs w:val="18"/>
    </w:rPr>
  </w:style>
  <w:style w:type="paragraph" w:styleId="Closing">
    <w:name w:val="Closing"/>
    <w:basedOn w:val="Normal"/>
    <w:link w:val="ClosingChar"/>
    <w:uiPriority w:val="99"/>
    <w:semiHidden/>
    <w:unhideWhenUsed/>
    <w:rsid w:val="008B2860"/>
    <w:pPr>
      <w:spacing w:after="0"/>
      <w:ind w:left="4252"/>
    </w:pPr>
  </w:style>
  <w:style w:type="character" w:customStyle="1" w:styleId="ClosingChar">
    <w:name w:val="Closing Char"/>
    <w:basedOn w:val="DefaultParagraphFont"/>
    <w:link w:val="Closing"/>
    <w:uiPriority w:val="99"/>
    <w:semiHidden/>
    <w:rsid w:val="008B2860"/>
    <w:rPr>
      <w:rFonts w:ascii="Calibri" w:eastAsia="Dotum" w:hAnsi="Calibri" w:cs="Calibri"/>
    </w:rPr>
  </w:style>
  <w:style w:type="paragraph" w:styleId="Date">
    <w:name w:val="Date"/>
    <w:basedOn w:val="Normal"/>
    <w:next w:val="Normal"/>
    <w:link w:val="DateChar"/>
    <w:uiPriority w:val="99"/>
    <w:semiHidden/>
    <w:unhideWhenUsed/>
    <w:rsid w:val="008B2860"/>
  </w:style>
  <w:style w:type="character" w:customStyle="1" w:styleId="DateChar">
    <w:name w:val="Date Char"/>
    <w:basedOn w:val="DefaultParagraphFont"/>
    <w:link w:val="Date"/>
    <w:uiPriority w:val="99"/>
    <w:semiHidden/>
    <w:rsid w:val="008B2860"/>
    <w:rPr>
      <w:rFonts w:ascii="Calibri" w:eastAsia="Dotum" w:hAnsi="Calibri" w:cs="Calibri"/>
    </w:rPr>
  </w:style>
  <w:style w:type="paragraph" w:styleId="DocumentMap">
    <w:name w:val="Document Map"/>
    <w:basedOn w:val="Normal"/>
    <w:link w:val="DocumentMapChar"/>
    <w:uiPriority w:val="99"/>
    <w:semiHidden/>
    <w:unhideWhenUsed/>
    <w:rsid w:val="008B28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860"/>
    <w:rPr>
      <w:rFonts w:ascii="Tahoma" w:eastAsia="Dotum" w:hAnsi="Tahoma" w:cs="Tahoma"/>
      <w:sz w:val="16"/>
      <w:szCs w:val="16"/>
    </w:rPr>
  </w:style>
  <w:style w:type="paragraph" w:styleId="E-mailSignature">
    <w:name w:val="E-mail Signature"/>
    <w:basedOn w:val="Normal"/>
    <w:link w:val="E-mailSignatureChar"/>
    <w:uiPriority w:val="99"/>
    <w:semiHidden/>
    <w:unhideWhenUsed/>
    <w:rsid w:val="008B2860"/>
    <w:pPr>
      <w:spacing w:after="0"/>
    </w:pPr>
  </w:style>
  <w:style w:type="character" w:customStyle="1" w:styleId="E-mailSignatureChar">
    <w:name w:val="E-mail Signature Char"/>
    <w:basedOn w:val="DefaultParagraphFont"/>
    <w:link w:val="E-mailSignature"/>
    <w:uiPriority w:val="99"/>
    <w:semiHidden/>
    <w:rsid w:val="008B2860"/>
    <w:rPr>
      <w:rFonts w:ascii="Calibri" w:eastAsia="Dotum" w:hAnsi="Calibri" w:cs="Calibri"/>
    </w:rPr>
  </w:style>
  <w:style w:type="paragraph" w:styleId="EndnoteText">
    <w:name w:val="endnote text"/>
    <w:basedOn w:val="Normal"/>
    <w:link w:val="EndnoteTextChar"/>
    <w:uiPriority w:val="99"/>
    <w:semiHidden/>
    <w:unhideWhenUsed/>
    <w:rsid w:val="008B2860"/>
    <w:pPr>
      <w:spacing w:after="0"/>
    </w:pPr>
    <w:rPr>
      <w:sz w:val="20"/>
      <w:szCs w:val="20"/>
    </w:rPr>
  </w:style>
  <w:style w:type="character" w:customStyle="1" w:styleId="EndnoteTextChar">
    <w:name w:val="Endnote Text Char"/>
    <w:basedOn w:val="DefaultParagraphFont"/>
    <w:link w:val="EndnoteText"/>
    <w:uiPriority w:val="99"/>
    <w:semiHidden/>
    <w:rsid w:val="008B2860"/>
    <w:rPr>
      <w:rFonts w:ascii="Calibri" w:eastAsia="Dotum" w:hAnsi="Calibri" w:cs="Calibri"/>
      <w:sz w:val="20"/>
      <w:szCs w:val="20"/>
    </w:rPr>
  </w:style>
  <w:style w:type="paragraph" w:styleId="EnvelopeAddress">
    <w:name w:val="envelope address"/>
    <w:basedOn w:val="Normal"/>
    <w:uiPriority w:val="99"/>
    <w:semiHidden/>
    <w:unhideWhenUsed/>
    <w:rsid w:val="008B28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86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860"/>
    <w:pPr>
      <w:spacing w:after="0"/>
    </w:pPr>
    <w:rPr>
      <w:sz w:val="20"/>
      <w:szCs w:val="20"/>
    </w:rPr>
  </w:style>
  <w:style w:type="character" w:customStyle="1" w:styleId="FootnoteTextChar">
    <w:name w:val="Footnote Text Char"/>
    <w:basedOn w:val="DefaultParagraphFont"/>
    <w:link w:val="FootnoteText"/>
    <w:uiPriority w:val="99"/>
    <w:semiHidden/>
    <w:rsid w:val="008B2860"/>
    <w:rPr>
      <w:rFonts w:ascii="Calibri" w:eastAsia="Dotum" w:hAnsi="Calibri" w:cs="Calibri"/>
      <w:sz w:val="20"/>
      <w:szCs w:val="20"/>
    </w:rPr>
  </w:style>
  <w:style w:type="paragraph" w:styleId="HTMLAddress">
    <w:name w:val="HTML Address"/>
    <w:basedOn w:val="Normal"/>
    <w:link w:val="HTMLAddressChar"/>
    <w:uiPriority w:val="99"/>
    <w:semiHidden/>
    <w:unhideWhenUsed/>
    <w:rsid w:val="008B2860"/>
    <w:pPr>
      <w:spacing w:after="0"/>
    </w:pPr>
    <w:rPr>
      <w:i/>
      <w:iCs/>
    </w:rPr>
  </w:style>
  <w:style w:type="character" w:customStyle="1" w:styleId="HTMLAddressChar">
    <w:name w:val="HTML Address Char"/>
    <w:basedOn w:val="DefaultParagraphFont"/>
    <w:link w:val="HTMLAddress"/>
    <w:uiPriority w:val="99"/>
    <w:semiHidden/>
    <w:rsid w:val="008B2860"/>
    <w:rPr>
      <w:rFonts w:ascii="Calibri" w:eastAsia="Dotum" w:hAnsi="Calibri" w:cs="Calibri"/>
      <w:i/>
      <w:iCs/>
    </w:rPr>
  </w:style>
  <w:style w:type="paragraph" w:styleId="HTMLPreformatted">
    <w:name w:val="HTML Preformatted"/>
    <w:basedOn w:val="Normal"/>
    <w:link w:val="HTMLPreformattedChar"/>
    <w:uiPriority w:val="99"/>
    <w:semiHidden/>
    <w:unhideWhenUsed/>
    <w:rsid w:val="008B286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60"/>
    <w:rPr>
      <w:rFonts w:ascii="Consolas" w:eastAsia="Dotum" w:hAnsi="Consolas" w:cs="Consolas"/>
      <w:sz w:val="20"/>
      <w:szCs w:val="20"/>
    </w:rPr>
  </w:style>
  <w:style w:type="paragraph" w:styleId="Index1">
    <w:name w:val="index 1"/>
    <w:basedOn w:val="Normal"/>
    <w:next w:val="Normal"/>
    <w:autoRedefine/>
    <w:uiPriority w:val="99"/>
    <w:semiHidden/>
    <w:unhideWhenUsed/>
    <w:rsid w:val="008B2860"/>
    <w:pPr>
      <w:spacing w:after="0"/>
      <w:ind w:left="220" w:hanging="220"/>
    </w:pPr>
  </w:style>
  <w:style w:type="paragraph" w:styleId="Index2">
    <w:name w:val="index 2"/>
    <w:basedOn w:val="Normal"/>
    <w:next w:val="Normal"/>
    <w:autoRedefine/>
    <w:uiPriority w:val="99"/>
    <w:semiHidden/>
    <w:unhideWhenUsed/>
    <w:rsid w:val="008B2860"/>
    <w:pPr>
      <w:spacing w:after="0"/>
      <w:ind w:left="440" w:hanging="220"/>
    </w:pPr>
  </w:style>
  <w:style w:type="paragraph" w:styleId="Index3">
    <w:name w:val="index 3"/>
    <w:basedOn w:val="Normal"/>
    <w:next w:val="Normal"/>
    <w:autoRedefine/>
    <w:uiPriority w:val="99"/>
    <w:semiHidden/>
    <w:unhideWhenUsed/>
    <w:rsid w:val="008B2860"/>
    <w:pPr>
      <w:spacing w:after="0"/>
      <w:ind w:left="660" w:hanging="220"/>
    </w:pPr>
  </w:style>
  <w:style w:type="paragraph" w:styleId="Index4">
    <w:name w:val="index 4"/>
    <w:basedOn w:val="Normal"/>
    <w:next w:val="Normal"/>
    <w:autoRedefine/>
    <w:uiPriority w:val="99"/>
    <w:semiHidden/>
    <w:unhideWhenUsed/>
    <w:rsid w:val="008B2860"/>
    <w:pPr>
      <w:spacing w:after="0"/>
      <w:ind w:left="880" w:hanging="220"/>
    </w:pPr>
  </w:style>
  <w:style w:type="paragraph" w:styleId="Index5">
    <w:name w:val="index 5"/>
    <w:basedOn w:val="Normal"/>
    <w:next w:val="Normal"/>
    <w:autoRedefine/>
    <w:uiPriority w:val="99"/>
    <w:semiHidden/>
    <w:unhideWhenUsed/>
    <w:rsid w:val="008B2860"/>
    <w:pPr>
      <w:spacing w:after="0"/>
      <w:ind w:left="1100" w:hanging="220"/>
    </w:pPr>
  </w:style>
  <w:style w:type="paragraph" w:styleId="Index6">
    <w:name w:val="index 6"/>
    <w:basedOn w:val="Normal"/>
    <w:next w:val="Normal"/>
    <w:autoRedefine/>
    <w:uiPriority w:val="99"/>
    <w:semiHidden/>
    <w:unhideWhenUsed/>
    <w:rsid w:val="008B2860"/>
    <w:pPr>
      <w:spacing w:after="0"/>
      <w:ind w:left="1320" w:hanging="220"/>
    </w:pPr>
  </w:style>
  <w:style w:type="paragraph" w:styleId="Index7">
    <w:name w:val="index 7"/>
    <w:basedOn w:val="Normal"/>
    <w:next w:val="Normal"/>
    <w:autoRedefine/>
    <w:uiPriority w:val="99"/>
    <w:semiHidden/>
    <w:unhideWhenUsed/>
    <w:rsid w:val="008B2860"/>
    <w:pPr>
      <w:spacing w:after="0"/>
      <w:ind w:left="1540" w:hanging="220"/>
    </w:pPr>
  </w:style>
  <w:style w:type="paragraph" w:styleId="Index8">
    <w:name w:val="index 8"/>
    <w:basedOn w:val="Normal"/>
    <w:next w:val="Normal"/>
    <w:autoRedefine/>
    <w:uiPriority w:val="99"/>
    <w:semiHidden/>
    <w:unhideWhenUsed/>
    <w:rsid w:val="008B2860"/>
    <w:pPr>
      <w:spacing w:after="0"/>
      <w:ind w:left="1760" w:hanging="220"/>
    </w:pPr>
  </w:style>
  <w:style w:type="paragraph" w:styleId="Index9">
    <w:name w:val="index 9"/>
    <w:basedOn w:val="Normal"/>
    <w:next w:val="Normal"/>
    <w:autoRedefine/>
    <w:uiPriority w:val="99"/>
    <w:semiHidden/>
    <w:unhideWhenUsed/>
    <w:rsid w:val="008B2860"/>
    <w:pPr>
      <w:spacing w:after="0"/>
      <w:ind w:left="1980" w:hanging="220"/>
    </w:pPr>
  </w:style>
  <w:style w:type="paragraph" w:styleId="IndexHeading">
    <w:name w:val="index heading"/>
    <w:basedOn w:val="Normal"/>
    <w:next w:val="Index1"/>
    <w:uiPriority w:val="99"/>
    <w:semiHidden/>
    <w:unhideWhenUsed/>
    <w:rsid w:val="008B2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8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860"/>
    <w:rPr>
      <w:rFonts w:ascii="Calibri" w:eastAsia="Dotum" w:hAnsi="Calibri" w:cs="Calibri"/>
      <w:b/>
      <w:bCs/>
      <w:i/>
      <w:iCs/>
      <w:color w:val="4F81BD" w:themeColor="accent1"/>
    </w:rPr>
  </w:style>
  <w:style w:type="paragraph" w:styleId="List">
    <w:name w:val="List"/>
    <w:basedOn w:val="Normal"/>
    <w:uiPriority w:val="99"/>
    <w:semiHidden/>
    <w:unhideWhenUsed/>
    <w:rsid w:val="008B2860"/>
    <w:pPr>
      <w:ind w:left="283" w:hanging="283"/>
      <w:contextualSpacing/>
    </w:pPr>
  </w:style>
  <w:style w:type="paragraph" w:styleId="List2">
    <w:name w:val="List 2"/>
    <w:basedOn w:val="Normal"/>
    <w:uiPriority w:val="99"/>
    <w:semiHidden/>
    <w:unhideWhenUsed/>
    <w:rsid w:val="008B2860"/>
    <w:pPr>
      <w:ind w:left="566" w:hanging="283"/>
      <w:contextualSpacing/>
    </w:pPr>
  </w:style>
  <w:style w:type="paragraph" w:styleId="List3">
    <w:name w:val="List 3"/>
    <w:basedOn w:val="Normal"/>
    <w:uiPriority w:val="99"/>
    <w:semiHidden/>
    <w:unhideWhenUsed/>
    <w:rsid w:val="008B2860"/>
    <w:pPr>
      <w:ind w:left="849" w:hanging="283"/>
      <w:contextualSpacing/>
    </w:pPr>
  </w:style>
  <w:style w:type="paragraph" w:styleId="List4">
    <w:name w:val="List 4"/>
    <w:basedOn w:val="Normal"/>
    <w:uiPriority w:val="99"/>
    <w:semiHidden/>
    <w:unhideWhenUsed/>
    <w:rsid w:val="008B2860"/>
    <w:pPr>
      <w:ind w:left="1132" w:hanging="283"/>
      <w:contextualSpacing/>
    </w:pPr>
  </w:style>
  <w:style w:type="paragraph" w:styleId="List5">
    <w:name w:val="List 5"/>
    <w:basedOn w:val="Normal"/>
    <w:uiPriority w:val="99"/>
    <w:semiHidden/>
    <w:unhideWhenUsed/>
    <w:rsid w:val="008B2860"/>
    <w:pPr>
      <w:ind w:left="1415" w:hanging="283"/>
      <w:contextualSpacing/>
    </w:pPr>
  </w:style>
  <w:style w:type="paragraph" w:styleId="ListBullet">
    <w:name w:val="List Bullet"/>
    <w:basedOn w:val="Normal"/>
    <w:uiPriority w:val="99"/>
    <w:semiHidden/>
    <w:unhideWhenUsed/>
    <w:rsid w:val="008B2860"/>
    <w:pPr>
      <w:numPr>
        <w:numId w:val="19"/>
      </w:numPr>
      <w:contextualSpacing/>
    </w:pPr>
  </w:style>
  <w:style w:type="paragraph" w:styleId="ListBullet2">
    <w:name w:val="List Bullet 2"/>
    <w:basedOn w:val="Normal"/>
    <w:uiPriority w:val="99"/>
    <w:semiHidden/>
    <w:unhideWhenUsed/>
    <w:rsid w:val="008B2860"/>
    <w:pPr>
      <w:numPr>
        <w:numId w:val="20"/>
      </w:numPr>
      <w:contextualSpacing/>
    </w:pPr>
  </w:style>
  <w:style w:type="paragraph" w:styleId="ListBullet3">
    <w:name w:val="List Bullet 3"/>
    <w:basedOn w:val="Normal"/>
    <w:uiPriority w:val="99"/>
    <w:semiHidden/>
    <w:unhideWhenUsed/>
    <w:rsid w:val="008B2860"/>
    <w:pPr>
      <w:numPr>
        <w:numId w:val="21"/>
      </w:numPr>
      <w:contextualSpacing/>
    </w:pPr>
  </w:style>
  <w:style w:type="paragraph" w:styleId="ListBullet4">
    <w:name w:val="List Bullet 4"/>
    <w:basedOn w:val="Normal"/>
    <w:uiPriority w:val="99"/>
    <w:semiHidden/>
    <w:unhideWhenUsed/>
    <w:rsid w:val="008B2860"/>
    <w:pPr>
      <w:numPr>
        <w:numId w:val="22"/>
      </w:numPr>
      <w:contextualSpacing/>
    </w:pPr>
  </w:style>
  <w:style w:type="paragraph" w:styleId="ListBullet5">
    <w:name w:val="List Bullet 5"/>
    <w:basedOn w:val="Normal"/>
    <w:uiPriority w:val="99"/>
    <w:semiHidden/>
    <w:unhideWhenUsed/>
    <w:rsid w:val="008B2860"/>
    <w:pPr>
      <w:numPr>
        <w:numId w:val="23"/>
      </w:numPr>
      <w:contextualSpacing/>
    </w:pPr>
  </w:style>
  <w:style w:type="paragraph" w:styleId="ListContinue">
    <w:name w:val="List Continue"/>
    <w:basedOn w:val="Normal"/>
    <w:uiPriority w:val="99"/>
    <w:semiHidden/>
    <w:unhideWhenUsed/>
    <w:rsid w:val="008B2860"/>
    <w:pPr>
      <w:spacing w:after="120"/>
      <w:ind w:left="283"/>
      <w:contextualSpacing/>
    </w:pPr>
  </w:style>
  <w:style w:type="paragraph" w:styleId="ListContinue2">
    <w:name w:val="List Continue 2"/>
    <w:basedOn w:val="Normal"/>
    <w:uiPriority w:val="99"/>
    <w:semiHidden/>
    <w:unhideWhenUsed/>
    <w:rsid w:val="008B2860"/>
    <w:pPr>
      <w:spacing w:after="120"/>
      <w:ind w:left="566"/>
      <w:contextualSpacing/>
    </w:pPr>
  </w:style>
  <w:style w:type="paragraph" w:styleId="ListContinue3">
    <w:name w:val="List Continue 3"/>
    <w:basedOn w:val="Normal"/>
    <w:uiPriority w:val="99"/>
    <w:semiHidden/>
    <w:unhideWhenUsed/>
    <w:rsid w:val="008B2860"/>
    <w:pPr>
      <w:spacing w:after="120"/>
      <w:ind w:left="849"/>
      <w:contextualSpacing/>
    </w:pPr>
  </w:style>
  <w:style w:type="paragraph" w:styleId="ListContinue4">
    <w:name w:val="List Continue 4"/>
    <w:basedOn w:val="Normal"/>
    <w:uiPriority w:val="99"/>
    <w:semiHidden/>
    <w:unhideWhenUsed/>
    <w:rsid w:val="008B2860"/>
    <w:pPr>
      <w:spacing w:after="120"/>
      <w:ind w:left="1132"/>
      <w:contextualSpacing/>
    </w:pPr>
  </w:style>
  <w:style w:type="paragraph" w:styleId="ListContinue5">
    <w:name w:val="List Continue 5"/>
    <w:basedOn w:val="Normal"/>
    <w:uiPriority w:val="99"/>
    <w:semiHidden/>
    <w:unhideWhenUsed/>
    <w:rsid w:val="008B2860"/>
    <w:pPr>
      <w:spacing w:after="120"/>
      <w:ind w:left="1415"/>
      <w:contextualSpacing/>
    </w:pPr>
  </w:style>
  <w:style w:type="paragraph" w:styleId="ListNumber">
    <w:name w:val="List Number"/>
    <w:basedOn w:val="Normal"/>
    <w:uiPriority w:val="99"/>
    <w:semiHidden/>
    <w:unhideWhenUsed/>
    <w:rsid w:val="008B2860"/>
    <w:pPr>
      <w:numPr>
        <w:numId w:val="24"/>
      </w:numPr>
      <w:contextualSpacing/>
    </w:pPr>
  </w:style>
  <w:style w:type="paragraph" w:styleId="ListNumber2">
    <w:name w:val="List Number 2"/>
    <w:basedOn w:val="Normal"/>
    <w:uiPriority w:val="99"/>
    <w:semiHidden/>
    <w:unhideWhenUsed/>
    <w:rsid w:val="008B2860"/>
    <w:pPr>
      <w:numPr>
        <w:numId w:val="25"/>
      </w:numPr>
      <w:contextualSpacing/>
    </w:pPr>
  </w:style>
  <w:style w:type="paragraph" w:styleId="ListNumber3">
    <w:name w:val="List Number 3"/>
    <w:basedOn w:val="Normal"/>
    <w:uiPriority w:val="99"/>
    <w:semiHidden/>
    <w:unhideWhenUsed/>
    <w:rsid w:val="008B2860"/>
    <w:pPr>
      <w:numPr>
        <w:numId w:val="26"/>
      </w:numPr>
      <w:contextualSpacing/>
    </w:pPr>
  </w:style>
  <w:style w:type="paragraph" w:styleId="ListNumber4">
    <w:name w:val="List Number 4"/>
    <w:basedOn w:val="Normal"/>
    <w:uiPriority w:val="99"/>
    <w:semiHidden/>
    <w:unhideWhenUsed/>
    <w:rsid w:val="008B2860"/>
    <w:pPr>
      <w:numPr>
        <w:numId w:val="27"/>
      </w:numPr>
      <w:contextualSpacing/>
    </w:pPr>
  </w:style>
  <w:style w:type="paragraph" w:styleId="ListNumber5">
    <w:name w:val="List Number 5"/>
    <w:basedOn w:val="Normal"/>
    <w:uiPriority w:val="99"/>
    <w:semiHidden/>
    <w:unhideWhenUsed/>
    <w:rsid w:val="008B2860"/>
    <w:pPr>
      <w:numPr>
        <w:numId w:val="28"/>
      </w:numPr>
      <w:contextualSpacing/>
    </w:pPr>
  </w:style>
  <w:style w:type="paragraph" w:styleId="MacroText">
    <w:name w:val="macro"/>
    <w:link w:val="MacroTextChar"/>
    <w:uiPriority w:val="99"/>
    <w:semiHidden/>
    <w:unhideWhenUsed/>
    <w:rsid w:val="008B28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Dotum" w:hAnsi="Consolas" w:cs="Consolas"/>
      <w:sz w:val="20"/>
      <w:szCs w:val="20"/>
    </w:rPr>
  </w:style>
  <w:style w:type="character" w:customStyle="1" w:styleId="MacroTextChar">
    <w:name w:val="Macro Text Char"/>
    <w:basedOn w:val="DefaultParagraphFont"/>
    <w:link w:val="MacroText"/>
    <w:uiPriority w:val="99"/>
    <w:semiHidden/>
    <w:rsid w:val="008B2860"/>
    <w:rPr>
      <w:rFonts w:ascii="Consolas" w:eastAsia="Dotum" w:hAnsi="Consolas" w:cs="Consolas"/>
      <w:sz w:val="20"/>
      <w:szCs w:val="20"/>
    </w:rPr>
  </w:style>
  <w:style w:type="paragraph" w:styleId="MessageHeader">
    <w:name w:val="Message Header"/>
    <w:basedOn w:val="Normal"/>
    <w:link w:val="MessageHeaderChar"/>
    <w:uiPriority w:val="99"/>
    <w:semiHidden/>
    <w:unhideWhenUsed/>
    <w:rsid w:val="008B28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860"/>
    <w:rPr>
      <w:rFonts w:asciiTheme="majorHAnsi" w:eastAsiaTheme="majorEastAsia" w:hAnsiTheme="majorHAnsi" w:cstheme="majorBidi"/>
      <w:sz w:val="24"/>
      <w:szCs w:val="24"/>
      <w:shd w:val="pct20" w:color="auto" w:fill="auto"/>
    </w:rPr>
  </w:style>
  <w:style w:type="paragraph" w:styleId="NoSpacing">
    <w:name w:val="No Spacing"/>
    <w:uiPriority w:val="1"/>
    <w:qFormat/>
    <w:rsid w:val="008B2860"/>
    <w:pPr>
      <w:spacing w:after="0" w:line="240" w:lineRule="auto"/>
    </w:pPr>
    <w:rPr>
      <w:rFonts w:ascii="Calibri" w:eastAsia="Dotum" w:hAnsi="Calibri" w:cs="Calibri"/>
    </w:rPr>
  </w:style>
  <w:style w:type="paragraph" w:styleId="NormalWeb">
    <w:name w:val="Normal (Web)"/>
    <w:basedOn w:val="Normal"/>
    <w:uiPriority w:val="99"/>
    <w:semiHidden/>
    <w:unhideWhenUsed/>
    <w:rsid w:val="008B2860"/>
    <w:rPr>
      <w:rFonts w:ascii="Times New Roman" w:hAnsi="Times New Roman" w:cs="Times New Roman"/>
      <w:sz w:val="24"/>
      <w:szCs w:val="24"/>
    </w:rPr>
  </w:style>
  <w:style w:type="paragraph" w:styleId="NormalIndent">
    <w:name w:val="Normal Indent"/>
    <w:basedOn w:val="Normal"/>
    <w:uiPriority w:val="99"/>
    <w:semiHidden/>
    <w:unhideWhenUsed/>
    <w:rsid w:val="008B2860"/>
    <w:pPr>
      <w:ind w:left="720"/>
    </w:pPr>
  </w:style>
  <w:style w:type="paragraph" w:styleId="NoteHeading">
    <w:name w:val="Note Heading"/>
    <w:basedOn w:val="Normal"/>
    <w:next w:val="Normal"/>
    <w:link w:val="NoteHeadingChar"/>
    <w:uiPriority w:val="99"/>
    <w:semiHidden/>
    <w:unhideWhenUsed/>
    <w:rsid w:val="008B2860"/>
    <w:pPr>
      <w:spacing w:after="0"/>
    </w:pPr>
  </w:style>
  <w:style w:type="character" w:customStyle="1" w:styleId="NoteHeadingChar">
    <w:name w:val="Note Heading Char"/>
    <w:basedOn w:val="DefaultParagraphFont"/>
    <w:link w:val="NoteHeading"/>
    <w:uiPriority w:val="99"/>
    <w:semiHidden/>
    <w:rsid w:val="008B2860"/>
    <w:rPr>
      <w:rFonts w:ascii="Calibri" w:eastAsia="Dotum" w:hAnsi="Calibri" w:cs="Calibri"/>
    </w:rPr>
  </w:style>
  <w:style w:type="paragraph" w:styleId="PlainText">
    <w:name w:val="Plain Text"/>
    <w:basedOn w:val="Normal"/>
    <w:link w:val="PlainTextChar"/>
    <w:uiPriority w:val="99"/>
    <w:semiHidden/>
    <w:unhideWhenUsed/>
    <w:rsid w:val="008B286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860"/>
    <w:rPr>
      <w:rFonts w:ascii="Consolas" w:eastAsia="Dotum" w:hAnsi="Consolas" w:cs="Consolas"/>
      <w:sz w:val="21"/>
      <w:szCs w:val="21"/>
    </w:rPr>
  </w:style>
  <w:style w:type="paragraph" w:styleId="Salutation">
    <w:name w:val="Salutation"/>
    <w:basedOn w:val="Normal"/>
    <w:next w:val="Normal"/>
    <w:link w:val="SalutationChar"/>
    <w:uiPriority w:val="99"/>
    <w:semiHidden/>
    <w:unhideWhenUsed/>
    <w:rsid w:val="008B2860"/>
  </w:style>
  <w:style w:type="character" w:customStyle="1" w:styleId="SalutationChar">
    <w:name w:val="Salutation Char"/>
    <w:basedOn w:val="DefaultParagraphFont"/>
    <w:link w:val="Salutation"/>
    <w:uiPriority w:val="99"/>
    <w:semiHidden/>
    <w:rsid w:val="008B2860"/>
    <w:rPr>
      <w:rFonts w:ascii="Calibri" w:eastAsia="Dotum" w:hAnsi="Calibri" w:cs="Calibri"/>
    </w:rPr>
  </w:style>
  <w:style w:type="paragraph" w:styleId="Signature">
    <w:name w:val="Signature"/>
    <w:basedOn w:val="Normal"/>
    <w:link w:val="SignatureChar"/>
    <w:uiPriority w:val="99"/>
    <w:semiHidden/>
    <w:unhideWhenUsed/>
    <w:rsid w:val="008B2860"/>
    <w:pPr>
      <w:spacing w:after="0"/>
      <w:ind w:left="4252"/>
    </w:pPr>
  </w:style>
  <w:style w:type="character" w:customStyle="1" w:styleId="SignatureChar">
    <w:name w:val="Signature Char"/>
    <w:basedOn w:val="DefaultParagraphFont"/>
    <w:link w:val="Signature"/>
    <w:uiPriority w:val="99"/>
    <w:semiHidden/>
    <w:rsid w:val="008B2860"/>
    <w:rPr>
      <w:rFonts w:ascii="Calibri" w:eastAsia="Dotum" w:hAnsi="Calibri" w:cs="Calibri"/>
    </w:rPr>
  </w:style>
  <w:style w:type="paragraph" w:styleId="TableofAuthorities">
    <w:name w:val="table of authorities"/>
    <w:basedOn w:val="Normal"/>
    <w:next w:val="Normal"/>
    <w:uiPriority w:val="99"/>
    <w:semiHidden/>
    <w:unhideWhenUsed/>
    <w:rsid w:val="008B2860"/>
    <w:pPr>
      <w:spacing w:after="0"/>
      <w:ind w:left="220" w:hanging="220"/>
    </w:pPr>
  </w:style>
  <w:style w:type="paragraph" w:styleId="TableofFigures">
    <w:name w:val="table of figures"/>
    <w:basedOn w:val="Normal"/>
    <w:next w:val="Normal"/>
    <w:uiPriority w:val="99"/>
    <w:semiHidden/>
    <w:unhideWhenUsed/>
    <w:rsid w:val="008B2860"/>
    <w:pPr>
      <w:spacing w:after="0"/>
    </w:pPr>
  </w:style>
  <w:style w:type="paragraph" w:styleId="TOAHeading">
    <w:name w:val="toa heading"/>
    <w:basedOn w:val="Normal"/>
    <w:next w:val="Normal"/>
    <w:uiPriority w:val="99"/>
    <w:semiHidden/>
    <w:unhideWhenUsed/>
    <w:rsid w:val="008B286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8B2860"/>
    <w:pPr>
      <w:spacing w:after="100"/>
      <w:ind w:left="220"/>
    </w:pPr>
  </w:style>
  <w:style w:type="paragraph" w:styleId="TOC4">
    <w:name w:val="toc 4"/>
    <w:basedOn w:val="Normal"/>
    <w:next w:val="Normal"/>
    <w:autoRedefine/>
    <w:uiPriority w:val="39"/>
    <w:semiHidden/>
    <w:unhideWhenUsed/>
    <w:rsid w:val="008B2860"/>
    <w:pPr>
      <w:spacing w:after="100"/>
      <w:ind w:left="660"/>
    </w:pPr>
  </w:style>
  <w:style w:type="paragraph" w:styleId="TOC5">
    <w:name w:val="toc 5"/>
    <w:basedOn w:val="Normal"/>
    <w:next w:val="Normal"/>
    <w:autoRedefine/>
    <w:uiPriority w:val="39"/>
    <w:semiHidden/>
    <w:unhideWhenUsed/>
    <w:rsid w:val="008B2860"/>
    <w:pPr>
      <w:spacing w:after="100"/>
      <w:ind w:left="880"/>
    </w:pPr>
  </w:style>
  <w:style w:type="paragraph" w:styleId="TOC6">
    <w:name w:val="toc 6"/>
    <w:basedOn w:val="Normal"/>
    <w:next w:val="Normal"/>
    <w:autoRedefine/>
    <w:uiPriority w:val="39"/>
    <w:semiHidden/>
    <w:unhideWhenUsed/>
    <w:rsid w:val="008B2860"/>
    <w:pPr>
      <w:spacing w:after="100"/>
      <w:ind w:left="1100"/>
    </w:pPr>
  </w:style>
  <w:style w:type="paragraph" w:styleId="TOC7">
    <w:name w:val="toc 7"/>
    <w:basedOn w:val="Normal"/>
    <w:next w:val="Normal"/>
    <w:autoRedefine/>
    <w:uiPriority w:val="39"/>
    <w:semiHidden/>
    <w:unhideWhenUsed/>
    <w:rsid w:val="008B2860"/>
    <w:pPr>
      <w:spacing w:after="100"/>
      <w:ind w:left="1320"/>
    </w:pPr>
  </w:style>
  <w:style w:type="paragraph" w:styleId="TOC8">
    <w:name w:val="toc 8"/>
    <w:basedOn w:val="Normal"/>
    <w:next w:val="Normal"/>
    <w:autoRedefine/>
    <w:uiPriority w:val="39"/>
    <w:semiHidden/>
    <w:unhideWhenUsed/>
    <w:rsid w:val="008B2860"/>
    <w:pPr>
      <w:spacing w:after="100"/>
      <w:ind w:left="1540"/>
    </w:pPr>
  </w:style>
  <w:style w:type="paragraph" w:styleId="TOC9">
    <w:name w:val="toc 9"/>
    <w:basedOn w:val="Normal"/>
    <w:next w:val="Normal"/>
    <w:autoRedefine/>
    <w:uiPriority w:val="39"/>
    <w:semiHidden/>
    <w:unhideWhenUsed/>
    <w:rsid w:val="008B2860"/>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8F"/>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302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1"/>
    <w:rPr>
      <w:rFonts w:ascii="Tahoma" w:eastAsia="Dotum" w:hAnsi="Tahoma" w:cs="Tahoma"/>
      <w:sz w:val="16"/>
      <w:szCs w:val="16"/>
    </w:rPr>
  </w:style>
  <w:style w:type="character" w:styleId="Hyperlink">
    <w:name w:val="Hyperlink"/>
    <w:uiPriority w:val="99"/>
    <w:rsid w:val="00D1139E"/>
    <w:rPr>
      <w:color w:val="0000FF"/>
      <w:u w:val="single"/>
    </w:rPr>
  </w:style>
  <w:style w:type="character" w:styleId="CommentReference">
    <w:name w:val="annotation reference"/>
    <w:uiPriority w:val="99"/>
    <w:semiHidden/>
    <w:rsid w:val="00D1139E"/>
    <w:rPr>
      <w:sz w:val="16"/>
      <w:szCs w:val="16"/>
    </w:rPr>
  </w:style>
  <w:style w:type="paragraph" w:styleId="CommentText">
    <w:name w:val="annotation text"/>
    <w:basedOn w:val="Normal"/>
    <w:link w:val="CommentTextChar"/>
    <w:uiPriority w:val="99"/>
    <w:semiHidden/>
    <w:rsid w:val="00D1139E"/>
    <w:rPr>
      <w:sz w:val="20"/>
      <w:szCs w:val="20"/>
      <w:lang w:eastAsia="en-AU"/>
    </w:rPr>
  </w:style>
  <w:style w:type="character" w:customStyle="1" w:styleId="CommentTextChar">
    <w:name w:val="Comment Text Char"/>
    <w:basedOn w:val="DefaultParagraphFont"/>
    <w:link w:val="CommentText"/>
    <w:uiPriority w:val="99"/>
    <w:semiHidden/>
    <w:rsid w:val="00D1139E"/>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410F69"/>
    <w:rPr>
      <w:b/>
      <w:bCs/>
      <w:lang w:eastAsia="en-US"/>
    </w:rPr>
  </w:style>
  <w:style w:type="character" w:customStyle="1" w:styleId="CommentSubjectChar">
    <w:name w:val="Comment Subject Char"/>
    <w:basedOn w:val="CommentTextChar"/>
    <w:link w:val="CommentSubject"/>
    <w:uiPriority w:val="99"/>
    <w:semiHidden/>
    <w:rsid w:val="00410F69"/>
    <w:rPr>
      <w:rFonts w:ascii="Calibri" w:eastAsia="Dotum" w:hAnsi="Calibri" w:cs="Calibri"/>
      <w:b/>
      <w:bCs/>
      <w:sz w:val="20"/>
      <w:szCs w:val="20"/>
      <w:lang w:eastAsia="en-AU"/>
    </w:rPr>
  </w:style>
  <w:style w:type="paragraph" w:styleId="Revision">
    <w:name w:val="Revision"/>
    <w:hidden/>
    <w:uiPriority w:val="99"/>
    <w:semiHidden/>
    <w:rsid w:val="00EC1C5F"/>
    <w:pPr>
      <w:spacing w:after="0" w:line="240" w:lineRule="auto"/>
    </w:pPr>
    <w:rPr>
      <w:rFonts w:ascii="Calibri" w:eastAsia="Dotum" w:hAnsi="Calibri" w:cs="Calibri"/>
    </w:rPr>
  </w:style>
  <w:style w:type="paragraph" w:styleId="Quote">
    <w:name w:val="Quote"/>
    <w:basedOn w:val="Normal"/>
    <w:next w:val="Normal"/>
    <w:link w:val="QuoteChar"/>
    <w:uiPriority w:val="29"/>
    <w:qFormat/>
    <w:rsid w:val="0034009A"/>
    <w:rPr>
      <w:i/>
      <w:iCs/>
      <w:color w:val="000000" w:themeColor="text1"/>
    </w:rPr>
  </w:style>
  <w:style w:type="character" w:customStyle="1" w:styleId="QuoteChar">
    <w:name w:val="Quote Char"/>
    <w:basedOn w:val="DefaultParagraphFont"/>
    <w:link w:val="Quote"/>
    <w:uiPriority w:val="29"/>
    <w:rsid w:val="0034009A"/>
    <w:rPr>
      <w:rFonts w:ascii="Calibri" w:eastAsia="Dotum" w:hAnsi="Calibri" w:cs="Calibri"/>
      <w:i/>
      <w:iCs/>
      <w:color w:val="000000" w:themeColor="text1"/>
    </w:rPr>
  </w:style>
  <w:style w:type="paragraph" w:styleId="TOCHeading">
    <w:name w:val="TOC Heading"/>
    <w:basedOn w:val="Heading1"/>
    <w:next w:val="Normal"/>
    <w:uiPriority w:val="39"/>
    <w:unhideWhenUsed/>
    <w:qFormat/>
    <w:rsid w:val="004126F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4126FB"/>
    <w:pPr>
      <w:spacing w:after="100"/>
    </w:pPr>
  </w:style>
  <w:style w:type="paragraph" w:styleId="TOC3">
    <w:name w:val="toc 3"/>
    <w:basedOn w:val="Normal"/>
    <w:next w:val="Normal"/>
    <w:autoRedefine/>
    <w:uiPriority w:val="39"/>
    <w:unhideWhenUsed/>
    <w:rsid w:val="004126FB"/>
    <w:pPr>
      <w:spacing w:after="100"/>
      <w:ind w:left="440"/>
    </w:pPr>
  </w:style>
  <w:style w:type="paragraph" w:styleId="Bibliography">
    <w:name w:val="Bibliography"/>
    <w:basedOn w:val="Normal"/>
    <w:next w:val="Normal"/>
    <w:uiPriority w:val="37"/>
    <w:semiHidden/>
    <w:unhideWhenUsed/>
    <w:rsid w:val="008B2860"/>
  </w:style>
  <w:style w:type="paragraph" w:styleId="BlockText">
    <w:name w:val="Block Text"/>
    <w:basedOn w:val="Normal"/>
    <w:uiPriority w:val="99"/>
    <w:semiHidden/>
    <w:unhideWhenUsed/>
    <w:rsid w:val="008B2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2860"/>
    <w:pPr>
      <w:spacing w:after="120"/>
    </w:pPr>
  </w:style>
  <w:style w:type="character" w:customStyle="1" w:styleId="BodyTextChar">
    <w:name w:val="Body Text Char"/>
    <w:basedOn w:val="DefaultParagraphFont"/>
    <w:link w:val="BodyText"/>
    <w:uiPriority w:val="99"/>
    <w:semiHidden/>
    <w:rsid w:val="008B2860"/>
    <w:rPr>
      <w:rFonts w:ascii="Calibri" w:eastAsia="Dotum" w:hAnsi="Calibri" w:cs="Calibri"/>
    </w:rPr>
  </w:style>
  <w:style w:type="paragraph" w:styleId="BodyText2">
    <w:name w:val="Body Text 2"/>
    <w:basedOn w:val="Normal"/>
    <w:link w:val="BodyText2Char"/>
    <w:uiPriority w:val="99"/>
    <w:semiHidden/>
    <w:unhideWhenUsed/>
    <w:rsid w:val="008B2860"/>
    <w:pPr>
      <w:spacing w:after="120" w:line="480" w:lineRule="auto"/>
    </w:pPr>
  </w:style>
  <w:style w:type="character" w:customStyle="1" w:styleId="BodyText2Char">
    <w:name w:val="Body Text 2 Char"/>
    <w:basedOn w:val="DefaultParagraphFont"/>
    <w:link w:val="BodyText2"/>
    <w:uiPriority w:val="99"/>
    <w:semiHidden/>
    <w:rsid w:val="008B2860"/>
    <w:rPr>
      <w:rFonts w:ascii="Calibri" w:eastAsia="Dotum" w:hAnsi="Calibri" w:cs="Calibri"/>
    </w:rPr>
  </w:style>
  <w:style w:type="paragraph" w:styleId="BodyText3">
    <w:name w:val="Body Text 3"/>
    <w:basedOn w:val="Normal"/>
    <w:link w:val="BodyText3Char"/>
    <w:uiPriority w:val="99"/>
    <w:semiHidden/>
    <w:unhideWhenUsed/>
    <w:rsid w:val="008B2860"/>
    <w:pPr>
      <w:spacing w:after="120"/>
    </w:pPr>
    <w:rPr>
      <w:sz w:val="16"/>
      <w:szCs w:val="16"/>
    </w:rPr>
  </w:style>
  <w:style w:type="character" w:customStyle="1" w:styleId="BodyText3Char">
    <w:name w:val="Body Text 3 Char"/>
    <w:basedOn w:val="DefaultParagraphFont"/>
    <w:link w:val="BodyText3"/>
    <w:uiPriority w:val="99"/>
    <w:semiHidden/>
    <w:rsid w:val="008B2860"/>
    <w:rPr>
      <w:rFonts w:ascii="Calibri" w:eastAsia="Dotum" w:hAnsi="Calibri" w:cs="Calibri"/>
      <w:sz w:val="16"/>
      <w:szCs w:val="16"/>
    </w:rPr>
  </w:style>
  <w:style w:type="paragraph" w:styleId="BodyTextFirstIndent">
    <w:name w:val="Body Text First Indent"/>
    <w:basedOn w:val="BodyText"/>
    <w:link w:val="BodyTextFirstIndentChar"/>
    <w:uiPriority w:val="99"/>
    <w:semiHidden/>
    <w:unhideWhenUsed/>
    <w:rsid w:val="008B2860"/>
    <w:pPr>
      <w:spacing w:after="200"/>
      <w:ind w:firstLine="360"/>
    </w:pPr>
  </w:style>
  <w:style w:type="character" w:customStyle="1" w:styleId="BodyTextFirstIndentChar">
    <w:name w:val="Body Text First Indent Char"/>
    <w:basedOn w:val="BodyTextChar"/>
    <w:link w:val="BodyTextFirstIndent"/>
    <w:uiPriority w:val="99"/>
    <w:semiHidden/>
    <w:rsid w:val="008B2860"/>
    <w:rPr>
      <w:rFonts w:ascii="Calibri" w:eastAsia="Dotum" w:hAnsi="Calibri" w:cs="Calibri"/>
    </w:rPr>
  </w:style>
  <w:style w:type="paragraph" w:styleId="BodyTextIndent">
    <w:name w:val="Body Text Indent"/>
    <w:basedOn w:val="Normal"/>
    <w:link w:val="BodyTextIndentChar"/>
    <w:uiPriority w:val="99"/>
    <w:semiHidden/>
    <w:unhideWhenUsed/>
    <w:rsid w:val="008B2860"/>
    <w:pPr>
      <w:spacing w:after="120"/>
      <w:ind w:left="283"/>
    </w:pPr>
  </w:style>
  <w:style w:type="character" w:customStyle="1" w:styleId="BodyTextIndentChar">
    <w:name w:val="Body Text Indent Char"/>
    <w:basedOn w:val="DefaultParagraphFont"/>
    <w:link w:val="BodyTextIndent"/>
    <w:uiPriority w:val="99"/>
    <w:semiHidden/>
    <w:rsid w:val="008B2860"/>
    <w:rPr>
      <w:rFonts w:ascii="Calibri" w:eastAsia="Dotum" w:hAnsi="Calibri" w:cs="Calibri"/>
    </w:rPr>
  </w:style>
  <w:style w:type="paragraph" w:styleId="BodyTextFirstIndent2">
    <w:name w:val="Body Text First Indent 2"/>
    <w:basedOn w:val="BodyTextIndent"/>
    <w:link w:val="BodyTextFirstIndent2Char"/>
    <w:uiPriority w:val="99"/>
    <w:semiHidden/>
    <w:unhideWhenUsed/>
    <w:rsid w:val="008B286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B2860"/>
    <w:rPr>
      <w:rFonts w:ascii="Calibri" w:eastAsia="Dotum" w:hAnsi="Calibri" w:cs="Calibri"/>
    </w:rPr>
  </w:style>
  <w:style w:type="paragraph" w:styleId="BodyTextIndent2">
    <w:name w:val="Body Text Indent 2"/>
    <w:basedOn w:val="Normal"/>
    <w:link w:val="BodyTextIndent2Char"/>
    <w:uiPriority w:val="99"/>
    <w:semiHidden/>
    <w:unhideWhenUsed/>
    <w:rsid w:val="008B2860"/>
    <w:pPr>
      <w:spacing w:after="120" w:line="480" w:lineRule="auto"/>
      <w:ind w:left="283"/>
    </w:pPr>
  </w:style>
  <w:style w:type="character" w:customStyle="1" w:styleId="BodyTextIndent2Char">
    <w:name w:val="Body Text Indent 2 Char"/>
    <w:basedOn w:val="DefaultParagraphFont"/>
    <w:link w:val="BodyTextIndent2"/>
    <w:uiPriority w:val="99"/>
    <w:semiHidden/>
    <w:rsid w:val="008B2860"/>
    <w:rPr>
      <w:rFonts w:ascii="Calibri" w:eastAsia="Dotum" w:hAnsi="Calibri" w:cs="Calibri"/>
    </w:rPr>
  </w:style>
  <w:style w:type="paragraph" w:styleId="BodyTextIndent3">
    <w:name w:val="Body Text Indent 3"/>
    <w:basedOn w:val="Normal"/>
    <w:link w:val="BodyTextIndent3Char"/>
    <w:uiPriority w:val="99"/>
    <w:semiHidden/>
    <w:unhideWhenUsed/>
    <w:rsid w:val="008B28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860"/>
    <w:rPr>
      <w:rFonts w:ascii="Calibri" w:eastAsia="Dotum" w:hAnsi="Calibri" w:cs="Calibri"/>
      <w:sz w:val="16"/>
      <w:szCs w:val="16"/>
    </w:rPr>
  </w:style>
  <w:style w:type="paragraph" w:styleId="Caption">
    <w:name w:val="caption"/>
    <w:basedOn w:val="Normal"/>
    <w:next w:val="Normal"/>
    <w:uiPriority w:val="35"/>
    <w:semiHidden/>
    <w:unhideWhenUsed/>
    <w:qFormat/>
    <w:rsid w:val="008B2860"/>
    <w:rPr>
      <w:b/>
      <w:bCs/>
      <w:color w:val="4F81BD" w:themeColor="accent1"/>
      <w:sz w:val="18"/>
      <w:szCs w:val="18"/>
    </w:rPr>
  </w:style>
  <w:style w:type="paragraph" w:styleId="Closing">
    <w:name w:val="Closing"/>
    <w:basedOn w:val="Normal"/>
    <w:link w:val="ClosingChar"/>
    <w:uiPriority w:val="99"/>
    <w:semiHidden/>
    <w:unhideWhenUsed/>
    <w:rsid w:val="008B2860"/>
    <w:pPr>
      <w:spacing w:after="0"/>
      <w:ind w:left="4252"/>
    </w:pPr>
  </w:style>
  <w:style w:type="character" w:customStyle="1" w:styleId="ClosingChar">
    <w:name w:val="Closing Char"/>
    <w:basedOn w:val="DefaultParagraphFont"/>
    <w:link w:val="Closing"/>
    <w:uiPriority w:val="99"/>
    <w:semiHidden/>
    <w:rsid w:val="008B2860"/>
    <w:rPr>
      <w:rFonts w:ascii="Calibri" w:eastAsia="Dotum" w:hAnsi="Calibri" w:cs="Calibri"/>
    </w:rPr>
  </w:style>
  <w:style w:type="paragraph" w:styleId="Date">
    <w:name w:val="Date"/>
    <w:basedOn w:val="Normal"/>
    <w:next w:val="Normal"/>
    <w:link w:val="DateChar"/>
    <w:uiPriority w:val="99"/>
    <w:semiHidden/>
    <w:unhideWhenUsed/>
    <w:rsid w:val="008B2860"/>
  </w:style>
  <w:style w:type="character" w:customStyle="1" w:styleId="DateChar">
    <w:name w:val="Date Char"/>
    <w:basedOn w:val="DefaultParagraphFont"/>
    <w:link w:val="Date"/>
    <w:uiPriority w:val="99"/>
    <w:semiHidden/>
    <w:rsid w:val="008B2860"/>
    <w:rPr>
      <w:rFonts w:ascii="Calibri" w:eastAsia="Dotum" w:hAnsi="Calibri" w:cs="Calibri"/>
    </w:rPr>
  </w:style>
  <w:style w:type="paragraph" w:styleId="DocumentMap">
    <w:name w:val="Document Map"/>
    <w:basedOn w:val="Normal"/>
    <w:link w:val="DocumentMapChar"/>
    <w:uiPriority w:val="99"/>
    <w:semiHidden/>
    <w:unhideWhenUsed/>
    <w:rsid w:val="008B28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860"/>
    <w:rPr>
      <w:rFonts w:ascii="Tahoma" w:eastAsia="Dotum" w:hAnsi="Tahoma" w:cs="Tahoma"/>
      <w:sz w:val="16"/>
      <w:szCs w:val="16"/>
    </w:rPr>
  </w:style>
  <w:style w:type="paragraph" w:styleId="E-mailSignature">
    <w:name w:val="E-mail Signature"/>
    <w:basedOn w:val="Normal"/>
    <w:link w:val="E-mailSignatureChar"/>
    <w:uiPriority w:val="99"/>
    <w:semiHidden/>
    <w:unhideWhenUsed/>
    <w:rsid w:val="008B2860"/>
    <w:pPr>
      <w:spacing w:after="0"/>
    </w:pPr>
  </w:style>
  <w:style w:type="character" w:customStyle="1" w:styleId="E-mailSignatureChar">
    <w:name w:val="E-mail Signature Char"/>
    <w:basedOn w:val="DefaultParagraphFont"/>
    <w:link w:val="E-mailSignature"/>
    <w:uiPriority w:val="99"/>
    <w:semiHidden/>
    <w:rsid w:val="008B2860"/>
    <w:rPr>
      <w:rFonts w:ascii="Calibri" w:eastAsia="Dotum" w:hAnsi="Calibri" w:cs="Calibri"/>
    </w:rPr>
  </w:style>
  <w:style w:type="paragraph" w:styleId="EndnoteText">
    <w:name w:val="endnote text"/>
    <w:basedOn w:val="Normal"/>
    <w:link w:val="EndnoteTextChar"/>
    <w:uiPriority w:val="99"/>
    <w:semiHidden/>
    <w:unhideWhenUsed/>
    <w:rsid w:val="008B2860"/>
    <w:pPr>
      <w:spacing w:after="0"/>
    </w:pPr>
    <w:rPr>
      <w:sz w:val="20"/>
      <w:szCs w:val="20"/>
    </w:rPr>
  </w:style>
  <w:style w:type="character" w:customStyle="1" w:styleId="EndnoteTextChar">
    <w:name w:val="Endnote Text Char"/>
    <w:basedOn w:val="DefaultParagraphFont"/>
    <w:link w:val="EndnoteText"/>
    <w:uiPriority w:val="99"/>
    <w:semiHidden/>
    <w:rsid w:val="008B2860"/>
    <w:rPr>
      <w:rFonts w:ascii="Calibri" w:eastAsia="Dotum" w:hAnsi="Calibri" w:cs="Calibri"/>
      <w:sz w:val="20"/>
      <w:szCs w:val="20"/>
    </w:rPr>
  </w:style>
  <w:style w:type="paragraph" w:styleId="EnvelopeAddress">
    <w:name w:val="envelope address"/>
    <w:basedOn w:val="Normal"/>
    <w:uiPriority w:val="99"/>
    <w:semiHidden/>
    <w:unhideWhenUsed/>
    <w:rsid w:val="008B28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86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860"/>
    <w:pPr>
      <w:spacing w:after="0"/>
    </w:pPr>
    <w:rPr>
      <w:sz w:val="20"/>
      <w:szCs w:val="20"/>
    </w:rPr>
  </w:style>
  <w:style w:type="character" w:customStyle="1" w:styleId="FootnoteTextChar">
    <w:name w:val="Footnote Text Char"/>
    <w:basedOn w:val="DefaultParagraphFont"/>
    <w:link w:val="FootnoteText"/>
    <w:uiPriority w:val="99"/>
    <w:semiHidden/>
    <w:rsid w:val="008B2860"/>
    <w:rPr>
      <w:rFonts w:ascii="Calibri" w:eastAsia="Dotum" w:hAnsi="Calibri" w:cs="Calibri"/>
      <w:sz w:val="20"/>
      <w:szCs w:val="20"/>
    </w:rPr>
  </w:style>
  <w:style w:type="paragraph" w:styleId="HTMLAddress">
    <w:name w:val="HTML Address"/>
    <w:basedOn w:val="Normal"/>
    <w:link w:val="HTMLAddressChar"/>
    <w:uiPriority w:val="99"/>
    <w:semiHidden/>
    <w:unhideWhenUsed/>
    <w:rsid w:val="008B2860"/>
    <w:pPr>
      <w:spacing w:after="0"/>
    </w:pPr>
    <w:rPr>
      <w:i/>
      <w:iCs/>
    </w:rPr>
  </w:style>
  <w:style w:type="character" w:customStyle="1" w:styleId="HTMLAddressChar">
    <w:name w:val="HTML Address Char"/>
    <w:basedOn w:val="DefaultParagraphFont"/>
    <w:link w:val="HTMLAddress"/>
    <w:uiPriority w:val="99"/>
    <w:semiHidden/>
    <w:rsid w:val="008B2860"/>
    <w:rPr>
      <w:rFonts w:ascii="Calibri" w:eastAsia="Dotum" w:hAnsi="Calibri" w:cs="Calibri"/>
      <w:i/>
      <w:iCs/>
    </w:rPr>
  </w:style>
  <w:style w:type="paragraph" w:styleId="HTMLPreformatted">
    <w:name w:val="HTML Preformatted"/>
    <w:basedOn w:val="Normal"/>
    <w:link w:val="HTMLPreformattedChar"/>
    <w:uiPriority w:val="99"/>
    <w:semiHidden/>
    <w:unhideWhenUsed/>
    <w:rsid w:val="008B286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60"/>
    <w:rPr>
      <w:rFonts w:ascii="Consolas" w:eastAsia="Dotum" w:hAnsi="Consolas" w:cs="Consolas"/>
      <w:sz w:val="20"/>
      <w:szCs w:val="20"/>
    </w:rPr>
  </w:style>
  <w:style w:type="paragraph" w:styleId="Index1">
    <w:name w:val="index 1"/>
    <w:basedOn w:val="Normal"/>
    <w:next w:val="Normal"/>
    <w:autoRedefine/>
    <w:uiPriority w:val="99"/>
    <w:semiHidden/>
    <w:unhideWhenUsed/>
    <w:rsid w:val="008B2860"/>
    <w:pPr>
      <w:spacing w:after="0"/>
      <w:ind w:left="220" w:hanging="220"/>
    </w:pPr>
  </w:style>
  <w:style w:type="paragraph" w:styleId="Index2">
    <w:name w:val="index 2"/>
    <w:basedOn w:val="Normal"/>
    <w:next w:val="Normal"/>
    <w:autoRedefine/>
    <w:uiPriority w:val="99"/>
    <w:semiHidden/>
    <w:unhideWhenUsed/>
    <w:rsid w:val="008B2860"/>
    <w:pPr>
      <w:spacing w:after="0"/>
      <w:ind w:left="440" w:hanging="220"/>
    </w:pPr>
  </w:style>
  <w:style w:type="paragraph" w:styleId="Index3">
    <w:name w:val="index 3"/>
    <w:basedOn w:val="Normal"/>
    <w:next w:val="Normal"/>
    <w:autoRedefine/>
    <w:uiPriority w:val="99"/>
    <w:semiHidden/>
    <w:unhideWhenUsed/>
    <w:rsid w:val="008B2860"/>
    <w:pPr>
      <w:spacing w:after="0"/>
      <w:ind w:left="660" w:hanging="220"/>
    </w:pPr>
  </w:style>
  <w:style w:type="paragraph" w:styleId="Index4">
    <w:name w:val="index 4"/>
    <w:basedOn w:val="Normal"/>
    <w:next w:val="Normal"/>
    <w:autoRedefine/>
    <w:uiPriority w:val="99"/>
    <w:semiHidden/>
    <w:unhideWhenUsed/>
    <w:rsid w:val="008B2860"/>
    <w:pPr>
      <w:spacing w:after="0"/>
      <w:ind w:left="880" w:hanging="220"/>
    </w:pPr>
  </w:style>
  <w:style w:type="paragraph" w:styleId="Index5">
    <w:name w:val="index 5"/>
    <w:basedOn w:val="Normal"/>
    <w:next w:val="Normal"/>
    <w:autoRedefine/>
    <w:uiPriority w:val="99"/>
    <w:semiHidden/>
    <w:unhideWhenUsed/>
    <w:rsid w:val="008B2860"/>
    <w:pPr>
      <w:spacing w:after="0"/>
      <w:ind w:left="1100" w:hanging="220"/>
    </w:pPr>
  </w:style>
  <w:style w:type="paragraph" w:styleId="Index6">
    <w:name w:val="index 6"/>
    <w:basedOn w:val="Normal"/>
    <w:next w:val="Normal"/>
    <w:autoRedefine/>
    <w:uiPriority w:val="99"/>
    <w:semiHidden/>
    <w:unhideWhenUsed/>
    <w:rsid w:val="008B2860"/>
    <w:pPr>
      <w:spacing w:after="0"/>
      <w:ind w:left="1320" w:hanging="220"/>
    </w:pPr>
  </w:style>
  <w:style w:type="paragraph" w:styleId="Index7">
    <w:name w:val="index 7"/>
    <w:basedOn w:val="Normal"/>
    <w:next w:val="Normal"/>
    <w:autoRedefine/>
    <w:uiPriority w:val="99"/>
    <w:semiHidden/>
    <w:unhideWhenUsed/>
    <w:rsid w:val="008B2860"/>
    <w:pPr>
      <w:spacing w:after="0"/>
      <w:ind w:left="1540" w:hanging="220"/>
    </w:pPr>
  </w:style>
  <w:style w:type="paragraph" w:styleId="Index8">
    <w:name w:val="index 8"/>
    <w:basedOn w:val="Normal"/>
    <w:next w:val="Normal"/>
    <w:autoRedefine/>
    <w:uiPriority w:val="99"/>
    <w:semiHidden/>
    <w:unhideWhenUsed/>
    <w:rsid w:val="008B2860"/>
    <w:pPr>
      <w:spacing w:after="0"/>
      <w:ind w:left="1760" w:hanging="220"/>
    </w:pPr>
  </w:style>
  <w:style w:type="paragraph" w:styleId="Index9">
    <w:name w:val="index 9"/>
    <w:basedOn w:val="Normal"/>
    <w:next w:val="Normal"/>
    <w:autoRedefine/>
    <w:uiPriority w:val="99"/>
    <w:semiHidden/>
    <w:unhideWhenUsed/>
    <w:rsid w:val="008B2860"/>
    <w:pPr>
      <w:spacing w:after="0"/>
      <w:ind w:left="1980" w:hanging="220"/>
    </w:pPr>
  </w:style>
  <w:style w:type="paragraph" w:styleId="IndexHeading">
    <w:name w:val="index heading"/>
    <w:basedOn w:val="Normal"/>
    <w:next w:val="Index1"/>
    <w:uiPriority w:val="99"/>
    <w:semiHidden/>
    <w:unhideWhenUsed/>
    <w:rsid w:val="008B2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8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860"/>
    <w:rPr>
      <w:rFonts w:ascii="Calibri" w:eastAsia="Dotum" w:hAnsi="Calibri" w:cs="Calibri"/>
      <w:b/>
      <w:bCs/>
      <w:i/>
      <w:iCs/>
      <w:color w:val="4F81BD" w:themeColor="accent1"/>
    </w:rPr>
  </w:style>
  <w:style w:type="paragraph" w:styleId="List">
    <w:name w:val="List"/>
    <w:basedOn w:val="Normal"/>
    <w:uiPriority w:val="99"/>
    <w:semiHidden/>
    <w:unhideWhenUsed/>
    <w:rsid w:val="008B2860"/>
    <w:pPr>
      <w:ind w:left="283" w:hanging="283"/>
      <w:contextualSpacing/>
    </w:pPr>
  </w:style>
  <w:style w:type="paragraph" w:styleId="List2">
    <w:name w:val="List 2"/>
    <w:basedOn w:val="Normal"/>
    <w:uiPriority w:val="99"/>
    <w:semiHidden/>
    <w:unhideWhenUsed/>
    <w:rsid w:val="008B2860"/>
    <w:pPr>
      <w:ind w:left="566" w:hanging="283"/>
      <w:contextualSpacing/>
    </w:pPr>
  </w:style>
  <w:style w:type="paragraph" w:styleId="List3">
    <w:name w:val="List 3"/>
    <w:basedOn w:val="Normal"/>
    <w:uiPriority w:val="99"/>
    <w:semiHidden/>
    <w:unhideWhenUsed/>
    <w:rsid w:val="008B2860"/>
    <w:pPr>
      <w:ind w:left="849" w:hanging="283"/>
      <w:contextualSpacing/>
    </w:pPr>
  </w:style>
  <w:style w:type="paragraph" w:styleId="List4">
    <w:name w:val="List 4"/>
    <w:basedOn w:val="Normal"/>
    <w:uiPriority w:val="99"/>
    <w:semiHidden/>
    <w:unhideWhenUsed/>
    <w:rsid w:val="008B2860"/>
    <w:pPr>
      <w:ind w:left="1132" w:hanging="283"/>
      <w:contextualSpacing/>
    </w:pPr>
  </w:style>
  <w:style w:type="paragraph" w:styleId="List5">
    <w:name w:val="List 5"/>
    <w:basedOn w:val="Normal"/>
    <w:uiPriority w:val="99"/>
    <w:semiHidden/>
    <w:unhideWhenUsed/>
    <w:rsid w:val="008B2860"/>
    <w:pPr>
      <w:ind w:left="1415" w:hanging="283"/>
      <w:contextualSpacing/>
    </w:pPr>
  </w:style>
  <w:style w:type="paragraph" w:styleId="ListBullet">
    <w:name w:val="List Bullet"/>
    <w:basedOn w:val="Normal"/>
    <w:uiPriority w:val="99"/>
    <w:semiHidden/>
    <w:unhideWhenUsed/>
    <w:rsid w:val="008B2860"/>
    <w:pPr>
      <w:numPr>
        <w:numId w:val="19"/>
      </w:numPr>
      <w:contextualSpacing/>
    </w:pPr>
  </w:style>
  <w:style w:type="paragraph" w:styleId="ListBullet2">
    <w:name w:val="List Bullet 2"/>
    <w:basedOn w:val="Normal"/>
    <w:uiPriority w:val="99"/>
    <w:semiHidden/>
    <w:unhideWhenUsed/>
    <w:rsid w:val="008B2860"/>
    <w:pPr>
      <w:numPr>
        <w:numId w:val="20"/>
      </w:numPr>
      <w:contextualSpacing/>
    </w:pPr>
  </w:style>
  <w:style w:type="paragraph" w:styleId="ListBullet3">
    <w:name w:val="List Bullet 3"/>
    <w:basedOn w:val="Normal"/>
    <w:uiPriority w:val="99"/>
    <w:semiHidden/>
    <w:unhideWhenUsed/>
    <w:rsid w:val="008B2860"/>
    <w:pPr>
      <w:numPr>
        <w:numId w:val="21"/>
      </w:numPr>
      <w:contextualSpacing/>
    </w:pPr>
  </w:style>
  <w:style w:type="paragraph" w:styleId="ListBullet4">
    <w:name w:val="List Bullet 4"/>
    <w:basedOn w:val="Normal"/>
    <w:uiPriority w:val="99"/>
    <w:semiHidden/>
    <w:unhideWhenUsed/>
    <w:rsid w:val="008B2860"/>
    <w:pPr>
      <w:numPr>
        <w:numId w:val="22"/>
      </w:numPr>
      <w:contextualSpacing/>
    </w:pPr>
  </w:style>
  <w:style w:type="paragraph" w:styleId="ListBullet5">
    <w:name w:val="List Bullet 5"/>
    <w:basedOn w:val="Normal"/>
    <w:uiPriority w:val="99"/>
    <w:semiHidden/>
    <w:unhideWhenUsed/>
    <w:rsid w:val="008B2860"/>
    <w:pPr>
      <w:numPr>
        <w:numId w:val="23"/>
      </w:numPr>
      <w:contextualSpacing/>
    </w:pPr>
  </w:style>
  <w:style w:type="paragraph" w:styleId="ListContinue">
    <w:name w:val="List Continue"/>
    <w:basedOn w:val="Normal"/>
    <w:uiPriority w:val="99"/>
    <w:semiHidden/>
    <w:unhideWhenUsed/>
    <w:rsid w:val="008B2860"/>
    <w:pPr>
      <w:spacing w:after="120"/>
      <w:ind w:left="283"/>
      <w:contextualSpacing/>
    </w:pPr>
  </w:style>
  <w:style w:type="paragraph" w:styleId="ListContinue2">
    <w:name w:val="List Continue 2"/>
    <w:basedOn w:val="Normal"/>
    <w:uiPriority w:val="99"/>
    <w:semiHidden/>
    <w:unhideWhenUsed/>
    <w:rsid w:val="008B2860"/>
    <w:pPr>
      <w:spacing w:after="120"/>
      <w:ind w:left="566"/>
      <w:contextualSpacing/>
    </w:pPr>
  </w:style>
  <w:style w:type="paragraph" w:styleId="ListContinue3">
    <w:name w:val="List Continue 3"/>
    <w:basedOn w:val="Normal"/>
    <w:uiPriority w:val="99"/>
    <w:semiHidden/>
    <w:unhideWhenUsed/>
    <w:rsid w:val="008B2860"/>
    <w:pPr>
      <w:spacing w:after="120"/>
      <w:ind w:left="849"/>
      <w:contextualSpacing/>
    </w:pPr>
  </w:style>
  <w:style w:type="paragraph" w:styleId="ListContinue4">
    <w:name w:val="List Continue 4"/>
    <w:basedOn w:val="Normal"/>
    <w:uiPriority w:val="99"/>
    <w:semiHidden/>
    <w:unhideWhenUsed/>
    <w:rsid w:val="008B2860"/>
    <w:pPr>
      <w:spacing w:after="120"/>
      <w:ind w:left="1132"/>
      <w:contextualSpacing/>
    </w:pPr>
  </w:style>
  <w:style w:type="paragraph" w:styleId="ListContinue5">
    <w:name w:val="List Continue 5"/>
    <w:basedOn w:val="Normal"/>
    <w:uiPriority w:val="99"/>
    <w:semiHidden/>
    <w:unhideWhenUsed/>
    <w:rsid w:val="008B2860"/>
    <w:pPr>
      <w:spacing w:after="120"/>
      <w:ind w:left="1415"/>
      <w:contextualSpacing/>
    </w:pPr>
  </w:style>
  <w:style w:type="paragraph" w:styleId="ListNumber">
    <w:name w:val="List Number"/>
    <w:basedOn w:val="Normal"/>
    <w:uiPriority w:val="99"/>
    <w:semiHidden/>
    <w:unhideWhenUsed/>
    <w:rsid w:val="008B2860"/>
    <w:pPr>
      <w:numPr>
        <w:numId w:val="24"/>
      </w:numPr>
      <w:contextualSpacing/>
    </w:pPr>
  </w:style>
  <w:style w:type="paragraph" w:styleId="ListNumber2">
    <w:name w:val="List Number 2"/>
    <w:basedOn w:val="Normal"/>
    <w:uiPriority w:val="99"/>
    <w:semiHidden/>
    <w:unhideWhenUsed/>
    <w:rsid w:val="008B2860"/>
    <w:pPr>
      <w:numPr>
        <w:numId w:val="25"/>
      </w:numPr>
      <w:contextualSpacing/>
    </w:pPr>
  </w:style>
  <w:style w:type="paragraph" w:styleId="ListNumber3">
    <w:name w:val="List Number 3"/>
    <w:basedOn w:val="Normal"/>
    <w:uiPriority w:val="99"/>
    <w:semiHidden/>
    <w:unhideWhenUsed/>
    <w:rsid w:val="008B2860"/>
    <w:pPr>
      <w:numPr>
        <w:numId w:val="26"/>
      </w:numPr>
      <w:contextualSpacing/>
    </w:pPr>
  </w:style>
  <w:style w:type="paragraph" w:styleId="ListNumber4">
    <w:name w:val="List Number 4"/>
    <w:basedOn w:val="Normal"/>
    <w:uiPriority w:val="99"/>
    <w:semiHidden/>
    <w:unhideWhenUsed/>
    <w:rsid w:val="008B2860"/>
    <w:pPr>
      <w:numPr>
        <w:numId w:val="27"/>
      </w:numPr>
      <w:contextualSpacing/>
    </w:pPr>
  </w:style>
  <w:style w:type="paragraph" w:styleId="ListNumber5">
    <w:name w:val="List Number 5"/>
    <w:basedOn w:val="Normal"/>
    <w:uiPriority w:val="99"/>
    <w:semiHidden/>
    <w:unhideWhenUsed/>
    <w:rsid w:val="008B2860"/>
    <w:pPr>
      <w:numPr>
        <w:numId w:val="28"/>
      </w:numPr>
      <w:contextualSpacing/>
    </w:pPr>
  </w:style>
  <w:style w:type="paragraph" w:styleId="MacroText">
    <w:name w:val="macro"/>
    <w:link w:val="MacroTextChar"/>
    <w:uiPriority w:val="99"/>
    <w:semiHidden/>
    <w:unhideWhenUsed/>
    <w:rsid w:val="008B28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Dotum" w:hAnsi="Consolas" w:cs="Consolas"/>
      <w:sz w:val="20"/>
      <w:szCs w:val="20"/>
    </w:rPr>
  </w:style>
  <w:style w:type="character" w:customStyle="1" w:styleId="MacroTextChar">
    <w:name w:val="Macro Text Char"/>
    <w:basedOn w:val="DefaultParagraphFont"/>
    <w:link w:val="MacroText"/>
    <w:uiPriority w:val="99"/>
    <w:semiHidden/>
    <w:rsid w:val="008B2860"/>
    <w:rPr>
      <w:rFonts w:ascii="Consolas" w:eastAsia="Dotum" w:hAnsi="Consolas" w:cs="Consolas"/>
      <w:sz w:val="20"/>
      <w:szCs w:val="20"/>
    </w:rPr>
  </w:style>
  <w:style w:type="paragraph" w:styleId="MessageHeader">
    <w:name w:val="Message Header"/>
    <w:basedOn w:val="Normal"/>
    <w:link w:val="MessageHeaderChar"/>
    <w:uiPriority w:val="99"/>
    <w:semiHidden/>
    <w:unhideWhenUsed/>
    <w:rsid w:val="008B28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860"/>
    <w:rPr>
      <w:rFonts w:asciiTheme="majorHAnsi" w:eastAsiaTheme="majorEastAsia" w:hAnsiTheme="majorHAnsi" w:cstheme="majorBidi"/>
      <w:sz w:val="24"/>
      <w:szCs w:val="24"/>
      <w:shd w:val="pct20" w:color="auto" w:fill="auto"/>
    </w:rPr>
  </w:style>
  <w:style w:type="paragraph" w:styleId="NoSpacing">
    <w:name w:val="No Spacing"/>
    <w:uiPriority w:val="1"/>
    <w:qFormat/>
    <w:rsid w:val="008B2860"/>
    <w:pPr>
      <w:spacing w:after="0" w:line="240" w:lineRule="auto"/>
    </w:pPr>
    <w:rPr>
      <w:rFonts w:ascii="Calibri" w:eastAsia="Dotum" w:hAnsi="Calibri" w:cs="Calibri"/>
    </w:rPr>
  </w:style>
  <w:style w:type="paragraph" w:styleId="NormalWeb">
    <w:name w:val="Normal (Web)"/>
    <w:basedOn w:val="Normal"/>
    <w:uiPriority w:val="99"/>
    <w:semiHidden/>
    <w:unhideWhenUsed/>
    <w:rsid w:val="008B2860"/>
    <w:rPr>
      <w:rFonts w:ascii="Times New Roman" w:hAnsi="Times New Roman" w:cs="Times New Roman"/>
      <w:sz w:val="24"/>
      <w:szCs w:val="24"/>
    </w:rPr>
  </w:style>
  <w:style w:type="paragraph" w:styleId="NormalIndent">
    <w:name w:val="Normal Indent"/>
    <w:basedOn w:val="Normal"/>
    <w:uiPriority w:val="99"/>
    <w:semiHidden/>
    <w:unhideWhenUsed/>
    <w:rsid w:val="008B2860"/>
    <w:pPr>
      <w:ind w:left="720"/>
    </w:pPr>
  </w:style>
  <w:style w:type="paragraph" w:styleId="NoteHeading">
    <w:name w:val="Note Heading"/>
    <w:basedOn w:val="Normal"/>
    <w:next w:val="Normal"/>
    <w:link w:val="NoteHeadingChar"/>
    <w:uiPriority w:val="99"/>
    <w:semiHidden/>
    <w:unhideWhenUsed/>
    <w:rsid w:val="008B2860"/>
    <w:pPr>
      <w:spacing w:after="0"/>
    </w:pPr>
  </w:style>
  <w:style w:type="character" w:customStyle="1" w:styleId="NoteHeadingChar">
    <w:name w:val="Note Heading Char"/>
    <w:basedOn w:val="DefaultParagraphFont"/>
    <w:link w:val="NoteHeading"/>
    <w:uiPriority w:val="99"/>
    <w:semiHidden/>
    <w:rsid w:val="008B2860"/>
    <w:rPr>
      <w:rFonts w:ascii="Calibri" w:eastAsia="Dotum" w:hAnsi="Calibri" w:cs="Calibri"/>
    </w:rPr>
  </w:style>
  <w:style w:type="paragraph" w:styleId="PlainText">
    <w:name w:val="Plain Text"/>
    <w:basedOn w:val="Normal"/>
    <w:link w:val="PlainTextChar"/>
    <w:uiPriority w:val="99"/>
    <w:semiHidden/>
    <w:unhideWhenUsed/>
    <w:rsid w:val="008B286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860"/>
    <w:rPr>
      <w:rFonts w:ascii="Consolas" w:eastAsia="Dotum" w:hAnsi="Consolas" w:cs="Consolas"/>
      <w:sz w:val="21"/>
      <w:szCs w:val="21"/>
    </w:rPr>
  </w:style>
  <w:style w:type="paragraph" w:styleId="Salutation">
    <w:name w:val="Salutation"/>
    <w:basedOn w:val="Normal"/>
    <w:next w:val="Normal"/>
    <w:link w:val="SalutationChar"/>
    <w:uiPriority w:val="99"/>
    <w:semiHidden/>
    <w:unhideWhenUsed/>
    <w:rsid w:val="008B2860"/>
  </w:style>
  <w:style w:type="character" w:customStyle="1" w:styleId="SalutationChar">
    <w:name w:val="Salutation Char"/>
    <w:basedOn w:val="DefaultParagraphFont"/>
    <w:link w:val="Salutation"/>
    <w:uiPriority w:val="99"/>
    <w:semiHidden/>
    <w:rsid w:val="008B2860"/>
    <w:rPr>
      <w:rFonts w:ascii="Calibri" w:eastAsia="Dotum" w:hAnsi="Calibri" w:cs="Calibri"/>
    </w:rPr>
  </w:style>
  <w:style w:type="paragraph" w:styleId="Signature">
    <w:name w:val="Signature"/>
    <w:basedOn w:val="Normal"/>
    <w:link w:val="SignatureChar"/>
    <w:uiPriority w:val="99"/>
    <w:semiHidden/>
    <w:unhideWhenUsed/>
    <w:rsid w:val="008B2860"/>
    <w:pPr>
      <w:spacing w:after="0"/>
      <w:ind w:left="4252"/>
    </w:pPr>
  </w:style>
  <w:style w:type="character" w:customStyle="1" w:styleId="SignatureChar">
    <w:name w:val="Signature Char"/>
    <w:basedOn w:val="DefaultParagraphFont"/>
    <w:link w:val="Signature"/>
    <w:uiPriority w:val="99"/>
    <w:semiHidden/>
    <w:rsid w:val="008B2860"/>
    <w:rPr>
      <w:rFonts w:ascii="Calibri" w:eastAsia="Dotum" w:hAnsi="Calibri" w:cs="Calibri"/>
    </w:rPr>
  </w:style>
  <w:style w:type="paragraph" w:styleId="TableofAuthorities">
    <w:name w:val="table of authorities"/>
    <w:basedOn w:val="Normal"/>
    <w:next w:val="Normal"/>
    <w:uiPriority w:val="99"/>
    <w:semiHidden/>
    <w:unhideWhenUsed/>
    <w:rsid w:val="008B2860"/>
    <w:pPr>
      <w:spacing w:after="0"/>
      <w:ind w:left="220" w:hanging="220"/>
    </w:pPr>
  </w:style>
  <w:style w:type="paragraph" w:styleId="TableofFigures">
    <w:name w:val="table of figures"/>
    <w:basedOn w:val="Normal"/>
    <w:next w:val="Normal"/>
    <w:uiPriority w:val="99"/>
    <w:semiHidden/>
    <w:unhideWhenUsed/>
    <w:rsid w:val="008B2860"/>
    <w:pPr>
      <w:spacing w:after="0"/>
    </w:pPr>
  </w:style>
  <w:style w:type="paragraph" w:styleId="TOAHeading">
    <w:name w:val="toa heading"/>
    <w:basedOn w:val="Normal"/>
    <w:next w:val="Normal"/>
    <w:uiPriority w:val="99"/>
    <w:semiHidden/>
    <w:unhideWhenUsed/>
    <w:rsid w:val="008B286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8B2860"/>
    <w:pPr>
      <w:spacing w:after="100"/>
      <w:ind w:left="220"/>
    </w:pPr>
  </w:style>
  <w:style w:type="paragraph" w:styleId="TOC4">
    <w:name w:val="toc 4"/>
    <w:basedOn w:val="Normal"/>
    <w:next w:val="Normal"/>
    <w:autoRedefine/>
    <w:uiPriority w:val="39"/>
    <w:semiHidden/>
    <w:unhideWhenUsed/>
    <w:rsid w:val="008B2860"/>
    <w:pPr>
      <w:spacing w:after="100"/>
      <w:ind w:left="660"/>
    </w:pPr>
  </w:style>
  <w:style w:type="paragraph" w:styleId="TOC5">
    <w:name w:val="toc 5"/>
    <w:basedOn w:val="Normal"/>
    <w:next w:val="Normal"/>
    <w:autoRedefine/>
    <w:uiPriority w:val="39"/>
    <w:semiHidden/>
    <w:unhideWhenUsed/>
    <w:rsid w:val="008B2860"/>
    <w:pPr>
      <w:spacing w:after="100"/>
      <w:ind w:left="880"/>
    </w:pPr>
  </w:style>
  <w:style w:type="paragraph" w:styleId="TOC6">
    <w:name w:val="toc 6"/>
    <w:basedOn w:val="Normal"/>
    <w:next w:val="Normal"/>
    <w:autoRedefine/>
    <w:uiPriority w:val="39"/>
    <w:semiHidden/>
    <w:unhideWhenUsed/>
    <w:rsid w:val="008B2860"/>
    <w:pPr>
      <w:spacing w:after="100"/>
      <w:ind w:left="1100"/>
    </w:pPr>
  </w:style>
  <w:style w:type="paragraph" w:styleId="TOC7">
    <w:name w:val="toc 7"/>
    <w:basedOn w:val="Normal"/>
    <w:next w:val="Normal"/>
    <w:autoRedefine/>
    <w:uiPriority w:val="39"/>
    <w:semiHidden/>
    <w:unhideWhenUsed/>
    <w:rsid w:val="008B2860"/>
    <w:pPr>
      <w:spacing w:after="100"/>
      <w:ind w:left="1320"/>
    </w:pPr>
  </w:style>
  <w:style w:type="paragraph" w:styleId="TOC8">
    <w:name w:val="toc 8"/>
    <w:basedOn w:val="Normal"/>
    <w:next w:val="Normal"/>
    <w:autoRedefine/>
    <w:uiPriority w:val="39"/>
    <w:semiHidden/>
    <w:unhideWhenUsed/>
    <w:rsid w:val="008B2860"/>
    <w:pPr>
      <w:spacing w:after="100"/>
      <w:ind w:left="1540"/>
    </w:pPr>
  </w:style>
  <w:style w:type="paragraph" w:styleId="TOC9">
    <w:name w:val="toc 9"/>
    <w:basedOn w:val="Normal"/>
    <w:next w:val="Normal"/>
    <w:autoRedefine/>
    <w:uiPriority w:val="39"/>
    <w:semiHidden/>
    <w:unhideWhenUsed/>
    <w:rsid w:val="008B286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yperlink" Target="http://www.ahcdo.org.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hcdo.org.au"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abdr@blood.gov.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lood.gov.au" TargetMode="External"/><Relationship Id="rId20" Type="http://schemas.openxmlformats.org/officeDocument/2006/relationships/hyperlink" Target="http://www.haemophilia.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emophilia.org.au/foundationsandservices/myabd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lood.gov.au/myabdr"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info@ahcdo.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9259-8B8F-4606-AF84-79E1AAD0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Michael</dc:creator>
  <cp:lastModifiedBy>Anthrak, Louis</cp:lastModifiedBy>
  <cp:revision>7</cp:revision>
  <cp:lastPrinted>2014-11-10T06:37:00Z</cp:lastPrinted>
  <dcterms:created xsi:type="dcterms:W3CDTF">2015-01-19T22:02:00Z</dcterms:created>
  <dcterms:modified xsi:type="dcterms:W3CDTF">2015-01-19T22:49:00Z</dcterms:modified>
</cp:coreProperties>
</file>