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4F4" w:rsidRDefault="0097256A" w:rsidP="006874F4">
      <w:pPr>
        <w:widowControl/>
        <w:spacing w:after="200" w:line="276" w:lineRule="auto"/>
        <w:ind w:left="-1134"/>
        <w:rPr>
          <w:rFonts w:asciiTheme="majorHAnsi" w:eastAsiaTheme="majorEastAsia" w:hAnsiTheme="majorHAnsi" w:cstheme="majorHAnsi"/>
          <w:b/>
          <w:bCs/>
          <w:sz w:val="24"/>
          <w:szCs w:val="28"/>
        </w:rPr>
      </w:pPr>
      <w:bookmarkStart w:id="0" w:name="_Toc411414844"/>
      <w:bookmarkStart w:id="1" w:name="_Toc364168319"/>
      <w:r>
        <w:rPr>
          <w:noProof/>
          <w:lang w:eastAsia="en-AU"/>
        </w:rPr>
        <w:drawing>
          <wp:inline distT="0" distB="0" distL="0" distR="0" wp14:anchorId="56A9A3E6" wp14:editId="4501A085">
            <wp:extent cx="7562850" cy="11426286"/>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operative-bleeding-risk-assessment-cover.png"/>
                    <pic:cNvPicPr/>
                  </pic:nvPicPr>
                  <pic:blipFill>
                    <a:blip r:embed="rId9">
                      <a:extLst>
                        <a:ext uri="{28A0092B-C50C-407E-A947-70E740481C1C}">
                          <a14:useLocalDpi xmlns:a14="http://schemas.microsoft.com/office/drawing/2010/main" val="0"/>
                        </a:ext>
                      </a:extLst>
                    </a:blip>
                    <a:stretch>
                      <a:fillRect/>
                    </a:stretch>
                  </pic:blipFill>
                  <pic:spPr>
                    <a:xfrm>
                      <a:off x="0" y="0"/>
                      <a:ext cx="7562850" cy="11426286"/>
                    </a:xfrm>
                    <a:prstGeom prst="rect">
                      <a:avLst/>
                    </a:prstGeom>
                    <a:ln>
                      <a:noFill/>
                    </a:ln>
                  </pic:spPr>
                </pic:pic>
              </a:graphicData>
            </a:graphic>
          </wp:inline>
        </w:drawing>
      </w:r>
    </w:p>
    <w:p w:rsidR="00620C45" w:rsidRDefault="00620C45" w:rsidP="00BF2D8B">
      <w:pPr>
        <w:pStyle w:val="Heading1"/>
        <w:sectPr w:rsidR="00620C45" w:rsidSect="00516387">
          <w:footerReference w:type="default" r:id="rId10"/>
          <w:footnotePr>
            <w:numFmt w:val="lowerLetter"/>
          </w:footnotePr>
          <w:pgSz w:w="11906" w:h="16838"/>
          <w:pgMar w:top="0" w:right="1134" w:bottom="0" w:left="1134" w:header="709" w:footer="0" w:gutter="0"/>
          <w:pgNumType w:start="0"/>
          <w:cols w:space="708"/>
          <w:titlePg/>
          <w:docGrid w:linePitch="360"/>
        </w:sectPr>
      </w:pPr>
    </w:p>
    <w:bookmarkEnd w:id="0"/>
    <w:p w:rsidR="00620C45" w:rsidRDefault="00620C45" w:rsidP="00620C45">
      <w:pPr>
        <w:ind w:right="-20"/>
        <w:rPr>
          <w:rFonts w:ascii="Times New Roman" w:eastAsia="Times New Roman" w:hAnsi="Times New Roman" w:cs="Times New Roman"/>
          <w:sz w:val="20"/>
          <w:szCs w:val="20"/>
        </w:rPr>
      </w:pPr>
      <w:r>
        <w:rPr>
          <w:rFonts w:ascii="TitilliumText25L" w:eastAsia="TitilliumText25L" w:hAnsi="TitilliumText25L" w:cs="TitilliumText25L"/>
          <w:color w:val="808080"/>
          <w:position w:val="-16"/>
          <w:sz w:val="102"/>
          <w:szCs w:val="102"/>
        </w:rPr>
        <w:lastRenderedPageBreak/>
        <w:t xml:space="preserve"> </w:t>
      </w:r>
      <w:r>
        <w:rPr>
          <w:noProof/>
          <w:lang w:eastAsia="en-AU"/>
        </w:rPr>
        <w:drawing>
          <wp:inline distT="0" distB="0" distL="0" distR="0" wp14:anchorId="6A77F2B8" wp14:editId="16A765F9">
            <wp:extent cx="1333500" cy="4953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3500" cy="495300"/>
                    </a:xfrm>
                    <a:prstGeom prst="rect">
                      <a:avLst/>
                    </a:prstGeom>
                    <a:noFill/>
                    <a:ln>
                      <a:noFill/>
                    </a:ln>
                  </pic:spPr>
                </pic:pic>
              </a:graphicData>
            </a:graphic>
          </wp:inline>
        </w:drawing>
      </w:r>
    </w:p>
    <w:p w:rsidR="00620C45" w:rsidRDefault="00620C45" w:rsidP="00620C45">
      <w:pPr>
        <w:spacing w:before="4" w:line="120" w:lineRule="exact"/>
        <w:rPr>
          <w:sz w:val="12"/>
          <w:szCs w:val="12"/>
        </w:rPr>
      </w:pPr>
    </w:p>
    <w:p w:rsidR="00620C45" w:rsidRDefault="00620C45" w:rsidP="00620C45">
      <w:pPr>
        <w:spacing w:line="200" w:lineRule="exact"/>
        <w:rPr>
          <w:sz w:val="20"/>
          <w:szCs w:val="20"/>
        </w:rPr>
      </w:pPr>
    </w:p>
    <w:p w:rsidR="00620C45" w:rsidRDefault="00620C45" w:rsidP="00620C45">
      <w:pPr>
        <w:spacing w:before="27" w:line="241" w:lineRule="auto"/>
        <w:ind w:right="168"/>
        <w:jc w:val="both"/>
        <w:rPr>
          <w:rFonts w:ascii="TitilliumText25L" w:eastAsia="TitilliumText25L" w:hAnsi="TitilliumText25L" w:cs="TitilliumText25L"/>
        </w:rPr>
      </w:pPr>
      <w:r>
        <w:rPr>
          <w:rFonts w:ascii="TitilliumText25L" w:eastAsia="TitilliumText25L" w:hAnsi="TitilliumText25L" w:cs="TitilliumText25L"/>
          <w:color w:val="231F20"/>
        </w:rPr>
        <w:t>With the exception of any logos and registered trademarks, and where otherwise noted, all material</w:t>
      </w:r>
      <w:hyperlink r:id="rId12">
        <w:r>
          <w:rPr>
            <w:rFonts w:ascii="TitilliumText25L" w:eastAsia="TitilliumText25L" w:hAnsi="TitilliumText25L" w:cs="TitilliumText25L"/>
            <w:color w:val="231F20"/>
          </w:rPr>
          <w:t xml:space="preserve"> presented in this document is provided under a Creative Commons Attribution 3.0 Australia (http://</w:t>
        </w:r>
      </w:hyperlink>
      <w:r>
        <w:rPr>
          <w:rFonts w:ascii="TitilliumText25L" w:eastAsia="TitilliumText25L" w:hAnsi="TitilliumText25L" w:cs="TitilliumText25L"/>
          <w:color w:val="231F20"/>
        </w:rPr>
        <w:t xml:space="preserve"> creativecommons.org/ licenses/by/3.0/au/) licence.</w:t>
      </w:r>
    </w:p>
    <w:p w:rsidR="00620C45" w:rsidRDefault="00620C45" w:rsidP="00620C45">
      <w:pPr>
        <w:spacing w:before="4" w:line="260" w:lineRule="exact"/>
        <w:rPr>
          <w:sz w:val="26"/>
          <w:szCs w:val="26"/>
        </w:rPr>
      </w:pPr>
    </w:p>
    <w:p w:rsidR="00620C45" w:rsidRDefault="00620C45" w:rsidP="00620C45">
      <w:pPr>
        <w:spacing w:line="241" w:lineRule="auto"/>
        <w:ind w:right="570"/>
        <w:rPr>
          <w:rFonts w:ascii="TitilliumText25L" w:eastAsia="TitilliumText25L" w:hAnsi="TitilliumText25L" w:cs="TitilliumText25L"/>
        </w:rPr>
      </w:pPr>
      <w:r>
        <w:rPr>
          <w:rFonts w:ascii="TitilliumText25L" w:eastAsia="TitilliumText25L" w:hAnsi="TitilliumText25L" w:cs="TitilliumText25L"/>
          <w:color w:val="231F20"/>
        </w:rPr>
        <w:t>The details of the relevant licence conditions are available on the Creative Commons website</w:t>
      </w:r>
      <w:hyperlink r:id="rId13">
        <w:r>
          <w:rPr>
            <w:rFonts w:ascii="TitilliumText25L" w:eastAsia="TitilliumText25L" w:hAnsi="TitilliumText25L" w:cs="TitilliumText25L"/>
            <w:color w:val="231F20"/>
          </w:rPr>
          <w:t xml:space="preserve"> (accessible using the links provided) as is the full legal code for the CC BY 3.0 AU license (http://</w:t>
        </w:r>
      </w:hyperlink>
      <w:hyperlink r:id="rId14">
        <w:r>
          <w:rPr>
            <w:rFonts w:ascii="TitilliumText25L" w:eastAsia="TitilliumText25L" w:hAnsi="TitilliumText25L" w:cs="TitilliumText25L"/>
            <w:color w:val="231F20"/>
          </w:rPr>
          <w:t xml:space="preserve"> creativecommons.org/licenses/by/3.0/au/legalcode).</w:t>
        </w:r>
      </w:hyperlink>
    </w:p>
    <w:p w:rsidR="00620C45" w:rsidRDefault="00620C45" w:rsidP="00620C45">
      <w:pPr>
        <w:spacing w:before="4" w:line="260" w:lineRule="exact"/>
        <w:rPr>
          <w:sz w:val="26"/>
          <w:szCs w:val="26"/>
        </w:rPr>
      </w:pPr>
    </w:p>
    <w:p w:rsidR="00620C45" w:rsidRDefault="00620C45" w:rsidP="00620C45">
      <w:pPr>
        <w:ind w:right="-20"/>
        <w:rPr>
          <w:rFonts w:ascii="TitilliumText25L" w:eastAsia="TitilliumText25L" w:hAnsi="TitilliumText25L" w:cs="TitilliumText25L"/>
        </w:rPr>
      </w:pPr>
      <w:r>
        <w:rPr>
          <w:rFonts w:ascii="TitilliumText25L" w:eastAsia="TitilliumText25L" w:hAnsi="TitilliumText25L" w:cs="TitilliumText25L"/>
          <w:color w:val="231F20"/>
        </w:rPr>
        <w:t>The content obtained from this document or derivative of this work must be attributed as the</w:t>
      </w:r>
    </w:p>
    <w:p w:rsidR="00620C45" w:rsidRDefault="00620C45" w:rsidP="00620C45">
      <w:pPr>
        <w:spacing w:before="1"/>
        <w:ind w:right="-20"/>
        <w:rPr>
          <w:rFonts w:ascii="TitilliumText25L" w:eastAsia="TitilliumText25L" w:hAnsi="TitilliumText25L" w:cs="TitilliumText25L"/>
        </w:rPr>
      </w:pPr>
      <w:r>
        <w:rPr>
          <w:rFonts w:ascii="TitilliumText25L" w:eastAsia="TitilliumText25L" w:hAnsi="TitilliumText25L" w:cs="TitilliumText25L"/>
          <w:color w:val="231F20"/>
        </w:rPr>
        <w:t>Preoperative Bleeding Risk Assessment.</w:t>
      </w:r>
    </w:p>
    <w:p w:rsidR="00620C45" w:rsidRDefault="00620C45" w:rsidP="00620C45">
      <w:pPr>
        <w:spacing w:before="6" w:line="260" w:lineRule="exact"/>
        <w:rPr>
          <w:sz w:val="26"/>
          <w:szCs w:val="26"/>
        </w:rPr>
      </w:pPr>
    </w:p>
    <w:p w:rsidR="00620C45" w:rsidRDefault="00620C45" w:rsidP="00620C45">
      <w:pPr>
        <w:spacing w:line="241" w:lineRule="auto"/>
        <w:ind w:right="6486"/>
        <w:rPr>
          <w:rFonts w:ascii="TitilliumText25L" w:eastAsia="TitilliumText25L" w:hAnsi="TitilliumText25L" w:cs="TitilliumText25L"/>
        </w:rPr>
      </w:pPr>
      <w:r>
        <w:rPr>
          <w:rFonts w:ascii="TitilliumText25L" w:eastAsia="TitilliumText25L" w:hAnsi="TitilliumText25L" w:cs="TitilliumText25L"/>
          <w:color w:val="231F20"/>
        </w:rPr>
        <w:t>© National Blood Authority, 2015. ISBN 978-0-9924971-8-7</w:t>
      </w:r>
    </w:p>
    <w:p w:rsidR="00620C45" w:rsidRDefault="00620C45" w:rsidP="00620C45">
      <w:pPr>
        <w:ind w:right="-20"/>
        <w:rPr>
          <w:rFonts w:ascii="TitilliumText25L" w:eastAsia="TitilliumText25L" w:hAnsi="TitilliumText25L" w:cs="TitilliumText25L"/>
        </w:rPr>
      </w:pPr>
      <w:r>
        <w:rPr>
          <w:rFonts w:ascii="TitilliumText25L" w:eastAsia="TitilliumText25L" w:hAnsi="TitilliumText25L" w:cs="TitilliumText25L"/>
          <w:color w:val="231F20"/>
        </w:rPr>
        <w:t xml:space="preserve">This report is available online at: </w:t>
      </w:r>
      <w:hyperlink r:id="rId15">
        <w:r>
          <w:rPr>
            <w:rFonts w:ascii="TitilliumText25L" w:eastAsia="TitilliumText25L" w:hAnsi="TitilliumText25L" w:cs="TitilliumText25L"/>
            <w:color w:val="3953A4"/>
            <w:u w:val="single" w:color="3953A4"/>
          </w:rPr>
          <w:t>www.blood.gov.au</w:t>
        </w:r>
      </w:hyperlink>
    </w:p>
    <w:p w:rsidR="00620C45" w:rsidRDefault="00620C45" w:rsidP="00620C45">
      <w:pPr>
        <w:spacing w:before="6" w:line="260" w:lineRule="exact"/>
        <w:rPr>
          <w:sz w:val="26"/>
          <w:szCs w:val="26"/>
        </w:rPr>
      </w:pPr>
    </w:p>
    <w:p w:rsidR="00620C45" w:rsidRDefault="00620C45" w:rsidP="00620C45">
      <w:pPr>
        <w:spacing w:line="241" w:lineRule="auto"/>
        <w:ind w:right="6995"/>
        <w:rPr>
          <w:rFonts w:ascii="TitilliumText25L" w:eastAsia="TitilliumText25L" w:hAnsi="TitilliumText25L" w:cs="TitilliumText25L"/>
        </w:rPr>
      </w:pPr>
      <w:r>
        <w:rPr>
          <w:rFonts w:ascii="TitilliumText25L" w:eastAsia="TitilliumText25L" w:hAnsi="TitilliumText25L" w:cs="TitilliumText25L"/>
          <w:color w:val="231F20"/>
        </w:rPr>
        <w:t>For more information: Patient Blood Management National Blood Authority</w:t>
      </w:r>
    </w:p>
    <w:p w:rsidR="00620C45" w:rsidRDefault="00620C45" w:rsidP="00620C45">
      <w:pPr>
        <w:ind w:right="-20"/>
        <w:rPr>
          <w:rFonts w:ascii="TitilliumText25L" w:eastAsia="TitilliumText25L" w:hAnsi="TitilliumText25L" w:cs="TitilliumText25L"/>
        </w:rPr>
      </w:pPr>
      <w:r>
        <w:rPr>
          <w:rFonts w:ascii="TitilliumText25L" w:eastAsia="TitilliumText25L" w:hAnsi="TitilliumText25L" w:cs="TitilliumText25L"/>
          <w:color w:val="231F20"/>
        </w:rPr>
        <w:t>Locked Bag 8430 Canberra ACT 2601</w:t>
      </w:r>
    </w:p>
    <w:p w:rsidR="00620C45" w:rsidRDefault="00620C45" w:rsidP="00620C45">
      <w:pPr>
        <w:spacing w:before="1"/>
        <w:ind w:right="-20"/>
        <w:rPr>
          <w:rFonts w:ascii="TitilliumText25L" w:eastAsia="TitilliumText25L" w:hAnsi="TitilliumText25L" w:cs="TitilliumText25L"/>
        </w:rPr>
      </w:pPr>
      <w:r>
        <w:rPr>
          <w:rFonts w:ascii="TitilliumText25L" w:eastAsia="TitilliumText25L" w:hAnsi="TitilliumText25L" w:cs="TitilliumText25L"/>
          <w:color w:val="231F20"/>
        </w:rPr>
        <w:t>Phone: 13000 BLOOD (13 000 25663)</w:t>
      </w:r>
    </w:p>
    <w:p w:rsidR="00620C45" w:rsidRDefault="00620C45" w:rsidP="00620C45">
      <w:pPr>
        <w:spacing w:before="1"/>
        <w:ind w:right="-20"/>
        <w:rPr>
          <w:rFonts w:ascii="TitilliumText25L" w:eastAsia="TitilliumText25L" w:hAnsi="TitilliumText25L" w:cs="TitilliumText25L"/>
        </w:rPr>
      </w:pPr>
      <w:r>
        <w:rPr>
          <w:rFonts w:ascii="TitilliumText25L" w:eastAsia="TitilliumText25L" w:hAnsi="TitilliumText25L" w:cs="TitilliumText25L"/>
          <w:color w:val="231F20"/>
        </w:rPr>
        <w:t xml:space="preserve">Email: </w:t>
      </w:r>
      <w:hyperlink r:id="rId16">
        <w:r>
          <w:rPr>
            <w:rFonts w:ascii="TitilliumText25L" w:eastAsia="TitilliumText25L" w:hAnsi="TitilliumText25L" w:cs="TitilliumText25L"/>
            <w:color w:val="3953A4"/>
            <w:u w:val="single" w:color="3953A4"/>
          </w:rPr>
          <w:t>patientbloodmanagement@blood.gov.au</w:t>
        </w:r>
        <w:r>
          <w:rPr>
            <w:rFonts w:ascii="TitilliumText25L" w:eastAsia="TitilliumText25L" w:hAnsi="TitilliumText25L" w:cs="TitilliumText25L"/>
            <w:color w:val="3953A4"/>
          </w:rPr>
          <w:t xml:space="preserve">  </w:t>
        </w:r>
      </w:hyperlink>
      <w:hyperlink r:id="rId17">
        <w:r>
          <w:rPr>
            <w:rFonts w:ascii="TitilliumText25L" w:eastAsia="TitilliumText25L" w:hAnsi="TitilliumText25L" w:cs="TitilliumText25L"/>
            <w:color w:val="3953A4"/>
            <w:u w:val="single" w:color="3953A4"/>
          </w:rPr>
          <w:t>www.blood.gov.au</w:t>
        </w:r>
      </w:hyperlink>
    </w:p>
    <w:p w:rsidR="00620C45" w:rsidRDefault="00620C45" w:rsidP="00620C45">
      <w:pPr>
        <w:spacing w:before="4" w:line="190" w:lineRule="exact"/>
        <w:rPr>
          <w:sz w:val="19"/>
          <w:szCs w:val="19"/>
        </w:rPr>
      </w:pPr>
    </w:p>
    <w:p w:rsidR="00620C45" w:rsidRDefault="00620C45" w:rsidP="00620C45">
      <w:pPr>
        <w:spacing w:line="200" w:lineRule="exact"/>
        <w:rPr>
          <w:sz w:val="20"/>
          <w:szCs w:val="20"/>
        </w:rPr>
      </w:pPr>
    </w:p>
    <w:p w:rsidR="00620C45" w:rsidRDefault="00620C45" w:rsidP="00620C45">
      <w:pPr>
        <w:spacing w:line="200" w:lineRule="exact"/>
        <w:rPr>
          <w:sz w:val="20"/>
          <w:szCs w:val="20"/>
        </w:rPr>
      </w:pPr>
    </w:p>
    <w:p w:rsidR="00620C45" w:rsidRDefault="00620C45" w:rsidP="00620C45">
      <w:pPr>
        <w:ind w:right="-20"/>
        <w:rPr>
          <w:rFonts w:ascii="TitilliumText25L" w:eastAsia="TitilliumText25L" w:hAnsi="TitilliumText25L" w:cs="TitilliumText25L"/>
        </w:rPr>
      </w:pPr>
      <w:r>
        <w:rPr>
          <w:rFonts w:ascii="TitilliumText25L" w:eastAsia="TitilliumText25L" w:hAnsi="TitilliumText25L" w:cs="TitilliumText25L"/>
          <w:color w:val="231F20"/>
        </w:rPr>
        <w:t>Acknowledgement</w:t>
      </w:r>
    </w:p>
    <w:p w:rsidR="00620C45" w:rsidRDefault="00620C45" w:rsidP="00620C45">
      <w:pPr>
        <w:spacing w:before="1" w:line="241" w:lineRule="auto"/>
        <w:ind w:right="595"/>
        <w:rPr>
          <w:rFonts w:ascii="TitilliumText25L" w:eastAsia="TitilliumText25L" w:hAnsi="TitilliumText25L" w:cs="TitilliumText25L"/>
        </w:rPr>
      </w:pPr>
      <w:r>
        <w:rPr>
          <w:rFonts w:ascii="TitilliumText25L" w:eastAsia="TitilliumText25L" w:hAnsi="TitilliumText25L" w:cs="TitilliumText25L"/>
          <w:color w:val="231F20"/>
        </w:rPr>
        <w:t>The NBA has commissioned the development of a suite of patient blood management (PBM) tools by various stakeholders as outlined by the PBM Guideline Implementation Strategy. The tools are intended to be used as a resource for health professionals to use in implementing the recommendations and practice points in the PBM Guidelines.</w:t>
      </w:r>
    </w:p>
    <w:p w:rsidR="00620C45" w:rsidRDefault="00620C45" w:rsidP="00620C45">
      <w:pPr>
        <w:spacing w:line="241" w:lineRule="auto"/>
        <w:ind w:right="322"/>
        <w:rPr>
          <w:rFonts w:ascii="TitilliumText25L" w:eastAsia="TitilliumText25L" w:hAnsi="TitilliumText25L" w:cs="TitilliumText25L"/>
        </w:rPr>
      </w:pPr>
      <w:r>
        <w:rPr>
          <w:rFonts w:ascii="TitilliumText25L" w:eastAsia="TitilliumText25L" w:hAnsi="TitilliumText25L" w:cs="TitilliumText25L"/>
          <w:color w:val="231F20"/>
        </w:rPr>
        <w:t>The Preoperative Bleeding Risk Assessment and Intervention Resource is intended to assist healthcare professionals in assessing and managing the risk of bleeding in a preoperative patient. Assessment of bleeding risk is a key component of patient blood management strategies to</w:t>
      </w:r>
    </w:p>
    <w:p w:rsidR="00620C45" w:rsidRDefault="00620C45" w:rsidP="00620C45">
      <w:pPr>
        <w:spacing w:line="241" w:lineRule="auto"/>
        <w:ind w:right="58"/>
        <w:rPr>
          <w:rFonts w:ascii="TitilliumText25L" w:eastAsia="TitilliumText25L" w:hAnsi="TitilliumText25L" w:cs="TitilliumText25L"/>
        </w:rPr>
      </w:pPr>
      <w:r>
        <w:rPr>
          <w:rFonts w:ascii="TitilliumText25L" w:eastAsia="TitilliumText25L" w:hAnsi="TitilliumText25L" w:cs="TitilliumText25L"/>
          <w:color w:val="231F20"/>
        </w:rPr>
        <w:t>minimise blood loss. Patients may be at increased risk of bleeding for a number of reasons, including hereditary or acquired bleeding disorders, medical conditions such as liver disease, and medications including complementary medicines.</w:t>
      </w:r>
    </w:p>
    <w:p w:rsidR="00620C45" w:rsidRDefault="00620C45" w:rsidP="00620C45">
      <w:pPr>
        <w:spacing w:before="4" w:line="260" w:lineRule="exact"/>
        <w:rPr>
          <w:sz w:val="26"/>
          <w:szCs w:val="26"/>
        </w:rPr>
      </w:pPr>
    </w:p>
    <w:p w:rsidR="00620C45" w:rsidRDefault="00620C45" w:rsidP="00620C45">
      <w:pPr>
        <w:ind w:right="-20"/>
        <w:rPr>
          <w:rFonts w:ascii="TitilliumText25L" w:eastAsia="TitilliumText25L" w:hAnsi="TitilliumText25L" w:cs="TitilliumText25L"/>
        </w:rPr>
      </w:pPr>
      <w:r>
        <w:rPr>
          <w:rFonts w:ascii="TitilliumText25L" w:eastAsia="TitilliumText25L" w:hAnsi="TitilliumText25L" w:cs="TitilliumText25L"/>
          <w:color w:val="231F20"/>
        </w:rPr>
        <w:t>This resource was project managed by the Transfusion Practice and Education Team at the Blood</w:t>
      </w:r>
    </w:p>
    <w:p w:rsidR="00620C45" w:rsidRDefault="00620C45" w:rsidP="00620C45">
      <w:pPr>
        <w:spacing w:before="1"/>
        <w:ind w:right="-20"/>
        <w:rPr>
          <w:rFonts w:ascii="TitilliumText25L" w:eastAsia="TitilliumText25L" w:hAnsi="TitilliumText25L" w:cs="TitilliumText25L"/>
          <w:color w:val="231F20"/>
        </w:rPr>
      </w:pPr>
      <w:r>
        <w:rPr>
          <w:rFonts w:ascii="TitilliumText25L" w:eastAsia="TitilliumText25L" w:hAnsi="TitilliumText25L" w:cs="TitilliumText25L"/>
          <w:color w:val="231F20"/>
        </w:rPr>
        <w:t>Service.</w:t>
      </w:r>
    </w:p>
    <w:p w:rsidR="00620C45" w:rsidRDefault="00620C45">
      <w:pPr>
        <w:widowControl/>
        <w:spacing w:after="200" w:line="276" w:lineRule="auto"/>
        <w:rPr>
          <w:rFonts w:ascii="TitilliumText25L" w:eastAsia="TitilliumText25L" w:hAnsi="TitilliumText25L" w:cs="TitilliumText25L"/>
          <w:color w:val="231F20"/>
        </w:rPr>
      </w:pPr>
      <w:r>
        <w:rPr>
          <w:rFonts w:ascii="TitilliumText25L" w:eastAsia="TitilliumText25L" w:hAnsi="TitilliumText25L" w:cs="TitilliumText25L"/>
          <w:color w:val="231F20"/>
        </w:rPr>
        <w:br w:type="page"/>
      </w:r>
    </w:p>
    <w:p w:rsidR="00620C45" w:rsidRDefault="00620C45" w:rsidP="00620C45">
      <w:pPr>
        <w:spacing w:before="1"/>
        <w:ind w:right="-20"/>
        <w:rPr>
          <w:rFonts w:ascii="TitilliumText25L" w:eastAsia="TitilliumText25L" w:hAnsi="TitilliumText25L" w:cs="TitilliumText25L"/>
        </w:rPr>
      </w:pPr>
    </w:p>
    <w:p w:rsidR="00620C45" w:rsidRDefault="00620C45" w:rsidP="00620C45">
      <w:pPr>
        <w:spacing w:after="120" w:line="182" w:lineRule="auto"/>
        <w:ind w:left="142" w:right="119" w:hanging="567"/>
        <w:rPr>
          <w:rFonts w:ascii="TitilliumText25L" w:eastAsia="TitilliumText25L" w:hAnsi="TitilliumText25L" w:cs="TitilliumText25L"/>
          <w:color w:val="D0202E"/>
          <w:sz w:val="60"/>
          <w:szCs w:val="60"/>
        </w:rPr>
      </w:pPr>
      <w:r>
        <w:rPr>
          <w:rFonts w:ascii="TitilliumText25L" w:eastAsia="TitilliumText25L" w:hAnsi="TitilliumText25L" w:cs="TitilliumText25L"/>
          <w:color w:val="808080"/>
          <w:position w:val="-16"/>
          <w:sz w:val="102"/>
          <w:szCs w:val="102"/>
        </w:rPr>
        <w:t>&gt;</w:t>
      </w:r>
      <w:r>
        <w:rPr>
          <w:rFonts w:ascii="TitilliumText25L" w:eastAsia="TitilliumText25L" w:hAnsi="TitilliumText25L" w:cs="TitilliumText25L"/>
          <w:color w:val="D0202E"/>
          <w:sz w:val="60"/>
          <w:szCs w:val="60"/>
        </w:rPr>
        <w:t>PREOPERATIVE BLEEDING RISK</w:t>
      </w:r>
      <w:r>
        <w:rPr>
          <w:rFonts w:ascii="TitilliumText25L" w:eastAsia="TitilliumText25L" w:hAnsi="TitilliumText25L" w:cs="TitilliumText25L"/>
          <w:color w:val="D0202E"/>
          <w:spacing w:val="57"/>
          <w:sz w:val="60"/>
          <w:szCs w:val="60"/>
        </w:rPr>
        <w:t xml:space="preserve"> </w:t>
      </w:r>
      <w:r>
        <w:rPr>
          <w:rFonts w:ascii="TitilliumText25L" w:eastAsia="TitilliumText25L" w:hAnsi="TitilliumText25L" w:cs="TitilliumText25L"/>
          <w:color w:val="D0202E"/>
          <w:sz w:val="60"/>
          <w:szCs w:val="60"/>
        </w:rPr>
        <w:t>ASSESSMENT AND INTERVENTION</w:t>
      </w:r>
    </w:p>
    <w:p w:rsidR="00620C45" w:rsidRDefault="00620C45" w:rsidP="00620C45">
      <w:pPr>
        <w:spacing w:after="120" w:line="182" w:lineRule="auto"/>
        <w:ind w:left="142" w:right="119" w:hanging="567"/>
        <w:rPr>
          <w:rFonts w:ascii="TitilliumText25L" w:eastAsia="TitilliumText25L" w:hAnsi="TitilliumText25L" w:cs="TitilliumText25L"/>
          <w:sz w:val="50"/>
          <w:szCs w:val="50"/>
        </w:rPr>
      </w:pPr>
      <w:r>
        <w:rPr>
          <w:rFonts w:ascii="TitilliumText25L" w:eastAsia="TitilliumText25L" w:hAnsi="TitilliumText25L" w:cs="TitilliumText25L"/>
          <w:color w:val="D0202E"/>
          <w:sz w:val="60"/>
          <w:szCs w:val="60"/>
        </w:rPr>
        <w:t xml:space="preserve">  </w:t>
      </w:r>
      <w:r>
        <w:rPr>
          <w:rFonts w:ascii="TitilliumText25L" w:eastAsia="TitilliumText25L" w:hAnsi="TitilliumText25L" w:cs="TitilliumText25L"/>
          <w:color w:val="D0202E"/>
          <w:spacing w:val="67"/>
          <w:sz w:val="60"/>
          <w:szCs w:val="60"/>
        </w:rPr>
        <w:t xml:space="preserve"> </w:t>
      </w:r>
      <w:r>
        <w:rPr>
          <w:rFonts w:ascii="TitilliumText25L" w:eastAsia="TitilliumText25L" w:hAnsi="TitilliumText25L" w:cs="TitilliumText25L"/>
          <w:color w:val="D0202E"/>
          <w:sz w:val="60"/>
          <w:szCs w:val="60"/>
        </w:rPr>
        <w:t xml:space="preserve">RESOURCE: </w:t>
      </w:r>
      <w:r>
        <w:rPr>
          <w:rFonts w:ascii="TitilliumText25L" w:eastAsia="TitilliumText25L" w:hAnsi="TitilliumText25L" w:cs="TitilliumText25L"/>
          <w:color w:val="D0202E"/>
          <w:position w:val="-1"/>
          <w:sz w:val="50"/>
          <w:szCs w:val="50"/>
        </w:rPr>
        <w:t>QUICK</w:t>
      </w:r>
      <w:r>
        <w:rPr>
          <w:rFonts w:ascii="TitilliumText25L" w:eastAsia="TitilliumText25L" w:hAnsi="TitilliumText25L" w:cs="TitilliumText25L"/>
          <w:color w:val="D0202E"/>
          <w:spacing w:val="104"/>
          <w:position w:val="-1"/>
          <w:sz w:val="50"/>
          <w:szCs w:val="50"/>
        </w:rPr>
        <w:t xml:space="preserve"> </w:t>
      </w:r>
      <w:r>
        <w:rPr>
          <w:rFonts w:ascii="TitilliumText25L" w:eastAsia="TitilliumText25L" w:hAnsi="TitilliumText25L" w:cs="TitilliumText25L"/>
          <w:color w:val="D0202E"/>
          <w:position w:val="-1"/>
          <w:sz w:val="50"/>
          <w:szCs w:val="50"/>
        </w:rPr>
        <w:t>REFERENCE GUIDE</w:t>
      </w:r>
    </w:p>
    <w:p w:rsidR="00620C45" w:rsidRDefault="00620C45" w:rsidP="00620C45">
      <w:pPr>
        <w:spacing w:before="7" w:line="110" w:lineRule="exact"/>
        <w:rPr>
          <w:sz w:val="11"/>
          <w:szCs w:val="11"/>
        </w:rPr>
      </w:pPr>
    </w:p>
    <w:p w:rsidR="00620C45" w:rsidRDefault="00620C45" w:rsidP="00620C45">
      <w:r>
        <w:rPr>
          <w:noProof/>
          <w:lang w:eastAsia="en-AU"/>
        </w:rPr>
        <w:drawing>
          <wp:inline distT="0" distB="0" distL="0" distR="0" wp14:anchorId="2EFFAEDD" wp14:editId="21E430F9">
            <wp:extent cx="5926455" cy="6451600"/>
            <wp:effectExtent l="0" t="0" r="0" b="6350"/>
            <wp:docPr id="5" name="Picture 5">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 diagram.PNG"/>
                    <pic:cNvPicPr/>
                  </pic:nvPicPr>
                  <pic:blipFill>
                    <a:blip r:embed="rId19">
                      <a:extLst>
                        <a:ext uri="{28A0092B-C50C-407E-A947-70E740481C1C}">
                          <a14:useLocalDpi xmlns:a14="http://schemas.microsoft.com/office/drawing/2010/main" val="0"/>
                        </a:ext>
                      </a:extLst>
                    </a:blip>
                    <a:stretch>
                      <a:fillRect/>
                    </a:stretch>
                  </pic:blipFill>
                  <pic:spPr>
                    <a:xfrm>
                      <a:off x="0" y="0"/>
                      <a:ext cx="5926455" cy="6451600"/>
                    </a:xfrm>
                    <a:prstGeom prst="rect">
                      <a:avLst/>
                    </a:prstGeom>
                  </pic:spPr>
                </pic:pic>
              </a:graphicData>
            </a:graphic>
          </wp:inline>
        </w:drawing>
      </w:r>
    </w:p>
    <w:p w:rsidR="00F04815" w:rsidRDefault="00F04815">
      <w:pPr>
        <w:widowControl/>
        <w:spacing w:after="200" w:line="276" w:lineRule="auto"/>
      </w:pPr>
      <w:r>
        <w:br w:type="page"/>
      </w:r>
    </w:p>
    <w:p w:rsidR="00620C45" w:rsidRDefault="00620C45" w:rsidP="00620C45">
      <w:pPr>
        <w:spacing w:after="120" w:line="182" w:lineRule="auto"/>
        <w:ind w:left="142" w:right="119" w:hanging="567"/>
        <w:rPr>
          <w:rFonts w:ascii="TitilliumText25L" w:eastAsia="TitilliumText25L" w:hAnsi="TitilliumText25L" w:cs="TitilliumText25L"/>
          <w:color w:val="D0202E"/>
          <w:sz w:val="60"/>
          <w:szCs w:val="60"/>
        </w:rPr>
      </w:pPr>
      <w:r>
        <w:rPr>
          <w:rFonts w:ascii="TitilliumText25L" w:eastAsia="TitilliumText25L" w:hAnsi="TitilliumText25L" w:cs="TitilliumText25L"/>
          <w:color w:val="808080"/>
          <w:position w:val="-16"/>
          <w:sz w:val="102"/>
          <w:szCs w:val="102"/>
        </w:rPr>
        <w:lastRenderedPageBreak/>
        <w:t>&gt;</w:t>
      </w:r>
      <w:r>
        <w:rPr>
          <w:rFonts w:ascii="TitilliumText25L" w:eastAsia="TitilliumText25L" w:hAnsi="TitilliumText25L" w:cs="TitilliumText25L"/>
          <w:color w:val="D0202E"/>
          <w:sz w:val="60"/>
          <w:szCs w:val="60"/>
        </w:rPr>
        <w:t>PREOPERATIVE BLEEDING RISK</w:t>
      </w:r>
      <w:r>
        <w:rPr>
          <w:rFonts w:ascii="TitilliumText25L" w:eastAsia="TitilliumText25L" w:hAnsi="TitilliumText25L" w:cs="TitilliumText25L"/>
          <w:color w:val="D0202E"/>
          <w:spacing w:val="57"/>
          <w:sz w:val="60"/>
          <w:szCs w:val="60"/>
        </w:rPr>
        <w:t xml:space="preserve"> </w:t>
      </w:r>
      <w:r>
        <w:rPr>
          <w:rFonts w:ascii="TitilliumText25L" w:eastAsia="TitilliumText25L" w:hAnsi="TitilliumText25L" w:cs="TitilliumText25L"/>
          <w:color w:val="D0202E"/>
          <w:sz w:val="60"/>
          <w:szCs w:val="60"/>
        </w:rPr>
        <w:t>ASSESSMENT AND INTERVENTION</w:t>
      </w:r>
    </w:p>
    <w:p w:rsidR="00620C45" w:rsidRDefault="00620C45" w:rsidP="00620C45">
      <w:pPr>
        <w:spacing w:after="120" w:line="182" w:lineRule="auto"/>
        <w:ind w:left="142" w:right="119" w:hanging="567"/>
        <w:rPr>
          <w:rFonts w:ascii="TitilliumText25L" w:eastAsia="TitilliumText25L" w:hAnsi="TitilliumText25L" w:cs="TitilliumText25L"/>
          <w:color w:val="D0202E"/>
          <w:position w:val="-1"/>
          <w:sz w:val="50"/>
          <w:szCs w:val="50"/>
        </w:rPr>
      </w:pPr>
      <w:r>
        <w:rPr>
          <w:rFonts w:ascii="TitilliumText25L" w:eastAsia="TitilliumText25L" w:hAnsi="TitilliumText25L" w:cs="TitilliumText25L"/>
          <w:color w:val="D0202E"/>
          <w:sz w:val="60"/>
          <w:szCs w:val="60"/>
        </w:rPr>
        <w:t xml:space="preserve">  </w:t>
      </w:r>
      <w:r>
        <w:rPr>
          <w:rFonts w:ascii="TitilliumText25L" w:eastAsia="TitilliumText25L" w:hAnsi="TitilliumText25L" w:cs="TitilliumText25L"/>
          <w:color w:val="D0202E"/>
          <w:spacing w:val="67"/>
          <w:sz w:val="60"/>
          <w:szCs w:val="60"/>
        </w:rPr>
        <w:t xml:space="preserve"> </w:t>
      </w:r>
      <w:r>
        <w:rPr>
          <w:rFonts w:ascii="TitilliumText25L" w:eastAsia="TitilliumText25L" w:hAnsi="TitilliumText25L" w:cs="TitilliumText25L"/>
          <w:color w:val="D0202E"/>
          <w:sz w:val="60"/>
          <w:szCs w:val="60"/>
        </w:rPr>
        <w:t xml:space="preserve">RESOURCE: </w:t>
      </w:r>
      <w:r>
        <w:rPr>
          <w:rFonts w:ascii="TitilliumText25L" w:eastAsia="TitilliumText25L" w:hAnsi="TitilliumText25L" w:cs="TitilliumText25L"/>
          <w:color w:val="D0202E"/>
          <w:sz w:val="60"/>
          <w:szCs w:val="60"/>
        </w:rPr>
        <w:br/>
      </w:r>
      <w:r>
        <w:rPr>
          <w:rFonts w:ascii="TitilliumText25L" w:eastAsia="TitilliumText25L" w:hAnsi="TitilliumText25L" w:cs="TitilliumText25L"/>
          <w:color w:val="D0202E"/>
          <w:position w:val="-1"/>
          <w:sz w:val="50"/>
          <w:szCs w:val="50"/>
        </w:rPr>
        <w:t>QUICK</w:t>
      </w:r>
      <w:r>
        <w:rPr>
          <w:rFonts w:ascii="TitilliumText25L" w:eastAsia="TitilliumText25L" w:hAnsi="TitilliumText25L" w:cs="TitilliumText25L"/>
          <w:color w:val="D0202E"/>
          <w:spacing w:val="104"/>
          <w:position w:val="-1"/>
          <w:sz w:val="50"/>
          <w:szCs w:val="50"/>
        </w:rPr>
        <w:t xml:space="preserve"> </w:t>
      </w:r>
      <w:r>
        <w:rPr>
          <w:rFonts w:ascii="TitilliumText25L" w:eastAsia="TitilliumText25L" w:hAnsi="TitilliumText25L" w:cs="TitilliumText25L"/>
          <w:color w:val="D0202E"/>
          <w:position w:val="-1"/>
          <w:sz w:val="50"/>
          <w:szCs w:val="50"/>
        </w:rPr>
        <w:t>REFERENCE GUIDE SUMMARY</w:t>
      </w:r>
    </w:p>
    <w:p w:rsidR="00620C45" w:rsidRDefault="00620C45" w:rsidP="00620C45">
      <w:pPr>
        <w:spacing w:after="120" w:line="182" w:lineRule="auto"/>
        <w:ind w:left="142" w:right="119" w:hanging="567"/>
        <w:rPr>
          <w:rFonts w:ascii="TitilliumText25L" w:eastAsia="TitilliumText25L" w:hAnsi="TitilliumText25L" w:cs="TitilliumText25L"/>
          <w:sz w:val="50"/>
          <w:szCs w:val="50"/>
        </w:rPr>
      </w:pPr>
    </w:p>
    <w:p w:rsidR="00620C45" w:rsidRDefault="00620C45" w:rsidP="00620C45">
      <w:pPr>
        <w:spacing w:line="241" w:lineRule="auto"/>
        <w:ind w:left="426" w:right="719"/>
        <w:rPr>
          <w:rFonts w:ascii="TitilliumText25L" w:eastAsia="TitilliumText25L" w:hAnsi="TitilliumText25L" w:cs="TitilliumText25L"/>
          <w:color w:val="231F20"/>
        </w:rPr>
      </w:pPr>
    </w:p>
    <w:p w:rsidR="00620C45" w:rsidRDefault="00620C45" w:rsidP="00620C45">
      <w:pPr>
        <w:spacing w:line="14" w:lineRule="atLeast"/>
        <w:ind w:left="426" w:right="719"/>
        <w:rPr>
          <w:rFonts w:ascii="TitilliumText25L" w:eastAsia="TitilliumText25L" w:hAnsi="TitilliumText25L" w:cs="TitilliumText25L"/>
        </w:rPr>
      </w:pPr>
      <w:r>
        <w:rPr>
          <w:rFonts w:ascii="TitilliumText25L" w:eastAsia="TitilliumText25L" w:hAnsi="TitilliumText25L" w:cs="TitilliumText25L"/>
          <w:color w:val="231F20"/>
        </w:rPr>
        <w:t>Assessing and managing the risk of bleeding in a preoperative patient can be achieved by following the key steps:</w:t>
      </w:r>
    </w:p>
    <w:p w:rsidR="00620C45" w:rsidRDefault="00620C45" w:rsidP="00620C45">
      <w:pPr>
        <w:spacing w:before="3" w:line="14" w:lineRule="atLeast"/>
        <w:ind w:left="426"/>
        <w:rPr>
          <w:sz w:val="11"/>
          <w:szCs w:val="11"/>
        </w:rPr>
      </w:pPr>
    </w:p>
    <w:p w:rsidR="00620C45" w:rsidRDefault="00620C45" w:rsidP="00620C45">
      <w:pPr>
        <w:spacing w:line="14" w:lineRule="atLeast"/>
        <w:ind w:left="1134" w:right="-23" w:hanging="708"/>
        <w:jc w:val="both"/>
        <w:rPr>
          <w:rFonts w:ascii="TitilliumText25L" w:eastAsia="TitilliumText25L" w:hAnsi="TitilliumText25L" w:cs="TitilliumText25L"/>
        </w:rPr>
      </w:pPr>
      <w:r>
        <w:rPr>
          <w:rFonts w:ascii="TitilliumText25L" w:eastAsia="TitilliumText25L" w:hAnsi="TitilliumText25L" w:cs="TitilliumText25L"/>
          <w:color w:val="231F20"/>
        </w:rPr>
        <w:t xml:space="preserve">1.    </w:t>
      </w:r>
      <w:r>
        <w:rPr>
          <w:rFonts w:ascii="TitilliumText25L" w:eastAsia="TitilliumText25L" w:hAnsi="TitilliumText25L" w:cs="TitilliumText25L"/>
          <w:color w:val="231F20"/>
        </w:rPr>
        <w:tab/>
        <w:t>Review medications, including complementary therapies:</w:t>
      </w:r>
    </w:p>
    <w:p w:rsidR="00620C45" w:rsidRDefault="00620C45" w:rsidP="00620C45">
      <w:pPr>
        <w:spacing w:before="5" w:line="14" w:lineRule="atLeast"/>
        <w:ind w:left="426"/>
        <w:rPr>
          <w:sz w:val="11"/>
          <w:szCs w:val="11"/>
        </w:rPr>
      </w:pPr>
    </w:p>
    <w:p w:rsidR="00620C45" w:rsidRPr="00C26CCE" w:rsidRDefault="00620C45" w:rsidP="00620C45">
      <w:pPr>
        <w:pStyle w:val="ListParagraph"/>
        <w:widowControl/>
        <w:numPr>
          <w:ilvl w:val="0"/>
          <w:numId w:val="25"/>
        </w:numPr>
        <w:spacing w:line="14" w:lineRule="atLeast"/>
        <w:ind w:left="1560" w:right="-20" w:hanging="414"/>
        <w:contextualSpacing/>
        <w:rPr>
          <w:rFonts w:ascii="TitilliumText25L" w:eastAsia="TitilliumText25L" w:hAnsi="TitilliumText25L" w:cs="TitilliumText25L"/>
        </w:rPr>
      </w:pPr>
      <w:r w:rsidRPr="00C26CCE">
        <w:rPr>
          <w:rFonts w:ascii="TitilliumText25L" w:eastAsia="TitilliumText25L" w:hAnsi="TitilliumText25L" w:cs="TitilliumText25L"/>
          <w:color w:val="231F20"/>
        </w:rPr>
        <w:t xml:space="preserve">Manage as per evidence based guidelines, including specialist guidelines, local </w:t>
      </w:r>
    </w:p>
    <w:p w:rsidR="00620C45" w:rsidRDefault="00620C45" w:rsidP="00620C45">
      <w:pPr>
        <w:spacing w:before="1" w:line="14" w:lineRule="atLeast"/>
        <w:ind w:left="1701" w:right="-20" w:hanging="141"/>
        <w:rPr>
          <w:rFonts w:ascii="TitilliumText25L" w:eastAsia="TitilliumText25L" w:hAnsi="TitilliumText25L" w:cs="TitilliumText25L"/>
        </w:rPr>
      </w:pPr>
      <w:r>
        <w:rPr>
          <w:rFonts w:ascii="TitilliumText25L" w:eastAsia="TitilliumText25L" w:hAnsi="TitilliumText25L" w:cs="TitilliumText25L"/>
          <w:color w:val="231F20"/>
        </w:rPr>
        <w:t>protocols or referral where appropriate;</w:t>
      </w:r>
    </w:p>
    <w:p w:rsidR="00620C45" w:rsidRDefault="00620C45" w:rsidP="00620C45">
      <w:pPr>
        <w:spacing w:before="5" w:line="14" w:lineRule="atLeast"/>
        <w:ind w:left="426"/>
        <w:rPr>
          <w:sz w:val="11"/>
          <w:szCs w:val="11"/>
        </w:rPr>
      </w:pPr>
    </w:p>
    <w:p w:rsidR="00620C45" w:rsidRPr="00B91746" w:rsidRDefault="00620C45" w:rsidP="00620C45">
      <w:pPr>
        <w:spacing w:line="14" w:lineRule="atLeast"/>
        <w:ind w:left="1134" w:right="-23" w:hanging="708"/>
        <w:jc w:val="both"/>
        <w:rPr>
          <w:rFonts w:ascii="TitilliumText25L" w:eastAsia="TitilliumText25L" w:hAnsi="TitilliumText25L" w:cs="TitilliumText25L"/>
          <w:color w:val="231F20"/>
        </w:rPr>
      </w:pPr>
      <w:r>
        <w:rPr>
          <w:rFonts w:ascii="TitilliumText25L" w:eastAsia="TitilliumText25L" w:hAnsi="TitilliumText25L" w:cs="TitilliumText25L"/>
          <w:color w:val="231F20"/>
        </w:rPr>
        <w:t xml:space="preserve">2. </w:t>
      </w:r>
      <w:r>
        <w:rPr>
          <w:rFonts w:ascii="TitilliumText25L" w:eastAsia="TitilliumText25L" w:hAnsi="TitilliumText25L" w:cs="TitilliumText25L"/>
          <w:color w:val="231F20"/>
        </w:rPr>
        <w:tab/>
        <w:t>Perform initial bleeding history including personal and family history of bleeding disorder or excessive bleeding; and comorbidities which may increase bleeding risk:</w:t>
      </w:r>
    </w:p>
    <w:p w:rsidR="00620C45" w:rsidRDefault="00620C45" w:rsidP="00620C45">
      <w:pPr>
        <w:spacing w:before="3" w:line="14" w:lineRule="atLeast"/>
        <w:ind w:left="426"/>
        <w:rPr>
          <w:sz w:val="11"/>
          <w:szCs w:val="11"/>
        </w:rPr>
      </w:pPr>
    </w:p>
    <w:p w:rsidR="00620C45" w:rsidRPr="00B91746" w:rsidRDefault="00620C45" w:rsidP="00620C45">
      <w:pPr>
        <w:pStyle w:val="ListParagraph"/>
        <w:widowControl/>
        <w:numPr>
          <w:ilvl w:val="0"/>
          <w:numId w:val="25"/>
        </w:numPr>
        <w:spacing w:line="14" w:lineRule="atLeast"/>
        <w:ind w:left="1560" w:right="-20" w:hanging="414"/>
        <w:contextualSpacing/>
        <w:rPr>
          <w:rFonts w:ascii="TitilliumText25L" w:eastAsia="TitilliumText25L" w:hAnsi="TitilliumText25L" w:cs="TitilliumText25L"/>
          <w:color w:val="231F20"/>
        </w:rPr>
      </w:pPr>
      <w:r>
        <w:rPr>
          <w:rFonts w:ascii="TitilliumText25L" w:eastAsia="TitilliumText25L" w:hAnsi="TitilliumText25L" w:cs="TitilliumText25L"/>
          <w:color w:val="231F20"/>
        </w:rPr>
        <w:t xml:space="preserve">If positive use a Bleeding Assessment Tool (BAT) consisting of a standardised </w:t>
      </w:r>
    </w:p>
    <w:p w:rsidR="00620C45" w:rsidRPr="00B91746" w:rsidRDefault="00620C45" w:rsidP="00620C45">
      <w:pPr>
        <w:pStyle w:val="ListParagraph"/>
        <w:spacing w:line="14" w:lineRule="atLeast"/>
        <w:ind w:left="1254" w:right="-20" w:firstLine="306"/>
        <w:rPr>
          <w:rFonts w:ascii="TitilliumText25L" w:eastAsia="TitilliumText25L" w:hAnsi="TitilliumText25L" w:cs="TitilliumText25L"/>
          <w:color w:val="231F20"/>
        </w:rPr>
      </w:pPr>
      <w:r>
        <w:rPr>
          <w:rFonts w:ascii="TitilliumText25L" w:eastAsia="TitilliumText25L" w:hAnsi="TitilliumText25L" w:cs="TitilliumText25L"/>
          <w:color w:val="231F20"/>
        </w:rPr>
        <w:t>bleeding questionnaire and bleeding score and/or refer for further assessment;</w:t>
      </w:r>
    </w:p>
    <w:p w:rsidR="00620C45" w:rsidRDefault="00620C45" w:rsidP="00620C45">
      <w:pPr>
        <w:spacing w:before="5" w:line="14" w:lineRule="atLeast"/>
        <w:ind w:left="426"/>
        <w:rPr>
          <w:sz w:val="11"/>
          <w:szCs w:val="11"/>
        </w:rPr>
      </w:pPr>
    </w:p>
    <w:p w:rsidR="00620C45" w:rsidRPr="00B91746" w:rsidRDefault="00620C45" w:rsidP="00620C45">
      <w:pPr>
        <w:spacing w:line="14" w:lineRule="atLeast"/>
        <w:ind w:left="1134" w:right="-23" w:hanging="708"/>
        <w:jc w:val="both"/>
        <w:rPr>
          <w:rFonts w:ascii="TitilliumText25L" w:eastAsia="TitilliumText25L" w:hAnsi="TitilliumText25L" w:cs="TitilliumText25L"/>
          <w:color w:val="231F20"/>
        </w:rPr>
      </w:pPr>
      <w:r>
        <w:rPr>
          <w:rFonts w:ascii="TitilliumText25L" w:eastAsia="TitilliumText25L" w:hAnsi="TitilliumText25L" w:cs="TitilliumText25L"/>
          <w:color w:val="231F20"/>
        </w:rPr>
        <w:t xml:space="preserve">3. </w:t>
      </w:r>
      <w:r>
        <w:rPr>
          <w:rFonts w:ascii="TitilliumText25L" w:eastAsia="TitilliumText25L" w:hAnsi="TitilliumText25L" w:cs="TitilliumText25L"/>
          <w:color w:val="231F20"/>
        </w:rPr>
        <w:tab/>
        <w:t>Perform a physical examination:</w:t>
      </w:r>
    </w:p>
    <w:p w:rsidR="00620C45" w:rsidRDefault="00620C45" w:rsidP="00620C45">
      <w:pPr>
        <w:spacing w:before="5" w:line="14" w:lineRule="atLeast"/>
        <w:ind w:left="426"/>
        <w:rPr>
          <w:sz w:val="11"/>
          <w:szCs w:val="11"/>
        </w:rPr>
      </w:pPr>
    </w:p>
    <w:p w:rsidR="00620C45" w:rsidRPr="00B91746" w:rsidRDefault="00620C45" w:rsidP="00620C45">
      <w:pPr>
        <w:pStyle w:val="ListParagraph"/>
        <w:widowControl/>
        <w:numPr>
          <w:ilvl w:val="0"/>
          <w:numId w:val="25"/>
        </w:numPr>
        <w:spacing w:line="14" w:lineRule="atLeast"/>
        <w:ind w:left="1560" w:right="-20" w:hanging="414"/>
        <w:contextualSpacing/>
        <w:rPr>
          <w:rFonts w:ascii="TitilliumText25L" w:eastAsia="TitilliumText25L" w:hAnsi="TitilliumText25L" w:cs="TitilliumText25L"/>
          <w:color w:val="231F20"/>
        </w:rPr>
      </w:pPr>
      <w:r>
        <w:rPr>
          <w:rFonts w:ascii="TitilliumText25L" w:eastAsia="TitilliumText25L" w:hAnsi="TitilliumText25L" w:cs="TitilliumText25L"/>
          <w:color w:val="231F20"/>
        </w:rPr>
        <w:t xml:space="preserve">If positive for signs of bleeding or comorbidities associated with increased risk of </w:t>
      </w:r>
    </w:p>
    <w:p w:rsidR="00620C45" w:rsidRPr="00B91746" w:rsidRDefault="00620C45" w:rsidP="00620C45">
      <w:pPr>
        <w:pStyle w:val="ListParagraph"/>
        <w:spacing w:line="14" w:lineRule="atLeast"/>
        <w:ind w:left="1560" w:right="-20"/>
        <w:rPr>
          <w:rFonts w:ascii="TitilliumText25L" w:eastAsia="TitilliumText25L" w:hAnsi="TitilliumText25L" w:cs="TitilliumText25L"/>
          <w:color w:val="231F20"/>
        </w:rPr>
      </w:pPr>
      <w:r>
        <w:rPr>
          <w:rFonts w:ascii="TitilliumText25L" w:eastAsia="TitilliumText25L" w:hAnsi="TitilliumText25L" w:cs="TitilliumText25L"/>
          <w:color w:val="231F20"/>
        </w:rPr>
        <w:t>bleeding use a BAT and/or refer for further assessment;</w:t>
      </w:r>
    </w:p>
    <w:p w:rsidR="00620C45" w:rsidRDefault="00620C45" w:rsidP="00620C45">
      <w:pPr>
        <w:spacing w:before="5" w:line="14" w:lineRule="atLeast"/>
        <w:ind w:left="426"/>
        <w:rPr>
          <w:sz w:val="11"/>
          <w:szCs w:val="11"/>
        </w:rPr>
      </w:pPr>
    </w:p>
    <w:p w:rsidR="00620C45" w:rsidRPr="00B91746" w:rsidRDefault="00620C45" w:rsidP="00620C45">
      <w:pPr>
        <w:spacing w:line="14" w:lineRule="atLeast"/>
        <w:ind w:left="1134" w:right="-23" w:hanging="708"/>
        <w:jc w:val="both"/>
        <w:rPr>
          <w:rFonts w:ascii="TitilliumText25L" w:eastAsia="TitilliumText25L" w:hAnsi="TitilliumText25L" w:cs="TitilliumText25L"/>
          <w:color w:val="231F20"/>
        </w:rPr>
      </w:pPr>
      <w:r>
        <w:rPr>
          <w:rFonts w:ascii="TitilliumText25L" w:eastAsia="TitilliumText25L" w:hAnsi="TitilliumText25L" w:cs="TitilliumText25L"/>
          <w:color w:val="231F20"/>
        </w:rPr>
        <w:t>4.</w:t>
      </w:r>
      <w:r>
        <w:rPr>
          <w:rFonts w:ascii="TitilliumText25L" w:eastAsia="TitilliumText25L" w:hAnsi="TitilliumText25L" w:cs="TitilliumText25L"/>
          <w:color w:val="231F20"/>
        </w:rPr>
        <w:tab/>
        <w:t>If all initial screens are negative, no further evaluation is required – routine preoperative coagulation screening is not recommended;</w:t>
      </w:r>
    </w:p>
    <w:p w:rsidR="00620C45" w:rsidRDefault="00620C45" w:rsidP="00620C45">
      <w:pPr>
        <w:spacing w:before="3" w:line="14" w:lineRule="atLeast"/>
        <w:ind w:left="426"/>
        <w:rPr>
          <w:sz w:val="11"/>
          <w:szCs w:val="11"/>
        </w:rPr>
      </w:pPr>
    </w:p>
    <w:p w:rsidR="00620C45" w:rsidRPr="00B91746" w:rsidRDefault="00620C45" w:rsidP="00620C45">
      <w:pPr>
        <w:spacing w:line="14" w:lineRule="atLeast"/>
        <w:ind w:left="1134" w:right="-23" w:hanging="708"/>
        <w:jc w:val="both"/>
        <w:rPr>
          <w:rFonts w:ascii="TitilliumText25L" w:eastAsia="TitilliumText25L" w:hAnsi="TitilliumText25L" w:cs="TitilliumText25L"/>
          <w:color w:val="231F20"/>
        </w:rPr>
      </w:pPr>
      <w:r>
        <w:rPr>
          <w:rFonts w:ascii="TitilliumText25L" w:eastAsia="TitilliumText25L" w:hAnsi="TitilliumText25L" w:cs="TitilliumText25L"/>
          <w:color w:val="231F20"/>
        </w:rPr>
        <w:t>5.     Neither preoperative point-of-care (POC) global coagulation assays nor POC INR measurement predict bleeding tendency;</w:t>
      </w:r>
    </w:p>
    <w:p w:rsidR="00620C45" w:rsidRDefault="00620C45" w:rsidP="00620C45">
      <w:pPr>
        <w:spacing w:before="5" w:line="14" w:lineRule="atLeast"/>
        <w:ind w:left="426"/>
        <w:rPr>
          <w:sz w:val="11"/>
          <w:szCs w:val="11"/>
        </w:rPr>
      </w:pPr>
    </w:p>
    <w:p w:rsidR="00620C45" w:rsidRPr="00B91746" w:rsidRDefault="00620C45" w:rsidP="00620C45">
      <w:pPr>
        <w:spacing w:line="14" w:lineRule="atLeast"/>
        <w:ind w:left="1134" w:right="-23" w:hanging="708"/>
        <w:jc w:val="both"/>
        <w:rPr>
          <w:rFonts w:ascii="TitilliumText25L" w:eastAsia="TitilliumText25L" w:hAnsi="TitilliumText25L" w:cs="TitilliumText25L"/>
          <w:color w:val="231F20"/>
        </w:rPr>
      </w:pPr>
      <w:r>
        <w:rPr>
          <w:rFonts w:ascii="TitilliumText25L" w:eastAsia="TitilliumText25L" w:hAnsi="TitilliumText25L" w:cs="TitilliumText25L"/>
          <w:color w:val="231F20"/>
        </w:rPr>
        <w:t xml:space="preserve">6.   </w:t>
      </w:r>
      <w:r>
        <w:rPr>
          <w:rFonts w:ascii="TitilliumText25L" w:eastAsia="TitilliumText25L" w:hAnsi="TitilliumText25L" w:cs="TitilliumText25L"/>
          <w:color w:val="231F20"/>
        </w:rPr>
        <w:tab/>
        <w:t>Refer for specialist and/or multidisciplinary assessment and management, patients:</w:t>
      </w:r>
    </w:p>
    <w:p w:rsidR="00620C45" w:rsidRDefault="00620C45" w:rsidP="00620C45">
      <w:pPr>
        <w:spacing w:before="5" w:line="14" w:lineRule="atLeast"/>
        <w:ind w:left="426"/>
        <w:rPr>
          <w:sz w:val="11"/>
          <w:szCs w:val="11"/>
        </w:rPr>
      </w:pPr>
    </w:p>
    <w:p w:rsidR="00620C45" w:rsidRPr="00B91746" w:rsidRDefault="00620C45" w:rsidP="00620C45">
      <w:pPr>
        <w:pStyle w:val="ListParagraph"/>
        <w:widowControl/>
        <w:numPr>
          <w:ilvl w:val="0"/>
          <w:numId w:val="25"/>
        </w:numPr>
        <w:spacing w:line="300" w:lineRule="auto"/>
        <w:ind w:left="1559" w:right="-23" w:hanging="414"/>
        <w:contextualSpacing/>
        <w:rPr>
          <w:rFonts w:ascii="TitilliumText25L" w:eastAsia="TitilliumText25L" w:hAnsi="TitilliumText25L" w:cs="TitilliumText25L"/>
          <w:color w:val="231F20"/>
        </w:rPr>
      </w:pPr>
      <w:r>
        <w:rPr>
          <w:rFonts w:ascii="TitilliumText25L" w:eastAsia="TitilliumText25L" w:hAnsi="TitilliumText25L" w:cs="TitilliumText25L"/>
          <w:color w:val="231F20"/>
        </w:rPr>
        <w:t>undergoing high risk procedures;</w:t>
      </w:r>
    </w:p>
    <w:p w:rsidR="00620C45" w:rsidRPr="00B91746" w:rsidRDefault="00620C45" w:rsidP="00620C45">
      <w:pPr>
        <w:pStyle w:val="ListParagraph"/>
        <w:widowControl/>
        <w:numPr>
          <w:ilvl w:val="0"/>
          <w:numId w:val="25"/>
        </w:numPr>
        <w:spacing w:line="300" w:lineRule="auto"/>
        <w:ind w:left="1559" w:right="-23" w:hanging="414"/>
        <w:contextualSpacing/>
        <w:rPr>
          <w:rFonts w:ascii="TitilliumText25L" w:eastAsia="TitilliumText25L" w:hAnsi="TitilliumText25L" w:cs="TitilliumText25L"/>
          <w:color w:val="231F20"/>
        </w:rPr>
      </w:pPr>
      <w:r>
        <w:rPr>
          <w:rFonts w:ascii="TitilliumText25L" w:eastAsia="TitilliumText25L" w:hAnsi="TitilliumText25L" w:cs="TitilliumText25L"/>
          <w:color w:val="231F20"/>
        </w:rPr>
        <w:t xml:space="preserve">with haemostatic abnormalities associated with comorbid illness; </w:t>
      </w:r>
    </w:p>
    <w:p w:rsidR="00620C45" w:rsidRPr="00B91746" w:rsidRDefault="00620C45" w:rsidP="00620C45">
      <w:pPr>
        <w:pStyle w:val="ListParagraph"/>
        <w:widowControl/>
        <w:numPr>
          <w:ilvl w:val="0"/>
          <w:numId w:val="25"/>
        </w:numPr>
        <w:spacing w:line="300" w:lineRule="auto"/>
        <w:ind w:left="1559" w:right="-23" w:hanging="414"/>
        <w:contextualSpacing/>
        <w:rPr>
          <w:rFonts w:ascii="TitilliumText25L" w:eastAsia="TitilliumText25L" w:hAnsi="TitilliumText25L" w:cs="TitilliumText25L"/>
          <w:color w:val="231F20"/>
        </w:rPr>
      </w:pPr>
      <w:r>
        <w:rPr>
          <w:rFonts w:ascii="TitilliumText25L" w:eastAsia="TitilliumText25L" w:hAnsi="TitilliumText25L" w:cs="TitilliumText25L"/>
          <w:color w:val="231F20"/>
        </w:rPr>
        <w:t xml:space="preserve">on multiple antiplatelet and/or anticoagulant therapy; and those </w:t>
      </w:r>
    </w:p>
    <w:p w:rsidR="00620C45" w:rsidRPr="00B91746" w:rsidRDefault="00620C45" w:rsidP="00620C45">
      <w:pPr>
        <w:pStyle w:val="ListParagraph"/>
        <w:widowControl/>
        <w:numPr>
          <w:ilvl w:val="0"/>
          <w:numId w:val="25"/>
        </w:numPr>
        <w:spacing w:line="300" w:lineRule="auto"/>
        <w:ind w:left="1559" w:right="-23" w:hanging="414"/>
        <w:contextualSpacing/>
        <w:rPr>
          <w:rFonts w:ascii="TitilliumText25L" w:eastAsia="TitilliumText25L" w:hAnsi="TitilliumText25L" w:cs="TitilliumText25L"/>
          <w:color w:val="231F20"/>
        </w:rPr>
      </w:pPr>
      <w:r>
        <w:rPr>
          <w:rFonts w:ascii="TitilliumText25L" w:eastAsia="TitilliumText25L" w:hAnsi="TitilliumText25L" w:cs="TitilliumText25L"/>
          <w:color w:val="231F20"/>
        </w:rPr>
        <w:t>with known congenital bleeding disorders.</w:t>
      </w:r>
    </w:p>
    <w:p w:rsidR="00620C45" w:rsidRDefault="00620C45" w:rsidP="00620C45">
      <w:pPr>
        <w:spacing w:before="5" w:line="14" w:lineRule="atLeast"/>
        <w:ind w:left="426"/>
        <w:rPr>
          <w:sz w:val="11"/>
          <w:szCs w:val="11"/>
        </w:rPr>
      </w:pPr>
    </w:p>
    <w:p w:rsidR="00620C45" w:rsidRDefault="00620C45" w:rsidP="00620C45">
      <w:pPr>
        <w:spacing w:line="14" w:lineRule="atLeast"/>
        <w:ind w:left="426" w:right="1217"/>
        <w:jc w:val="both"/>
        <w:rPr>
          <w:rFonts w:ascii="TitilliumText25L" w:eastAsia="TitilliumText25L" w:hAnsi="TitilliumText25L" w:cs="TitilliumText25L"/>
        </w:rPr>
      </w:pPr>
      <w:r>
        <w:rPr>
          <w:rFonts w:ascii="TitilliumText25L" w:eastAsia="TitilliumText25L" w:hAnsi="TitilliumText25L" w:cs="TitilliumText25L"/>
          <w:color w:val="231F20"/>
        </w:rPr>
        <w:t>Details regarding these steps are outlined in the following pages. Considerations for incorporation of bleeding risk assessment into clinical practice using clinical practice improvement (CPI) methodologies can be found in Appendix 1.</w:t>
      </w:r>
    </w:p>
    <w:p w:rsidR="00877656" w:rsidRDefault="00877656" w:rsidP="00816069">
      <w:pPr>
        <w:jc w:val="both"/>
        <w:rPr>
          <w:rFonts w:cstheme="minorHAnsi"/>
        </w:rPr>
      </w:pPr>
    </w:p>
    <w:p w:rsidR="008151C8" w:rsidRPr="005179F6" w:rsidRDefault="008151C8" w:rsidP="00877656">
      <w:pPr>
        <w:jc w:val="both"/>
        <w:rPr>
          <w:rFonts w:cstheme="minorHAnsi"/>
        </w:rPr>
      </w:pPr>
      <w:r w:rsidRPr="005179F6">
        <w:rPr>
          <w:rFonts w:cstheme="minorHAnsi"/>
        </w:rPr>
        <w:br w:type="page"/>
      </w:r>
    </w:p>
    <w:bookmarkStart w:id="2" w:name="_Toc411414846" w:displacedByCustomXml="next"/>
    <w:sdt>
      <w:sdtPr>
        <w:rPr>
          <w:rFonts w:asciiTheme="minorHAnsi" w:eastAsiaTheme="minorHAnsi" w:hAnsiTheme="minorHAnsi" w:cstheme="minorBidi"/>
          <w:b w:val="0"/>
          <w:bCs w:val="0"/>
          <w:sz w:val="22"/>
          <w:szCs w:val="22"/>
        </w:rPr>
        <w:id w:val="31387079"/>
        <w:docPartObj>
          <w:docPartGallery w:val="Table of Contents"/>
          <w:docPartUnique/>
        </w:docPartObj>
      </w:sdtPr>
      <w:sdtEndPr>
        <w:rPr>
          <w:noProof/>
        </w:rPr>
      </w:sdtEndPr>
      <w:sdtContent>
        <w:p w:rsidR="00DE3603" w:rsidRDefault="00DE3603" w:rsidP="00BF2D8B">
          <w:pPr>
            <w:pStyle w:val="Heading1"/>
          </w:pPr>
          <w:r>
            <w:t>Table of Contents</w:t>
          </w:r>
          <w:bookmarkEnd w:id="2"/>
        </w:p>
        <w:p w:rsidR="0056640C" w:rsidRDefault="00DD2C86">
          <w:pPr>
            <w:pStyle w:val="TOC1"/>
            <w:rPr>
              <w:rFonts w:eastAsiaTheme="minorEastAsia"/>
              <w:noProof/>
              <w:lang w:eastAsia="en-AU"/>
            </w:rPr>
          </w:pPr>
          <w:r>
            <w:fldChar w:fldCharType="begin"/>
          </w:r>
          <w:r w:rsidR="00DE3603">
            <w:instrText xml:space="preserve"> TOC \o "1-3" \h \z \u </w:instrText>
          </w:r>
          <w:r>
            <w:fldChar w:fldCharType="separate"/>
          </w:r>
          <w:hyperlink w:anchor="_Toc411414844" w:history="1">
            <w:r w:rsidR="0056640C" w:rsidRPr="00BD297A">
              <w:rPr>
                <w:rStyle w:val="Hyperlink"/>
                <w:noProof/>
              </w:rPr>
              <w:t>Preoperative bleeding risk assessment and intervention resource: quick reference guide</w:t>
            </w:r>
            <w:r w:rsidR="0056640C">
              <w:rPr>
                <w:noProof/>
                <w:webHidden/>
              </w:rPr>
              <w:tab/>
            </w:r>
            <w:r w:rsidR="0056640C">
              <w:rPr>
                <w:noProof/>
                <w:webHidden/>
              </w:rPr>
              <w:fldChar w:fldCharType="begin"/>
            </w:r>
            <w:r w:rsidR="0056640C">
              <w:rPr>
                <w:noProof/>
                <w:webHidden/>
              </w:rPr>
              <w:instrText xml:space="preserve"> PAGEREF _Toc411414844 \h </w:instrText>
            </w:r>
            <w:r w:rsidR="0056640C">
              <w:rPr>
                <w:noProof/>
                <w:webHidden/>
              </w:rPr>
            </w:r>
            <w:r w:rsidR="0056640C">
              <w:rPr>
                <w:noProof/>
                <w:webHidden/>
              </w:rPr>
              <w:fldChar w:fldCharType="separate"/>
            </w:r>
            <w:r w:rsidR="00EF6C89">
              <w:rPr>
                <w:noProof/>
                <w:webHidden/>
              </w:rPr>
              <w:t>1</w:t>
            </w:r>
            <w:r w:rsidR="0056640C">
              <w:rPr>
                <w:noProof/>
                <w:webHidden/>
              </w:rPr>
              <w:fldChar w:fldCharType="end"/>
            </w:r>
          </w:hyperlink>
        </w:p>
        <w:p w:rsidR="0056640C" w:rsidRDefault="002B46CB">
          <w:pPr>
            <w:pStyle w:val="TOC1"/>
            <w:rPr>
              <w:rFonts w:eastAsiaTheme="minorEastAsia"/>
              <w:noProof/>
              <w:lang w:eastAsia="en-AU"/>
            </w:rPr>
          </w:pPr>
          <w:hyperlink w:anchor="_Toc411414845" w:history="1">
            <w:r w:rsidR="0056640C" w:rsidRPr="00BD297A">
              <w:rPr>
                <w:rStyle w:val="Hyperlink"/>
                <w:noProof/>
              </w:rPr>
              <w:t>Preoperative bleeding risk assessment and intervention resource: quick reference guide</w:t>
            </w:r>
            <w:r w:rsidR="0056640C">
              <w:rPr>
                <w:noProof/>
                <w:webHidden/>
              </w:rPr>
              <w:tab/>
            </w:r>
            <w:r w:rsidR="0056640C">
              <w:rPr>
                <w:noProof/>
                <w:webHidden/>
              </w:rPr>
              <w:fldChar w:fldCharType="begin"/>
            </w:r>
            <w:r w:rsidR="0056640C">
              <w:rPr>
                <w:noProof/>
                <w:webHidden/>
              </w:rPr>
              <w:instrText xml:space="preserve"> PAGEREF _Toc411414845 \h </w:instrText>
            </w:r>
            <w:r w:rsidR="0056640C">
              <w:rPr>
                <w:noProof/>
                <w:webHidden/>
              </w:rPr>
            </w:r>
            <w:r w:rsidR="0056640C">
              <w:rPr>
                <w:noProof/>
                <w:webHidden/>
              </w:rPr>
              <w:fldChar w:fldCharType="separate"/>
            </w:r>
            <w:r w:rsidR="00EF6C89">
              <w:rPr>
                <w:noProof/>
                <w:webHidden/>
              </w:rPr>
              <w:t>2</w:t>
            </w:r>
            <w:r w:rsidR="0056640C">
              <w:rPr>
                <w:noProof/>
                <w:webHidden/>
              </w:rPr>
              <w:fldChar w:fldCharType="end"/>
            </w:r>
          </w:hyperlink>
        </w:p>
        <w:p w:rsidR="0056640C" w:rsidRDefault="002B46CB">
          <w:pPr>
            <w:pStyle w:val="TOC1"/>
            <w:rPr>
              <w:rFonts w:eastAsiaTheme="minorEastAsia"/>
              <w:noProof/>
              <w:lang w:eastAsia="en-AU"/>
            </w:rPr>
          </w:pPr>
          <w:hyperlink w:anchor="_Toc411414846" w:history="1">
            <w:r w:rsidR="0056640C" w:rsidRPr="00BD297A">
              <w:rPr>
                <w:rStyle w:val="Hyperlink"/>
                <w:noProof/>
              </w:rPr>
              <w:t>Table of Contents</w:t>
            </w:r>
            <w:r w:rsidR="0056640C">
              <w:rPr>
                <w:noProof/>
                <w:webHidden/>
              </w:rPr>
              <w:tab/>
            </w:r>
            <w:r w:rsidR="0056640C">
              <w:rPr>
                <w:noProof/>
                <w:webHidden/>
              </w:rPr>
              <w:fldChar w:fldCharType="begin"/>
            </w:r>
            <w:r w:rsidR="0056640C">
              <w:rPr>
                <w:noProof/>
                <w:webHidden/>
              </w:rPr>
              <w:instrText xml:space="preserve"> PAGEREF _Toc411414846 \h </w:instrText>
            </w:r>
            <w:r w:rsidR="0056640C">
              <w:rPr>
                <w:noProof/>
                <w:webHidden/>
              </w:rPr>
            </w:r>
            <w:r w:rsidR="0056640C">
              <w:rPr>
                <w:noProof/>
                <w:webHidden/>
              </w:rPr>
              <w:fldChar w:fldCharType="separate"/>
            </w:r>
            <w:r w:rsidR="00EF6C89">
              <w:rPr>
                <w:noProof/>
                <w:webHidden/>
              </w:rPr>
              <w:t>3</w:t>
            </w:r>
            <w:r w:rsidR="0056640C">
              <w:rPr>
                <w:noProof/>
                <w:webHidden/>
              </w:rPr>
              <w:fldChar w:fldCharType="end"/>
            </w:r>
          </w:hyperlink>
        </w:p>
        <w:p w:rsidR="0056640C" w:rsidRDefault="002B46CB">
          <w:pPr>
            <w:pStyle w:val="TOC1"/>
            <w:rPr>
              <w:rFonts w:eastAsiaTheme="minorEastAsia"/>
              <w:noProof/>
              <w:lang w:eastAsia="en-AU"/>
            </w:rPr>
          </w:pPr>
          <w:hyperlink w:anchor="_Toc411414847" w:history="1">
            <w:r w:rsidR="0056640C" w:rsidRPr="00BD297A">
              <w:rPr>
                <w:rStyle w:val="Hyperlink"/>
                <w:noProof/>
              </w:rPr>
              <w:t>Background</w:t>
            </w:r>
            <w:r w:rsidR="0056640C">
              <w:rPr>
                <w:noProof/>
                <w:webHidden/>
              </w:rPr>
              <w:tab/>
            </w:r>
            <w:r w:rsidR="0056640C">
              <w:rPr>
                <w:noProof/>
                <w:webHidden/>
              </w:rPr>
              <w:fldChar w:fldCharType="begin"/>
            </w:r>
            <w:r w:rsidR="0056640C">
              <w:rPr>
                <w:noProof/>
                <w:webHidden/>
              </w:rPr>
              <w:instrText xml:space="preserve"> PAGEREF _Toc411414847 \h </w:instrText>
            </w:r>
            <w:r w:rsidR="0056640C">
              <w:rPr>
                <w:noProof/>
                <w:webHidden/>
              </w:rPr>
            </w:r>
            <w:r w:rsidR="0056640C">
              <w:rPr>
                <w:noProof/>
                <w:webHidden/>
              </w:rPr>
              <w:fldChar w:fldCharType="separate"/>
            </w:r>
            <w:r w:rsidR="00EF6C89">
              <w:rPr>
                <w:noProof/>
                <w:webHidden/>
              </w:rPr>
              <w:t>4</w:t>
            </w:r>
            <w:r w:rsidR="0056640C">
              <w:rPr>
                <w:noProof/>
                <w:webHidden/>
              </w:rPr>
              <w:fldChar w:fldCharType="end"/>
            </w:r>
          </w:hyperlink>
        </w:p>
        <w:p w:rsidR="0056640C" w:rsidRDefault="002B46CB">
          <w:pPr>
            <w:pStyle w:val="TOC2"/>
            <w:tabs>
              <w:tab w:val="right" w:leader="dot" w:pos="9628"/>
            </w:tabs>
            <w:rPr>
              <w:rFonts w:eastAsiaTheme="minorEastAsia"/>
              <w:noProof/>
              <w:lang w:eastAsia="en-AU"/>
            </w:rPr>
          </w:pPr>
          <w:hyperlink w:anchor="_Toc411414848" w:history="1">
            <w:r w:rsidR="0056640C" w:rsidRPr="00BD297A">
              <w:rPr>
                <w:rStyle w:val="Hyperlink"/>
                <w:noProof/>
              </w:rPr>
              <w:t>Table 1: British Committee for Standards in Haematology recommendations on the assessment of bleeding risk prior to surgery or invasive procedures</w:t>
            </w:r>
            <w:r w:rsidR="0056640C" w:rsidRPr="00BD297A">
              <w:rPr>
                <w:rStyle w:val="Hyperlink"/>
                <w:noProof/>
                <w:vertAlign w:val="superscript"/>
              </w:rPr>
              <w:t>a</w:t>
            </w:r>
            <w:r w:rsidR="0056640C">
              <w:rPr>
                <w:noProof/>
                <w:webHidden/>
              </w:rPr>
              <w:tab/>
            </w:r>
            <w:r w:rsidR="0056640C">
              <w:rPr>
                <w:noProof/>
                <w:webHidden/>
              </w:rPr>
              <w:fldChar w:fldCharType="begin"/>
            </w:r>
            <w:r w:rsidR="0056640C">
              <w:rPr>
                <w:noProof/>
                <w:webHidden/>
              </w:rPr>
              <w:instrText xml:space="preserve"> PAGEREF _Toc411414848 \h </w:instrText>
            </w:r>
            <w:r w:rsidR="0056640C">
              <w:rPr>
                <w:noProof/>
                <w:webHidden/>
              </w:rPr>
            </w:r>
            <w:r w:rsidR="0056640C">
              <w:rPr>
                <w:noProof/>
                <w:webHidden/>
              </w:rPr>
              <w:fldChar w:fldCharType="separate"/>
            </w:r>
            <w:r w:rsidR="00EF6C89">
              <w:rPr>
                <w:noProof/>
                <w:webHidden/>
              </w:rPr>
              <w:t>4</w:t>
            </w:r>
            <w:r w:rsidR="0056640C">
              <w:rPr>
                <w:noProof/>
                <w:webHidden/>
              </w:rPr>
              <w:fldChar w:fldCharType="end"/>
            </w:r>
          </w:hyperlink>
        </w:p>
        <w:p w:rsidR="0056640C" w:rsidRDefault="002B46CB">
          <w:pPr>
            <w:pStyle w:val="TOC2"/>
            <w:tabs>
              <w:tab w:val="right" w:leader="dot" w:pos="9628"/>
            </w:tabs>
            <w:rPr>
              <w:rFonts w:eastAsiaTheme="minorEastAsia"/>
              <w:noProof/>
              <w:lang w:eastAsia="en-AU"/>
            </w:rPr>
          </w:pPr>
          <w:hyperlink w:anchor="_Toc411414849" w:history="1">
            <w:r w:rsidR="0056640C" w:rsidRPr="00BD297A">
              <w:rPr>
                <w:rStyle w:val="Hyperlink"/>
                <w:noProof/>
              </w:rPr>
              <w:t>Table 2: Management of severe perioperative bleeding: guidelines from the European Society of Anaesthesiology</w:t>
            </w:r>
            <w:r w:rsidR="0056640C">
              <w:rPr>
                <w:noProof/>
                <w:webHidden/>
              </w:rPr>
              <w:tab/>
            </w:r>
            <w:r w:rsidR="0056640C">
              <w:rPr>
                <w:noProof/>
                <w:webHidden/>
              </w:rPr>
              <w:fldChar w:fldCharType="begin"/>
            </w:r>
            <w:r w:rsidR="0056640C">
              <w:rPr>
                <w:noProof/>
                <w:webHidden/>
              </w:rPr>
              <w:instrText xml:space="preserve"> PAGEREF _Toc411414849 \h </w:instrText>
            </w:r>
            <w:r w:rsidR="0056640C">
              <w:rPr>
                <w:noProof/>
                <w:webHidden/>
              </w:rPr>
            </w:r>
            <w:r w:rsidR="0056640C">
              <w:rPr>
                <w:noProof/>
                <w:webHidden/>
              </w:rPr>
              <w:fldChar w:fldCharType="separate"/>
            </w:r>
            <w:r w:rsidR="00EF6C89">
              <w:rPr>
                <w:noProof/>
                <w:webHidden/>
              </w:rPr>
              <w:t>5</w:t>
            </w:r>
            <w:r w:rsidR="0056640C">
              <w:rPr>
                <w:noProof/>
                <w:webHidden/>
              </w:rPr>
              <w:fldChar w:fldCharType="end"/>
            </w:r>
          </w:hyperlink>
        </w:p>
        <w:p w:rsidR="0056640C" w:rsidRDefault="002B46CB">
          <w:pPr>
            <w:pStyle w:val="TOC2"/>
            <w:tabs>
              <w:tab w:val="right" w:leader="dot" w:pos="9628"/>
            </w:tabs>
            <w:rPr>
              <w:rFonts w:eastAsiaTheme="minorEastAsia"/>
              <w:noProof/>
              <w:lang w:eastAsia="en-AU"/>
            </w:rPr>
          </w:pPr>
          <w:hyperlink w:anchor="_Toc411414850" w:history="1">
            <w:r w:rsidR="0056640C" w:rsidRPr="00BD297A">
              <w:rPr>
                <w:rStyle w:val="Hyperlink"/>
                <w:noProof/>
              </w:rPr>
              <w:t>Figure 1: Preoperative assessment of bleeding risk</w:t>
            </w:r>
            <w:r w:rsidR="0056640C">
              <w:rPr>
                <w:noProof/>
                <w:webHidden/>
              </w:rPr>
              <w:tab/>
            </w:r>
            <w:r w:rsidR="0056640C">
              <w:rPr>
                <w:noProof/>
                <w:webHidden/>
              </w:rPr>
              <w:fldChar w:fldCharType="begin"/>
            </w:r>
            <w:r w:rsidR="0056640C">
              <w:rPr>
                <w:noProof/>
                <w:webHidden/>
              </w:rPr>
              <w:instrText xml:space="preserve"> PAGEREF _Toc411414850 \h </w:instrText>
            </w:r>
            <w:r w:rsidR="0056640C">
              <w:rPr>
                <w:noProof/>
                <w:webHidden/>
              </w:rPr>
            </w:r>
            <w:r w:rsidR="0056640C">
              <w:rPr>
                <w:noProof/>
                <w:webHidden/>
              </w:rPr>
              <w:fldChar w:fldCharType="separate"/>
            </w:r>
            <w:r w:rsidR="00EF6C89">
              <w:rPr>
                <w:noProof/>
                <w:webHidden/>
              </w:rPr>
              <w:t>5</w:t>
            </w:r>
            <w:r w:rsidR="0056640C">
              <w:rPr>
                <w:noProof/>
                <w:webHidden/>
              </w:rPr>
              <w:fldChar w:fldCharType="end"/>
            </w:r>
          </w:hyperlink>
        </w:p>
        <w:p w:rsidR="0056640C" w:rsidRDefault="002B46CB">
          <w:pPr>
            <w:pStyle w:val="TOC1"/>
            <w:rPr>
              <w:rFonts w:eastAsiaTheme="minorEastAsia"/>
              <w:noProof/>
              <w:lang w:eastAsia="en-AU"/>
            </w:rPr>
          </w:pPr>
          <w:hyperlink w:anchor="_Toc411414851" w:history="1">
            <w:r w:rsidR="0056640C" w:rsidRPr="00BD297A">
              <w:rPr>
                <w:rStyle w:val="Hyperlink"/>
                <w:noProof/>
              </w:rPr>
              <w:t>Medication assessment</w:t>
            </w:r>
            <w:r w:rsidR="0056640C">
              <w:rPr>
                <w:noProof/>
                <w:webHidden/>
              </w:rPr>
              <w:tab/>
            </w:r>
            <w:r w:rsidR="0056640C">
              <w:rPr>
                <w:noProof/>
                <w:webHidden/>
              </w:rPr>
              <w:fldChar w:fldCharType="begin"/>
            </w:r>
            <w:r w:rsidR="0056640C">
              <w:rPr>
                <w:noProof/>
                <w:webHidden/>
              </w:rPr>
              <w:instrText xml:space="preserve"> PAGEREF _Toc411414851 \h </w:instrText>
            </w:r>
            <w:r w:rsidR="0056640C">
              <w:rPr>
                <w:noProof/>
                <w:webHidden/>
              </w:rPr>
            </w:r>
            <w:r w:rsidR="0056640C">
              <w:rPr>
                <w:noProof/>
                <w:webHidden/>
              </w:rPr>
              <w:fldChar w:fldCharType="separate"/>
            </w:r>
            <w:r w:rsidR="00EF6C89">
              <w:rPr>
                <w:noProof/>
                <w:webHidden/>
              </w:rPr>
              <w:t>6</w:t>
            </w:r>
            <w:r w:rsidR="0056640C">
              <w:rPr>
                <w:noProof/>
                <w:webHidden/>
              </w:rPr>
              <w:fldChar w:fldCharType="end"/>
            </w:r>
          </w:hyperlink>
        </w:p>
        <w:p w:rsidR="0056640C" w:rsidRDefault="002B46CB">
          <w:pPr>
            <w:pStyle w:val="TOC2"/>
            <w:tabs>
              <w:tab w:val="right" w:leader="dot" w:pos="9628"/>
            </w:tabs>
            <w:rPr>
              <w:rFonts w:eastAsiaTheme="minorEastAsia"/>
              <w:noProof/>
              <w:lang w:eastAsia="en-AU"/>
            </w:rPr>
          </w:pPr>
          <w:hyperlink w:anchor="_Toc411414852" w:history="1">
            <w:r w:rsidR="0056640C" w:rsidRPr="00BD297A">
              <w:rPr>
                <w:rStyle w:val="Hyperlink"/>
                <w:noProof/>
              </w:rPr>
              <w:t>Table 3: Guidance regarding cessation of medications - Patient Blood Management Guidelines: Module 2 Perioperative</w:t>
            </w:r>
            <w:r w:rsidR="0056640C">
              <w:rPr>
                <w:noProof/>
                <w:webHidden/>
              </w:rPr>
              <w:tab/>
            </w:r>
            <w:r w:rsidR="0056640C">
              <w:rPr>
                <w:noProof/>
                <w:webHidden/>
              </w:rPr>
              <w:fldChar w:fldCharType="begin"/>
            </w:r>
            <w:r w:rsidR="0056640C">
              <w:rPr>
                <w:noProof/>
                <w:webHidden/>
              </w:rPr>
              <w:instrText xml:space="preserve"> PAGEREF _Toc411414852 \h </w:instrText>
            </w:r>
            <w:r w:rsidR="0056640C">
              <w:rPr>
                <w:noProof/>
                <w:webHidden/>
              </w:rPr>
            </w:r>
            <w:r w:rsidR="0056640C">
              <w:rPr>
                <w:noProof/>
                <w:webHidden/>
              </w:rPr>
              <w:fldChar w:fldCharType="separate"/>
            </w:r>
            <w:r w:rsidR="00EF6C89">
              <w:rPr>
                <w:noProof/>
                <w:webHidden/>
              </w:rPr>
              <w:t>7</w:t>
            </w:r>
            <w:r w:rsidR="0056640C">
              <w:rPr>
                <w:noProof/>
                <w:webHidden/>
              </w:rPr>
              <w:fldChar w:fldCharType="end"/>
            </w:r>
          </w:hyperlink>
        </w:p>
        <w:p w:rsidR="0056640C" w:rsidRDefault="002B46CB">
          <w:pPr>
            <w:pStyle w:val="TOC2"/>
            <w:tabs>
              <w:tab w:val="right" w:leader="dot" w:pos="9628"/>
            </w:tabs>
            <w:rPr>
              <w:rFonts w:eastAsiaTheme="minorEastAsia"/>
              <w:noProof/>
              <w:lang w:eastAsia="en-AU"/>
            </w:rPr>
          </w:pPr>
          <w:hyperlink w:anchor="_Toc411414853" w:history="1">
            <w:r w:rsidR="0056640C" w:rsidRPr="00BD297A">
              <w:rPr>
                <w:rStyle w:val="Hyperlink"/>
                <w:noProof/>
              </w:rPr>
              <w:t>Figure 2: Suggested management of patients receiving NOAC requiring urgent surgery</w:t>
            </w:r>
            <w:r w:rsidR="0056640C" w:rsidRPr="00BD297A">
              <w:rPr>
                <w:rStyle w:val="Hyperlink"/>
                <w:noProof/>
                <w:vertAlign w:val="superscript"/>
              </w:rPr>
              <w:t>4</w:t>
            </w:r>
            <w:r w:rsidR="0056640C">
              <w:rPr>
                <w:noProof/>
                <w:webHidden/>
              </w:rPr>
              <w:tab/>
            </w:r>
            <w:r w:rsidR="0056640C">
              <w:rPr>
                <w:noProof/>
                <w:webHidden/>
              </w:rPr>
              <w:fldChar w:fldCharType="begin"/>
            </w:r>
            <w:r w:rsidR="0056640C">
              <w:rPr>
                <w:noProof/>
                <w:webHidden/>
              </w:rPr>
              <w:instrText xml:space="preserve"> PAGEREF _Toc411414853 \h </w:instrText>
            </w:r>
            <w:r w:rsidR="0056640C">
              <w:rPr>
                <w:noProof/>
                <w:webHidden/>
              </w:rPr>
            </w:r>
            <w:r w:rsidR="0056640C">
              <w:rPr>
                <w:noProof/>
                <w:webHidden/>
              </w:rPr>
              <w:fldChar w:fldCharType="separate"/>
            </w:r>
            <w:r w:rsidR="00EF6C89">
              <w:rPr>
                <w:noProof/>
                <w:webHidden/>
              </w:rPr>
              <w:t>8</w:t>
            </w:r>
            <w:r w:rsidR="0056640C">
              <w:rPr>
                <w:noProof/>
                <w:webHidden/>
              </w:rPr>
              <w:fldChar w:fldCharType="end"/>
            </w:r>
          </w:hyperlink>
        </w:p>
        <w:p w:rsidR="0056640C" w:rsidRDefault="002B46CB">
          <w:pPr>
            <w:pStyle w:val="TOC2"/>
            <w:tabs>
              <w:tab w:val="right" w:leader="dot" w:pos="9628"/>
            </w:tabs>
            <w:rPr>
              <w:rFonts w:eastAsiaTheme="minorEastAsia"/>
              <w:noProof/>
              <w:lang w:eastAsia="en-AU"/>
            </w:rPr>
          </w:pPr>
          <w:hyperlink w:anchor="_Toc411414854" w:history="1">
            <w:r w:rsidR="0056640C" w:rsidRPr="00BD297A">
              <w:rPr>
                <w:rStyle w:val="Hyperlink"/>
                <w:noProof/>
              </w:rPr>
              <w:t>Table 4: Preoperative interruption of new oral anticoagulants: a suggested management approach</w:t>
            </w:r>
            <w:r w:rsidR="0056640C" w:rsidRPr="00BD297A">
              <w:rPr>
                <w:rStyle w:val="Hyperlink"/>
                <w:noProof/>
                <w:vertAlign w:val="superscript"/>
              </w:rPr>
              <w:t>4</w:t>
            </w:r>
            <w:r w:rsidR="0056640C">
              <w:rPr>
                <w:noProof/>
                <w:webHidden/>
              </w:rPr>
              <w:tab/>
            </w:r>
            <w:r w:rsidR="0056640C">
              <w:rPr>
                <w:noProof/>
                <w:webHidden/>
              </w:rPr>
              <w:fldChar w:fldCharType="begin"/>
            </w:r>
            <w:r w:rsidR="0056640C">
              <w:rPr>
                <w:noProof/>
                <w:webHidden/>
              </w:rPr>
              <w:instrText xml:space="preserve"> PAGEREF _Toc411414854 \h </w:instrText>
            </w:r>
            <w:r w:rsidR="0056640C">
              <w:rPr>
                <w:noProof/>
                <w:webHidden/>
              </w:rPr>
            </w:r>
            <w:r w:rsidR="0056640C">
              <w:rPr>
                <w:noProof/>
                <w:webHidden/>
              </w:rPr>
              <w:fldChar w:fldCharType="separate"/>
            </w:r>
            <w:r w:rsidR="00EF6C89">
              <w:rPr>
                <w:noProof/>
                <w:webHidden/>
              </w:rPr>
              <w:t>9</w:t>
            </w:r>
            <w:r w:rsidR="0056640C">
              <w:rPr>
                <w:noProof/>
                <w:webHidden/>
              </w:rPr>
              <w:fldChar w:fldCharType="end"/>
            </w:r>
          </w:hyperlink>
        </w:p>
        <w:p w:rsidR="0056640C" w:rsidRDefault="002B46CB">
          <w:pPr>
            <w:pStyle w:val="TOC1"/>
            <w:rPr>
              <w:rFonts w:eastAsiaTheme="minorEastAsia"/>
              <w:noProof/>
              <w:lang w:eastAsia="en-AU"/>
            </w:rPr>
          </w:pPr>
          <w:hyperlink w:anchor="_Toc411414855" w:history="1">
            <w:r w:rsidR="0056640C" w:rsidRPr="00BD297A">
              <w:rPr>
                <w:rStyle w:val="Hyperlink"/>
                <w:noProof/>
              </w:rPr>
              <w:t>Bleeding History</w:t>
            </w:r>
            <w:r w:rsidR="0056640C">
              <w:rPr>
                <w:noProof/>
                <w:webHidden/>
              </w:rPr>
              <w:tab/>
            </w:r>
            <w:r w:rsidR="0056640C">
              <w:rPr>
                <w:noProof/>
                <w:webHidden/>
              </w:rPr>
              <w:fldChar w:fldCharType="begin"/>
            </w:r>
            <w:r w:rsidR="0056640C">
              <w:rPr>
                <w:noProof/>
                <w:webHidden/>
              </w:rPr>
              <w:instrText xml:space="preserve"> PAGEREF _Toc411414855 \h </w:instrText>
            </w:r>
            <w:r w:rsidR="0056640C">
              <w:rPr>
                <w:noProof/>
                <w:webHidden/>
              </w:rPr>
            </w:r>
            <w:r w:rsidR="0056640C">
              <w:rPr>
                <w:noProof/>
                <w:webHidden/>
              </w:rPr>
              <w:fldChar w:fldCharType="separate"/>
            </w:r>
            <w:r w:rsidR="00EF6C89">
              <w:rPr>
                <w:noProof/>
                <w:webHidden/>
              </w:rPr>
              <w:t>9</w:t>
            </w:r>
            <w:r w:rsidR="0056640C">
              <w:rPr>
                <w:noProof/>
                <w:webHidden/>
              </w:rPr>
              <w:fldChar w:fldCharType="end"/>
            </w:r>
          </w:hyperlink>
        </w:p>
        <w:p w:rsidR="0056640C" w:rsidRDefault="002B46CB">
          <w:pPr>
            <w:pStyle w:val="TOC1"/>
            <w:rPr>
              <w:rFonts w:eastAsiaTheme="minorEastAsia"/>
              <w:noProof/>
              <w:lang w:eastAsia="en-AU"/>
            </w:rPr>
          </w:pPr>
          <w:hyperlink w:anchor="_Toc411414856" w:history="1">
            <w:r w:rsidR="0056640C" w:rsidRPr="00BD297A">
              <w:rPr>
                <w:rStyle w:val="Hyperlink"/>
                <w:noProof/>
              </w:rPr>
              <w:t>What is a Bleeding Assessment Tool (BAT)?</w:t>
            </w:r>
            <w:r w:rsidR="0056640C">
              <w:rPr>
                <w:noProof/>
                <w:webHidden/>
              </w:rPr>
              <w:tab/>
            </w:r>
            <w:r w:rsidR="0056640C">
              <w:rPr>
                <w:noProof/>
                <w:webHidden/>
              </w:rPr>
              <w:fldChar w:fldCharType="begin"/>
            </w:r>
            <w:r w:rsidR="0056640C">
              <w:rPr>
                <w:noProof/>
                <w:webHidden/>
              </w:rPr>
              <w:instrText xml:space="preserve"> PAGEREF _Toc411414856 \h </w:instrText>
            </w:r>
            <w:r w:rsidR="0056640C">
              <w:rPr>
                <w:noProof/>
                <w:webHidden/>
              </w:rPr>
            </w:r>
            <w:r w:rsidR="0056640C">
              <w:rPr>
                <w:noProof/>
                <w:webHidden/>
              </w:rPr>
              <w:fldChar w:fldCharType="separate"/>
            </w:r>
            <w:r w:rsidR="00EF6C89">
              <w:rPr>
                <w:noProof/>
                <w:webHidden/>
              </w:rPr>
              <w:t>9</w:t>
            </w:r>
            <w:r w:rsidR="0056640C">
              <w:rPr>
                <w:noProof/>
                <w:webHidden/>
              </w:rPr>
              <w:fldChar w:fldCharType="end"/>
            </w:r>
          </w:hyperlink>
        </w:p>
        <w:p w:rsidR="0056640C" w:rsidRDefault="002B46CB">
          <w:pPr>
            <w:pStyle w:val="TOC1"/>
            <w:rPr>
              <w:rFonts w:eastAsiaTheme="minorEastAsia"/>
              <w:noProof/>
              <w:lang w:eastAsia="en-AU"/>
            </w:rPr>
          </w:pPr>
          <w:hyperlink w:anchor="_Toc411414857" w:history="1">
            <w:r w:rsidR="0056640C" w:rsidRPr="00BD297A">
              <w:rPr>
                <w:rStyle w:val="Hyperlink"/>
                <w:noProof/>
              </w:rPr>
              <w:t>What Bleeding Assessment Tools are available?</w:t>
            </w:r>
            <w:r w:rsidR="0056640C">
              <w:rPr>
                <w:noProof/>
                <w:webHidden/>
              </w:rPr>
              <w:tab/>
            </w:r>
            <w:r w:rsidR="0056640C">
              <w:rPr>
                <w:noProof/>
                <w:webHidden/>
              </w:rPr>
              <w:fldChar w:fldCharType="begin"/>
            </w:r>
            <w:r w:rsidR="0056640C">
              <w:rPr>
                <w:noProof/>
                <w:webHidden/>
              </w:rPr>
              <w:instrText xml:space="preserve"> PAGEREF _Toc411414857 \h </w:instrText>
            </w:r>
            <w:r w:rsidR="0056640C">
              <w:rPr>
                <w:noProof/>
                <w:webHidden/>
              </w:rPr>
            </w:r>
            <w:r w:rsidR="0056640C">
              <w:rPr>
                <w:noProof/>
                <w:webHidden/>
              </w:rPr>
              <w:fldChar w:fldCharType="separate"/>
            </w:r>
            <w:r w:rsidR="00EF6C89">
              <w:rPr>
                <w:noProof/>
                <w:webHidden/>
              </w:rPr>
              <w:t>9</w:t>
            </w:r>
            <w:r w:rsidR="0056640C">
              <w:rPr>
                <w:noProof/>
                <w:webHidden/>
              </w:rPr>
              <w:fldChar w:fldCharType="end"/>
            </w:r>
          </w:hyperlink>
        </w:p>
        <w:p w:rsidR="0056640C" w:rsidRDefault="002B46CB">
          <w:pPr>
            <w:pStyle w:val="TOC2"/>
            <w:tabs>
              <w:tab w:val="right" w:leader="dot" w:pos="9628"/>
            </w:tabs>
            <w:rPr>
              <w:rFonts w:eastAsiaTheme="minorEastAsia"/>
              <w:noProof/>
              <w:lang w:eastAsia="en-AU"/>
            </w:rPr>
          </w:pPr>
          <w:hyperlink w:anchor="_Toc411414858" w:history="1">
            <w:r w:rsidR="0056640C">
              <w:rPr>
                <w:rStyle w:val="Hyperlink"/>
                <w:noProof/>
              </w:rPr>
              <w:t>Table 5</w:t>
            </w:r>
            <w:r w:rsidR="0056640C" w:rsidRPr="00BD297A">
              <w:rPr>
                <w:rStyle w:val="Hyperlink"/>
                <w:noProof/>
              </w:rPr>
              <w:t>: Bleeding Assessment Tools</w:t>
            </w:r>
            <w:r w:rsidR="0056640C">
              <w:rPr>
                <w:noProof/>
                <w:webHidden/>
              </w:rPr>
              <w:tab/>
            </w:r>
            <w:r w:rsidR="0056640C">
              <w:rPr>
                <w:noProof/>
                <w:webHidden/>
              </w:rPr>
              <w:fldChar w:fldCharType="begin"/>
            </w:r>
            <w:r w:rsidR="0056640C">
              <w:rPr>
                <w:noProof/>
                <w:webHidden/>
              </w:rPr>
              <w:instrText xml:space="preserve"> PAGEREF _Toc411414858 \h </w:instrText>
            </w:r>
            <w:r w:rsidR="0056640C">
              <w:rPr>
                <w:noProof/>
                <w:webHidden/>
              </w:rPr>
            </w:r>
            <w:r w:rsidR="0056640C">
              <w:rPr>
                <w:noProof/>
                <w:webHidden/>
              </w:rPr>
              <w:fldChar w:fldCharType="separate"/>
            </w:r>
            <w:r w:rsidR="00EF6C89">
              <w:rPr>
                <w:noProof/>
                <w:webHidden/>
              </w:rPr>
              <w:t>11</w:t>
            </w:r>
            <w:r w:rsidR="0056640C">
              <w:rPr>
                <w:noProof/>
                <w:webHidden/>
              </w:rPr>
              <w:fldChar w:fldCharType="end"/>
            </w:r>
          </w:hyperlink>
        </w:p>
        <w:p w:rsidR="0056640C" w:rsidRDefault="002B46CB">
          <w:pPr>
            <w:pStyle w:val="TOC1"/>
            <w:rPr>
              <w:rFonts w:eastAsiaTheme="minorEastAsia"/>
              <w:noProof/>
              <w:lang w:eastAsia="en-AU"/>
            </w:rPr>
          </w:pPr>
          <w:hyperlink w:anchor="_Toc411414859" w:history="1">
            <w:r w:rsidR="0056640C" w:rsidRPr="00BD297A">
              <w:rPr>
                <w:rStyle w:val="Hyperlink"/>
                <w:noProof/>
              </w:rPr>
              <w:t>Use of BATs in the clinical setting</w:t>
            </w:r>
            <w:r w:rsidR="0056640C">
              <w:rPr>
                <w:noProof/>
                <w:webHidden/>
              </w:rPr>
              <w:tab/>
            </w:r>
            <w:r w:rsidR="0056640C">
              <w:rPr>
                <w:noProof/>
                <w:webHidden/>
              </w:rPr>
              <w:fldChar w:fldCharType="begin"/>
            </w:r>
            <w:r w:rsidR="0056640C">
              <w:rPr>
                <w:noProof/>
                <w:webHidden/>
              </w:rPr>
              <w:instrText xml:space="preserve"> PAGEREF _Toc411414859 \h </w:instrText>
            </w:r>
            <w:r w:rsidR="0056640C">
              <w:rPr>
                <w:noProof/>
                <w:webHidden/>
              </w:rPr>
            </w:r>
            <w:r w:rsidR="0056640C">
              <w:rPr>
                <w:noProof/>
                <w:webHidden/>
              </w:rPr>
              <w:fldChar w:fldCharType="separate"/>
            </w:r>
            <w:r w:rsidR="00EF6C89">
              <w:rPr>
                <w:noProof/>
                <w:webHidden/>
              </w:rPr>
              <w:t>12</w:t>
            </w:r>
            <w:r w:rsidR="0056640C">
              <w:rPr>
                <w:noProof/>
                <w:webHidden/>
              </w:rPr>
              <w:fldChar w:fldCharType="end"/>
            </w:r>
          </w:hyperlink>
        </w:p>
        <w:p w:rsidR="0056640C" w:rsidRDefault="002B46CB">
          <w:pPr>
            <w:pStyle w:val="TOC1"/>
            <w:rPr>
              <w:rFonts w:eastAsiaTheme="minorEastAsia"/>
              <w:noProof/>
              <w:lang w:eastAsia="en-AU"/>
            </w:rPr>
          </w:pPr>
          <w:hyperlink w:anchor="_Toc411414860" w:history="1">
            <w:r w:rsidR="0056640C" w:rsidRPr="00BD297A">
              <w:rPr>
                <w:rStyle w:val="Hyperlink"/>
                <w:noProof/>
              </w:rPr>
              <w:t>Application of BATs in the preoperative setting</w:t>
            </w:r>
            <w:r w:rsidR="0056640C">
              <w:rPr>
                <w:noProof/>
                <w:webHidden/>
              </w:rPr>
              <w:tab/>
            </w:r>
            <w:r w:rsidR="0056640C">
              <w:rPr>
                <w:noProof/>
                <w:webHidden/>
              </w:rPr>
              <w:fldChar w:fldCharType="begin"/>
            </w:r>
            <w:r w:rsidR="0056640C">
              <w:rPr>
                <w:noProof/>
                <w:webHidden/>
              </w:rPr>
              <w:instrText xml:space="preserve"> PAGEREF _Toc411414860 \h </w:instrText>
            </w:r>
            <w:r w:rsidR="0056640C">
              <w:rPr>
                <w:noProof/>
                <w:webHidden/>
              </w:rPr>
            </w:r>
            <w:r w:rsidR="0056640C">
              <w:rPr>
                <w:noProof/>
                <w:webHidden/>
              </w:rPr>
              <w:fldChar w:fldCharType="separate"/>
            </w:r>
            <w:r w:rsidR="00EF6C89">
              <w:rPr>
                <w:noProof/>
                <w:webHidden/>
              </w:rPr>
              <w:t>12</w:t>
            </w:r>
            <w:r w:rsidR="0056640C">
              <w:rPr>
                <w:noProof/>
                <w:webHidden/>
              </w:rPr>
              <w:fldChar w:fldCharType="end"/>
            </w:r>
          </w:hyperlink>
        </w:p>
        <w:p w:rsidR="0056640C" w:rsidRDefault="002B46CB">
          <w:pPr>
            <w:pStyle w:val="TOC1"/>
            <w:rPr>
              <w:rFonts w:eastAsiaTheme="minorEastAsia"/>
              <w:noProof/>
              <w:lang w:eastAsia="en-AU"/>
            </w:rPr>
          </w:pPr>
          <w:hyperlink w:anchor="_Toc411414861" w:history="1">
            <w:r w:rsidR="0056640C" w:rsidRPr="00BD297A">
              <w:rPr>
                <w:rStyle w:val="Hyperlink"/>
                <w:noProof/>
              </w:rPr>
              <w:t>Patients with congenital bleeding disorders</w:t>
            </w:r>
            <w:r w:rsidR="0056640C">
              <w:rPr>
                <w:noProof/>
                <w:webHidden/>
              </w:rPr>
              <w:tab/>
            </w:r>
            <w:r w:rsidR="0056640C">
              <w:rPr>
                <w:noProof/>
                <w:webHidden/>
              </w:rPr>
              <w:fldChar w:fldCharType="begin"/>
            </w:r>
            <w:r w:rsidR="0056640C">
              <w:rPr>
                <w:noProof/>
                <w:webHidden/>
              </w:rPr>
              <w:instrText xml:space="preserve"> PAGEREF _Toc411414861 \h </w:instrText>
            </w:r>
            <w:r w:rsidR="0056640C">
              <w:rPr>
                <w:noProof/>
                <w:webHidden/>
              </w:rPr>
            </w:r>
            <w:r w:rsidR="0056640C">
              <w:rPr>
                <w:noProof/>
                <w:webHidden/>
              </w:rPr>
              <w:fldChar w:fldCharType="separate"/>
            </w:r>
            <w:r w:rsidR="00EF6C89">
              <w:rPr>
                <w:noProof/>
                <w:webHidden/>
              </w:rPr>
              <w:t>12</w:t>
            </w:r>
            <w:r w:rsidR="0056640C">
              <w:rPr>
                <w:noProof/>
                <w:webHidden/>
              </w:rPr>
              <w:fldChar w:fldCharType="end"/>
            </w:r>
          </w:hyperlink>
        </w:p>
        <w:p w:rsidR="0056640C" w:rsidRDefault="002B46CB">
          <w:pPr>
            <w:pStyle w:val="TOC1"/>
            <w:rPr>
              <w:rFonts w:eastAsiaTheme="minorEastAsia"/>
              <w:noProof/>
              <w:lang w:eastAsia="en-AU"/>
            </w:rPr>
          </w:pPr>
          <w:hyperlink w:anchor="_Toc411414862" w:history="1">
            <w:r w:rsidR="0056640C" w:rsidRPr="00BD297A">
              <w:rPr>
                <w:rStyle w:val="Hyperlink"/>
                <w:noProof/>
              </w:rPr>
              <w:t>Patients with comorbidities involving haemostatic derangement</w:t>
            </w:r>
            <w:r w:rsidR="0056640C">
              <w:rPr>
                <w:noProof/>
                <w:webHidden/>
              </w:rPr>
              <w:tab/>
            </w:r>
            <w:r w:rsidR="0056640C">
              <w:rPr>
                <w:noProof/>
                <w:webHidden/>
              </w:rPr>
              <w:fldChar w:fldCharType="begin"/>
            </w:r>
            <w:r w:rsidR="0056640C">
              <w:rPr>
                <w:noProof/>
                <w:webHidden/>
              </w:rPr>
              <w:instrText xml:space="preserve"> PAGEREF _Toc411414862 \h </w:instrText>
            </w:r>
            <w:r w:rsidR="0056640C">
              <w:rPr>
                <w:noProof/>
                <w:webHidden/>
              </w:rPr>
            </w:r>
            <w:r w:rsidR="0056640C">
              <w:rPr>
                <w:noProof/>
                <w:webHidden/>
              </w:rPr>
              <w:fldChar w:fldCharType="separate"/>
            </w:r>
            <w:r w:rsidR="00EF6C89">
              <w:rPr>
                <w:noProof/>
                <w:webHidden/>
              </w:rPr>
              <w:t>12</w:t>
            </w:r>
            <w:r w:rsidR="0056640C">
              <w:rPr>
                <w:noProof/>
                <w:webHidden/>
              </w:rPr>
              <w:fldChar w:fldCharType="end"/>
            </w:r>
          </w:hyperlink>
        </w:p>
        <w:p w:rsidR="0056640C" w:rsidRDefault="002B46CB">
          <w:pPr>
            <w:pStyle w:val="TOC1"/>
            <w:rPr>
              <w:rFonts w:eastAsiaTheme="minorEastAsia"/>
              <w:noProof/>
              <w:lang w:eastAsia="en-AU"/>
            </w:rPr>
          </w:pPr>
          <w:hyperlink w:anchor="_Toc411414863" w:history="1">
            <w:r w:rsidR="0056640C" w:rsidRPr="00BD297A">
              <w:rPr>
                <w:rStyle w:val="Hyperlink"/>
                <w:noProof/>
              </w:rPr>
              <w:t>Physical examination to assess bleeding risk</w:t>
            </w:r>
            <w:r w:rsidR="0056640C">
              <w:rPr>
                <w:noProof/>
                <w:webHidden/>
              </w:rPr>
              <w:tab/>
            </w:r>
            <w:r w:rsidR="0056640C">
              <w:rPr>
                <w:noProof/>
                <w:webHidden/>
              </w:rPr>
              <w:fldChar w:fldCharType="begin"/>
            </w:r>
            <w:r w:rsidR="0056640C">
              <w:rPr>
                <w:noProof/>
                <w:webHidden/>
              </w:rPr>
              <w:instrText xml:space="preserve"> PAGEREF _Toc411414863 \h </w:instrText>
            </w:r>
            <w:r w:rsidR="0056640C">
              <w:rPr>
                <w:noProof/>
                <w:webHidden/>
              </w:rPr>
            </w:r>
            <w:r w:rsidR="0056640C">
              <w:rPr>
                <w:noProof/>
                <w:webHidden/>
              </w:rPr>
              <w:fldChar w:fldCharType="separate"/>
            </w:r>
            <w:r w:rsidR="00EF6C89">
              <w:rPr>
                <w:noProof/>
                <w:webHidden/>
              </w:rPr>
              <w:t>12</w:t>
            </w:r>
            <w:r w:rsidR="0056640C">
              <w:rPr>
                <w:noProof/>
                <w:webHidden/>
              </w:rPr>
              <w:fldChar w:fldCharType="end"/>
            </w:r>
          </w:hyperlink>
        </w:p>
        <w:p w:rsidR="0056640C" w:rsidRDefault="002B46CB">
          <w:pPr>
            <w:pStyle w:val="TOC1"/>
            <w:rPr>
              <w:rFonts w:eastAsiaTheme="minorEastAsia"/>
              <w:noProof/>
              <w:lang w:eastAsia="en-AU"/>
            </w:rPr>
          </w:pPr>
          <w:hyperlink w:anchor="_Toc411414864" w:history="1">
            <w:r w:rsidR="0056640C" w:rsidRPr="00BD297A">
              <w:rPr>
                <w:rStyle w:val="Hyperlink"/>
                <w:noProof/>
              </w:rPr>
              <w:t>Type of surgery</w:t>
            </w:r>
            <w:r w:rsidR="0056640C">
              <w:rPr>
                <w:noProof/>
                <w:webHidden/>
              </w:rPr>
              <w:tab/>
            </w:r>
            <w:r w:rsidR="0056640C">
              <w:rPr>
                <w:noProof/>
                <w:webHidden/>
              </w:rPr>
              <w:fldChar w:fldCharType="begin"/>
            </w:r>
            <w:r w:rsidR="0056640C">
              <w:rPr>
                <w:noProof/>
                <w:webHidden/>
              </w:rPr>
              <w:instrText xml:space="preserve"> PAGEREF _Toc411414864 \h </w:instrText>
            </w:r>
            <w:r w:rsidR="0056640C">
              <w:rPr>
                <w:noProof/>
                <w:webHidden/>
              </w:rPr>
            </w:r>
            <w:r w:rsidR="0056640C">
              <w:rPr>
                <w:noProof/>
                <w:webHidden/>
              </w:rPr>
              <w:fldChar w:fldCharType="separate"/>
            </w:r>
            <w:r w:rsidR="00EF6C89">
              <w:rPr>
                <w:noProof/>
                <w:webHidden/>
              </w:rPr>
              <w:t>13</w:t>
            </w:r>
            <w:r w:rsidR="0056640C">
              <w:rPr>
                <w:noProof/>
                <w:webHidden/>
              </w:rPr>
              <w:fldChar w:fldCharType="end"/>
            </w:r>
          </w:hyperlink>
        </w:p>
        <w:p w:rsidR="0056640C" w:rsidRDefault="002B46CB">
          <w:pPr>
            <w:pStyle w:val="TOC2"/>
            <w:tabs>
              <w:tab w:val="right" w:leader="dot" w:pos="9628"/>
            </w:tabs>
            <w:rPr>
              <w:rFonts w:eastAsiaTheme="minorEastAsia"/>
              <w:noProof/>
              <w:lang w:eastAsia="en-AU"/>
            </w:rPr>
          </w:pPr>
          <w:hyperlink w:anchor="_Toc411414865" w:history="1">
            <w:r w:rsidR="00BA3631">
              <w:rPr>
                <w:rStyle w:val="Hyperlink"/>
                <w:noProof/>
              </w:rPr>
              <w:t>Table 6</w:t>
            </w:r>
            <w:r w:rsidR="0056640C" w:rsidRPr="00BD297A">
              <w:rPr>
                <w:rStyle w:val="Hyperlink"/>
                <w:noProof/>
              </w:rPr>
              <w:t>: Type of surgery and bleeding risk</w:t>
            </w:r>
            <w:r w:rsidR="0056640C">
              <w:rPr>
                <w:noProof/>
                <w:webHidden/>
              </w:rPr>
              <w:tab/>
            </w:r>
            <w:r w:rsidR="0056640C">
              <w:rPr>
                <w:noProof/>
                <w:webHidden/>
              </w:rPr>
              <w:fldChar w:fldCharType="begin"/>
            </w:r>
            <w:r w:rsidR="0056640C">
              <w:rPr>
                <w:noProof/>
                <w:webHidden/>
              </w:rPr>
              <w:instrText xml:space="preserve"> PAGEREF _Toc411414865 \h </w:instrText>
            </w:r>
            <w:r w:rsidR="0056640C">
              <w:rPr>
                <w:noProof/>
                <w:webHidden/>
              </w:rPr>
            </w:r>
            <w:r w:rsidR="0056640C">
              <w:rPr>
                <w:noProof/>
                <w:webHidden/>
              </w:rPr>
              <w:fldChar w:fldCharType="separate"/>
            </w:r>
            <w:r w:rsidR="00EF6C89">
              <w:rPr>
                <w:noProof/>
                <w:webHidden/>
              </w:rPr>
              <w:t>13</w:t>
            </w:r>
            <w:r w:rsidR="0056640C">
              <w:rPr>
                <w:noProof/>
                <w:webHidden/>
              </w:rPr>
              <w:fldChar w:fldCharType="end"/>
            </w:r>
          </w:hyperlink>
        </w:p>
        <w:p w:rsidR="0056640C" w:rsidRDefault="002B46CB">
          <w:pPr>
            <w:pStyle w:val="TOC1"/>
            <w:rPr>
              <w:rFonts w:eastAsiaTheme="minorEastAsia"/>
              <w:noProof/>
              <w:lang w:eastAsia="en-AU"/>
            </w:rPr>
          </w:pPr>
          <w:hyperlink w:anchor="_Toc411414866" w:history="1">
            <w:r w:rsidR="0056640C" w:rsidRPr="00BD297A">
              <w:rPr>
                <w:rStyle w:val="Hyperlink"/>
                <w:noProof/>
              </w:rPr>
              <w:t>Coagulation assessment</w:t>
            </w:r>
            <w:r w:rsidR="0056640C">
              <w:rPr>
                <w:noProof/>
                <w:webHidden/>
              </w:rPr>
              <w:tab/>
            </w:r>
            <w:r w:rsidR="0056640C">
              <w:rPr>
                <w:noProof/>
                <w:webHidden/>
              </w:rPr>
              <w:fldChar w:fldCharType="begin"/>
            </w:r>
            <w:r w:rsidR="0056640C">
              <w:rPr>
                <w:noProof/>
                <w:webHidden/>
              </w:rPr>
              <w:instrText xml:space="preserve"> PAGEREF _Toc411414866 \h </w:instrText>
            </w:r>
            <w:r w:rsidR="0056640C">
              <w:rPr>
                <w:noProof/>
                <w:webHidden/>
              </w:rPr>
            </w:r>
            <w:r w:rsidR="0056640C">
              <w:rPr>
                <w:noProof/>
                <w:webHidden/>
              </w:rPr>
              <w:fldChar w:fldCharType="separate"/>
            </w:r>
            <w:r w:rsidR="00EF6C89">
              <w:rPr>
                <w:noProof/>
                <w:webHidden/>
              </w:rPr>
              <w:t>14</w:t>
            </w:r>
            <w:r w:rsidR="0056640C">
              <w:rPr>
                <w:noProof/>
                <w:webHidden/>
              </w:rPr>
              <w:fldChar w:fldCharType="end"/>
            </w:r>
          </w:hyperlink>
        </w:p>
        <w:p w:rsidR="0056640C" w:rsidRDefault="002B46CB">
          <w:pPr>
            <w:pStyle w:val="TOC1"/>
            <w:rPr>
              <w:rFonts w:eastAsiaTheme="minorEastAsia"/>
              <w:noProof/>
              <w:lang w:eastAsia="en-AU"/>
            </w:rPr>
          </w:pPr>
          <w:hyperlink w:anchor="_Toc411414867" w:history="1">
            <w:r w:rsidR="0056640C" w:rsidRPr="00BD297A">
              <w:rPr>
                <w:rStyle w:val="Hyperlink"/>
                <w:noProof/>
              </w:rPr>
              <w:t>Point-of-care coagulation assessment</w:t>
            </w:r>
            <w:r w:rsidR="0056640C">
              <w:rPr>
                <w:noProof/>
                <w:webHidden/>
              </w:rPr>
              <w:tab/>
            </w:r>
            <w:r w:rsidR="0056640C">
              <w:rPr>
                <w:noProof/>
                <w:webHidden/>
              </w:rPr>
              <w:fldChar w:fldCharType="begin"/>
            </w:r>
            <w:r w:rsidR="0056640C">
              <w:rPr>
                <w:noProof/>
                <w:webHidden/>
              </w:rPr>
              <w:instrText xml:space="preserve"> PAGEREF _Toc411414867 \h </w:instrText>
            </w:r>
            <w:r w:rsidR="0056640C">
              <w:rPr>
                <w:noProof/>
                <w:webHidden/>
              </w:rPr>
            </w:r>
            <w:r w:rsidR="0056640C">
              <w:rPr>
                <w:noProof/>
                <w:webHidden/>
              </w:rPr>
              <w:fldChar w:fldCharType="separate"/>
            </w:r>
            <w:r w:rsidR="00EF6C89">
              <w:rPr>
                <w:noProof/>
                <w:webHidden/>
              </w:rPr>
              <w:t>14</w:t>
            </w:r>
            <w:r w:rsidR="0056640C">
              <w:rPr>
                <w:noProof/>
                <w:webHidden/>
              </w:rPr>
              <w:fldChar w:fldCharType="end"/>
            </w:r>
          </w:hyperlink>
        </w:p>
        <w:p w:rsidR="0056640C" w:rsidRDefault="002B46CB">
          <w:pPr>
            <w:pStyle w:val="TOC1"/>
            <w:rPr>
              <w:rFonts w:eastAsiaTheme="minorEastAsia"/>
              <w:noProof/>
              <w:lang w:eastAsia="en-AU"/>
            </w:rPr>
          </w:pPr>
          <w:hyperlink w:anchor="_Toc411414868" w:history="1">
            <w:r w:rsidR="0056640C" w:rsidRPr="00BD297A">
              <w:rPr>
                <w:rStyle w:val="Hyperlink"/>
                <w:noProof/>
              </w:rPr>
              <w:t>References:</w:t>
            </w:r>
            <w:r w:rsidR="0056640C">
              <w:rPr>
                <w:noProof/>
                <w:webHidden/>
              </w:rPr>
              <w:tab/>
            </w:r>
            <w:r w:rsidR="0056640C">
              <w:rPr>
                <w:noProof/>
                <w:webHidden/>
              </w:rPr>
              <w:fldChar w:fldCharType="begin"/>
            </w:r>
            <w:r w:rsidR="0056640C">
              <w:rPr>
                <w:noProof/>
                <w:webHidden/>
              </w:rPr>
              <w:instrText xml:space="preserve"> PAGEREF _Toc411414868 \h </w:instrText>
            </w:r>
            <w:r w:rsidR="0056640C">
              <w:rPr>
                <w:noProof/>
                <w:webHidden/>
              </w:rPr>
            </w:r>
            <w:r w:rsidR="0056640C">
              <w:rPr>
                <w:noProof/>
                <w:webHidden/>
              </w:rPr>
              <w:fldChar w:fldCharType="separate"/>
            </w:r>
            <w:r w:rsidR="00EF6C89">
              <w:rPr>
                <w:noProof/>
                <w:webHidden/>
              </w:rPr>
              <w:t>15</w:t>
            </w:r>
            <w:r w:rsidR="0056640C">
              <w:rPr>
                <w:noProof/>
                <w:webHidden/>
              </w:rPr>
              <w:fldChar w:fldCharType="end"/>
            </w:r>
          </w:hyperlink>
        </w:p>
        <w:p w:rsidR="0056640C" w:rsidRDefault="002B46CB">
          <w:pPr>
            <w:pStyle w:val="TOC2"/>
            <w:tabs>
              <w:tab w:val="right" w:leader="dot" w:pos="9628"/>
            </w:tabs>
            <w:rPr>
              <w:rFonts w:eastAsiaTheme="minorEastAsia"/>
              <w:noProof/>
              <w:lang w:eastAsia="en-AU"/>
            </w:rPr>
          </w:pPr>
          <w:hyperlink w:anchor="_Toc411414869" w:history="1">
            <w:r w:rsidR="0056640C" w:rsidRPr="00BD297A">
              <w:rPr>
                <w:rStyle w:val="Hyperlink"/>
                <w:noProof/>
              </w:rPr>
              <w:t>Appendix 1: Preoperative bleeding risk assessment and intervention – considerations for organisations wanting to improve clinical practice</w:t>
            </w:r>
            <w:r w:rsidR="0056640C">
              <w:rPr>
                <w:noProof/>
                <w:webHidden/>
              </w:rPr>
              <w:tab/>
            </w:r>
            <w:r w:rsidR="0056640C">
              <w:rPr>
                <w:noProof/>
                <w:webHidden/>
              </w:rPr>
              <w:fldChar w:fldCharType="begin"/>
            </w:r>
            <w:r w:rsidR="0056640C">
              <w:rPr>
                <w:noProof/>
                <w:webHidden/>
              </w:rPr>
              <w:instrText xml:space="preserve"> PAGEREF _Toc411414869 \h </w:instrText>
            </w:r>
            <w:r w:rsidR="0056640C">
              <w:rPr>
                <w:noProof/>
                <w:webHidden/>
              </w:rPr>
            </w:r>
            <w:r w:rsidR="0056640C">
              <w:rPr>
                <w:noProof/>
                <w:webHidden/>
              </w:rPr>
              <w:fldChar w:fldCharType="separate"/>
            </w:r>
            <w:r w:rsidR="00EF6C89">
              <w:rPr>
                <w:noProof/>
                <w:webHidden/>
              </w:rPr>
              <w:t>17</w:t>
            </w:r>
            <w:r w:rsidR="0056640C">
              <w:rPr>
                <w:noProof/>
                <w:webHidden/>
              </w:rPr>
              <w:fldChar w:fldCharType="end"/>
            </w:r>
          </w:hyperlink>
        </w:p>
        <w:p w:rsidR="0056640C" w:rsidRDefault="002B46CB">
          <w:pPr>
            <w:pStyle w:val="TOC2"/>
            <w:tabs>
              <w:tab w:val="right" w:leader="dot" w:pos="9628"/>
            </w:tabs>
            <w:rPr>
              <w:rFonts w:eastAsiaTheme="minorEastAsia"/>
              <w:noProof/>
              <w:lang w:eastAsia="en-AU"/>
            </w:rPr>
          </w:pPr>
          <w:hyperlink w:anchor="_Toc411414870" w:history="1">
            <w:r w:rsidR="0056640C" w:rsidRPr="00BD297A">
              <w:rPr>
                <w:rStyle w:val="Hyperlink"/>
                <w:noProof/>
              </w:rPr>
              <w:t>Appendix 2: Classification of evidence levels and grades of recommendations</w:t>
            </w:r>
            <w:r w:rsidR="0056640C">
              <w:rPr>
                <w:noProof/>
                <w:webHidden/>
              </w:rPr>
              <w:tab/>
            </w:r>
            <w:r w:rsidR="0056640C">
              <w:rPr>
                <w:noProof/>
                <w:webHidden/>
              </w:rPr>
              <w:fldChar w:fldCharType="begin"/>
            </w:r>
            <w:r w:rsidR="0056640C">
              <w:rPr>
                <w:noProof/>
                <w:webHidden/>
              </w:rPr>
              <w:instrText xml:space="preserve"> PAGEREF _Toc411414870 \h </w:instrText>
            </w:r>
            <w:r w:rsidR="0056640C">
              <w:rPr>
                <w:noProof/>
                <w:webHidden/>
              </w:rPr>
            </w:r>
            <w:r w:rsidR="0056640C">
              <w:rPr>
                <w:noProof/>
                <w:webHidden/>
              </w:rPr>
              <w:fldChar w:fldCharType="separate"/>
            </w:r>
            <w:r w:rsidR="00EF6C89">
              <w:rPr>
                <w:noProof/>
                <w:webHidden/>
              </w:rPr>
              <w:t>18</w:t>
            </w:r>
            <w:r w:rsidR="0056640C">
              <w:rPr>
                <w:noProof/>
                <w:webHidden/>
              </w:rPr>
              <w:fldChar w:fldCharType="end"/>
            </w:r>
          </w:hyperlink>
        </w:p>
        <w:p w:rsidR="0056640C" w:rsidRDefault="002B46CB">
          <w:pPr>
            <w:pStyle w:val="TOC2"/>
            <w:tabs>
              <w:tab w:val="right" w:leader="dot" w:pos="9628"/>
            </w:tabs>
            <w:rPr>
              <w:rFonts w:eastAsiaTheme="minorEastAsia"/>
              <w:noProof/>
              <w:lang w:eastAsia="en-AU"/>
            </w:rPr>
          </w:pPr>
          <w:hyperlink w:anchor="_Toc411414871" w:history="1">
            <w:r w:rsidR="0056640C" w:rsidRPr="00BD297A">
              <w:rPr>
                <w:rStyle w:val="Hyperlink"/>
                <w:noProof/>
              </w:rPr>
              <w:t>Appendix 3: European Society of Anaesthesiology (ESA) guidance regarding cessation of medications (extract)</w:t>
            </w:r>
            <w:r w:rsidR="0056640C" w:rsidRPr="00BD297A">
              <w:rPr>
                <w:rStyle w:val="Hyperlink"/>
                <w:noProof/>
                <w:vertAlign w:val="superscript"/>
              </w:rPr>
              <w:t>2</w:t>
            </w:r>
            <w:r w:rsidR="0056640C">
              <w:rPr>
                <w:noProof/>
                <w:webHidden/>
              </w:rPr>
              <w:tab/>
            </w:r>
            <w:r w:rsidR="0056640C">
              <w:rPr>
                <w:noProof/>
                <w:webHidden/>
              </w:rPr>
              <w:fldChar w:fldCharType="begin"/>
            </w:r>
            <w:r w:rsidR="0056640C">
              <w:rPr>
                <w:noProof/>
                <w:webHidden/>
              </w:rPr>
              <w:instrText xml:space="preserve"> PAGEREF _Toc411414871 \h </w:instrText>
            </w:r>
            <w:r w:rsidR="0056640C">
              <w:rPr>
                <w:noProof/>
                <w:webHidden/>
              </w:rPr>
            </w:r>
            <w:r w:rsidR="0056640C">
              <w:rPr>
                <w:noProof/>
                <w:webHidden/>
              </w:rPr>
              <w:fldChar w:fldCharType="separate"/>
            </w:r>
            <w:r w:rsidR="00EF6C89">
              <w:rPr>
                <w:noProof/>
                <w:webHidden/>
              </w:rPr>
              <w:t>19</w:t>
            </w:r>
            <w:r w:rsidR="0056640C">
              <w:rPr>
                <w:noProof/>
                <w:webHidden/>
              </w:rPr>
              <w:fldChar w:fldCharType="end"/>
            </w:r>
          </w:hyperlink>
        </w:p>
        <w:p w:rsidR="00DE3603" w:rsidRDefault="00DD2C86">
          <w:r>
            <w:rPr>
              <w:b/>
              <w:bCs/>
              <w:noProof/>
            </w:rPr>
            <w:fldChar w:fldCharType="end"/>
          </w:r>
        </w:p>
      </w:sdtContent>
    </w:sdt>
    <w:p w:rsidR="005179F6" w:rsidRPr="005179F6" w:rsidRDefault="005179F6" w:rsidP="005179F6">
      <w:pPr>
        <w:rPr>
          <w:lang w:val="en-US" w:eastAsia="ja-JP"/>
        </w:rPr>
      </w:pPr>
    </w:p>
    <w:p w:rsidR="00701B53" w:rsidRPr="005179F6" w:rsidRDefault="00701B53" w:rsidP="005179F6">
      <w:pPr>
        <w:rPr>
          <w:rFonts w:cstheme="minorHAnsi"/>
        </w:rPr>
      </w:pPr>
      <w:r w:rsidRPr="005179F6">
        <w:rPr>
          <w:rFonts w:cstheme="minorHAnsi"/>
        </w:rPr>
        <w:br w:type="page"/>
      </w:r>
    </w:p>
    <w:p w:rsidR="0018721E" w:rsidRDefault="0018721E" w:rsidP="0018721E">
      <w:pPr>
        <w:spacing w:line="1080" w:lineRule="exact"/>
        <w:ind w:right="-20"/>
        <w:rPr>
          <w:rFonts w:ascii="TitilliumText25L" w:eastAsia="TitilliumText25L" w:hAnsi="TitilliumText25L" w:cs="TitilliumText25L"/>
          <w:sz w:val="60"/>
          <w:szCs w:val="60"/>
        </w:rPr>
      </w:pPr>
      <w:r>
        <w:rPr>
          <w:rFonts w:ascii="TitilliumText25L" w:eastAsia="TitilliumText25L" w:hAnsi="TitilliumText25L" w:cs="TitilliumText25L"/>
          <w:color w:val="D0202E"/>
          <w:position w:val="-1"/>
          <w:sz w:val="102"/>
          <w:szCs w:val="102"/>
        </w:rPr>
        <w:lastRenderedPageBreak/>
        <w:t>&gt;</w:t>
      </w:r>
      <w:r>
        <w:rPr>
          <w:rFonts w:ascii="TitilliumText25L" w:eastAsia="TitilliumText25L" w:hAnsi="TitilliumText25L" w:cs="TitilliumText25L"/>
          <w:color w:val="D0202E"/>
          <w:position w:val="12"/>
          <w:sz w:val="60"/>
          <w:szCs w:val="60"/>
        </w:rPr>
        <w:t>BAC</w:t>
      </w:r>
      <w:r>
        <w:rPr>
          <w:rFonts w:ascii="TitilliumText25L" w:eastAsia="TitilliumText25L" w:hAnsi="TitilliumText25L" w:cs="TitilliumText25L"/>
          <w:color w:val="D0202E"/>
          <w:w w:val="119"/>
          <w:position w:val="12"/>
          <w:sz w:val="60"/>
          <w:szCs w:val="60"/>
        </w:rPr>
        <w:t>K</w:t>
      </w:r>
      <w:r>
        <w:rPr>
          <w:rFonts w:ascii="TitilliumText25L" w:eastAsia="TitilliumText25L" w:hAnsi="TitilliumText25L" w:cs="TitilliumText25L"/>
          <w:color w:val="D0202E"/>
          <w:position w:val="12"/>
          <w:sz w:val="60"/>
          <w:szCs w:val="60"/>
        </w:rPr>
        <w:t>GROUND</w:t>
      </w:r>
    </w:p>
    <w:p w:rsidR="00C3148B" w:rsidRDefault="00270052" w:rsidP="008D016C">
      <w:pPr>
        <w:pStyle w:val="CommentText"/>
        <w:rPr>
          <w:rFonts w:cstheme="minorHAnsi"/>
          <w:sz w:val="22"/>
          <w:szCs w:val="22"/>
        </w:rPr>
      </w:pPr>
      <w:r w:rsidRPr="00BF2D8B">
        <w:rPr>
          <w:rFonts w:cstheme="minorHAnsi"/>
          <w:sz w:val="22"/>
          <w:szCs w:val="22"/>
        </w:rPr>
        <w:t>Asse</w:t>
      </w:r>
      <w:r w:rsidR="00BE2774" w:rsidRPr="00BF2D8B">
        <w:rPr>
          <w:rFonts w:cstheme="minorHAnsi"/>
          <w:sz w:val="22"/>
          <w:szCs w:val="22"/>
        </w:rPr>
        <w:t>ssment of bleeding risk is a key component of patient blood management strategies to minimise blood loss. Patients may be at increased risk of bleeding for a number of reasons, including</w:t>
      </w:r>
      <w:r w:rsidR="00C3148B">
        <w:rPr>
          <w:rFonts w:cstheme="minorHAnsi"/>
          <w:sz w:val="22"/>
          <w:szCs w:val="22"/>
        </w:rPr>
        <w:t>:</w:t>
      </w:r>
    </w:p>
    <w:p w:rsidR="00945EEA" w:rsidRDefault="00945EEA" w:rsidP="0018721E">
      <w:pPr>
        <w:pStyle w:val="CommentText"/>
        <w:numPr>
          <w:ilvl w:val="0"/>
          <w:numId w:val="27"/>
        </w:numPr>
        <w:rPr>
          <w:rFonts w:cstheme="minorHAnsi"/>
          <w:sz w:val="22"/>
          <w:szCs w:val="22"/>
        </w:rPr>
      </w:pPr>
      <w:r>
        <w:rPr>
          <w:rFonts w:cstheme="minorHAnsi"/>
          <w:sz w:val="22"/>
          <w:szCs w:val="22"/>
        </w:rPr>
        <w:t>advanced age</w:t>
      </w:r>
      <w:r w:rsidRPr="00945EEA">
        <w:rPr>
          <w:rFonts w:cstheme="minorHAnsi"/>
          <w:sz w:val="22"/>
          <w:szCs w:val="22"/>
          <w:vertAlign w:val="superscript"/>
        </w:rPr>
        <w:t>1</w:t>
      </w:r>
    </w:p>
    <w:p w:rsidR="00945EEA" w:rsidRDefault="00945EEA" w:rsidP="0018721E">
      <w:pPr>
        <w:pStyle w:val="CommentText"/>
        <w:numPr>
          <w:ilvl w:val="0"/>
          <w:numId w:val="27"/>
        </w:numPr>
        <w:rPr>
          <w:rFonts w:cstheme="minorHAnsi"/>
          <w:sz w:val="22"/>
          <w:szCs w:val="22"/>
        </w:rPr>
      </w:pPr>
      <w:r>
        <w:rPr>
          <w:rFonts w:cstheme="minorHAnsi"/>
          <w:sz w:val="22"/>
          <w:szCs w:val="22"/>
        </w:rPr>
        <w:t>decreased preoperative red blood cell volume (small body size and/or preoperative anaemia)</w:t>
      </w:r>
      <w:r w:rsidRPr="00945EEA">
        <w:rPr>
          <w:rFonts w:cstheme="minorHAnsi"/>
          <w:sz w:val="22"/>
          <w:szCs w:val="22"/>
          <w:vertAlign w:val="superscript"/>
        </w:rPr>
        <w:t>1</w:t>
      </w:r>
    </w:p>
    <w:p w:rsidR="004F7FDE" w:rsidRDefault="00BE2774" w:rsidP="0018721E">
      <w:pPr>
        <w:pStyle w:val="CommentText"/>
        <w:numPr>
          <w:ilvl w:val="0"/>
          <w:numId w:val="27"/>
        </w:numPr>
        <w:rPr>
          <w:rFonts w:cstheme="minorHAnsi"/>
          <w:sz w:val="22"/>
          <w:szCs w:val="22"/>
        </w:rPr>
      </w:pPr>
      <w:r w:rsidRPr="00C3148B">
        <w:rPr>
          <w:rFonts w:cstheme="minorHAnsi"/>
          <w:sz w:val="22"/>
          <w:szCs w:val="22"/>
        </w:rPr>
        <w:t>medications</w:t>
      </w:r>
      <w:r w:rsidR="00C3148B" w:rsidRPr="00C3148B">
        <w:rPr>
          <w:rFonts w:cstheme="minorHAnsi"/>
          <w:sz w:val="22"/>
          <w:szCs w:val="22"/>
        </w:rPr>
        <w:t xml:space="preserve"> affecting haemostasis</w:t>
      </w:r>
      <w:r w:rsidRPr="00C3148B">
        <w:rPr>
          <w:rFonts w:cstheme="minorHAnsi"/>
          <w:sz w:val="22"/>
          <w:szCs w:val="22"/>
        </w:rPr>
        <w:t xml:space="preserve"> including complementary medicines</w:t>
      </w:r>
    </w:p>
    <w:p w:rsidR="004F7FDE" w:rsidRDefault="004F7FDE" w:rsidP="0018721E">
      <w:pPr>
        <w:pStyle w:val="CommentText"/>
        <w:numPr>
          <w:ilvl w:val="0"/>
          <w:numId w:val="27"/>
        </w:numPr>
        <w:rPr>
          <w:rFonts w:cstheme="minorHAnsi"/>
          <w:sz w:val="22"/>
          <w:szCs w:val="22"/>
        </w:rPr>
      </w:pPr>
      <w:r w:rsidRPr="00C3148B">
        <w:rPr>
          <w:rFonts w:cstheme="minorHAnsi"/>
          <w:sz w:val="22"/>
          <w:szCs w:val="22"/>
        </w:rPr>
        <w:t xml:space="preserve">medical conditions causing haemostatic defect including both </w:t>
      </w:r>
      <w:r w:rsidRPr="004F7FDE">
        <w:rPr>
          <w:rFonts w:cstheme="minorHAnsi"/>
          <w:sz w:val="22"/>
          <w:szCs w:val="22"/>
        </w:rPr>
        <w:t xml:space="preserve">hereditary </w:t>
      </w:r>
      <w:r w:rsidRPr="00AA7B5A">
        <w:rPr>
          <w:rFonts w:cstheme="minorHAnsi"/>
          <w:sz w:val="22"/>
          <w:szCs w:val="22"/>
        </w:rPr>
        <w:t>bleeding disorders, and acquired medical conditions such as chronic kidney or liver disease,</w:t>
      </w:r>
      <w:r>
        <w:rPr>
          <w:rFonts w:cstheme="minorHAnsi"/>
          <w:sz w:val="22"/>
          <w:szCs w:val="22"/>
        </w:rPr>
        <w:t xml:space="preserve"> and</w:t>
      </w:r>
    </w:p>
    <w:p w:rsidR="004F7FDE" w:rsidRDefault="004F7FDE" w:rsidP="0018721E">
      <w:pPr>
        <w:pStyle w:val="CommentText"/>
        <w:numPr>
          <w:ilvl w:val="0"/>
          <w:numId w:val="27"/>
        </w:numPr>
        <w:rPr>
          <w:rFonts w:cstheme="minorHAnsi"/>
          <w:sz w:val="22"/>
          <w:szCs w:val="22"/>
        </w:rPr>
      </w:pPr>
      <w:r>
        <w:rPr>
          <w:rFonts w:cstheme="minorHAnsi"/>
          <w:sz w:val="22"/>
          <w:szCs w:val="22"/>
        </w:rPr>
        <w:t>type of surgery</w:t>
      </w:r>
    </w:p>
    <w:p w:rsidR="00C3148B" w:rsidRDefault="00C3148B" w:rsidP="008D016C">
      <w:pPr>
        <w:rPr>
          <w:rFonts w:cstheme="minorHAnsi"/>
        </w:rPr>
      </w:pPr>
    </w:p>
    <w:p w:rsidR="004A2826" w:rsidRPr="005179F6" w:rsidRDefault="00C3148B" w:rsidP="008D016C">
      <w:pPr>
        <w:rPr>
          <w:rFonts w:cstheme="minorHAnsi"/>
        </w:rPr>
      </w:pPr>
      <w:r>
        <w:rPr>
          <w:rFonts w:cstheme="minorHAnsi"/>
        </w:rPr>
        <w:t>P</w:t>
      </w:r>
      <w:r w:rsidRPr="005179F6">
        <w:rPr>
          <w:rFonts w:cstheme="minorHAnsi"/>
        </w:rPr>
        <w:t xml:space="preserve">reoperative </w:t>
      </w:r>
      <w:r>
        <w:rPr>
          <w:rFonts w:cstheme="minorHAnsi"/>
        </w:rPr>
        <w:t>a</w:t>
      </w:r>
      <w:r w:rsidRPr="005179F6">
        <w:rPr>
          <w:rFonts w:cstheme="minorHAnsi"/>
        </w:rPr>
        <w:t xml:space="preserve">ssessment </w:t>
      </w:r>
      <w:r w:rsidR="009E4A39" w:rsidRPr="005179F6">
        <w:rPr>
          <w:rFonts w:cstheme="minorHAnsi"/>
        </w:rPr>
        <w:t xml:space="preserve">of bleeding risk </w:t>
      </w:r>
      <w:r w:rsidR="00C53561" w:rsidRPr="005179F6">
        <w:rPr>
          <w:rFonts w:cstheme="minorHAnsi"/>
        </w:rPr>
        <w:t>consists of administering a</w:t>
      </w:r>
      <w:r w:rsidR="009E4A39" w:rsidRPr="005179F6">
        <w:rPr>
          <w:rFonts w:cstheme="minorHAnsi"/>
        </w:rPr>
        <w:t xml:space="preserve"> structured bleeding questionnaire </w:t>
      </w:r>
      <w:r w:rsidR="00587D12" w:rsidRPr="005179F6">
        <w:rPr>
          <w:rFonts w:cstheme="minorHAnsi"/>
        </w:rPr>
        <w:t>which,</w:t>
      </w:r>
      <w:r w:rsidR="009E4A39" w:rsidRPr="005179F6">
        <w:rPr>
          <w:rFonts w:cstheme="minorHAnsi"/>
        </w:rPr>
        <w:t xml:space="preserve"> in conjunction with physical examination</w:t>
      </w:r>
      <w:r w:rsidR="00C53561" w:rsidRPr="005179F6">
        <w:rPr>
          <w:rFonts w:cstheme="minorHAnsi"/>
        </w:rPr>
        <w:t>,</w:t>
      </w:r>
      <w:r w:rsidR="009E4A39" w:rsidRPr="005179F6">
        <w:rPr>
          <w:rFonts w:cstheme="minorHAnsi"/>
        </w:rPr>
        <w:t xml:space="preserve"> will guide </w:t>
      </w:r>
      <w:r w:rsidR="00C53561" w:rsidRPr="005179F6">
        <w:rPr>
          <w:rFonts w:cstheme="minorHAnsi"/>
        </w:rPr>
        <w:t xml:space="preserve">laboratory testing. </w:t>
      </w:r>
      <w:r w:rsidR="009D6141" w:rsidRPr="005179F6">
        <w:rPr>
          <w:rFonts w:cstheme="minorHAnsi"/>
        </w:rPr>
        <w:t xml:space="preserve">In the vast majority of cases a positive bleeding history will require referral for specialist assessment and management. </w:t>
      </w:r>
      <w:r w:rsidR="00587D12" w:rsidRPr="005179F6">
        <w:rPr>
          <w:rFonts w:cstheme="minorHAnsi"/>
        </w:rPr>
        <w:t>Conversely, a</w:t>
      </w:r>
      <w:r w:rsidR="00052CA8" w:rsidRPr="005179F6">
        <w:rPr>
          <w:rFonts w:cstheme="minorHAnsi"/>
        </w:rPr>
        <w:t xml:space="preserve"> negative</w:t>
      </w:r>
      <w:r w:rsidR="00587D12" w:rsidRPr="005179F6">
        <w:rPr>
          <w:rFonts w:cstheme="minorHAnsi"/>
        </w:rPr>
        <w:t xml:space="preserve"> initial screen and examination may exclude patients from</w:t>
      </w:r>
      <w:r w:rsidR="009D6141" w:rsidRPr="005179F6">
        <w:rPr>
          <w:rFonts w:cstheme="minorHAnsi"/>
        </w:rPr>
        <w:t xml:space="preserve"> </w:t>
      </w:r>
      <w:r w:rsidR="00587D12" w:rsidRPr="005179F6">
        <w:rPr>
          <w:rFonts w:cstheme="minorHAnsi"/>
        </w:rPr>
        <w:t>further evaluation. Routine coagulation screening prior to surgery or other invasive procedures to predict postoperative bleeding in unselected patients is not recommended.</w:t>
      </w:r>
      <w:r w:rsidR="00AD2CE3">
        <w:rPr>
          <w:rFonts w:cstheme="minorHAnsi"/>
          <w:vertAlign w:val="superscript"/>
        </w:rPr>
        <w:t>2</w:t>
      </w:r>
      <w:r w:rsidR="00AD2CE3">
        <w:rPr>
          <w:rFonts w:cstheme="minorHAnsi"/>
        </w:rPr>
        <w:t xml:space="preserve"> </w:t>
      </w:r>
      <w:r w:rsidR="00682524" w:rsidRPr="005179F6">
        <w:rPr>
          <w:rFonts w:cstheme="minorHAnsi"/>
        </w:rPr>
        <w:t xml:space="preserve">The key </w:t>
      </w:r>
      <w:r w:rsidR="00536602" w:rsidRPr="005179F6">
        <w:rPr>
          <w:rFonts w:cstheme="minorHAnsi"/>
        </w:rPr>
        <w:t xml:space="preserve">recommendations </w:t>
      </w:r>
      <w:r w:rsidR="00536602">
        <w:rPr>
          <w:rFonts w:cstheme="minorHAnsi"/>
        </w:rPr>
        <w:t xml:space="preserve">from </w:t>
      </w:r>
      <w:r w:rsidR="00682524" w:rsidRPr="005179F6">
        <w:rPr>
          <w:rFonts w:cstheme="minorHAnsi"/>
        </w:rPr>
        <w:t xml:space="preserve">the British Committee for Standards in Haematology (BCSH) </w:t>
      </w:r>
      <w:r w:rsidR="00B56206" w:rsidRPr="00DD17ED">
        <w:rPr>
          <w:rFonts w:cstheme="minorHAnsi"/>
          <w:i/>
        </w:rPr>
        <w:t>G</w:t>
      </w:r>
      <w:r w:rsidR="00682524" w:rsidRPr="00DD17ED">
        <w:rPr>
          <w:rFonts w:cstheme="minorHAnsi"/>
          <w:i/>
        </w:rPr>
        <w:t>uidelines on the assessment of bleeding risk prior to surgery or invasive procedures</w:t>
      </w:r>
      <w:r w:rsidR="004A2826" w:rsidRPr="005179F6">
        <w:rPr>
          <w:rFonts w:cstheme="minorHAnsi"/>
        </w:rPr>
        <w:t>,</w:t>
      </w:r>
      <w:r w:rsidR="004A2826" w:rsidRPr="00816069">
        <w:rPr>
          <w:rFonts w:cstheme="minorHAnsi"/>
          <w:vertAlign w:val="superscript"/>
        </w:rPr>
        <w:t>1</w:t>
      </w:r>
      <w:r w:rsidR="004A2826" w:rsidRPr="005179F6">
        <w:rPr>
          <w:rFonts w:cstheme="minorHAnsi"/>
        </w:rPr>
        <w:t xml:space="preserve"> </w:t>
      </w:r>
      <w:r w:rsidR="00536602">
        <w:rPr>
          <w:rFonts w:cstheme="minorHAnsi"/>
        </w:rPr>
        <w:t xml:space="preserve">and from </w:t>
      </w:r>
      <w:r w:rsidR="00536602" w:rsidRPr="005179F6">
        <w:rPr>
          <w:rFonts w:cstheme="minorHAnsi"/>
        </w:rPr>
        <w:t xml:space="preserve">the European Society of Anaesthesiology </w:t>
      </w:r>
      <w:r w:rsidR="00536602" w:rsidRPr="00DD17ED">
        <w:rPr>
          <w:rFonts w:cstheme="minorHAnsi"/>
          <w:i/>
        </w:rPr>
        <w:t>Management of severe perioperative bleeding: guidelines</w:t>
      </w:r>
      <w:r w:rsidR="00536602" w:rsidRPr="005179F6">
        <w:rPr>
          <w:rFonts w:cstheme="minorHAnsi"/>
        </w:rPr>
        <w:t>.</w:t>
      </w:r>
      <w:r w:rsidR="00AD2CE3">
        <w:rPr>
          <w:rFonts w:cstheme="minorHAnsi"/>
          <w:vertAlign w:val="superscript"/>
        </w:rPr>
        <w:t>3</w:t>
      </w:r>
      <w:r w:rsidR="00536602" w:rsidRPr="005179F6">
        <w:rPr>
          <w:rFonts w:cstheme="minorHAnsi"/>
        </w:rPr>
        <w:t xml:space="preserve"> a</w:t>
      </w:r>
      <w:r w:rsidR="00536602">
        <w:rPr>
          <w:rFonts w:cstheme="minorHAnsi"/>
        </w:rPr>
        <w:t>re</w:t>
      </w:r>
      <w:r w:rsidR="00536602" w:rsidRPr="005179F6">
        <w:rPr>
          <w:rFonts w:cstheme="minorHAnsi"/>
        </w:rPr>
        <w:t xml:space="preserve"> </w:t>
      </w:r>
      <w:r w:rsidR="004A2826" w:rsidRPr="005179F6">
        <w:rPr>
          <w:rFonts w:cstheme="minorHAnsi"/>
        </w:rPr>
        <w:t>outlined in Table</w:t>
      </w:r>
      <w:r w:rsidR="00536602">
        <w:rPr>
          <w:rFonts w:cstheme="minorHAnsi"/>
        </w:rPr>
        <w:t>s</w:t>
      </w:r>
      <w:r w:rsidR="004A2826" w:rsidRPr="005179F6">
        <w:rPr>
          <w:rFonts w:cstheme="minorHAnsi"/>
        </w:rPr>
        <w:t xml:space="preserve"> 1</w:t>
      </w:r>
      <w:r w:rsidR="00536602">
        <w:rPr>
          <w:rFonts w:cstheme="minorHAnsi"/>
        </w:rPr>
        <w:t xml:space="preserve"> and</w:t>
      </w:r>
      <w:r w:rsidR="00170AB8" w:rsidRPr="005179F6">
        <w:rPr>
          <w:rFonts w:cstheme="minorHAnsi"/>
        </w:rPr>
        <w:t xml:space="preserve"> 2</w:t>
      </w:r>
      <w:r w:rsidR="00536602">
        <w:rPr>
          <w:rFonts w:cstheme="minorHAnsi"/>
        </w:rPr>
        <w:t>.</w:t>
      </w:r>
      <w:r w:rsidR="00170AB8" w:rsidRPr="005179F6">
        <w:rPr>
          <w:rFonts w:cstheme="minorHAnsi"/>
        </w:rPr>
        <w:t xml:space="preserve"> </w:t>
      </w:r>
      <w:r w:rsidR="005B0232" w:rsidRPr="005179F6">
        <w:rPr>
          <w:rFonts w:cstheme="minorHAnsi"/>
        </w:rPr>
        <w:t>Figure 1 demonstrates the key components of preoperative assessment of bleeding risk</w:t>
      </w:r>
      <w:r w:rsidR="00536602">
        <w:rPr>
          <w:rFonts w:cstheme="minorHAnsi"/>
        </w:rPr>
        <w:t>.</w:t>
      </w:r>
    </w:p>
    <w:p w:rsidR="005179F6" w:rsidRDefault="005179F6" w:rsidP="008D016C">
      <w:pPr>
        <w:rPr>
          <w:rFonts w:cstheme="minorHAnsi"/>
        </w:rPr>
      </w:pPr>
    </w:p>
    <w:tbl>
      <w:tblPr>
        <w:tblStyle w:val="TableGrid"/>
        <w:tblW w:w="0" w:type="auto"/>
        <w:jc w:val="center"/>
        <w:tblInd w:w="-424" w:type="dxa"/>
        <w:tblLook w:val="04A0" w:firstRow="1" w:lastRow="0" w:firstColumn="1" w:lastColumn="0" w:noHBand="0" w:noVBand="1"/>
      </w:tblPr>
      <w:tblGrid>
        <w:gridCol w:w="8645"/>
      </w:tblGrid>
      <w:tr w:rsidR="006E60D8" w:rsidRPr="005179F6" w:rsidDel="00536602" w:rsidTr="0029481D">
        <w:trPr>
          <w:jc w:val="center"/>
        </w:trPr>
        <w:tc>
          <w:tcPr>
            <w:tcW w:w="8645" w:type="dxa"/>
          </w:tcPr>
          <w:p w:rsidR="006E60D8" w:rsidRPr="00FC3CEE" w:rsidDel="00536602" w:rsidRDefault="006E60D8" w:rsidP="0029481D">
            <w:pPr>
              <w:pStyle w:val="Heading2"/>
              <w:outlineLvl w:val="1"/>
            </w:pPr>
            <w:bookmarkStart w:id="3" w:name="_Toc411414848"/>
            <w:r w:rsidRPr="00FC3CEE" w:rsidDel="00536602">
              <w:t>Table 1: British Committee for Standards in Haematology recommendations on the assessment of bleeding risk prior to</w:t>
            </w:r>
            <w:r w:rsidR="00E978AE">
              <w:t xml:space="preserve"> surgery or invasive procedures</w:t>
            </w:r>
            <w:r w:rsidR="0029481D" w:rsidRPr="0029481D">
              <w:rPr>
                <w:vertAlign w:val="superscript"/>
              </w:rPr>
              <w:t>a</w:t>
            </w:r>
            <w:bookmarkEnd w:id="3"/>
          </w:p>
        </w:tc>
      </w:tr>
      <w:tr w:rsidR="006E60D8" w:rsidRPr="005179F6" w:rsidDel="00536602" w:rsidTr="0029481D">
        <w:trPr>
          <w:trHeight w:val="1794"/>
          <w:jc w:val="center"/>
        </w:trPr>
        <w:tc>
          <w:tcPr>
            <w:tcW w:w="8645" w:type="dxa"/>
          </w:tcPr>
          <w:p w:rsidR="006E60D8" w:rsidRPr="0029481D" w:rsidDel="00536602" w:rsidRDefault="006E60D8" w:rsidP="00356FE2">
            <w:pPr>
              <w:pStyle w:val="ListParagraph"/>
              <w:numPr>
                <w:ilvl w:val="0"/>
                <w:numId w:val="8"/>
              </w:numPr>
              <w:spacing w:before="240"/>
              <w:rPr>
                <w:rFonts w:cstheme="minorHAnsi"/>
              </w:rPr>
            </w:pPr>
            <w:r w:rsidRPr="0029481D" w:rsidDel="00536602">
              <w:rPr>
                <w:rFonts w:cstheme="minorHAnsi"/>
              </w:rPr>
              <w:t>Indiscriminate coagulation screening prior to surgery or other invasive procedures to predict postoperative bleeding in unselected patients is not recommended. (Grade B, Level III).</w:t>
            </w:r>
          </w:p>
          <w:p w:rsidR="006E60D8" w:rsidRPr="0029481D" w:rsidDel="00536602" w:rsidRDefault="006E60D8" w:rsidP="00356FE2">
            <w:pPr>
              <w:pStyle w:val="ListParagraph"/>
              <w:numPr>
                <w:ilvl w:val="0"/>
                <w:numId w:val="8"/>
              </w:numPr>
              <w:rPr>
                <w:rFonts w:cstheme="minorHAnsi"/>
              </w:rPr>
            </w:pPr>
            <w:r w:rsidRPr="0029481D" w:rsidDel="00536602">
              <w:rPr>
                <w:rFonts w:cstheme="minorHAnsi"/>
              </w:rPr>
              <w:t xml:space="preserve">A bleeding history including detail of family history, previous excessive post-traumatic or postsurgical bleeding and use of anti-thrombotic drugs should be taken in all patients preoperatively and prior to invasive procedures. (Grade C, Level IV). </w:t>
            </w:r>
          </w:p>
          <w:p w:rsidR="002F3B6F" w:rsidRPr="0029481D" w:rsidDel="00536602" w:rsidRDefault="006E60D8" w:rsidP="00356FE2">
            <w:pPr>
              <w:pStyle w:val="ListParagraph"/>
              <w:numPr>
                <w:ilvl w:val="0"/>
                <w:numId w:val="8"/>
              </w:numPr>
              <w:rPr>
                <w:rFonts w:cstheme="minorHAnsi"/>
              </w:rPr>
            </w:pPr>
            <w:r w:rsidRPr="0029481D" w:rsidDel="00536602">
              <w:rPr>
                <w:rFonts w:cstheme="minorHAnsi"/>
              </w:rPr>
              <w:t xml:space="preserve">If the bleeding history is negative, no further coagulation testing is indicated. (Grade C, Level IV). </w:t>
            </w:r>
          </w:p>
          <w:p w:rsidR="006E60D8" w:rsidRPr="0029481D" w:rsidDel="00536602" w:rsidRDefault="006E60D8" w:rsidP="00356FE2">
            <w:pPr>
              <w:pStyle w:val="ListParagraph"/>
              <w:numPr>
                <w:ilvl w:val="0"/>
                <w:numId w:val="8"/>
              </w:numPr>
              <w:rPr>
                <w:rFonts w:cstheme="minorHAnsi"/>
              </w:rPr>
            </w:pPr>
            <w:r w:rsidRPr="0029481D" w:rsidDel="00536602">
              <w:rPr>
                <w:rFonts w:cstheme="minorHAnsi"/>
              </w:rPr>
              <w:t>If the bleeding history is positive or there is a clear clinical indication (e.g. liver disease), a comprehensive assessment, guided by the clinical features is required. (Grade C, Level IV).</w:t>
            </w:r>
          </w:p>
          <w:p w:rsidR="006E60D8" w:rsidRPr="006E60D8" w:rsidDel="00536602" w:rsidRDefault="006E60D8" w:rsidP="006E60D8">
            <w:pPr>
              <w:rPr>
                <w:rFonts w:cstheme="minorHAnsi"/>
              </w:rPr>
            </w:pPr>
          </w:p>
        </w:tc>
      </w:tr>
    </w:tbl>
    <w:p w:rsidR="0029481D" w:rsidRPr="0029481D" w:rsidRDefault="0029481D" w:rsidP="005179F6">
      <w:pPr>
        <w:rPr>
          <w:rFonts w:ascii="Arial" w:hAnsi="Arial" w:cs="Arial"/>
          <w:sz w:val="20"/>
          <w:szCs w:val="20"/>
        </w:rPr>
      </w:pPr>
    </w:p>
    <w:p w:rsidR="008A7E4B" w:rsidRDefault="0029481D" w:rsidP="0029481D">
      <w:pPr>
        <w:ind w:left="720"/>
        <w:rPr>
          <w:rFonts w:ascii="Arial" w:hAnsi="Arial" w:cs="Arial"/>
          <w:sz w:val="20"/>
          <w:szCs w:val="20"/>
        </w:rPr>
      </w:pPr>
      <w:r w:rsidRPr="0029481D">
        <w:rPr>
          <w:rFonts w:ascii="Arial" w:hAnsi="Arial" w:cs="Arial"/>
          <w:sz w:val="20"/>
          <w:szCs w:val="20"/>
          <w:vertAlign w:val="superscript"/>
        </w:rPr>
        <w:t>a</w:t>
      </w:r>
      <w:r>
        <w:rPr>
          <w:rFonts w:ascii="Arial" w:hAnsi="Arial" w:cs="Arial"/>
          <w:sz w:val="20"/>
          <w:szCs w:val="20"/>
          <w:vertAlign w:val="superscript"/>
        </w:rPr>
        <w:t xml:space="preserve"> </w:t>
      </w:r>
      <w:r w:rsidRPr="0029481D">
        <w:rPr>
          <w:rFonts w:ascii="Arial" w:hAnsi="Arial" w:cs="Arial"/>
          <w:sz w:val="20"/>
          <w:szCs w:val="20"/>
        </w:rPr>
        <w:t>For classification of evidence and recommendation levels see Appendix 2</w:t>
      </w:r>
      <w:r>
        <w:rPr>
          <w:rFonts w:ascii="Arial" w:hAnsi="Arial" w:cs="Arial"/>
          <w:sz w:val="20"/>
          <w:szCs w:val="20"/>
        </w:rPr>
        <w:t>a</w:t>
      </w:r>
      <w:r w:rsidRPr="0029481D">
        <w:rPr>
          <w:rFonts w:ascii="Arial" w:hAnsi="Arial" w:cs="Arial"/>
          <w:sz w:val="20"/>
          <w:szCs w:val="20"/>
        </w:rPr>
        <w:t>.</w:t>
      </w:r>
    </w:p>
    <w:p w:rsidR="00B223A5" w:rsidRPr="0029481D" w:rsidDel="00536602" w:rsidRDefault="00B223A5" w:rsidP="0029481D">
      <w:pPr>
        <w:ind w:left="720"/>
        <w:rPr>
          <w:rFonts w:cstheme="minorHAnsi"/>
          <w:sz w:val="20"/>
          <w:szCs w:val="20"/>
        </w:rPr>
      </w:pPr>
    </w:p>
    <w:tbl>
      <w:tblPr>
        <w:tblStyle w:val="TableGrid"/>
        <w:tblW w:w="0" w:type="auto"/>
        <w:jc w:val="center"/>
        <w:tblInd w:w="-282" w:type="dxa"/>
        <w:tblLook w:val="04A0" w:firstRow="1" w:lastRow="0" w:firstColumn="1" w:lastColumn="0" w:noHBand="0" w:noVBand="1"/>
      </w:tblPr>
      <w:tblGrid>
        <w:gridCol w:w="8503"/>
      </w:tblGrid>
      <w:tr w:rsidR="008A7E4B" w:rsidRPr="005179F6" w:rsidDel="00536602" w:rsidTr="0029481D">
        <w:trPr>
          <w:jc w:val="center"/>
        </w:trPr>
        <w:tc>
          <w:tcPr>
            <w:tcW w:w="8503" w:type="dxa"/>
          </w:tcPr>
          <w:p w:rsidR="008A7E4B" w:rsidRPr="00DE3603" w:rsidDel="00536602" w:rsidRDefault="008A7E4B" w:rsidP="0029481D">
            <w:pPr>
              <w:pStyle w:val="Heading2"/>
              <w:outlineLvl w:val="1"/>
            </w:pPr>
            <w:bookmarkStart w:id="4" w:name="_Toc411414849"/>
            <w:r w:rsidRPr="008A7E4B" w:rsidDel="00536602">
              <w:lastRenderedPageBreak/>
              <w:t>Table 2: Management of severe perioperative bleeding: guidelines from the European Society of Anaesthesiology</w:t>
            </w:r>
            <w:bookmarkEnd w:id="4"/>
          </w:p>
        </w:tc>
      </w:tr>
      <w:tr w:rsidR="008A7E4B" w:rsidRPr="005179F6" w:rsidDel="00536602" w:rsidTr="0029481D">
        <w:trPr>
          <w:trHeight w:val="1794"/>
          <w:jc w:val="center"/>
        </w:trPr>
        <w:tc>
          <w:tcPr>
            <w:tcW w:w="8503" w:type="dxa"/>
          </w:tcPr>
          <w:p w:rsidR="008A7E4B" w:rsidRPr="0029481D" w:rsidDel="00536602" w:rsidRDefault="008A7E4B" w:rsidP="008A7E4B">
            <w:pPr>
              <w:widowControl/>
              <w:autoSpaceDE w:val="0"/>
              <w:autoSpaceDN w:val="0"/>
              <w:adjustRightInd w:val="0"/>
              <w:spacing w:before="120" w:after="120"/>
              <w:ind w:left="357"/>
              <w:rPr>
                <w:rFonts w:ascii="Arial" w:eastAsia="Calibri" w:hAnsi="Arial" w:cs="Arial"/>
                <w:b/>
              </w:rPr>
            </w:pPr>
            <w:r w:rsidRPr="0029481D" w:rsidDel="00536602">
              <w:rPr>
                <w:rFonts w:ascii="Arial" w:eastAsia="Calibri" w:hAnsi="Arial" w:cs="Arial"/>
                <w:b/>
              </w:rPr>
              <w:t>Evaluation of coagulation status:</w:t>
            </w:r>
          </w:p>
          <w:p w:rsidR="008A7E4B" w:rsidRPr="0029481D" w:rsidDel="00536602" w:rsidRDefault="008A7E4B" w:rsidP="00356FE2">
            <w:pPr>
              <w:widowControl/>
              <w:numPr>
                <w:ilvl w:val="0"/>
                <w:numId w:val="1"/>
              </w:numPr>
              <w:autoSpaceDE w:val="0"/>
              <w:autoSpaceDN w:val="0"/>
              <w:adjustRightInd w:val="0"/>
              <w:spacing w:before="120" w:after="120"/>
              <w:ind w:left="714" w:hanging="357"/>
              <w:rPr>
                <w:rFonts w:ascii="Arial" w:eastAsia="Calibri" w:hAnsi="Arial" w:cs="Arial"/>
              </w:rPr>
            </w:pPr>
            <w:r w:rsidRPr="0029481D" w:rsidDel="00536602">
              <w:rPr>
                <w:rFonts w:ascii="Arial" w:eastAsia="Calibri" w:hAnsi="Arial" w:cs="Arial"/>
              </w:rPr>
              <w:t>We recommend the use of a structured patient interview or questionnaire before surgery or invasive procedures, which considers clinical and family bleeding history and detailed information on the patient’s medication. 1C</w:t>
            </w:r>
          </w:p>
          <w:p w:rsidR="008A7E4B" w:rsidRPr="008A7E4B" w:rsidDel="00536602" w:rsidRDefault="008A7E4B" w:rsidP="00356FE2">
            <w:pPr>
              <w:widowControl/>
              <w:numPr>
                <w:ilvl w:val="0"/>
                <w:numId w:val="1"/>
              </w:numPr>
              <w:autoSpaceDE w:val="0"/>
              <w:autoSpaceDN w:val="0"/>
              <w:adjustRightInd w:val="0"/>
              <w:spacing w:before="120" w:after="120"/>
              <w:ind w:left="714" w:hanging="357"/>
              <w:rPr>
                <w:rFonts w:ascii="Arial" w:eastAsia="Calibri" w:hAnsi="Arial" w:cs="Arial"/>
                <w:sz w:val="20"/>
                <w:szCs w:val="20"/>
              </w:rPr>
            </w:pPr>
            <w:r w:rsidRPr="0029481D" w:rsidDel="00536602">
              <w:rPr>
                <w:rFonts w:ascii="Arial" w:eastAsia="Calibri" w:hAnsi="Arial" w:cs="Arial"/>
              </w:rPr>
              <w:t>We recommend the use of standardised questionnaires on bleeding and drug history as preferable to the routine use of conventional coagulation screening tests such as a PTT, PT and platelet count in elective surgery. 1C</w:t>
            </w:r>
          </w:p>
        </w:tc>
      </w:tr>
    </w:tbl>
    <w:p w:rsidR="006E60D8" w:rsidRPr="0029481D" w:rsidRDefault="006E60D8" w:rsidP="005179F6">
      <w:pPr>
        <w:rPr>
          <w:rFonts w:cstheme="minorHAnsi"/>
          <w:sz w:val="20"/>
          <w:szCs w:val="20"/>
        </w:rPr>
      </w:pPr>
    </w:p>
    <w:p w:rsidR="0029481D" w:rsidRDefault="0029481D" w:rsidP="0029481D">
      <w:pPr>
        <w:ind w:left="720"/>
        <w:rPr>
          <w:sz w:val="20"/>
          <w:szCs w:val="20"/>
        </w:rPr>
      </w:pPr>
      <w:r w:rsidRPr="0029481D">
        <w:rPr>
          <w:sz w:val="20"/>
          <w:szCs w:val="20"/>
          <w:vertAlign w:val="superscript"/>
        </w:rPr>
        <w:t>b</w:t>
      </w:r>
      <w:r w:rsidRPr="0029481D">
        <w:rPr>
          <w:sz w:val="20"/>
          <w:szCs w:val="20"/>
        </w:rPr>
        <w:t xml:space="preserve"> For grades of recommendation - GRADES system see Appendix </w:t>
      </w:r>
      <w:r>
        <w:rPr>
          <w:sz w:val="20"/>
          <w:szCs w:val="20"/>
        </w:rPr>
        <w:t>2b</w:t>
      </w:r>
      <w:r w:rsidRPr="0029481D">
        <w:rPr>
          <w:sz w:val="20"/>
          <w:szCs w:val="20"/>
        </w:rPr>
        <w:t>.</w:t>
      </w:r>
    </w:p>
    <w:p w:rsidR="0029481D" w:rsidRPr="0029481D" w:rsidRDefault="0029481D" w:rsidP="0029481D">
      <w:pPr>
        <w:rPr>
          <w:rFonts w:cstheme="minorHAnsi"/>
          <w:sz w:val="20"/>
          <w:szCs w:val="20"/>
        </w:rPr>
      </w:pPr>
    </w:p>
    <w:p w:rsidR="005B0232" w:rsidRPr="00FC3CEE" w:rsidRDefault="005B0232" w:rsidP="0012219F">
      <w:pPr>
        <w:pStyle w:val="Heading2"/>
      </w:pPr>
      <w:bookmarkStart w:id="5" w:name="_Figure_1:_Preoperative"/>
      <w:bookmarkStart w:id="6" w:name="_Toc411414850"/>
      <w:bookmarkEnd w:id="5"/>
      <w:r w:rsidRPr="00FC3CEE">
        <w:t>Figure 1: Preoperative assessment of bleeding risk</w:t>
      </w:r>
      <w:bookmarkEnd w:id="6"/>
    </w:p>
    <w:p w:rsidR="00CC08B4" w:rsidRDefault="0018721E" w:rsidP="0029481D">
      <w:pPr>
        <w:jc w:val="center"/>
      </w:pPr>
      <w:r>
        <w:rPr>
          <w:noProof/>
          <w:lang w:eastAsia="en-AU"/>
        </w:rPr>
        <w:drawing>
          <wp:inline distT="0" distB="0" distL="0" distR="0" wp14:anchorId="4A378E62" wp14:editId="505E1BD8">
            <wp:extent cx="5849620" cy="6367957"/>
            <wp:effectExtent l="0" t="0" r="0" b="0"/>
            <wp:docPr id="8" name="Picture 8">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 diagram.PNG"/>
                    <pic:cNvPicPr/>
                  </pic:nvPicPr>
                  <pic:blipFill>
                    <a:blip r:embed="rId19">
                      <a:extLst>
                        <a:ext uri="{28A0092B-C50C-407E-A947-70E740481C1C}">
                          <a14:useLocalDpi xmlns:a14="http://schemas.microsoft.com/office/drawing/2010/main" val="0"/>
                        </a:ext>
                      </a:extLst>
                    </a:blip>
                    <a:stretch>
                      <a:fillRect/>
                    </a:stretch>
                  </pic:blipFill>
                  <pic:spPr>
                    <a:xfrm>
                      <a:off x="0" y="0"/>
                      <a:ext cx="5849620" cy="6367957"/>
                    </a:xfrm>
                    <a:prstGeom prst="rect">
                      <a:avLst/>
                    </a:prstGeom>
                  </pic:spPr>
                </pic:pic>
              </a:graphicData>
            </a:graphic>
          </wp:inline>
        </w:drawing>
      </w:r>
    </w:p>
    <w:p w:rsidR="0018721E" w:rsidRDefault="0018721E" w:rsidP="0018721E">
      <w:pPr>
        <w:spacing w:line="1080" w:lineRule="exact"/>
        <w:ind w:right="-20"/>
        <w:rPr>
          <w:rFonts w:ascii="TitilliumText25L" w:eastAsia="TitilliumText25L" w:hAnsi="TitilliumText25L" w:cs="TitilliumText25L"/>
          <w:sz w:val="60"/>
          <w:szCs w:val="60"/>
        </w:rPr>
      </w:pPr>
      <w:r>
        <w:rPr>
          <w:rFonts w:ascii="TitilliumText25L" w:eastAsia="TitilliumText25L" w:hAnsi="TitilliumText25L" w:cs="TitilliumText25L"/>
          <w:color w:val="D0202E"/>
          <w:position w:val="-1"/>
          <w:sz w:val="102"/>
          <w:szCs w:val="102"/>
        </w:rPr>
        <w:lastRenderedPageBreak/>
        <w:t>&gt;</w:t>
      </w:r>
      <w:r>
        <w:rPr>
          <w:rFonts w:ascii="TitilliumText25L" w:eastAsia="TitilliumText25L" w:hAnsi="TitilliumText25L" w:cs="TitilliumText25L"/>
          <w:color w:val="D0202E"/>
          <w:position w:val="12"/>
          <w:sz w:val="60"/>
          <w:szCs w:val="60"/>
        </w:rPr>
        <w:t>MEDICATION ASSESSMENT</w:t>
      </w:r>
    </w:p>
    <w:p w:rsidR="00D45975" w:rsidRPr="005179F6" w:rsidRDefault="00D45975" w:rsidP="008D016C">
      <w:pPr>
        <w:rPr>
          <w:rFonts w:cstheme="minorHAnsi"/>
        </w:rPr>
      </w:pPr>
      <w:r w:rsidRPr="005179F6">
        <w:rPr>
          <w:rFonts w:cstheme="minorHAnsi"/>
        </w:rPr>
        <w:t xml:space="preserve">Numerous medications and </w:t>
      </w:r>
      <w:r w:rsidRPr="0013572B">
        <w:rPr>
          <w:rFonts w:cstheme="minorHAnsi"/>
        </w:rPr>
        <w:t>complementary therapies</w:t>
      </w:r>
      <w:r w:rsidRPr="005179F6">
        <w:rPr>
          <w:rFonts w:cstheme="minorHAnsi"/>
        </w:rPr>
        <w:t xml:space="preserve"> may affect haemostasis so a comprehensive list of what the patient is taking is required. </w:t>
      </w:r>
      <w:r w:rsidR="004F7FDE" w:rsidRPr="00AC08E0">
        <w:rPr>
          <w:rFonts w:asciiTheme="majorHAnsi" w:hAnsiTheme="majorHAnsi" w:cstheme="majorHAnsi"/>
        </w:rPr>
        <w:t xml:space="preserve">For information on discussing the use of complementary medicines with patients, refer to the NHMRC resource: </w:t>
      </w:r>
      <w:hyperlink r:id="rId20" w:history="1">
        <w:r w:rsidR="004F7FDE" w:rsidRPr="00AC08E0">
          <w:rPr>
            <w:rStyle w:val="Hyperlink"/>
            <w:rFonts w:asciiTheme="majorHAnsi" w:hAnsiTheme="majorHAnsi" w:cstheme="majorHAnsi"/>
          </w:rPr>
          <w:t>Talking with your patients about Complementary Medicine – a Resource for Clinicians</w:t>
        </w:r>
      </w:hyperlink>
      <w:r w:rsidR="004F7FDE">
        <w:rPr>
          <w:rFonts w:asciiTheme="majorHAnsi" w:hAnsiTheme="majorHAnsi" w:cstheme="majorHAnsi"/>
        </w:rPr>
        <w:t>.</w:t>
      </w:r>
      <w:r w:rsidR="00AD2CE3">
        <w:rPr>
          <w:rFonts w:asciiTheme="majorHAnsi" w:hAnsiTheme="majorHAnsi" w:cstheme="majorHAnsi"/>
          <w:vertAlign w:val="superscript"/>
        </w:rPr>
        <w:t>4</w:t>
      </w:r>
      <w:r w:rsidR="004F7FDE">
        <w:rPr>
          <w:rFonts w:asciiTheme="majorHAnsi" w:hAnsiTheme="majorHAnsi" w:cstheme="majorHAnsi"/>
        </w:rPr>
        <w:t xml:space="preserve"> </w:t>
      </w:r>
      <w:r w:rsidRPr="005179F6">
        <w:rPr>
          <w:rFonts w:cstheme="minorHAnsi"/>
        </w:rPr>
        <w:t>The management of antiplatelet agents including non-steroidal anti-inflammatory agents, aspirin and clopidogrel</w:t>
      </w:r>
      <w:r w:rsidR="00ED1145">
        <w:rPr>
          <w:rFonts w:cstheme="minorHAnsi"/>
        </w:rPr>
        <w:t>;</w:t>
      </w:r>
      <w:r w:rsidRPr="005179F6">
        <w:rPr>
          <w:rFonts w:cstheme="minorHAnsi"/>
        </w:rPr>
        <w:t xml:space="preserve"> and anticoagulant therapy </w:t>
      </w:r>
      <w:r w:rsidR="00ED1145">
        <w:rPr>
          <w:rFonts w:cstheme="minorHAnsi"/>
        </w:rPr>
        <w:t xml:space="preserve">including </w:t>
      </w:r>
      <w:r w:rsidRPr="005179F6">
        <w:rPr>
          <w:rFonts w:cstheme="minorHAnsi"/>
        </w:rPr>
        <w:t xml:space="preserve">warfarin, heparin and the </w:t>
      </w:r>
      <w:r w:rsidR="00ED1145">
        <w:rPr>
          <w:rFonts w:cstheme="minorHAnsi"/>
        </w:rPr>
        <w:t>n</w:t>
      </w:r>
      <w:r w:rsidR="000535A3">
        <w:rPr>
          <w:rFonts w:cstheme="minorHAnsi"/>
        </w:rPr>
        <w:t>ew oral anticoagulants (NOAC</w:t>
      </w:r>
      <w:r w:rsidR="00ED1145">
        <w:rPr>
          <w:rFonts w:cstheme="minorHAnsi"/>
        </w:rPr>
        <w:t>)</w:t>
      </w:r>
      <w:r w:rsidRPr="005179F6">
        <w:rPr>
          <w:rFonts w:cstheme="minorHAnsi"/>
        </w:rPr>
        <w:t xml:space="preserve"> will need to be tailored for each patient to balance the risk of bleeding and thrombotic events</w:t>
      </w:r>
      <w:r w:rsidR="00BC6A8C" w:rsidRPr="005179F6">
        <w:rPr>
          <w:rFonts w:cstheme="minorHAnsi"/>
        </w:rPr>
        <w:t>. The management plan needs to</w:t>
      </w:r>
      <w:r w:rsidRPr="005179F6">
        <w:rPr>
          <w:rFonts w:cstheme="minorHAnsi"/>
        </w:rPr>
        <w:t xml:space="preserve"> tak</w:t>
      </w:r>
      <w:r w:rsidR="00BC6A8C" w:rsidRPr="005179F6">
        <w:rPr>
          <w:rFonts w:cstheme="minorHAnsi"/>
        </w:rPr>
        <w:t>e</w:t>
      </w:r>
      <w:r w:rsidRPr="005179F6">
        <w:rPr>
          <w:rFonts w:cstheme="minorHAnsi"/>
        </w:rPr>
        <w:t xml:space="preserve"> into consideration the indications for the medications, the nature of the procedure and its risk of bleeding. A multidisciplinary team approach, involving surgeon, anaesthetist, cardiologist</w:t>
      </w:r>
      <w:r w:rsidR="004D2F0A">
        <w:rPr>
          <w:rFonts w:cstheme="minorHAnsi"/>
        </w:rPr>
        <w:t>,</w:t>
      </w:r>
      <w:r w:rsidRPr="005179F6">
        <w:rPr>
          <w:rFonts w:cstheme="minorHAnsi"/>
        </w:rPr>
        <w:t xml:space="preserve"> haematologist, </w:t>
      </w:r>
      <w:r w:rsidR="004D2F0A">
        <w:rPr>
          <w:rFonts w:cstheme="minorHAnsi"/>
        </w:rPr>
        <w:t xml:space="preserve">preadmission staff, clinical nurse consultant and pharmacist </w:t>
      </w:r>
      <w:r w:rsidRPr="005179F6">
        <w:rPr>
          <w:rFonts w:cstheme="minorHAnsi"/>
        </w:rPr>
        <w:t xml:space="preserve">may be necessary to develop a management plan appropriate for the patient. </w:t>
      </w:r>
    </w:p>
    <w:p w:rsidR="00D45975" w:rsidRPr="005179F6" w:rsidRDefault="00D45975" w:rsidP="008D016C">
      <w:pPr>
        <w:rPr>
          <w:rFonts w:cstheme="minorHAnsi"/>
        </w:rPr>
      </w:pPr>
    </w:p>
    <w:p w:rsidR="007507BD" w:rsidRPr="005179F6" w:rsidRDefault="00D45975" w:rsidP="008D016C">
      <w:pPr>
        <w:rPr>
          <w:rFonts w:cstheme="minorHAnsi"/>
        </w:rPr>
      </w:pPr>
      <w:r w:rsidRPr="005179F6">
        <w:rPr>
          <w:rFonts w:cstheme="minorHAnsi"/>
        </w:rPr>
        <w:t xml:space="preserve">Some guidance regarding management of patients on anticoagulant and antiplatelet agents is provided in the PBM guidelines: Module 2 – </w:t>
      </w:r>
      <w:r w:rsidR="00A41A1A" w:rsidRPr="005179F6">
        <w:rPr>
          <w:rFonts w:cstheme="minorHAnsi"/>
        </w:rPr>
        <w:t>Perioperative</w:t>
      </w:r>
      <w:r w:rsidR="008D016C">
        <w:rPr>
          <w:rFonts w:cstheme="minorHAnsi"/>
          <w:vertAlign w:val="superscript"/>
        </w:rPr>
        <w:t>5</w:t>
      </w:r>
      <w:r w:rsidR="00A41A1A" w:rsidRPr="005179F6">
        <w:rPr>
          <w:rFonts w:cstheme="minorHAnsi"/>
        </w:rPr>
        <w:t xml:space="preserve"> </w:t>
      </w:r>
      <w:r w:rsidRPr="005179F6">
        <w:rPr>
          <w:rFonts w:cstheme="minorHAnsi"/>
        </w:rPr>
        <w:t xml:space="preserve">as outlined in Table </w:t>
      </w:r>
      <w:r w:rsidR="00B56206" w:rsidRPr="005179F6">
        <w:rPr>
          <w:rFonts w:cstheme="minorHAnsi"/>
        </w:rPr>
        <w:t>3</w:t>
      </w:r>
      <w:r w:rsidRPr="005179F6">
        <w:rPr>
          <w:rFonts w:cstheme="minorHAnsi"/>
        </w:rPr>
        <w:t>.</w:t>
      </w:r>
      <w:r w:rsidR="007507BD" w:rsidRPr="005179F6">
        <w:rPr>
          <w:rFonts w:cstheme="minorHAnsi"/>
        </w:rPr>
        <w:t xml:space="preserve"> </w:t>
      </w:r>
      <w:r w:rsidR="000535A3">
        <w:rPr>
          <w:rFonts w:cstheme="minorHAnsi"/>
        </w:rPr>
        <w:t>The Australian Society of Thrombosis and Haemostasis (ASTH) have published practical guidance on the management of patients taking NOAC in the perioperative period.</w:t>
      </w:r>
      <w:r w:rsidR="008D016C">
        <w:rPr>
          <w:rFonts w:cstheme="minorHAnsi"/>
          <w:vertAlign w:val="superscript"/>
        </w:rPr>
        <w:t>6</w:t>
      </w:r>
      <w:r w:rsidR="000535A3">
        <w:rPr>
          <w:rFonts w:cstheme="minorHAnsi"/>
        </w:rPr>
        <w:t xml:space="preserve"> </w:t>
      </w:r>
      <w:r w:rsidR="008539E6">
        <w:rPr>
          <w:rFonts w:cstheme="minorHAnsi"/>
        </w:rPr>
        <w:t xml:space="preserve">Figure 2 outlines the ASTH suggested management of patients receiving NOAC requiring urgent surgery and Table 4 includes a suggested management approach for preoperative interruption of NOAC. </w:t>
      </w:r>
      <w:r w:rsidR="00362DD1">
        <w:rPr>
          <w:rFonts w:cstheme="minorHAnsi"/>
        </w:rPr>
        <w:t>A summary of additional relevant</w:t>
      </w:r>
      <w:r w:rsidR="00311FA4">
        <w:rPr>
          <w:rFonts w:cstheme="minorHAnsi"/>
        </w:rPr>
        <w:t xml:space="preserve"> medication</w:t>
      </w:r>
      <w:r w:rsidR="007507BD" w:rsidRPr="005179F6">
        <w:rPr>
          <w:rFonts w:cstheme="minorHAnsi"/>
        </w:rPr>
        <w:t xml:space="preserve"> guidance from the European Society of Anaesthesiology is available in </w:t>
      </w:r>
      <w:r w:rsidR="004F70F0">
        <w:rPr>
          <w:rFonts w:cstheme="minorHAnsi"/>
        </w:rPr>
        <w:t>Appendix 3</w:t>
      </w:r>
      <w:r w:rsidR="007507BD" w:rsidRPr="005179F6">
        <w:rPr>
          <w:rFonts w:cstheme="minorHAnsi"/>
        </w:rPr>
        <w:t>.</w:t>
      </w:r>
    </w:p>
    <w:p w:rsidR="00F16B5F" w:rsidRDefault="00F16B5F" w:rsidP="008D016C">
      <w:pPr>
        <w:rPr>
          <w:rFonts w:cstheme="minorHAnsi"/>
        </w:rPr>
      </w:pPr>
    </w:p>
    <w:p w:rsidR="008D016C" w:rsidRPr="008D016C" w:rsidRDefault="007507BD" w:rsidP="008D016C">
      <w:pPr>
        <w:rPr>
          <w:rFonts w:cstheme="minorHAnsi"/>
        </w:rPr>
      </w:pPr>
      <w:r w:rsidRPr="005179F6">
        <w:rPr>
          <w:rFonts w:cstheme="minorHAnsi"/>
        </w:rPr>
        <w:t xml:space="preserve">Additional sources </w:t>
      </w:r>
      <w:r w:rsidR="008D016C">
        <w:rPr>
          <w:rFonts w:cstheme="minorHAnsi"/>
        </w:rPr>
        <w:t xml:space="preserve">to assist management include: </w:t>
      </w:r>
    </w:p>
    <w:p w:rsidR="007507BD" w:rsidRPr="009D3A5D" w:rsidRDefault="002B46CB" w:rsidP="0018721E">
      <w:pPr>
        <w:pStyle w:val="ListParagraph"/>
        <w:numPr>
          <w:ilvl w:val="0"/>
          <w:numId w:val="28"/>
        </w:numPr>
        <w:rPr>
          <w:rFonts w:cstheme="minorHAnsi"/>
        </w:rPr>
      </w:pPr>
      <w:hyperlink r:id="rId21" w:history="1">
        <w:r w:rsidR="007507BD" w:rsidRPr="009D3A5D">
          <w:rPr>
            <w:rStyle w:val="Hyperlink"/>
            <w:rFonts w:cstheme="minorHAnsi"/>
          </w:rPr>
          <w:t>Consensus guidelines for warfarin reversal</w:t>
        </w:r>
      </w:hyperlink>
      <w:r w:rsidR="007507BD" w:rsidRPr="009D3A5D">
        <w:rPr>
          <w:rFonts w:cstheme="minorHAnsi"/>
        </w:rPr>
        <w:t>: Australasian Society of Thrombosis and Haemostasis</w:t>
      </w:r>
      <w:r w:rsidR="00362DD1">
        <w:rPr>
          <w:rFonts w:cstheme="minorHAnsi"/>
        </w:rPr>
        <w:t>,</w:t>
      </w:r>
      <w:r w:rsidR="002F3B6F">
        <w:rPr>
          <w:rFonts w:cstheme="minorHAnsi"/>
        </w:rPr>
        <w:t xml:space="preserve"> </w:t>
      </w:r>
      <w:r w:rsidR="00362DD1">
        <w:rPr>
          <w:rFonts w:cstheme="minorHAnsi"/>
        </w:rPr>
        <w:t>2013</w:t>
      </w:r>
      <w:r w:rsidR="002F3B6F">
        <w:rPr>
          <w:rFonts w:cstheme="minorHAnsi"/>
        </w:rPr>
        <w:t>;</w:t>
      </w:r>
      <w:r w:rsidR="008D016C">
        <w:rPr>
          <w:rFonts w:cstheme="minorHAnsi"/>
          <w:vertAlign w:val="superscript"/>
        </w:rPr>
        <w:t>7</w:t>
      </w:r>
    </w:p>
    <w:p w:rsidR="007507BD" w:rsidRPr="009D3A5D" w:rsidRDefault="002B46CB" w:rsidP="0018721E">
      <w:pPr>
        <w:pStyle w:val="ListParagraph"/>
        <w:numPr>
          <w:ilvl w:val="0"/>
          <w:numId w:val="28"/>
        </w:numPr>
        <w:rPr>
          <w:rFonts w:cstheme="minorHAnsi"/>
        </w:rPr>
      </w:pPr>
      <w:hyperlink r:id="rId22" w:history="1">
        <w:r w:rsidR="007507BD" w:rsidRPr="009D3A5D">
          <w:rPr>
            <w:rStyle w:val="Hyperlink"/>
            <w:rFonts w:cstheme="minorHAnsi"/>
          </w:rPr>
          <w:t>The perioperative management of antithrombotic therapy</w:t>
        </w:r>
      </w:hyperlink>
      <w:r w:rsidR="007507BD" w:rsidRPr="009D3A5D">
        <w:rPr>
          <w:rFonts w:cstheme="minorHAnsi"/>
        </w:rPr>
        <w:t>: American College of Chest Physicians Evidence-Based Clinical Practice Guidelines (8th Edition</w:t>
      </w:r>
      <w:r w:rsidR="002F3B6F">
        <w:rPr>
          <w:rFonts w:cstheme="minorHAnsi"/>
        </w:rPr>
        <w:t>)</w:t>
      </w:r>
      <w:r w:rsidR="00362DD1">
        <w:rPr>
          <w:rFonts w:cstheme="minorHAnsi"/>
        </w:rPr>
        <w:t>, 2008</w:t>
      </w:r>
      <w:r w:rsidR="007507BD" w:rsidRPr="009D3A5D">
        <w:rPr>
          <w:rFonts w:cstheme="minorHAnsi"/>
        </w:rPr>
        <w:t>;</w:t>
      </w:r>
      <w:r w:rsidR="008D016C">
        <w:rPr>
          <w:rFonts w:cstheme="minorHAnsi"/>
          <w:vertAlign w:val="superscript"/>
        </w:rPr>
        <w:t>8</w:t>
      </w:r>
    </w:p>
    <w:p w:rsidR="008539E6" w:rsidRPr="008539E6" w:rsidRDefault="002B46CB" w:rsidP="0018721E">
      <w:pPr>
        <w:pStyle w:val="ListParagraph"/>
        <w:numPr>
          <w:ilvl w:val="0"/>
          <w:numId w:val="28"/>
        </w:numPr>
        <w:rPr>
          <w:rFonts w:cstheme="minorHAnsi"/>
        </w:rPr>
      </w:pPr>
      <w:hyperlink r:id="rId23" w:history="1">
        <w:r w:rsidR="008539E6" w:rsidRPr="00BA19EA">
          <w:rPr>
            <w:rStyle w:val="Hyperlink"/>
            <w:rFonts w:cstheme="minorHAnsi"/>
          </w:rPr>
          <w:t>New oral anticoagulants</w:t>
        </w:r>
        <w:r w:rsidR="009E1887" w:rsidRPr="00BA19EA">
          <w:rPr>
            <w:rStyle w:val="Hyperlink"/>
            <w:rFonts w:cstheme="minorHAnsi"/>
          </w:rPr>
          <w:t>:</w:t>
        </w:r>
        <w:r w:rsidR="008539E6" w:rsidRPr="00BA19EA">
          <w:rPr>
            <w:rStyle w:val="Hyperlink"/>
            <w:rFonts w:cstheme="minorHAnsi"/>
          </w:rPr>
          <w:t xml:space="preserve"> a practical guide on prescription, laboratory testing and peri-procedural/bleeding management</w:t>
        </w:r>
      </w:hyperlink>
      <w:r w:rsidR="008539E6">
        <w:rPr>
          <w:rFonts w:cstheme="minorHAnsi"/>
        </w:rPr>
        <w:t xml:space="preserve">: </w:t>
      </w:r>
      <w:r w:rsidR="008539E6" w:rsidRPr="009D3A5D">
        <w:rPr>
          <w:rFonts w:cstheme="minorHAnsi"/>
        </w:rPr>
        <w:t>Australasian Society of Thrombosis and Haemostasis</w:t>
      </w:r>
      <w:r w:rsidR="002F3B6F">
        <w:rPr>
          <w:rFonts w:cstheme="minorHAnsi"/>
        </w:rPr>
        <w:t>, 2014;</w:t>
      </w:r>
      <w:r w:rsidR="008D016C">
        <w:rPr>
          <w:rFonts w:cstheme="minorHAnsi"/>
          <w:vertAlign w:val="superscript"/>
        </w:rPr>
        <w:t>6</w:t>
      </w:r>
    </w:p>
    <w:p w:rsidR="0025621E" w:rsidRDefault="002B46CB" w:rsidP="0018721E">
      <w:pPr>
        <w:pStyle w:val="ListParagraph"/>
        <w:numPr>
          <w:ilvl w:val="0"/>
          <w:numId w:val="28"/>
        </w:numPr>
        <w:rPr>
          <w:rFonts w:cstheme="minorHAnsi"/>
        </w:rPr>
      </w:pPr>
      <w:hyperlink r:id="rId24" w:history="1">
        <w:r w:rsidR="0025621E">
          <w:rPr>
            <w:rStyle w:val="Hyperlink"/>
            <w:rFonts w:cstheme="minorHAnsi"/>
          </w:rPr>
          <w:t>Management of severe perioperative bleeding</w:t>
        </w:r>
      </w:hyperlink>
      <w:r w:rsidR="0025621E" w:rsidRPr="0091731A">
        <w:rPr>
          <w:rFonts w:cstheme="minorHAnsi"/>
        </w:rPr>
        <w:t>: guidelines from the European Society of Anaesthesiology</w:t>
      </w:r>
      <w:r w:rsidR="002F3B6F">
        <w:rPr>
          <w:rFonts w:cstheme="minorHAnsi"/>
        </w:rPr>
        <w:t>, 2013</w:t>
      </w:r>
      <w:r w:rsidR="0025621E" w:rsidRPr="009D3A5D">
        <w:rPr>
          <w:rFonts w:cstheme="minorHAnsi"/>
        </w:rPr>
        <w:t>;</w:t>
      </w:r>
      <w:r w:rsidR="008D016C">
        <w:rPr>
          <w:rFonts w:cstheme="minorHAnsi"/>
          <w:vertAlign w:val="superscript"/>
        </w:rPr>
        <w:t>3</w:t>
      </w:r>
      <w:r w:rsidR="0025621E" w:rsidRPr="009D3A5D">
        <w:rPr>
          <w:rFonts w:cstheme="minorHAnsi"/>
        </w:rPr>
        <w:t xml:space="preserve"> and</w:t>
      </w:r>
    </w:p>
    <w:p w:rsidR="007507BD" w:rsidRPr="008D016C" w:rsidRDefault="002B46CB" w:rsidP="0018721E">
      <w:pPr>
        <w:pStyle w:val="ListParagraph"/>
        <w:numPr>
          <w:ilvl w:val="0"/>
          <w:numId w:val="28"/>
        </w:numPr>
        <w:rPr>
          <w:rFonts w:cstheme="minorHAnsi"/>
        </w:rPr>
      </w:pPr>
      <w:hyperlink r:id="rId25" w:history="1">
        <w:r w:rsidR="00233FE1" w:rsidRPr="00983613">
          <w:rPr>
            <w:rStyle w:val="Hyperlink"/>
            <w:rFonts w:cstheme="minorHAnsi"/>
          </w:rPr>
          <w:t>Guideline on the management of bleeding in patients on antithrombotic agents</w:t>
        </w:r>
      </w:hyperlink>
      <w:r w:rsidR="00233FE1">
        <w:rPr>
          <w:rFonts w:cstheme="minorHAnsi"/>
        </w:rPr>
        <w:t>:</w:t>
      </w:r>
      <w:r w:rsidR="007507BD" w:rsidRPr="00233FE1">
        <w:rPr>
          <w:rFonts w:cstheme="minorHAnsi"/>
        </w:rPr>
        <w:t xml:space="preserve"> British Committee for Standards in Haematology</w:t>
      </w:r>
      <w:r w:rsidR="002F3B6F">
        <w:rPr>
          <w:rFonts w:cstheme="minorHAnsi"/>
        </w:rPr>
        <w:t>, 2008</w:t>
      </w:r>
      <w:r w:rsidR="008D016C">
        <w:rPr>
          <w:rFonts w:cstheme="minorHAnsi"/>
        </w:rPr>
        <w:t>;</w:t>
      </w:r>
      <w:r w:rsidR="008D016C">
        <w:rPr>
          <w:rFonts w:cstheme="minorHAnsi"/>
          <w:vertAlign w:val="superscript"/>
        </w:rPr>
        <w:t>9</w:t>
      </w:r>
    </w:p>
    <w:p w:rsidR="008D016C" w:rsidRPr="008D016C" w:rsidRDefault="002B46CB" w:rsidP="0018721E">
      <w:pPr>
        <w:pStyle w:val="ListParagraph"/>
        <w:numPr>
          <w:ilvl w:val="0"/>
          <w:numId w:val="28"/>
        </w:numPr>
        <w:rPr>
          <w:rFonts w:cstheme="minorHAnsi"/>
        </w:rPr>
      </w:pPr>
      <w:hyperlink r:id="rId26" w:history="1">
        <w:r w:rsidR="008D016C" w:rsidRPr="008D016C">
          <w:rPr>
            <w:rStyle w:val="Hyperlink"/>
            <w:rFonts w:cstheme="minorHAnsi"/>
          </w:rPr>
          <w:t>2011 update to the Society of Thoracic Surgeons and the Society of Cardiovascular Anesthesiologists blood conservation clinical practice guidelines</w:t>
        </w:r>
      </w:hyperlink>
      <w:r w:rsidR="008D016C" w:rsidRPr="008D016C">
        <w:rPr>
          <w:rFonts w:cstheme="minorHAnsi"/>
        </w:rPr>
        <w:t xml:space="preserve">. </w:t>
      </w:r>
      <w:r w:rsidR="008D016C" w:rsidRPr="00AD2CE3">
        <w:rPr>
          <w:rFonts w:cstheme="minorHAnsi"/>
        </w:rPr>
        <w:t>Society of Thoracic Surgeons Blood Conservation Guideline Task Force</w:t>
      </w:r>
      <w:r w:rsidR="008D016C">
        <w:rPr>
          <w:rFonts w:cstheme="minorHAnsi"/>
        </w:rPr>
        <w:t>, 2011.</w:t>
      </w:r>
      <w:r w:rsidR="008D016C" w:rsidRPr="008D016C">
        <w:rPr>
          <w:rFonts w:cstheme="minorHAnsi"/>
          <w:vertAlign w:val="superscript"/>
        </w:rPr>
        <w:t>1</w:t>
      </w:r>
    </w:p>
    <w:p w:rsidR="00F16B5F" w:rsidRDefault="00F16B5F" w:rsidP="005179F6">
      <w:pPr>
        <w:rPr>
          <w:rFonts w:cstheme="minorHAnsi"/>
        </w:rPr>
      </w:pPr>
      <w:r>
        <w:rPr>
          <w:rFonts w:cstheme="minorHAnsi"/>
        </w:rPr>
        <w:br w:type="page"/>
      </w:r>
    </w:p>
    <w:p w:rsidR="00545056" w:rsidRPr="005179F6" w:rsidRDefault="00545056" w:rsidP="005179F6">
      <w:pPr>
        <w:rPr>
          <w:rFonts w:cstheme="minorHAnsi"/>
        </w:rPr>
      </w:pPr>
    </w:p>
    <w:tbl>
      <w:tblPr>
        <w:tblStyle w:val="TableGrid"/>
        <w:tblW w:w="0" w:type="auto"/>
        <w:tblInd w:w="534" w:type="dxa"/>
        <w:tblLook w:val="04A0" w:firstRow="1" w:lastRow="0" w:firstColumn="1" w:lastColumn="0" w:noHBand="0" w:noVBand="1"/>
      </w:tblPr>
      <w:tblGrid>
        <w:gridCol w:w="1698"/>
        <w:gridCol w:w="5648"/>
        <w:gridCol w:w="1548"/>
      </w:tblGrid>
      <w:tr w:rsidR="00D45975" w:rsidRPr="005179F6" w:rsidTr="00045D4E">
        <w:tc>
          <w:tcPr>
            <w:tcW w:w="9072" w:type="dxa"/>
            <w:gridSpan w:val="3"/>
          </w:tcPr>
          <w:p w:rsidR="00D45975" w:rsidRPr="009D3A5D" w:rsidRDefault="00D45975" w:rsidP="00F16B5F">
            <w:pPr>
              <w:pStyle w:val="Heading2"/>
              <w:outlineLvl w:val="1"/>
            </w:pPr>
            <w:bookmarkStart w:id="7" w:name="_Toc411414852"/>
            <w:r w:rsidRPr="009D3A5D">
              <w:t xml:space="preserve">Table </w:t>
            </w:r>
            <w:r w:rsidR="00B56206" w:rsidRPr="009D3A5D">
              <w:t>3</w:t>
            </w:r>
            <w:r w:rsidRPr="009D3A5D">
              <w:t xml:space="preserve">: </w:t>
            </w:r>
            <w:r w:rsidR="003263AD" w:rsidRPr="009D3A5D">
              <w:t>G</w:t>
            </w:r>
            <w:r w:rsidRPr="009D3A5D">
              <w:t>uidance regarding cessation of medications</w:t>
            </w:r>
            <w:r w:rsidR="00F35A45" w:rsidRPr="009D3A5D">
              <w:t xml:space="preserve"> </w:t>
            </w:r>
            <w:r w:rsidR="00DD17ED">
              <w:t xml:space="preserve">- </w:t>
            </w:r>
            <w:r w:rsidR="00361646" w:rsidRPr="009D3A5D">
              <w:t>Patient Blood Management Guidelines: Module 2 Perioperative</w:t>
            </w:r>
            <w:bookmarkEnd w:id="7"/>
          </w:p>
        </w:tc>
      </w:tr>
      <w:tr w:rsidR="00D45975" w:rsidRPr="005179F6" w:rsidTr="00045D4E">
        <w:tc>
          <w:tcPr>
            <w:tcW w:w="1701" w:type="dxa"/>
          </w:tcPr>
          <w:p w:rsidR="00D45975" w:rsidRPr="009D3A5D" w:rsidRDefault="00D45975" w:rsidP="009D3A5D">
            <w:pPr>
              <w:spacing w:before="60" w:after="60"/>
              <w:rPr>
                <w:rFonts w:cstheme="minorHAnsi"/>
                <w:b/>
              </w:rPr>
            </w:pPr>
            <w:r w:rsidRPr="009D3A5D">
              <w:rPr>
                <w:rFonts w:cstheme="minorHAnsi"/>
                <w:b/>
              </w:rPr>
              <w:t>Medication</w:t>
            </w:r>
          </w:p>
        </w:tc>
        <w:tc>
          <w:tcPr>
            <w:tcW w:w="5811" w:type="dxa"/>
          </w:tcPr>
          <w:p w:rsidR="00D45975" w:rsidRPr="009D3A5D" w:rsidRDefault="00D45975" w:rsidP="009D3A5D">
            <w:pPr>
              <w:spacing w:before="60" w:after="60"/>
              <w:rPr>
                <w:rFonts w:cstheme="minorHAnsi"/>
                <w:b/>
              </w:rPr>
            </w:pPr>
            <w:r w:rsidRPr="009D3A5D">
              <w:rPr>
                <w:rFonts w:cstheme="minorHAnsi"/>
                <w:b/>
              </w:rPr>
              <w:t>Recommendation</w:t>
            </w:r>
            <w:r w:rsidR="00701B53" w:rsidRPr="009D3A5D">
              <w:rPr>
                <w:rFonts w:cstheme="minorHAnsi"/>
                <w:b/>
              </w:rPr>
              <w:t xml:space="preserve"> </w:t>
            </w:r>
            <w:r w:rsidR="004D0604" w:rsidRPr="009D3A5D">
              <w:rPr>
                <w:rFonts w:cstheme="minorHAnsi"/>
                <w:b/>
              </w:rPr>
              <w:t>(R)</w:t>
            </w:r>
            <w:r w:rsidRPr="009D3A5D">
              <w:rPr>
                <w:rFonts w:cstheme="minorHAnsi"/>
                <w:b/>
              </w:rPr>
              <w:t>/Practice point</w:t>
            </w:r>
            <w:r w:rsidR="00701B53" w:rsidRPr="009D3A5D">
              <w:rPr>
                <w:rFonts w:cstheme="minorHAnsi"/>
                <w:b/>
              </w:rPr>
              <w:t xml:space="preserve"> </w:t>
            </w:r>
            <w:r w:rsidR="004D0604" w:rsidRPr="009D3A5D">
              <w:rPr>
                <w:rFonts w:cstheme="minorHAnsi"/>
                <w:b/>
              </w:rPr>
              <w:t>(PP)</w:t>
            </w:r>
          </w:p>
        </w:tc>
        <w:tc>
          <w:tcPr>
            <w:tcW w:w="1560" w:type="dxa"/>
          </w:tcPr>
          <w:p w:rsidR="00D45975" w:rsidRPr="009D3A5D" w:rsidRDefault="00D45975" w:rsidP="009D3A5D">
            <w:pPr>
              <w:spacing w:before="60" w:after="60"/>
              <w:rPr>
                <w:rFonts w:cstheme="minorHAnsi"/>
                <w:b/>
              </w:rPr>
            </w:pPr>
            <w:r w:rsidRPr="009D3A5D">
              <w:rPr>
                <w:rFonts w:cstheme="minorHAnsi"/>
                <w:b/>
              </w:rPr>
              <w:t>Reference</w:t>
            </w:r>
          </w:p>
        </w:tc>
      </w:tr>
      <w:tr w:rsidR="00D45975" w:rsidRPr="005179F6" w:rsidTr="00045D4E">
        <w:tc>
          <w:tcPr>
            <w:tcW w:w="1701" w:type="dxa"/>
            <w:vMerge w:val="restart"/>
            <w:vAlign w:val="center"/>
          </w:tcPr>
          <w:p w:rsidR="00D45975" w:rsidRPr="005179F6" w:rsidRDefault="00D45975" w:rsidP="000D066B">
            <w:pPr>
              <w:spacing w:before="20" w:after="20"/>
              <w:rPr>
                <w:rFonts w:cstheme="minorHAnsi"/>
              </w:rPr>
            </w:pPr>
            <w:r w:rsidRPr="005179F6">
              <w:rPr>
                <w:rFonts w:cstheme="minorHAnsi"/>
              </w:rPr>
              <w:t>Aspirin</w:t>
            </w:r>
          </w:p>
        </w:tc>
        <w:tc>
          <w:tcPr>
            <w:tcW w:w="5811" w:type="dxa"/>
          </w:tcPr>
          <w:p w:rsidR="00D45975" w:rsidRPr="005179F6" w:rsidRDefault="00D45975" w:rsidP="000D066B">
            <w:pPr>
              <w:spacing w:before="20" w:after="20"/>
              <w:rPr>
                <w:rFonts w:cstheme="minorHAnsi"/>
              </w:rPr>
            </w:pPr>
            <w:r w:rsidRPr="005179F6">
              <w:rPr>
                <w:rFonts w:cstheme="minorHAnsi"/>
              </w:rPr>
              <w:t>In patients undergoing noncardiac surgery, it is reasonable to continue low dose aspirin therapy. This may require specific evaluation in neurosurgery and intraocular surgery (Grade C).</w:t>
            </w:r>
          </w:p>
        </w:tc>
        <w:tc>
          <w:tcPr>
            <w:tcW w:w="1560" w:type="dxa"/>
          </w:tcPr>
          <w:p w:rsidR="00D45975" w:rsidRPr="005179F6" w:rsidRDefault="00D45975" w:rsidP="000D066B">
            <w:pPr>
              <w:spacing w:before="20" w:after="20"/>
              <w:rPr>
                <w:rFonts w:cstheme="minorHAnsi"/>
              </w:rPr>
            </w:pPr>
            <w:r w:rsidRPr="005179F6">
              <w:rPr>
                <w:rFonts w:cstheme="minorHAnsi"/>
              </w:rPr>
              <w:t>R8</w:t>
            </w:r>
          </w:p>
        </w:tc>
      </w:tr>
      <w:tr w:rsidR="00D45975" w:rsidRPr="005179F6" w:rsidTr="00045D4E">
        <w:tc>
          <w:tcPr>
            <w:tcW w:w="1701" w:type="dxa"/>
            <w:vMerge/>
          </w:tcPr>
          <w:p w:rsidR="00D45975" w:rsidRPr="005179F6" w:rsidRDefault="00D45975" w:rsidP="000D066B">
            <w:pPr>
              <w:spacing w:before="20" w:after="20"/>
              <w:rPr>
                <w:rFonts w:cstheme="minorHAnsi"/>
              </w:rPr>
            </w:pPr>
          </w:p>
        </w:tc>
        <w:tc>
          <w:tcPr>
            <w:tcW w:w="5811" w:type="dxa"/>
          </w:tcPr>
          <w:p w:rsidR="00D45975" w:rsidRPr="005179F6" w:rsidRDefault="00D45975" w:rsidP="000D066B">
            <w:pPr>
              <w:spacing w:before="20" w:after="20"/>
              <w:rPr>
                <w:rFonts w:cstheme="minorHAnsi"/>
              </w:rPr>
            </w:pPr>
            <w:r w:rsidRPr="005179F6">
              <w:rPr>
                <w:rFonts w:cstheme="minorHAnsi"/>
              </w:rPr>
              <w:t>In patients undergoing cardiac surgery, aspirin may be continued until the time of surgery.</w:t>
            </w:r>
          </w:p>
        </w:tc>
        <w:tc>
          <w:tcPr>
            <w:tcW w:w="1560" w:type="dxa"/>
          </w:tcPr>
          <w:p w:rsidR="00D45975" w:rsidRPr="005179F6" w:rsidRDefault="00D45975" w:rsidP="000D066B">
            <w:pPr>
              <w:spacing w:before="20" w:after="20"/>
              <w:rPr>
                <w:rFonts w:cstheme="minorHAnsi"/>
              </w:rPr>
            </w:pPr>
            <w:r w:rsidRPr="005179F6">
              <w:rPr>
                <w:rFonts w:cstheme="minorHAnsi"/>
              </w:rPr>
              <w:t>PP8</w:t>
            </w:r>
          </w:p>
        </w:tc>
      </w:tr>
      <w:tr w:rsidR="00D45975" w:rsidRPr="005179F6" w:rsidTr="00045D4E">
        <w:tc>
          <w:tcPr>
            <w:tcW w:w="1701" w:type="dxa"/>
            <w:vAlign w:val="center"/>
          </w:tcPr>
          <w:p w:rsidR="00D45975" w:rsidRPr="005179F6" w:rsidRDefault="00D45975" w:rsidP="000D066B">
            <w:pPr>
              <w:spacing w:before="20" w:after="20"/>
              <w:rPr>
                <w:rFonts w:cstheme="minorHAnsi"/>
              </w:rPr>
            </w:pPr>
            <w:r w:rsidRPr="005179F6">
              <w:rPr>
                <w:rFonts w:cstheme="minorHAnsi"/>
              </w:rPr>
              <w:t>Non-steroidal anti-inflammatories (NSAIDs)</w:t>
            </w:r>
          </w:p>
        </w:tc>
        <w:tc>
          <w:tcPr>
            <w:tcW w:w="5811" w:type="dxa"/>
          </w:tcPr>
          <w:p w:rsidR="00D45975" w:rsidRPr="005179F6" w:rsidRDefault="00D45975" w:rsidP="000D066B">
            <w:pPr>
              <w:spacing w:before="20" w:after="20"/>
              <w:rPr>
                <w:rFonts w:cstheme="minorHAnsi"/>
              </w:rPr>
            </w:pPr>
            <w:r w:rsidRPr="005179F6">
              <w:rPr>
                <w:rFonts w:cstheme="minorHAnsi"/>
              </w:rPr>
              <w:t>In patients undergoing elective orthopaedic surgery, NSAID therapy should be ceased preoperatively to reduce blood loss and transfusion. The timing of the cessation should reflect the agent’s pharmacology</w:t>
            </w:r>
            <w:r w:rsidR="00701B53" w:rsidRPr="005179F6">
              <w:rPr>
                <w:rFonts w:cstheme="minorHAnsi"/>
              </w:rPr>
              <w:t xml:space="preserve"> (Grade C).</w:t>
            </w:r>
          </w:p>
        </w:tc>
        <w:tc>
          <w:tcPr>
            <w:tcW w:w="1560" w:type="dxa"/>
          </w:tcPr>
          <w:p w:rsidR="00D45975" w:rsidRPr="005179F6" w:rsidRDefault="00D45975" w:rsidP="000D066B">
            <w:pPr>
              <w:spacing w:before="20" w:after="20"/>
              <w:rPr>
                <w:rFonts w:cstheme="minorHAnsi"/>
              </w:rPr>
            </w:pPr>
            <w:r w:rsidRPr="005179F6">
              <w:rPr>
                <w:rFonts w:cstheme="minorHAnsi"/>
              </w:rPr>
              <w:t>R9</w:t>
            </w:r>
          </w:p>
        </w:tc>
      </w:tr>
      <w:tr w:rsidR="00D45975" w:rsidRPr="005179F6" w:rsidTr="00045D4E">
        <w:tc>
          <w:tcPr>
            <w:tcW w:w="1701" w:type="dxa"/>
            <w:vMerge w:val="restart"/>
            <w:vAlign w:val="center"/>
          </w:tcPr>
          <w:p w:rsidR="00D45975" w:rsidRPr="005179F6" w:rsidRDefault="00D45975" w:rsidP="000D066B">
            <w:pPr>
              <w:spacing w:before="20" w:after="20"/>
              <w:rPr>
                <w:rFonts w:cstheme="minorHAnsi"/>
              </w:rPr>
            </w:pPr>
            <w:r w:rsidRPr="005179F6">
              <w:rPr>
                <w:rFonts w:cstheme="minorHAnsi"/>
              </w:rPr>
              <w:t>Clopidogrel</w:t>
            </w:r>
          </w:p>
        </w:tc>
        <w:tc>
          <w:tcPr>
            <w:tcW w:w="5811" w:type="dxa"/>
          </w:tcPr>
          <w:p w:rsidR="00D45975" w:rsidRPr="005179F6" w:rsidRDefault="00D45975" w:rsidP="000D066B">
            <w:pPr>
              <w:spacing w:before="20" w:after="20"/>
              <w:rPr>
                <w:rFonts w:cstheme="minorHAnsi"/>
              </w:rPr>
            </w:pPr>
            <w:r w:rsidRPr="005179F6">
              <w:rPr>
                <w:rFonts w:cstheme="minorHAnsi"/>
              </w:rPr>
              <w:t>In patients undergoing CABG either with or without CPB (OPCAB), clopidogrel therapy should be stopped, where possible, at least 5 days before surgery</w:t>
            </w:r>
            <w:r w:rsidR="00701B53" w:rsidRPr="005179F6">
              <w:rPr>
                <w:rFonts w:cstheme="minorHAnsi"/>
              </w:rPr>
              <w:t xml:space="preserve"> (Grade C).</w:t>
            </w:r>
          </w:p>
        </w:tc>
        <w:tc>
          <w:tcPr>
            <w:tcW w:w="1560" w:type="dxa"/>
          </w:tcPr>
          <w:p w:rsidR="00D45975" w:rsidRPr="005179F6" w:rsidRDefault="00D45975" w:rsidP="000D066B">
            <w:pPr>
              <w:spacing w:before="20" w:after="20"/>
              <w:rPr>
                <w:rFonts w:cstheme="minorHAnsi"/>
              </w:rPr>
            </w:pPr>
            <w:r w:rsidRPr="005179F6">
              <w:rPr>
                <w:rFonts w:cstheme="minorHAnsi"/>
              </w:rPr>
              <w:t>R7</w:t>
            </w:r>
          </w:p>
        </w:tc>
      </w:tr>
      <w:tr w:rsidR="00D45975" w:rsidRPr="005179F6" w:rsidTr="00045D4E">
        <w:tc>
          <w:tcPr>
            <w:tcW w:w="1701" w:type="dxa"/>
            <w:vMerge/>
          </w:tcPr>
          <w:p w:rsidR="00D45975" w:rsidRPr="005179F6" w:rsidRDefault="00D45975" w:rsidP="000D066B">
            <w:pPr>
              <w:spacing w:before="20" w:after="20"/>
              <w:rPr>
                <w:rFonts w:cstheme="minorHAnsi"/>
              </w:rPr>
            </w:pPr>
          </w:p>
        </w:tc>
        <w:tc>
          <w:tcPr>
            <w:tcW w:w="5811" w:type="dxa"/>
          </w:tcPr>
          <w:p w:rsidR="00D45975" w:rsidRPr="005179F6" w:rsidRDefault="00D45975" w:rsidP="000D066B">
            <w:pPr>
              <w:spacing w:before="20" w:after="20"/>
              <w:rPr>
                <w:rFonts w:cstheme="minorHAnsi"/>
              </w:rPr>
            </w:pPr>
            <w:r w:rsidRPr="005179F6">
              <w:rPr>
                <w:rFonts w:cstheme="minorHAnsi"/>
              </w:rPr>
              <w:t>In patients receiving clopidogrel who are scheduled for elective noncardiac surgery or other invasive procedures, a multidisciplinary approach should be used to decide whether to cease therapy or defer surgery, balancing the risk of bleeding and thrombotic events. Specific evaluation is required for patients who had a recent stroke, or received a drug-eluting stent within the last 12 months or a bare metal stent within the last 6 weeks. If a decision is made to cease therapy preoperatively, this should occur 7–10 days before surgery.</w:t>
            </w:r>
          </w:p>
        </w:tc>
        <w:tc>
          <w:tcPr>
            <w:tcW w:w="1560" w:type="dxa"/>
          </w:tcPr>
          <w:p w:rsidR="00D45975" w:rsidRPr="005179F6" w:rsidRDefault="00D45975" w:rsidP="000D066B">
            <w:pPr>
              <w:spacing w:before="20" w:after="20"/>
              <w:rPr>
                <w:rFonts w:cstheme="minorHAnsi"/>
              </w:rPr>
            </w:pPr>
            <w:r w:rsidRPr="005179F6">
              <w:rPr>
                <w:rFonts w:cstheme="minorHAnsi"/>
              </w:rPr>
              <w:t>PP9</w:t>
            </w:r>
          </w:p>
        </w:tc>
      </w:tr>
      <w:tr w:rsidR="00D45975" w:rsidRPr="005179F6" w:rsidTr="00045D4E">
        <w:tc>
          <w:tcPr>
            <w:tcW w:w="1701" w:type="dxa"/>
            <w:vMerge w:val="restart"/>
            <w:vAlign w:val="center"/>
          </w:tcPr>
          <w:p w:rsidR="00D45975" w:rsidRPr="005179F6" w:rsidRDefault="00D45975" w:rsidP="000D066B">
            <w:pPr>
              <w:spacing w:before="20" w:after="20"/>
              <w:rPr>
                <w:rFonts w:cstheme="minorHAnsi"/>
              </w:rPr>
            </w:pPr>
            <w:r w:rsidRPr="005179F6">
              <w:rPr>
                <w:rFonts w:cstheme="minorHAnsi"/>
              </w:rPr>
              <w:t>Warfarin</w:t>
            </w:r>
          </w:p>
        </w:tc>
        <w:tc>
          <w:tcPr>
            <w:tcW w:w="5811" w:type="dxa"/>
          </w:tcPr>
          <w:p w:rsidR="00D45975" w:rsidRPr="005179F6" w:rsidRDefault="00D45975" w:rsidP="000D066B">
            <w:pPr>
              <w:spacing w:before="20" w:after="20"/>
              <w:rPr>
                <w:rFonts w:cstheme="minorHAnsi"/>
              </w:rPr>
            </w:pPr>
            <w:r w:rsidRPr="005179F6">
              <w:rPr>
                <w:rFonts w:cstheme="minorHAnsi"/>
              </w:rPr>
              <w:t>In patients undergoing minor dental procedures, arthrocentesis, cataract surgery, upper gastrointestinal endoscopy without biopsy or colonoscopy without biopsy, warfarin may be continued</w:t>
            </w:r>
            <w:r w:rsidR="00701B53" w:rsidRPr="005179F6">
              <w:rPr>
                <w:rFonts w:cstheme="minorHAnsi"/>
              </w:rPr>
              <w:t xml:space="preserve"> (Grade B).</w:t>
            </w:r>
          </w:p>
        </w:tc>
        <w:tc>
          <w:tcPr>
            <w:tcW w:w="1560" w:type="dxa"/>
          </w:tcPr>
          <w:p w:rsidR="00D45975" w:rsidRPr="005179F6" w:rsidRDefault="00D45975" w:rsidP="000D066B">
            <w:pPr>
              <w:spacing w:before="20" w:after="20"/>
              <w:rPr>
                <w:rFonts w:cstheme="minorHAnsi"/>
              </w:rPr>
            </w:pPr>
            <w:r w:rsidRPr="005179F6">
              <w:rPr>
                <w:rFonts w:cstheme="minorHAnsi"/>
              </w:rPr>
              <w:t>R10</w:t>
            </w:r>
          </w:p>
        </w:tc>
      </w:tr>
      <w:tr w:rsidR="00D45975" w:rsidRPr="005179F6" w:rsidTr="00045D4E">
        <w:tc>
          <w:tcPr>
            <w:tcW w:w="1701" w:type="dxa"/>
            <w:vMerge/>
          </w:tcPr>
          <w:p w:rsidR="00D45975" w:rsidRPr="005179F6" w:rsidRDefault="00D45975" w:rsidP="000D066B">
            <w:pPr>
              <w:spacing w:before="20" w:after="20"/>
              <w:rPr>
                <w:rFonts w:cstheme="minorHAnsi"/>
              </w:rPr>
            </w:pPr>
          </w:p>
        </w:tc>
        <w:tc>
          <w:tcPr>
            <w:tcW w:w="5811" w:type="dxa"/>
          </w:tcPr>
          <w:p w:rsidR="00D45975" w:rsidRPr="005179F6" w:rsidRDefault="00D45975" w:rsidP="000D066B">
            <w:pPr>
              <w:spacing w:before="20" w:after="20"/>
              <w:rPr>
                <w:rFonts w:cstheme="minorHAnsi"/>
              </w:rPr>
            </w:pPr>
            <w:r w:rsidRPr="005179F6">
              <w:rPr>
                <w:rFonts w:cstheme="minorHAnsi"/>
              </w:rPr>
              <w:t>In patients receiving warfarin who are scheduled for elective noncardiac surgery or other invasive procedures (excluding minor</w:t>
            </w:r>
            <w:r w:rsidR="00BA19EA">
              <w:rPr>
                <w:rFonts w:cstheme="minorHAnsi"/>
              </w:rPr>
              <w:t xml:space="preserve"> procedures - </w:t>
            </w:r>
            <w:r w:rsidRPr="005179F6">
              <w:rPr>
                <w:rFonts w:cstheme="minorHAnsi"/>
              </w:rPr>
              <w:t>see Recommendation 10); specific management according to current guidelines is required (e.g. guidelines from the American College of Chest Physicians and the Australasian Society of Thrombosis and Haemostasis).</w:t>
            </w:r>
          </w:p>
        </w:tc>
        <w:tc>
          <w:tcPr>
            <w:tcW w:w="1560" w:type="dxa"/>
          </w:tcPr>
          <w:p w:rsidR="00D45975" w:rsidRPr="005179F6" w:rsidRDefault="00D45975" w:rsidP="000D066B">
            <w:pPr>
              <w:spacing w:before="20" w:after="20"/>
              <w:rPr>
                <w:rFonts w:cstheme="minorHAnsi"/>
              </w:rPr>
            </w:pPr>
            <w:r w:rsidRPr="005179F6">
              <w:rPr>
                <w:rFonts w:cstheme="minorHAnsi"/>
              </w:rPr>
              <w:t>PP10</w:t>
            </w:r>
          </w:p>
        </w:tc>
      </w:tr>
    </w:tbl>
    <w:p w:rsidR="00F16B5F" w:rsidRPr="00F16B5F" w:rsidRDefault="00F16B5F" w:rsidP="00F16B5F">
      <w:pPr>
        <w:rPr>
          <w:sz w:val="20"/>
          <w:szCs w:val="20"/>
        </w:rPr>
      </w:pPr>
    </w:p>
    <w:p w:rsidR="008D016C" w:rsidRPr="00F16B5F" w:rsidRDefault="00F16B5F" w:rsidP="00F16B5F">
      <w:pPr>
        <w:rPr>
          <w:sz w:val="20"/>
          <w:szCs w:val="20"/>
        </w:rPr>
      </w:pPr>
      <w:r w:rsidRPr="00F16B5F">
        <w:rPr>
          <w:sz w:val="20"/>
          <w:szCs w:val="20"/>
          <w:vertAlign w:val="superscript"/>
        </w:rPr>
        <w:t>c</w:t>
      </w:r>
      <w:r w:rsidRPr="00F16B5F">
        <w:rPr>
          <w:sz w:val="20"/>
          <w:szCs w:val="20"/>
        </w:rPr>
        <w:t xml:space="preserve">For explanation of terminology for Recommendation and Practice point refer to Appendix </w:t>
      </w:r>
      <w:r>
        <w:rPr>
          <w:sz w:val="20"/>
          <w:szCs w:val="20"/>
        </w:rPr>
        <w:t>2c</w:t>
      </w:r>
      <w:r w:rsidRPr="00F16B5F">
        <w:rPr>
          <w:sz w:val="20"/>
          <w:szCs w:val="20"/>
        </w:rPr>
        <w:t>.</w:t>
      </w:r>
    </w:p>
    <w:p w:rsidR="00F16B5F" w:rsidRDefault="00F16B5F" w:rsidP="0012219F">
      <w:pPr>
        <w:pStyle w:val="Heading2"/>
      </w:pPr>
      <w:r>
        <w:br w:type="page"/>
      </w:r>
    </w:p>
    <w:p w:rsidR="00E9789B" w:rsidRPr="00FC3CEE" w:rsidRDefault="0025621E" w:rsidP="0012219F">
      <w:pPr>
        <w:pStyle w:val="Heading2"/>
      </w:pPr>
      <w:bookmarkStart w:id="8" w:name="_Toc411414853"/>
      <w:r w:rsidRPr="00FC3CEE">
        <w:lastRenderedPageBreak/>
        <w:t>Figure 2: Suggested management of patients receiving NOAC requiring urgent surgery</w:t>
      </w:r>
      <w:r w:rsidRPr="00FC3CEE">
        <w:rPr>
          <w:vertAlign w:val="superscript"/>
        </w:rPr>
        <w:t>4</w:t>
      </w:r>
      <w:bookmarkEnd w:id="8"/>
    </w:p>
    <w:p w:rsidR="0025621E" w:rsidRPr="000D066B" w:rsidRDefault="000D066B" w:rsidP="0013572B">
      <w:pPr>
        <w:rPr>
          <w:rFonts w:cstheme="minorHAnsi"/>
          <w:sz w:val="20"/>
          <w:szCs w:val="20"/>
        </w:rPr>
      </w:pPr>
      <w:r w:rsidRPr="000D066B">
        <w:rPr>
          <w:rFonts w:cstheme="minorHAnsi"/>
          <w:sz w:val="20"/>
          <w:szCs w:val="20"/>
        </w:rPr>
        <w:t>(</w:t>
      </w:r>
      <w:r w:rsidR="00E262C8">
        <w:rPr>
          <w:rFonts w:cstheme="minorHAnsi"/>
          <w:sz w:val="20"/>
          <w:szCs w:val="20"/>
        </w:rPr>
        <w:t>Reproduced with permission</w:t>
      </w:r>
      <w:r w:rsidRPr="000D066B">
        <w:rPr>
          <w:rFonts w:cstheme="minorHAnsi"/>
          <w:sz w:val="20"/>
          <w:szCs w:val="20"/>
        </w:rPr>
        <w:t>)</w:t>
      </w:r>
    </w:p>
    <w:p w:rsidR="0025621E" w:rsidRDefault="00B972D4" w:rsidP="0025621E">
      <w:pPr>
        <w:jc w:val="center"/>
        <w:rPr>
          <w:rFonts w:cstheme="minorHAnsi"/>
        </w:rPr>
      </w:pPr>
      <w:r>
        <w:rPr>
          <w:rFonts w:cstheme="minorHAnsi"/>
          <w:noProof/>
          <w:lang w:eastAsia="en-AU"/>
        </w:rPr>
        <w:drawing>
          <wp:inline distT="0" distB="0" distL="0" distR="0" wp14:anchorId="455F09EE" wp14:editId="6A0CCED8">
            <wp:extent cx="6120130" cy="62052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2.PNG"/>
                    <pic:cNvPicPr/>
                  </pic:nvPicPr>
                  <pic:blipFill>
                    <a:blip r:embed="rId27">
                      <a:extLst>
                        <a:ext uri="{28A0092B-C50C-407E-A947-70E740481C1C}">
                          <a14:useLocalDpi xmlns:a14="http://schemas.microsoft.com/office/drawing/2010/main" val="0"/>
                        </a:ext>
                      </a:extLst>
                    </a:blip>
                    <a:stretch>
                      <a:fillRect/>
                    </a:stretch>
                  </pic:blipFill>
                  <pic:spPr>
                    <a:xfrm>
                      <a:off x="0" y="0"/>
                      <a:ext cx="6120130" cy="6205220"/>
                    </a:xfrm>
                    <a:prstGeom prst="rect">
                      <a:avLst/>
                    </a:prstGeom>
                  </pic:spPr>
                </pic:pic>
              </a:graphicData>
            </a:graphic>
          </wp:inline>
        </w:drawing>
      </w:r>
    </w:p>
    <w:p w:rsidR="00F23C5A" w:rsidRDefault="00F23C5A" w:rsidP="0025621E">
      <w:pPr>
        <w:rPr>
          <w:rFonts w:cstheme="minorHAnsi"/>
          <w:sz w:val="20"/>
          <w:szCs w:val="20"/>
        </w:rPr>
      </w:pPr>
    </w:p>
    <w:p w:rsidR="0059126D" w:rsidRPr="00F23C5A" w:rsidRDefault="0059126D" w:rsidP="0025621E">
      <w:pPr>
        <w:rPr>
          <w:rFonts w:cstheme="minorHAnsi"/>
          <w:sz w:val="20"/>
          <w:szCs w:val="20"/>
        </w:rPr>
      </w:pPr>
      <w:r w:rsidRPr="00F23C5A">
        <w:rPr>
          <w:rFonts w:cstheme="minorHAnsi"/>
          <w:sz w:val="20"/>
          <w:szCs w:val="20"/>
        </w:rPr>
        <w:t>aPCC</w:t>
      </w:r>
      <w:r w:rsidR="00F23C5A" w:rsidRPr="00F23C5A">
        <w:rPr>
          <w:rFonts w:cstheme="minorHAnsi"/>
          <w:sz w:val="20"/>
          <w:szCs w:val="20"/>
        </w:rPr>
        <w:t xml:space="preserve"> –activated prothrombin complex concentrate</w:t>
      </w:r>
    </w:p>
    <w:p w:rsidR="0059126D" w:rsidRPr="00F23C5A" w:rsidRDefault="0059126D" w:rsidP="0025621E">
      <w:pPr>
        <w:rPr>
          <w:rFonts w:cstheme="minorHAnsi"/>
          <w:sz w:val="20"/>
          <w:szCs w:val="20"/>
        </w:rPr>
      </w:pPr>
      <w:r w:rsidRPr="00F23C5A">
        <w:rPr>
          <w:rFonts w:cstheme="minorHAnsi"/>
          <w:sz w:val="20"/>
          <w:szCs w:val="20"/>
        </w:rPr>
        <w:t>3F-PCC</w:t>
      </w:r>
      <w:r w:rsidR="00F23C5A">
        <w:rPr>
          <w:rFonts w:cstheme="minorHAnsi"/>
          <w:sz w:val="20"/>
          <w:szCs w:val="20"/>
        </w:rPr>
        <w:t xml:space="preserve"> – three factor </w:t>
      </w:r>
      <w:r w:rsidR="00F23C5A" w:rsidRPr="00F23C5A">
        <w:rPr>
          <w:rFonts w:cstheme="minorHAnsi"/>
          <w:sz w:val="20"/>
          <w:szCs w:val="20"/>
        </w:rPr>
        <w:t>prothrombin complex concentrate</w:t>
      </w:r>
    </w:p>
    <w:p w:rsidR="00E1766E" w:rsidRDefault="00E1766E">
      <w:pPr>
        <w:widowControl/>
        <w:spacing w:after="200" w:line="276" w:lineRule="auto"/>
        <w:rPr>
          <w:rFonts w:cstheme="minorHAnsi"/>
        </w:rPr>
      </w:pPr>
      <w:r>
        <w:rPr>
          <w:rFonts w:cstheme="minorHAnsi"/>
        </w:rPr>
        <w:br w:type="page"/>
      </w:r>
    </w:p>
    <w:p w:rsidR="009E1887" w:rsidRPr="000D066B" w:rsidRDefault="0025621E" w:rsidP="009E1887">
      <w:pPr>
        <w:rPr>
          <w:rFonts w:cstheme="minorHAnsi"/>
          <w:sz w:val="20"/>
          <w:szCs w:val="20"/>
        </w:rPr>
      </w:pPr>
      <w:bookmarkStart w:id="9" w:name="_Toc411414854"/>
      <w:r w:rsidRPr="0056640C">
        <w:rPr>
          <w:rStyle w:val="Heading2Char1"/>
        </w:rPr>
        <w:lastRenderedPageBreak/>
        <w:t>Table 4: Preoperative interruption of new oral anticoagulants: a suggested management approach</w:t>
      </w:r>
      <w:r w:rsidRPr="0056640C">
        <w:rPr>
          <w:rStyle w:val="Heading2Char1"/>
          <w:vertAlign w:val="superscript"/>
        </w:rPr>
        <w:t>4</w:t>
      </w:r>
      <w:bookmarkEnd w:id="9"/>
      <w:r w:rsidR="00E262C8">
        <w:rPr>
          <w:rFonts w:asciiTheme="majorHAnsi" w:hAnsiTheme="majorHAnsi" w:cstheme="majorHAnsi"/>
          <w:b/>
        </w:rPr>
        <w:t xml:space="preserve"> </w:t>
      </w:r>
      <w:r w:rsidR="009E1887" w:rsidRPr="000D066B">
        <w:rPr>
          <w:rFonts w:cstheme="minorHAnsi"/>
          <w:sz w:val="20"/>
          <w:szCs w:val="20"/>
        </w:rPr>
        <w:t>(</w:t>
      </w:r>
      <w:r w:rsidR="00E262C8">
        <w:rPr>
          <w:rFonts w:cstheme="minorHAnsi"/>
          <w:sz w:val="20"/>
          <w:szCs w:val="20"/>
        </w:rPr>
        <w:t>Reproduced with permission</w:t>
      </w:r>
      <w:r w:rsidR="009E1887" w:rsidRPr="000D066B">
        <w:rPr>
          <w:rFonts w:cstheme="minorHAnsi"/>
          <w:sz w:val="20"/>
          <w:szCs w:val="20"/>
        </w:rPr>
        <w:t>)</w:t>
      </w:r>
    </w:p>
    <w:p w:rsidR="0025621E" w:rsidRDefault="0025621E" w:rsidP="0025621E">
      <w:pPr>
        <w:rPr>
          <w:rFonts w:cstheme="minorHAnsi"/>
        </w:rPr>
      </w:pPr>
    </w:p>
    <w:p w:rsidR="0025621E" w:rsidRDefault="00B972D4" w:rsidP="00E1766E">
      <w:pPr>
        <w:jc w:val="center"/>
        <w:rPr>
          <w:rFonts w:cstheme="minorHAnsi"/>
        </w:rPr>
      </w:pPr>
      <w:r>
        <w:rPr>
          <w:rFonts w:cstheme="minorHAnsi"/>
          <w:noProof/>
          <w:lang w:eastAsia="en-AU"/>
        </w:rPr>
        <w:drawing>
          <wp:inline distT="0" distB="0" distL="0" distR="0" wp14:anchorId="08681714" wp14:editId="1C4A0F3E">
            <wp:extent cx="6120130" cy="268478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ble 6.PNG"/>
                    <pic:cNvPicPr/>
                  </pic:nvPicPr>
                  <pic:blipFill>
                    <a:blip r:embed="rId28">
                      <a:extLst>
                        <a:ext uri="{28A0092B-C50C-407E-A947-70E740481C1C}">
                          <a14:useLocalDpi xmlns:a14="http://schemas.microsoft.com/office/drawing/2010/main" val="0"/>
                        </a:ext>
                      </a:extLst>
                    </a:blip>
                    <a:stretch>
                      <a:fillRect/>
                    </a:stretch>
                  </pic:blipFill>
                  <pic:spPr>
                    <a:xfrm>
                      <a:off x="0" y="0"/>
                      <a:ext cx="6120130" cy="2684780"/>
                    </a:xfrm>
                    <a:prstGeom prst="rect">
                      <a:avLst/>
                    </a:prstGeom>
                  </pic:spPr>
                </pic:pic>
              </a:graphicData>
            </a:graphic>
          </wp:inline>
        </w:drawing>
      </w:r>
    </w:p>
    <w:p w:rsidR="0018721E" w:rsidRDefault="0018721E" w:rsidP="0018721E">
      <w:pPr>
        <w:ind w:right="-20"/>
        <w:rPr>
          <w:rFonts w:ascii="TitilliumText25L" w:eastAsia="TitilliumText25L" w:hAnsi="TitilliumText25L" w:cs="TitilliumText25L"/>
          <w:sz w:val="60"/>
          <w:szCs w:val="60"/>
        </w:rPr>
      </w:pPr>
      <w:r>
        <w:rPr>
          <w:rFonts w:ascii="TitilliumText25L" w:eastAsia="TitilliumText25L" w:hAnsi="TitilliumText25L" w:cs="TitilliumText25L"/>
          <w:color w:val="D0202E"/>
          <w:position w:val="-1"/>
          <w:sz w:val="102"/>
          <w:szCs w:val="102"/>
        </w:rPr>
        <w:t>&gt;</w:t>
      </w:r>
      <w:r>
        <w:rPr>
          <w:rFonts w:ascii="TitilliumText25L" w:eastAsia="TitilliumText25L" w:hAnsi="TitilliumText25L" w:cs="TitilliumText25L"/>
          <w:color w:val="D0202E"/>
          <w:sz w:val="60"/>
          <w:szCs w:val="60"/>
        </w:rPr>
        <w:t>BLEEDING</w:t>
      </w:r>
      <w:r>
        <w:rPr>
          <w:rFonts w:ascii="TitilliumText25L" w:eastAsia="TitilliumText25L" w:hAnsi="TitilliumText25L" w:cs="TitilliumText25L"/>
          <w:color w:val="D0202E"/>
          <w:spacing w:val="62"/>
          <w:sz w:val="60"/>
          <w:szCs w:val="60"/>
        </w:rPr>
        <w:t xml:space="preserve"> HISTORY</w:t>
      </w:r>
    </w:p>
    <w:p w:rsidR="009E4A39" w:rsidRDefault="00270052" w:rsidP="00816069">
      <w:pPr>
        <w:jc w:val="both"/>
        <w:rPr>
          <w:rFonts w:cstheme="minorHAnsi"/>
        </w:rPr>
      </w:pPr>
      <w:r w:rsidRPr="005179F6">
        <w:rPr>
          <w:rFonts w:cstheme="minorHAnsi"/>
        </w:rPr>
        <w:t>T</w:t>
      </w:r>
      <w:r w:rsidR="009E4A39" w:rsidRPr="005179F6">
        <w:rPr>
          <w:rFonts w:cstheme="minorHAnsi"/>
        </w:rPr>
        <w:t>he use of a structured patient interview or questionnaire before surgery or invasive procedures to assess bleeding risk has been recommended in international guidelines.</w:t>
      </w:r>
      <w:r w:rsidR="009E4A39" w:rsidRPr="00816069">
        <w:rPr>
          <w:rFonts w:cstheme="minorHAnsi"/>
          <w:vertAlign w:val="superscript"/>
        </w:rPr>
        <w:t>2</w:t>
      </w:r>
      <w:r w:rsidR="009D3D21">
        <w:rPr>
          <w:rFonts w:cstheme="minorHAnsi"/>
          <w:vertAlign w:val="superscript"/>
        </w:rPr>
        <w:t>,3</w:t>
      </w:r>
      <w:r w:rsidR="009E4A39" w:rsidRPr="005179F6">
        <w:rPr>
          <w:rFonts w:cstheme="minorHAnsi"/>
        </w:rPr>
        <w:t xml:space="preserve"> This should include </w:t>
      </w:r>
      <w:r w:rsidR="00EE2ED2" w:rsidRPr="005179F6">
        <w:rPr>
          <w:rFonts w:cstheme="minorHAnsi"/>
        </w:rPr>
        <w:t xml:space="preserve">personal </w:t>
      </w:r>
      <w:r w:rsidR="0061088F">
        <w:rPr>
          <w:rFonts w:cstheme="minorHAnsi"/>
        </w:rPr>
        <w:t xml:space="preserve">and family </w:t>
      </w:r>
      <w:r w:rsidR="00EE2ED2" w:rsidRPr="005179F6">
        <w:rPr>
          <w:rFonts w:cstheme="minorHAnsi"/>
        </w:rPr>
        <w:t xml:space="preserve">bleeding history, including </w:t>
      </w:r>
      <w:r w:rsidR="009E4A39" w:rsidRPr="005179F6">
        <w:rPr>
          <w:rFonts w:cstheme="minorHAnsi"/>
        </w:rPr>
        <w:t>previous excessive post-traumatic or postsurgical bleeding</w:t>
      </w:r>
      <w:r w:rsidR="00EE2ED2" w:rsidRPr="005179F6">
        <w:rPr>
          <w:rFonts w:cstheme="minorHAnsi"/>
        </w:rPr>
        <w:t>;</w:t>
      </w:r>
      <w:r w:rsidR="00356FE2">
        <w:rPr>
          <w:rFonts w:cstheme="minorHAnsi"/>
        </w:rPr>
        <w:t xml:space="preserve"> history of comorbidities which may increase bleeding risk such as renal or liver disorders;</w:t>
      </w:r>
      <w:r w:rsidR="009E4A39" w:rsidRPr="005179F6">
        <w:rPr>
          <w:rFonts w:cstheme="minorHAnsi"/>
        </w:rPr>
        <w:t xml:space="preserve"> and detailed information on the patient’s medication includin</w:t>
      </w:r>
      <w:r w:rsidR="00DD17ED">
        <w:rPr>
          <w:rFonts w:cstheme="minorHAnsi"/>
        </w:rPr>
        <w:t>g complementary medications.</w:t>
      </w:r>
      <w:r w:rsidR="009D3D21" w:rsidRPr="00816069">
        <w:rPr>
          <w:rFonts w:cstheme="minorHAnsi"/>
          <w:vertAlign w:val="superscript"/>
        </w:rPr>
        <w:t>2</w:t>
      </w:r>
      <w:r w:rsidR="009D3D21">
        <w:rPr>
          <w:rFonts w:cstheme="minorHAnsi"/>
          <w:vertAlign w:val="superscript"/>
        </w:rPr>
        <w:t>,3</w:t>
      </w:r>
      <w:r w:rsidR="009D3D21" w:rsidRPr="005179F6">
        <w:rPr>
          <w:rFonts w:cstheme="minorHAnsi"/>
        </w:rPr>
        <w:t xml:space="preserve"> </w:t>
      </w:r>
      <w:r w:rsidR="00C53561" w:rsidRPr="005179F6">
        <w:rPr>
          <w:rFonts w:cstheme="minorHAnsi"/>
        </w:rPr>
        <w:t xml:space="preserve">A number of Bleeding Assessment Tools (BATs) are available for this purpose and are </w:t>
      </w:r>
      <w:r w:rsidR="00BD4DBA" w:rsidRPr="005179F6">
        <w:rPr>
          <w:rFonts w:cstheme="minorHAnsi"/>
        </w:rPr>
        <w:t>outlined</w:t>
      </w:r>
      <w:r w:rsidR="00C53561" w:rsidRPr="005179F6">
        <w:rPr>
          <w:rFonts w:cstheme="minorHAnsi"/>
        </w:rPr>
        <w:t xml:space="preserve"> </w:t>
      </w:r>
      <w:r w:rsidR="00D13998">
        <w:rPr>
          <w:rFonts w:cstheme="minorHAnsi"/>
        </w:rPr>
        <w:t>in Table 5</w:t>
      </w:r>
      <w:r w:rsidR="00C53561" w:rsidRPr="005179F6">
        <w:rPr>
          <w:rFonts w:cstheme="minorHAnsi"/>
        </w:rPr>
        <w:t>.</w:t>
      </w:r>
    </w:p>
    <w:p w:rsidR="00356FE2" w:rsidRPr="005179F6" w:rsidRDefault="00356FE2" w:rsidP="00816069">
      <w:pPr>
        <w:jc w:val="both"/>
        <w:rPr>
          <w:rFonts w:cstheme="minorHAnsi"/>
        </w:rPr>
      </w:pPr>
    </w:p>
    <w:p w:rsidR="0018721E" w:rsidRDefault="0018721E" w:rsidP="002B46CB">
      <w:pPr>
        <w:ind w:left="567" w:right="-20" w:hanging="567"/>
        <w:rPr>
          <w:rFonts w:ascii="TitilliumText25L" w:eastAsia="TitilliumText25L" w:hAnsi="TitilliumText25L" w:cs="TitilliumText25L"/>
          <w:sz w:val="60"/>
          <w:szCs w:val="60"/>
        </w:rPr>
      </w:pPr>
      <w:r>
        <w:rPr>
          <w:rFonts w:ascii="TitilliumText25L" w:eastAsia="TitilliumText25L" w:hAnsi="TitilliumText25L" w:cs="TitilliumText25L"/>
          <w:color w:val="D0202E"/>
          <w:position w:val="-1"/>
          <w:sz w:val="102"/>
          <w:szCs w:val="102"/>
        </w:rPr>
        <w:t>&gt;</w:t>
      </w:r>
      <w:r>
        <w:rPr>
          <w:rFonts w:ascii="TitilliumText25L" w:eastAsia="TitilliumText25L" w:hAnsi="TitilliumText25L" w:cs="TitilliumText25L"/>
          <w:color w:val="D0202E"/>
          <w:sz w:val="60"/>
          <w:szCs w:val="60"/>
        </w:rPr>
        <w:t>WHAT IS A BLEEDING</w:t>
      </w:r>
      <w:r w:rsidR="00C94A36">
        <w:rPr>
          <w:rFonts w:ascii="TitilliumText25L" w:eastAsia="TitilliumText25L" w:hAnsi="TitilliumText25L" w:cs="TitilliumText25L"/>
          <w:color w:val="D0202E"/>
          <w:spacing w:val="62"/>
          <w:sz w:val="60"/>
          <w:szCs w:val="60"/>
        </w:rPr>
        <w:t xml:space="preserve"> ASSESSMENT TOOL (BAT)?</w:t>
      </w:r>
    </w:p>
    <w:p w:rsidR="00CE1E46" w:rsidRPr="005179F6" w:rsidRDefault="00CE1E46" w:rsidP="00816069">
      <w:pPr>
        <w:jc w:val="both"/>
        <w:rPr>
          <w:rFonts w:cstheme="minorHAnsi"/>
        </w:rPr>
      </w:pPr>
      <w:r w:rsidRPr="005179F6">
        <w:rPr>
          <w:rFonts w:cstheme="minorHAnsi"/>
        </w:rPr>
        <w:t>The evaluation of bleeding symptoms is a well-recognised challenge for both patients and physicians</w:t>
      </w:r>
      <w:r w:rsidR="001F226C" w:rsidRPr="005179F6">
        <w:rPr>
          <w:rFonts w:cstheme="minorHAnsi"/>
        </w:rPr>
        <w:t xml:space="preserve"> </w:t>
      </w:r>
      <w:r w:rsidRPr="005179F6">
        <w:rPr>
          <w:rFonts w:cstheme="minorHAnsi"/>
        </w:rPr>
        <w:t>because the reporting and interpretation of bleeding symptoms is subjective.</w:t>
      </w:r>
      <w:r w:rsidR="009D3D21">
        <w:rPr>
          <w:rFonts w:cstheme="minorHAnsi"/>
          <w:vertAlign w:val="superscript"/>
        </w:rPr>
        <w:t>10,11</w:t>
      </w:r>
      <w:r w:rsidRPr="005179F6">
        <w:rPr>
          <w:rFonts w:cstheme="minorHAnsi"/>
        </w:rPr>
        <w:t xml:space="preserve"> </w:t>
      </w:r>
      <w:r w:rsidR="004E50A6" w:rsidRPr="005179F6">
        <w:rPr>
          <w:rFonts w:cstheme="minorHAnsi"/>
        </w:rPr>
        <w:t>Mild bleeding events are commonly reported by patients both with and without inherited bleeding disorders.</w:t>
      </w:r>
      <w:r w:rsidR="009D3D21">
        <w:rPr>
          <w:rFonts w:cstheme="minorHAnsi"/>
          <w:vertAlign w:val="superscript"/>
        </w:rPr>
        <w:t>11</w:t>
      </w:r>
      <w:r w:rsidR="004E50A6" w:rsidRPr="005179F6">
        <w:rPr>
          <w:rFonts w:cstheme="minorHAnsi"/>
        </w:rPr>
        <w:t xml:space="preserve"> Additionally, there are diagnostic limitations with available laboratory testing for mild bleeding disorders.</w:t>
      </w:r>
      <w:r w:rsidR="009D3D21">
        <w:rPr>
          <w:rFonts w:cstheme="minorHAnsi"/>
          <w:vertAlign w:val="superscript"/>
        </w:rPr>
        <w:t>10</w:t>
      </w:r>
      <w:r w:rsidR="004E50A6" w:rsidRPr="005179F6">
        <w:rPr>
          <w:rFonts w:cstheme="minorHAnsi"/>
        </w:rPr>
        <w:t xml:space="preserve"> </w:t>
      </w:r>
      <w:r w:rsidRPr="005179F6">
        <w:rPr>
          <w:rFonts w:cstheme="minorHAnsi"/>
        </w:rPr>
        <w:t xml:space="preserve">As a result, bleeding assessment tools (BATs) have been developed and studied in a variety of clinical settings in an attempt to </w:t>
      </w:r>
      <w:r w:rsidR="004E50A6" w:rsidRPr="005179F6">
        <w:rPr>
          <w:rFonts w:cstheme="minorHAnsi"/>
        </w:rPr>
        <w:t>standardise and quantify bleeding symptoms</w:t>
      </w:r>
      <w:r w:rsidRPr="005179F6">
        <w:rPr>
          <w:rFonts w:cstheme="minorHAnsi"/>
        </w:rPr>
        <w:t xml:space="preserve">. The goal of </w:t>
      </w:r>
      <w:r w:rsidR="009E4A39" w:rsidRPr="005179F6">
        <w:rPr>
          <w:rFonts w:cstheme="minorHAnsi"/>
        </w:rPr>
        <w:t xml:space="preserve">a </w:t>
      </w:r>
      <w:r w:rsidRPr="005179F6">
        <w:rPr>
          <w:rFonts w:cstheme="minorHAnsi"/>
        </w:rPr>
        <w:t xml:space="preserve">BAT </w:t>
      </w:r>
      <w:r w:rsidR="009E4A39" w:rsidRPr="005179F6">
        <w:rPr>
          <w:rFonts w:cstheme="minorHAnsi"/>
        </w:rPr>
        <w:t>is</w:t>
      </w:r>
      <w:r w:rsidRPr="005179F6">
        <w:rPr>
          <w:rFonts w:cstheme="minorHAnsi"/>
        </w:rPr>
        <w:t xml:space="preserve"> to:</w:t>
      </w:r>
    </w:p>
    <w:p w:rsidR="00E34A3D" w:rsidRPr="009D3A5D" w:rsidRDefault="00CE1E46" w:rsidP="00356FE2">
      <w:pPr>
        <w:pStyle w:val="ListParagraph"/>
        <w:numPr>
          <w:ilvl w:val="0"/>
          <w:numId w:val="5"/>
        </w:numPr>
        <w:jc w:val="both"/>
        <w:rPr>
          <w:rFonts w:cstheme="minorHAnsi"/>
        </w:rPr>
      </w:pPr>
      <w:r w:rsidRPr="009D3A5D">
        <w:rPr>
          <w:rFonts w:cstheme="minorHAnsi"/>
        </w:rPr>
        <w:t>improve diagnostic accuracy and thereby avoid unwarranted laboratory testing;</w:t>
      </w:r>
    </w:p>
    <w:p w:rsidR="00CE1E46" w:rsidRPr="009D3A5D" w:rsidRDefault="00CE1E46" w:rsidP="00356FE2">
      <w:pPr>
        <w:pStyle w:val="ListParagraph"/>
        <w:numPr>
          <w:ilvl w:val="0"/>
          <w:numId w:val="5"/>
        </w:numPr>
        <w:jc w:val="both"/>
        <w:rPr>
          <w:rFonts w:cstheme="minorHAnsi"/>
        </w:rPr>
      </w:pPr>
      <w:r w:rsidRPr="009D3A5D">
        <w:rPr>
          <w:rFonts w:cstheme="minorHAnsi"/>
        </w:rPr>
        <w:t>predict the risk of bleeding in an individual patient</w:t>
      </w:r>
      <w:r w:rsidR="004E50A6" w:rsidRPr="009D3A5D">
        <w:rPr>
          <w:rFonts w:cstheme="minorHAnsi"/>
        </w:rPr>
        <w:t>;</w:t>
      </w:r>
    </w:p>
    <w:p w:rsidR="00CE1E46" w:rsidRPr="009D3A5D" w:rsidRDefault="00CE1E46" w:rsidP="00356FE2">
      <w:pPr>
        <w:pStyle w:val="ListParagraph"/>
        <w:numPr>
          <w:ilvl w:val="0"/>
          <w:numId w:val="5"/>
        </w:numPr>
        <w:jc w:val="both"/>
        <w:rPr>
          <w:rFonts w:cstheme="minorHAnsi"/>
        </w:rPr>
      </w:pPr>
      <w:r w:rsidRPr="009D3A5D">
        <w:rPr>
          <w:rFonts w:cstheme="minorHAnsi"/>
        </w:rPr>
        <w:t xml:space="preserve">describe the symptom severity; and </w:t>
      </w:r>
    </w:p>
    <w:p w:rsidR="00CE1E46" w:rsidRPr="009D3A5D" w:rsidRDefault="00CE1E46" w:rsidP="00356FE2">
      <w:pPr>
        <w:pStyle w:val="ListParagraph"/>
        <w:numPr>
          <w:ilvl w:val="0"/>
          <w:numId w:val="5"/>
        </w:numPr>
        <w:jc w:val="both"/>
        <w:rPr>
          <w:rFonts w:cstheme="minorHAnsi"/>
        </w:rPr>
      </w:pPr>
      <w:r w:rsidRPr="009D3A5D">
        <w:rPr>
          <w:rFonts w:cstheme="minorHAnsi"/>
        </w:rPr>
        <w:t xml:space="preserve">inform </w:t>
      </w:r>
      <w:r w:rsidR="001F226C" w:rsidRPr="009D3A5D">
        <w:rPr>
          <w:rFonts w:cstheme="minorHAnsi"/>
        </w:rPr>
        <w:t>treatment.</w:t>
      </w:r>
      <w:r w:rsidR="009D3D21">
        <w:rPr>
          <w:rFonts w:cstheme="minorHAnsi"/>
          <w:vertAlign w:val="superscript"/>
        </w:rPr>
        <w:t>10</w:t>
      </w:r>
    </w:p>
    <w:p w:rsidR="00C53561" w:rsidRPr="005179F6" w:rsidRDefault="00C53561" w:rsidP="00816069">
      <w:pPr>
        <w:jc w:val="both"/>
        <w:rPr>
          <w:rFonts w:cstheme="minorHAnsi"/>
        </w:rPr>
      </w:pPr>
    </w:p>
    <w:p w:rsidR="00E34A3D" w:rsidRPr="005179F6" w:rsidRDefault="00C53561" w:rsidP="00816069">
      <w:pPr>
        <w:jc w:val="both"/>
        <w:rPr>
          <w:rFonts w:cstheme="minorHAnsi"/>
        </w:rPr>
      </w:pPr>
      <w:r w:rsidRPr="005179F6">
        <w:rPr>
          <w:rFonts w:cstheme="minorHAnsi"/>
        </w:rPr>
        <w:t>BATs consist of a clinician administered, standardised bleeding history questionnaire and a bleeding score. The worst episode of each symptom is graded according to the bleeding score table. The final bleeding score is the total of all values. The higher the bleeding score, the greater</w:t>
      </w:r>
      <w:r w:rsidR="000A2237">
        <w:rPr>
          <w:rFonts w:cstheme="minorHAnsi"/>
        </w:rPr>
        <w:t xml:space="preserve"> </w:t>
      </w:r>
      <w:r w:rsidRPr="005179F6">
        <w:rPr>
          <w:rFonts w:cstheme="minorHAnsi"/>
        </w:rPr>
        <w:t>the likelihood of a bleeding disorder.</w:t>
      </w:r>
    </w:p>
    <w:p w:rsidR="004D2F0A" w:rsidRPr="005179F6" w:rsidRDefault="004D2F0A" w:rsidP="00816069">
      <w:pPr>
        <w:jc w:val="both"/>
        <w:rPr>
          <w:rFonts w:cstheme="minorHAnsi"/>
        </w:rPr>
      </w:pPr>
    </w:p>
    <w:p w:rsidR="00C94A36" w:rsidRDefault="00C94A36" w:rsidP="002B46CB">
      <w:pPr>
        <w:ind w:left="567" w:right="-286" w:hanging="567"/>
        <w:rPr>
          <w:rFonts w:ascii="TitilliumText25L" w:eastAsia="TitilliumText25L" w:hAnsi="TitilliumText25L" w:cs="TitilliumText25L"/>
          <w:sz w:val="60"/>
          <w:szCs w:val="60"/>
        </w:rPr>
      </w:pPr>
      <w:r>
        <w:rPr>
          <w:rFonts w:ascii="TitilliumText25L" w:eastAsia="TitilliumText25L" w:hAnsi="TitilliumText25L" w:cs="TitilliumText25L"/>
          <w:color w:val="D0202E"/>
          <w:position w:val="-1"/>
          <w:sz w:val="102"/>
          <w:szCs w:val="102"/>
        </w:rPr>
        <w:lastRenderedPageBreak/>
        <w:t>&gt;</w:t>
      </w:r>
      <w:r>
        <w:rPr>
          <w:rFonts w:ascii="TitilliumText25L" w:eastAsia="TitilliumText25L" w:hAnsi="TitilliumText25L" w:cs="TitilliumText25L"/>
          <w:color w:val="D0202E"/>
          <w:sz w:val="60"/>
          <w:szCs w:val="60"/>
        </w:rPr>
        <w:t>WHAT BLEEDING</w:t>
      </w:r>
      <w:r>
        <w:rPr>
          <w:rFonts w:ascii="TitilliumText25L" w:eastAsia="TitilliumText25L" w:hAnsi="TitilliumText25L" w:cs="TitilliumText25L"/>
          <w:color w:val="D0202E"/>
          <w:spacing w:val="62"/>
          <w:sz w:val="60"/>
          <w:szCs w:val="60"/>
        </w:rPr>
        <w:t xml:space="preserve"> ASSESSMENT TOOLS ARE AVAILABLE?</w:t>
      </w:r>
    </w:p>
    <w:p w:rsidR="00BD4DBA" w:rsidRPr="005179F6" w:rsidRDefault="004A2826" w:rsidP="00816069">
      <w:pPr>
        <w:jc w:val="both"/>
        <w:rPr>
          <w:rFonts w:cstheme="minorHAnsi"/>
        </w:rPr>
      </w:pPr>
      <w:r w:rsidRPr="005179F6">
        <w:rPr>
          <w:rFonts w:cstheme="minorHAnsi"/>
        </w:rPr>
        <w:t>Both adult and paediatric BATs are available, as well as a newer combined tool developed by the International Society of Thrombosis and Haemostasis (ISTH) in an effort to consolidate the available tools.</w:t>
      </w:r>
      <w:r w:rsidR="009D3D21">
        <w:rPr>
          <w:rFonts w:cstheme="minorHAnsi"/>
          <w:vertAlign w:val="superscript"/>
        </w:rPr>
        <w:t>12</w:t>
      </w:r>
      <w:r w:rsidRPr="005179F6">
        <w:rPr>
          <w:rFonts w:cstheme="minorHAnsi"/>
        </w:rPr>
        <w:t xml:space="preserve"> All the tools stem from a set of provisional criteria for the diagnosis of von Willebrand Disease (VWD) type 1, published in 2005.</w:t>
      </w:r>
      <w:r w:rsidR="009D3D21">
        <w:rPr>
          <w:rFonts w:cstheme="minorHAnsi"/>
          <w:vertAlign w:val="superscript"/>
        </w:rPr>
        <w:t>13</w:t>
      </w:r>
      <w:r w:rsidRPr="005179F6">
        <w:rPr>
          <w:rFonts w:cstheme="minorHAnsi"/>
        </w:rPr>
        <w:t xml:space="preserve"> The tools are referenced in Table </w:t>
      </w:r>
      <w:r w:rsidR="00B223A5">
        <w:rPr>
          <w:rFonts w:cstheme="minorHAnsi"/>
        </w:rPr>
        <w:t>5</w:t>
      </w:r>
      <w:r w:rsidR="0077568E" w:rsidRPr="005179F6">
        <w:rPr>
          <w:rFonts w:cstheme="minorHAnsi"/>
        </w:rPr>
        <w:t>.</w:t>
      </w:r>
    </w:p>
    <w:p w:rsidR="00A02CA9" w:rsidRPr="005179F6" w:rsidRDefault="00A02CA9" w:rsidP="00816069">
      <w:pPr>
        <w:jc w:val="both"/>
        <w:rPr>
          <w:rFonts w:cstheme="minorHAnsi"/>
        </w:rPr>
      </w:pPr>
    </w:p>
    <w:p w:rsidR="002E3B80" w:rsidRPr="005179F6" w:rsidRDefault="002E3B80" w:rsidP="00816069">
      <w:pPr>
        <w:jc w:val="both"/>
        <w:rPr>
          <w:rFonts w:cstheme="minorHAnsi"/>
        </w:rPr>
      </w:pPr>
      <w:r w:rsidRPr="005179F6">
        <w:rPr>
          <w:rFonts w:cstheme="minorHAnsi"/>
        </w:rPr>
        <w:t>In addition to the tools there are two excellent articles which provide an overview of the available BATs:</w:t>
      </w:r>
    </w:p>
    <w:p w:rsidR="002E3B80" w:rsidRPr="005179F6" w:rsidRDefault="002E3B80" w:rsidP="00816069">
      <w:pPr>
        <w:jc w:val="both"/>
        <w:rPr>
          <w:rFonts w:cstheme="minorHAnsi"/>
        </w:rPr>
      </w:pPr>
    </w:p>
    <w:p w:rsidR="002E3B80" w:rsidRPr="009D3A5D" w:rsidRDefault="002E3B80" w:rsidP="00356FE2">
      <w:pPr>
        <w:pStyle w:val="ListParagraph"/>
        <w:numPr>
          <w:ilvl w:val="0"/>
          <w:numId w:val="9"/>
        </w:numPr>
        <w:jc w:val="both"/>
        <w:rPr>
          <w:rFonts w:cstheme="minorHAnsi"/>
        </w:rPr>
      </w:pPr>
      <w:r w:rsidRPr="009D3A5D">
        <w:rPr>
          <w:rFonts w:cstheme="minorHAnsi"/>
        </w:rPr>
        <w:t xml:space="preserve">Rydz N and James PD. </w:t>
      </w:r>
      <w:hyperlink r:id="rId29" w:history="1">
        <w:r w:rsidRPr="009D3A5D">
          <w:rPr>
            <w:rStyle w:val="Hyperlink"/>
            <w:rFonts w:cstheme="minorHAnsi"/>
          </w:rPr>
          <w:t>The evolution and value of bleeding assessment tools</w:t>
        </w:r>
      </w:hyperlink>
      <w:r w:rsidRPr="009D3A5D">
        <w:rPr>
          <w:rFonts w:cstheme="minorHAnsi"/>
        </w:rPr>
        <w:t xml:space="preserve">. Journal of Thrombosis and Haemostasis, 2012; 10: 2223–2229. (This article includes a </w:t>
      </w:r>
      <w:hyperlink r:id="rId30" w:history="1">
        <w:r w:rsidRPr="009D3A5D">
          <w:rPr>
            <w:rStyle w:val="Hyperlink"/>
            <w:rFonts w:cstheme="minorHAnsi"/>
          </w:rPr>
          <w:t>Comparison of Scoring Systems</w:t>
        </w:r>
      </w:hyperlink>
      <w:r w:rsidRPr="009D3A5D">
        <w:rPr>
          <w:rFonts w:cstheme="minorHAnsi"/>
        </w:rPr>
        <w:t>).</w:t>
      </w:r>
      <w:r w:rsidR="009D3D21">
        <w:rPr>
          <w:rFonts w:cstheme="minorHAnsi"/>
          <w:vertAlign w:val="superscript"/>
        </w:rPr>
        <w:t>10</w:t>
      </w:r>
    </w:p>
    <w:p w:rsidR="002E3B80" w:rsidRPr="009D3A5D" w:rsidRDefault="002E3B80" w:rsidP="00356FE2">
      <w:pPr>
        <w:pStyle w:val="ListParagraph"/>
        <w:numPr>
          <w:ilvl w:val="0"/>
          <w:numId w:val="9"/>
        </w:numPr>
        <w:jc w:val="both"/>
        <w:rPr>
          <w:rFonts w:cstheme="minorHAnsi"/>
        </w:rPr>
      </w:pPr>
      <w:r w:rsidRPr="009D3A5D">
        <w:rPr>
          <w:rFonts w:cstheme="minorHAnsi"/>
        </w:rPr>
        <w:t xml:space="preserve">O’Brien S. </w:t>
      </w:r>
      <w:hyperlink r:id="rId31" w:history="1">
        <w:r w:rsidRPr="009D3A5D">
          <w:rPr>
            <w:rStyle w:val="Hyperlink"/>
            <w:rFonts w:cstheme="minorHAnsi"/>
          </w:rPr>
          <w:t>Bleeding scores: are they really useful?</w:t>
        </w:r>
      </w:hyperlink>
      <w:r w:rsidRPr="009D3A5D">
        <w:rPr>
          <w:rFonts w:cstheme="minorHAnsi"/>
        </w:rPr>
        <w:t xml:space="preserve"> Hemaotology. Am Soc Hematol Educ Program, 2012;2012:152-156</w:t>
      </w:r>
      <w:r w:rsidR="001C4454">
        <w:rPr>
          <w:rFonts w:cstheme="minorHAnsi"/>
        </w:rPr>
        <w:t>.</w:t>
      </w:r>
      <w:r w:rsidR="009D3D21">
        <w:rPr>
          <w:rFonts w:cstheme="minorHAnsi"/>
          <w:vertAlign w:val="superscript"/>
        </w:rPr>
        <w:t>11</w:t>
      </w:r>
    </w:p>
    <w:p w:rsidR="002E3B80" w:rsidRPr="005179F6" w:rsidRDefault="002E3B80" w:rsidP="005179F6">
      <w:pPr>
        <w:rPr>
          <w:rFonts w:cstheme="minorHAnsi"/>
        </w:rPr>
      </w:pPr>
    </w:p>
    <w:p w:rsidR="002E3B80" w:rsidRPr="005179F6" w:rsidRDefault="002E3B80" w:rsidP="005179F6">
      <w:pPr>
        <w:rPr>
          <w:rFonts w:cstheme="minorHAnsi"/>
        </w:rPr>
      </w:pPr>
    </w:p>
    <w:p w:rsidR="002E3B80" w:rsidRPr="005179F6" w:rsidRDefault="002E3B80" w:rsidP="005179F6">
      <w:pPr>
        <w:rPr>
          <w:rFonts w:cstheme="minorHAnsi"/>
        </w:rPr>
        <w:sectPr w:rsidR="002E3B80" w:rsidRPr="005179F6" w:rsidSect="00095202">
          <w:footerReference w:type="default" r:id="rId32"/>
          <w:footnotePr>
            <w:numFmt w:val="lowerLetter"/>
          </w:footnotePr>
          <w:pgSz w:w="11906" w:h="16838"/>
          <w:pgMar w:top="1135" w:right="1134" w:bottom="0" w:left="1560" w:header="709" w:footer="0" w:gutter="0"/>
          <w:pgNumType w:start="2"/>
          <w:cols w:space="708"/>
          <w:docGrid w:linePitch="360"/>
        </w:sectPr>
      </w:pPr>
    </w:p>
    <w:tbl>
      <w:tblPr>
        <w:tblStyle w:val="TableGrid"/>
        <w:tblW w:w="0" w:type="auto"/>
        <w:tblInd w:w="392" w:type="dxa"/>
        <w:tblLook w:val="04A0" w:firstRow="1" w:lastRow="0" w:firstColumn="1" w:lastColumn="0" w:noHBand="0" w:noVBand="1"/>
      </w:tblPr>
      <w:tblGrid>
        <w:gridCol w:w="2410"/>
        <w:gridCol w:w="9639"/>
        <w:gridCol w:w="2061"/>
      </w:tblGrid>
      <w:tr w:rsidR="002E3B80" w:rsidRPr="005179F6" w:rsidTr="00EE2ED2">
        <w:tc>
          <w:tcPr>
            <w:tcW w:w="14110" w:type="dxa"/>
            <w:gridSpan w:val="3"/>
          </w:tcPr>
          <w:p w:rsidR="002E3B80" w:rsidRPr="005179F6" w:rsidRDefault="002E3B80" w:rsidP="0012219F">
            <w:pPr>
              <w:pStyle w:val="Heading2"/>
              <w:outlineLvl w:val="1"/>
            </w:pPr>
            <w:bookmarkStart w:id="10" w:name="_Toc411414858"/>
            <w:r w:rsidRPr="005179F6">
              <w:lastRenderedPageBreak/>
              <w:t xml:space="preserve">Table </w:t>
            </w:r>
            <w:r w:rsidR="0056640C">
              <w:t>5</w:t>
            </w:r>
            <w:r w:rsidRPr="005179F6">
              <w:t>: Bleeding Assessment Tools</w:t>
            </w:r>
            <w:bookmarkEnd w:id="10"/>
          </w:p>
        </w:tc>
      </w:tr>
      <w:tr w:rsidR="002E3B80" w:rsidRPr="005179F6" w:rsidTr="002769D6">
        <w:tc>
          <w:tcPr>
            <w:tcW w:w="2410" w:type="dxa"/>
          </w:tcPr>
          <w:p w:rsidR="002E3B80" w:rsidRPr="009D3A5D" w:rsidRDefault="002E3B80" w:rsidP="005179F6">
            <w:pPr>
              <w:rPr>
                <w:rFonts w:cstheme="minorHAnsi"/>
                <w:b/>
              </w:rPr>
            </w:pPr>
            <w:r w:rsidRPr="009D3A5D">
              <w:rPr>
                <w:rFonts w:cstheme="minorHAnsi"/>
                <w:b/>
              </w:rPr>
              <w:t>Tool</w:t>
            </w:r>
          </w:p>
        </w:tc>
        <w:tc>
          <w:tcPr>
            <w:tcW w:w="9639" w:type="dxa"/>
          </w:tcPr>
          <w:p w:rsidR="002E3B80" w:rsidRPr="009D3A5D" w:rsidRDefault="002E3B80" w:rsidP="005179F6">
            <w:pPr>
              <w:rPr>
                <w:rFonts w:cstheme="minorHAnsi"/>
                <w:b/>
              </w:rPr>
            </w:pPr>
            <w:r w:rsidRPr="009D3A5D">
              <w:rPr>
                <w:rFonts w:cstheme="minorHAnsi"/>
                <w:b/>
              </w:rPr>
              <w:t>Reference and links to questionnaire and bleeding score</w:t>
            </w:r>
          </w:p>
        </w:tc>
        <w:tc>
          <w:tcPr>
            <w:tcW w:w="2061" w:type="dxa"/>
          </w:tcPr>
          <w:p w:rsidR="002E3B80" w:rsidRPr="009D3A5D" w:rsidRDefault="002E3B80" w:rsidP="005179F6">
            <w:pPr>
              <w:rPr>
                <w:rFonts w:cstheme="minorHAnsi"/>
                <w:b/>
              </w:rPr>
            </w:pPr>
            <w:r w:rsidRPr="009D3A5D">
              <w:rPr>
                <w:rFonts w:cstheme="minorHAnsi"/>
                <w:b/>
              </w:rPr>
              <w:t>Estimated completion time3</w:t>
            </w:r>
          </w:p>
        </w:tc>
      </w:tr>
      <w:tr w:rsidR="00CC641D" w:rsidRPr="005179F6" w:rsidTr="002769D6">
        <w:tc>
          <w:tcPr>
            <w:tcW w:w="2410" w:type="dxa"/>
          </w:tcPr>
          <w:p w:rsidR="00CC641D" w:rsidRPr="005179F6" w:rsidRDefault="00CC641D" w:rsidP="005179F6">
            <w:pPr>
              <w:rPr>
                <w:rFonts w:cstheme="minorHAnsi"/>
              </w:rPr>
            </w:pPr>
            <w:r w:rsidRPr="005179F6">
              <w:rPr>
                <w:rFonts w:cstheme="minorHAnsi"/>
              </w:rPr>
              <w:t>ASH evaluation and management of VWD</w:t>
            </w:r>
          </w:p>
        </w:tc>
        <w:tc>
          <w:tcPr>
            <w:tcW w:w="9639" w:type="dxa"/>
          </w:tcPr>
          <w:p w:rsidR="00CC641D" w:rsidRPr="005179F6" w:rsidRDefault="002B46CB" w:rsidP="000C29AF">
            <w:pPr>
              <w:rPr>
                <w:rFonts w:cstheme="minorHAnsi"/>
              </w:rPr>
            </w:pPr>
            <w:hyperlink r:id="rId33" w:history="1">
              <w:r w:rsidR="00CC641D" w:rsidRPr="005179F6">
                <w:rPr>
                  <w:rStyle w:val="Hyperlink"/>
                  <w:rFonts w:cstheme="minorHAnsi"/>
                </w:rPr>
                <w:t>2012 Clinical Practice Guideline on the Evaluation and Management of von Willebrand Disease (VWD)</w:t>
              </w:r>
            </w:hyperlink>
            <w:r w:rsidR="00CC641D" w:rsidRPr="005179F6">
              <w:rPr>
                <w:rFonts w:cstheme="minorHAnsi"/>
              </w:rPr>
              <w:t>. Quick Reference. American Society of Hematology, 2012.</w:t>
            </w:r>
            <w:r w:rsidR="00326082">
              <w:rPr>
                <w:rFonts w:cstheme="minorHAnsi"/>
                <w:vertAlign w:val="superscript"/>
              </w:rPr>
              <w:t>1</w:t>
            </w:r>
            <w:r w:rsidR="009D3D21">
              <w:rPr>
                <w:rFonts w:cstheme="minorHAnsi"/>
                <w:vertAlign w:val="superscript"/>
              </w:rPr>
              <w:t>4</w:t>
            </w:r>
          </w:p>
        </w:tc>
        <w:tc>
          <w:tcPr>
            <w:tcW w:w="2061" w:type="dxa"/>
          </w:tcPr>
          <w:p w:rsidR="00CC641D" w:rsidRPr="005179F6" w:rsidRDefault="00CC641D" w:rsidP="005179F6">
            <w:pPr>
              <w:rPr>
                <w:rFonts w:cstheme="minorHAnsi"/>
              </w:rPr>
            </w:pPr>
            <w:r w:rsidRPr="005179F6">
              <w:rPr>
                <w:rFonts w:cstheme="minorHAnsi"/>
              </w:rPr>
              <w:t>5-10 mins</w:t>
            </w:r>
          </w:p>
        </w:tc>
      </w:tr>
      <w:tr w:rsidR="00CC641D" w:rsidRPr="005179F6" w:rsidTr="002769D6">
        <w:tc>
          <w:tcPr>
            <w:tcW w:w="2410" w:type="dxa"/>
          </w:tcPr>
          <w:p w:rsidR="00CC641D" w:rsidRPr="005179F6" w:rsidRDefault="00CC641D" w:rsidP="005179F6">
            <w:pPr>
              <w:rPr>
                <w:rFonts w:cstheme="minorHAnsi"/>
              </w:rPr>
            </w:pPr>
            <w:r w:rsidRPr="005179F6">
              <w:rPr>
                <w:rFonts w:cstheme="minorHAnsi"/>
              </w:rPr>
              <w:t xml:space="preserve">SIMTI evaluation of haemorrhagic risk </w:t>
            </w:r>
          </w:p>
        </w:tc>
        <w:tc>
          <w:tcPr>
            <w:tcW w:w="9639" w:type="dxa"/>
          </w:tcPr>
          <w:p w:rsidR="00CC641D" w:rsidRPr="005179F6" w:rsidRDefault="00CC641D" w:rsidP="00326082">
            <w:pPr>
              <w:rPr>
                <w:rFonts w:cstheme="minorHAnsi"/>
              </w:rPr>
            </w:pPr>
            <w:r w:rsidRPr="005179F6">
              <w:rPr>
                <w:rFonts w:cstheme="minorHAnsi"/>
              </w:rPr>
              <w:t xml:space="preserve">Liumbruno GM, Bennardello F, Lattanzio A, Piccoli P, Rossetti G. Italian Society of Transfusion Medicine and Immunohaematology (SIMTI) Working Party. </w:t>
            </w:r>
            <w:hyperlink r:id="rId34" w:history="1">
              <w:r w:rsidRPr="005179F6">
                <w:rPr>
                  <w:rStyle w:val="Hyperlink"/>
                  <w:rFonts w:cstheme="minorHAnsi"/>
                </w:rPr>
                <w:t>Recommendations for the transfusion management of patients in the peri-operative period. I. The pre-operative period</w:t>
              </w:r>
            </w:hyperlink>
            <w:r w:rsidRPr="005179F6">
              <w:rPr>
                <w:rFonts w:cstheme="minorHAnsi"/>
              </w:rPr>
              <w:t>. Blood Transfus, 2011; 9:19–40.</w:t>
            </w:r>
            <w:r w:rsidR="00326082" w:rsidRPr="00326082">
              <w:rPr>
                <w:rFonts w:cstheme="minorHAnsi"/>
                <w:vertAlign w:val="superscript"/>
              </w:rPr>
              <w:t>1</w:t>
            </w:r>
            <w:r w:rsidR="009D3D21">
              <w:rPr>
                <w:rFonts w:cstheme="minorHAnsi"/>
                <w:vertAlign w:val="superscript"/>
              </w:rPr>
              <w:t>5</w:t>
            </w:r>
          </w:p>
        </w:tc>
        <w:tc>
          <w:tcPr>
            <w:tcW w:w="2061" w:type="dxa"/>
          </w:tcPr>
          <w:p w:rsidR="00CC641D" w:rsidRPr="005179F6" w:rsidRDefault="00816192" w:rsidP="005179F6">
            <w:pPr>
              <w:rPr>
                <w:rFonts w:cstheme="minorHAnsi"/>
              </w:rPr>
            </w:pPr>
            <w:r w:rsidRPr="005179F6">
              <w:rPr>
                <w:rFonts w:cstheme="minorHAnsi"/>
              </w:rPr>
              <w:t>40 mins</w:t>
            </w:r>
          </w:p>
        </w:tc>
      </w:tr>
      <w:tr w:rsidR="00426926" w:rsidRPr="005179F6" w:rsidTr="002769D6">
        <w:tc>
          <w:tcPr>
            <w:tcW w:w="2410" w:type="dxa"/>
          </w:tcPr>
          <w:p w:rsidR="00426926" w:rsidRPr="005179F6" w:rsidRDefault="00426926" w:rsidP="005179F6">
            <w:pPr>
              <w:rPr>
                <w:rFonts w:cstheme="minorHAnsi"/>
              </w:rPr>
            </w:pPr>
            <w:r w:rsidRPr="005179F6">
              <w:rPr>
                <w:rFonts w:cstheme="minorHAnsi"/>
              </w:rPr>
              <w:t>International Society of Thrombosis and Haemostasis (ISTH) -BAT</w:t>
            </w:r>
          </w:p>
        </w:tc>
        <w:tc>
          <w:tcPr>
            <w:tcW w:w="9639" w:type="dxa"/>
          </w:tcPr>
          <w:p w:rsidR="00426926" w:rsidRPr="005179F6" w:rsidRDefault="00426926" w:rsidP="005179F6">
            <w:pPr>
              <w:rPr>
                <w:rFonts w:cstheme="minorHAnsi"/>
              </w:rPr>
            </w:pPr>
            <w:r w:rsidRPr="005179F6">
              <w:rPr>
                <w:rFonts w:cstheme="minorHAnsi"/>
              </w:rPr>
              <w:t xml:space="preserve">Rodeghiero F, Tosetto A, Abshire T, Arnold D, Coller B, et al. and On Behalf Of The ISTH/SSC Joint VWF And Perinatal/Pediatric Hemostasis Subcommittees Working Group.  </w:t>
            </w:r>
            <w:hyperlink r:id="rId35" w:history="1">
              <w:r w:rsidRPr="005179F6">
                <w:rPr>
                  <w:rStyle w:val="Hyperlink"/>
                  <w:rFonts w:cstheme="minorHAnsi"/>
                </w:rPr>
                <w:t>ISTH/SSC bleeding assessment tool: a standardized questionnaire and a proposal for a new bleeding score for inherited bleeding disorders</w:t>
              </w:r>
            </w:hyperlink>
            <w:r w:rsidRPr="005179F6">
              <w:rPr>
                <w:rFonts w:cstheme="minorHAnsi"/>
              </w:rPr>
              <w:t>. Journal of Thrombosis and Haemostasis, 2010; 8: 2063–2065.</w:t>
            </w:r>
            <w:r w:rsidR="00326082" w:rsidRPr="00326082">
              <w:rPr>
                <w:rFonts w:cstheme="minorHAnsi"/>
                <w:vertAlign w:val="superscript"/>
              </w:rPr>
              <w:t>1</w:t>
            </w:r>
            <w:r w:rsidR="009D3D21">
              <w:rPr>
                <w:rFonts w:cstheme="minorHAnsi"/>
                <w:vertAlign w:val="superscript"/>
              </w:rPr>
              <w:t>2</w:t>
            </w:r>
          </w:p>
          <w:p w:rsidR="00426926" w:rsidRPr="005179F6" w:rsidRDefault="002B46CB" w:rsidP="00326082">
            <w:pPr>
              <w:rPr>
                <w:rFonts w:cstheme="minorHAnsi"/>
              </w:rPr>
            </w:pPr>
            <w:hyperlink r:id="rId36" w:history="1">
              <w:r w:rsidR="00426926" w:rsidRPr="005179F6">
                <w:rPr>
                  <w:rStyle w:val="Hyperlink"/>
                  <w:rFonts w:cstheme="minorHAnsi"/>
                </w:rPr>
                <w:t>ISTH questionnaire and bleeding score</w:t>
              </w:r>
            </w:hyperlink>
            <w:r w:rsidR="00326082">
              <w:rPr>
                <w:rFonts w:cstheme="minorHAnsi"/>
              </w:rPr>
              <w:t>.</w:t>
            </w:r>
          </w:p>
        </w:tc>
        <w:tc>
          <w:tcPr>
            <w:tcW w:w="2061" w:type="dxa"/>
          </w:tcPr>
          <w:p w:rsidR="00426926" w:rsidRPr="005179F6" w:rsidRDefault="00426926" w:rsidP="005179F6">
            <w:pPr>
              <w:rPr>
                <w:rFonts w:cstheme="minorHAnsi"/>
              </w:rPr>
            </w:pPr>
            <w:r w:rsidRPr="005179F6">
              <w:rPr>
                <w:rFonts w:cstheme="minorHAnsi"/>
              </w:rPr>
              <w:t>20 mins</w:t>
            </w:r>
          </w:p>
        </w:tc>
      </w:tr>
      <w:tr w:rsidR="00426926" w:rsidRPr="005179F6" w:rsidTr="002769D6">
        <w:tc>
          <w:tcPr>
            <w:tcW w:w="2410" w:type="dxa"/>
          </w:tcPr>
          <w:p w:rsidR="00426926" w:rsidRPr="005179F6" w:rsidRDefault="00426926" w:rsidP="005179F6">
            <w:pPr>
              <w:rPr>
                <w:rFonts w:cstheme="minorHAnsi"/>
              </w:rPr>
            </w:pPr>
            <w:r w:rsidRPr="005179F6">
              <w:rPr>
                <w:rFonts w:cstheme="minorHAnsi"/>
              </w:rPr>
              <w:t>Paediatric Bleeding Questionnaire</w:t>
            </w:r>
          </w:p>
        </w:tc>
        <w:tc>
          <w:tcPr>
            <w:tcW w:w="9639" w:type="dxa"/>
          </w:tcPr>
          <w:p w:rsidR="00426926" w:rsidRPr="005179F6" w:rsidRDefault="00426926" w:rsidP="005179F6">
            <w:pPr>
              <w:rPr>
                <w:rFonts w:cstheme="minorHAnsi"/>
              </w:rPr>
            </w:pPr>
            <w:r w:rsidRPr="005179F6">
              <w:rPr>
                <w:rFonts w:cstheme="minorHAnsi"/>
              </w:rPr>
              <w:t xml:space="preserve">Bowman M, Riddel J, Rand ML, Tosetto A, Silva M, and James PD. </w:t>
            </w:r>
            <w:hyperlink r:id="rId37" w:history="1">
              <w:r w:rsidRPr="005179F6">
                <w:rPr>
                  <w:rStyle w:val="Hyperlink"/>
                  <w:rFonts w:cstheme="minorHAnsi"/>
                </w:rPr>
                <w:t>Evaluation of the diagnostic utility for von Willebrand disease of a pediatric bleeding questionnaire</w:t>
              </w:r>
            </w:hyperlink>
            <w:r w:rsidRPr="005179F6">
              <w:rPr>
                <w:rFonts w:cstheme="minorHAnsi"/>
              </w:rPr>
              <w:t>. J Thromb Haemost, 2009;7:1418–1421.</w:t>
            </w:r>
            <w:r w:rsidR="00326082" w:rsidRPr="00326082">
              <w:rPr>
                <w:rFonts w:cstheme="minorHAnsi"/>
                <w:vertAlign w:val="superscript"/>
              </w:rPr>
              <w:t>1</w:t>
            </w:r>
            <w:r w:rsidR="009D3D21">
              <w:rPr>
                <w:rFonts w:cstheme="minorHAnsi"/>
                <w:vertAlign w:val="superscript"/>
              </w:rPr>
              <w:t>6</w:t>
            </w:r>
          </w:p>
          <w:p w:rsidR="00426926" w:rsidRPr="005179F6" w:rsidRDefault="002B46CB" w:rsidP="005179F6">
            <w:pPr>
              <w:rPr>
                <w:rFonts w:cstheme="minorHAnsi"/>
              </w:rPr>
            </w:pPr>
            <w:hyperlink r:id="rId38" w:history="1">
              <w:r w:rsidR="00426926" w:rsidRPr="005179F6">
                <w:rPr>
                  <w:rStyle w:val="Hyperlink"/>
                  <w:rFonts w:cstheme="minorHAnsi"/>
                </w:rPr>
                <w:t>Paediatric questionnaire and bleeding score</w:t>
              </w:r>
            </w:hyperlink>
          </w:p>
        </w:tc>
        <w:tc>
          <w:tcPr>
            <w:tcW w:w="2061" w:type="dxa"/>
          </w:tcPr>
          <w:p w:rsidR="00426926" w:rsidRPr="005179F6" w:rsidRDefault="00426926" w:rsidP="005179F6">
            <w:pPr>
              <w:rPr>
                <w:rFonts w:cstheme="minorHAnsi"/>
              </w:rPr>
            </w:pPr>
            <w:r w:rsidRPr="005179F6">
              <w:rPr>
                <w:rFonts w:cstheme="minorHAnsi"/>
              </w:rPr>
              <w:t>20 mins</w:t>
            </w:r>
          </w:p>
        </w:tc>
      </w:tr>
      <w:tr w:rsidR="00426926" w:rsidRPr="005179F6" w:rsidTr="002769D6">
        <w:tc>
          <w:tcPr>
            <w:tcW w:w="2410" w:type="dxa"/>
          </w:tcPr>
          <w:p w:rsidR="00426926" w:rsidRPr="005179F6" w:rsidRDefault="00426926" w:rsidP="005179F6">
            <w:pPr>
              <w:rPr>
                <w:rFonts w:cstheme="minorHAnsi"/>
              </w:rPr>
            </w:pPr>
            <w:r w:rsidRPr="005179F6">
              <w:rPr>
                <w:rFonts w:cstheme="minorHAnsi"/>
              </w:rPr>
              <w:t>Condensed MCMDM-1 VWD</w:t>
            </w:r>
          </w:p>
        </w:tc>
        <w:tc>
          <w:tcPr>
            <w:tcW w:w="9639" w:type="dxa"/>
          </w:tcPr>
          <w:p w:rsidR="00426926" w:rsidRPr="005179F6" w:rsidRDefault="00426926" w:rsidP="005179F6">
            <w:pPr>
              <w:rPr>
                <w:rFonts w:cstheme="minorHAnsi"/>
              </w:rPr>
            </w:pPr>
            <w:r w:rsidRPr="005179F6">
              <w:rPr>
                <w:rFonts w:cstheme="minorHAnsi"/>
              </w:rPr>
              <w:t xml:space="preserve">Bowman M, Mundell G, Grabell J, et al. </w:t>
            </w:r>
            <w:hyperlink r:id="rId39" w:history="1">
              <w:r w:rsidRPr="005179F6">
                <w:rPr>
                  <w:rStyle w:val="Hyperlink"/>
                  <w:rFonts w:cstheme="minorHAnsi"/>
                </w:rPr>
                <w:t>Generation and validation of the Condensed MCMDM-1VWD Bleeding Questionnaire for von Willebrand disease</w:t>
              </w:r>
            </w:hyperlink>
            <w:r w:rsidRPr="005179F6">
              <w:rPr>
                <w:rFonts w:cstheme="minorHAnsi"/>
              </w:rPr>
              <w:t>. J Thromb Haemost, 2008</w:t>
            </w:r>
            <w:r w:rsidR="004A21A7" w:rsidRPr="005179F6">
              <w:rPr>
                <w:rFonts w:cstheme="minorHAnsi"/>
              </w:rPr>
              <w:t>; 6:2062</w:t>
            </w:r>
            <w:r w:rsidRPr="005179F6">
              <w:rPr>
                <w:rFonts w:cstheme="minorHAnsi"/>
              </w:rPr>
              <w:t>–2066.</w:t>
            </w:r>
            <w:r w:rsidR="00326082">
              <w:rPr>
                <w:rFonts w:cstheme="minorHAnsi"/>
                <w:vertAlign w:val="superscript"/>
              </w:rPr>
              <w:t>1</w:t>
            </w:r>
            <w:r w:rsidR="009D3D21">
              <w:rPr>
                <w:rFonts w:cstheme="minorHAnsi"/>
                <w:vertAlign w:val="superscript"/>
              </w:rPr>
              <w:t>7</w:t>
            </w:r>
          </w:p>
          <w:p w:rsidR="00426926" w:rsidRPr="005179F6" w:rsidRDefault="002B46CB" w:rsidP="005179F6">
            <w:pPr>
              <w:rPr>
                <w:rFonts w:cstheme="minorHAnsi"/>
              </w:rPr>
            </w:pPr>
            <w:hyperlink r:id="rId40" w:history="1">
              <w:r w:rsidR="00426926" w:rsidRPr="005179F6">
                <w:rPr>
                  <w:rStyle w:val="Hyperlink"/>
                  <w:rFonts w:cstheme="minorHAnsi"/>
                </w:rPr>
                <w:t>Condensed MCMDM-1 VWD questionnaire and bleeding score</w:t>
              </w:r>
            </w:hyperlink>
          </w:p>
        </w:tc>
        <w:tc>
          <w:tcPr>
            <w:tcW w:w="2061" w:type="dxa"/>
          </w:tcPr>
          <w:p w:rsidR="00426926" w:rsidRPr="005179F6" w:rsidRDefault="00426926" w:rsidP="005179F6">
            <w:pPr>
              <w:rPr>
                <w:rFonts w:cstheme="minorHAnsi"/>
              </w:rPr>
            </w:pPr>
            <w:r w:rsidRPr="005179F6">
              <w:rPr>
                <w:rFonts w:cstheme="minorHAnsi"/>
              </w:rPr>
              <w:t>5-10 mins</w:t>
            </w:r>
          </w:p>
        </w:tc>
      </w:tr>
      <w:tr w:rsidR="00426926" w:rsidRPr="005179F6" w:rsidTr="002769D6">
        <w:tc>
          <w:tcPr>
            <w:tcW w:w="2410" w:type="dxa"/>
          </w:tcPr>
          <w:p w:rsidR="00426926" w:rsidRPr="005179F6" w:rsidRDefault="00426926" w:rsidP="005179F6">
            <w:pPr>
              <w:rPr>
                <w:rFonts w:cstheme="minorHAnsi"/>
              </w:rPr>
            </w:pPr>
            <w:r w:rsidRPr="005179F6">
              <w:rPr>
                <w:rFonts w:cstheme="minorHAnsi"/>
              </w:rPr>
              <w:t xml:space="preserve">European Molecular and Clinical Markers for the Diagnosis and Management of type 1 VWD (MCMDM-1 VWD) </w:t>
            </w:r>
          </w:p>
        </w:tc>
        <w:tc>
          <w:tcPr>
            <w:tcW w:w="9639" w:type="dxa"/>
          </w:tcPr>
          <w:p w:rsidR="00426926" w:rsidRPr="005179F6" w:rsidRDefault="00426926" w:rsidP="005179F6">
            <w:pPr>
              <w:rPr>
                <w:rFonts w:cstheme="minorHAnsi"/>
              </w:rPr>
            </w:pPr>
            <w:r w:rsidRPr="005179F6">
              <w:rPr>
                <w:rFonts w:cstheme="minorHAnsi"/>
              </w:rPr>
              <w:t xml:space="preserve">Tosetto A, Rodeghiero F, Castaman G, et al. </w:t>
            </w:r>
            <w:hyperlink r:id="rId41" w:history="1">
              <w:r w:rsidRPr="005179F6">
                <w:rPr>
                  <w:rStyle w:val="Hyperlink"/>
                  <w:rFonts w:cstheme="minorHAnsi"/>
                </w:rPr>
                <w:t>A quantitative analysis of bleeding symptoms in type 1 von Willebrand disease: results from a multicenter European study (MCMDM-1 VWD)</w:t>
              </w:r>
            </w:hyperlink>
            <w:r w:rsidRPr="005179F6">
              <w:rPr>
                <w:rFonts w:cstheme="minorHAnsi"/>
              </w:rPr>
              <w:t>. J Thromb Haemost, 2006;4:766–773.</w:t>
            </w:r>
            <w:r w:rsidR="00326082">
              <w:rPr>
                <w:rFonts w:cstheme="minorHAnsi"/>
                <w:vertAlign w:val="superscript"/>
              </w:rPr>
              <w:t>1</w:t>
            </w:r>
            <w:r w:rsidR="009D3D21">
              <w:rPr>
                <w:rFonts w:cstheme="minorHAnsi"/>
                <w:vertAlign w:val="superscript"/>
              </w:rPr>
              <w:t>8</w:t>
            </w:r>
          </w:p>
          <w:p w:rsidR="00426926" w:rsidRPr="005179F6" w:rsidRDefault="00426926" w:rsidP="005179F6">
            <w:pPr>
              <w:rPr>
                <w:rFonts w:cstheme="minorHAnsi"/>
              </w:rPr>
            </w:pPr>
            <w:r w:rsidRPr="005179F6">
              <w:rPr>
                <w:rFonts w:cstheme="minorHAnsi"/>
              </w:rPr>
              <w:t xml:space="preserve">MCMDM-1 VWD </w:t>
            </w:r>
            <w:hyperlink r:id="rId42" w:history="1">
              <w:r w:rsidRPr="005179F6">
                <w:rPr>
                  <w:rStyle w:val="Hyperlink"/>
                  <w:rFonts w:cstheme="minorHAnsi"/>
                </w:rPr>
                <w:t>Questionnaire</w:t>
              </w:r>
            </w:hyperlink>
            <w:r w:rsidRPr="005179F6">
              <w:rPr>
                <w:rFonts w:cstheme="minorHAnsi"/>
              </w:rPr>
              <w:t xml:space="preserve"> and </w:t>
            </w:r>
            <w:hyperlink r:id="rId43" w:history="1">
              <w:r w:rsidRPr="005179F6">
                <w:rPr>
                  <w:rStyle w:val="Hyperlink"/>
                  <w:rFonts w:cstheme="minorHAnsi"/>
                </w:rPr>
                <w:t>Bleeding score</w:t>
              </w:r>
            </w:hyperlink>
          </w:p>
        </w:tc>
        <w:tc>
          <w:tcPr>
            <w:tcW w:w="2061" w:type="dxa"/>
          </w:tcPr>
          <w:p w:rsidR="00426926" w:rsidRPr="005179F6" w:rsidRDefault="00426926" w:rsidP="005179F6">
            <w:pPr>
              <w:rPr>
                <w:rFonts w:cstheme="minorHAnsi"/>
              </w:rPr>
            </w:pPr>
            <w:r w:rsidRPr="005179F6">
              <w:rPr>
                <w:rFonts w:cstheme="minorHAnsi"/>
              </w:rPr>
              <w:t>40 mins</w:t>
            </w:r>
          </w:p>
        </w:tc>
      </w:tr>
      <w:tr w:rsidR="00426926" w:rsidRPr="005179F6" w:rsidTr="002769D6">
        <w:tc>
          <w:tcPr>
            <w:tcW w:w="2410" w:type="dxa"/>
          </w:tcPr>
          <w:p w:rsidR="00426926" w:rsidRPr="005179F6" w:rsidRDefault="00426926" w:rsidP="005179F6">
            <w:pPr>
              <w:rPr>
                <w:rFonts w:cstheme="minorHAnsi"/>
              </w:rPr>
            </w:pPr>
            <w:r w:rsidRPr="005179F6">
              <w:rPr>
                <w:rFonts w:cstheme="minorHAnsi"/>
              </w:rPr>
              <w:t>Vincenza bleeding score</w:t>
            </w:r>
          </w:p>
        </w:tc>
        <w:tc>
          <w:tcPr>
            <w:tcW w:w="9639" w:type="dxa"/>
          </w:tcPr>
          <w:p w:rsidR="00426926" w:rsidRPr="005179F6" w:rsidRDefault="00426926" w:rsidP="005179F6">
            <w:pPr>
              <w:rPr>
                <w:rFonts w:cstheme="minorHAnsi"/>
              </w:rPr>
            </w:pPr>
            <w:r w:rsidRPr="005179F6">
              <w:rPr>
                <w:rFonts w:cstheme="minorHAnsi"/>
              </w:rPr>
              <w:t xml:space="preserve">Rodeghiero F, Castaman G, Tosetto A, Batlle J, Baudo F, et al.  </w:t>
            </w:r>
            <w:hyperlink r:id="rId44" w:history="1">
              <w:r w:rsidRPr="005179F6">
                <w:rPr>
                  <w:rStyle w:val="Hyperlink"/>
                  <w:rFonts w:cstheme="minorHAnsi"/>
                </w:rPr>
                <w:t>The discriminant power of bleeding history for the diagnosis of type 1 von Willebrand disease: an international, multicenter study</w:t>
              </w:r>
            </w:hyperlink>
            <w:r w:rsidRPr="005179F6">
              <w:rPr>
                <w:rFonts w:cstheme="minorHAnsi"/>
              </w:rPr>
              <w:t>. J T</w:t>
            </w:r>
            <w:r w:rsidR="00326082">
              <w:rPr>
                <w:rFonts w:cstheme="minorHAnsi"/>
              </w:rPr>
              <w:t>hromb Haemost, 2005; 3:2619-26.</w:t>
            </w:r>
            <w:r w:rsidR="00326082">
              <w:rPr>
                <w:rFonts w:cstheme="minorHAnsi"/>
                <w:vertAlign w:val="superscript"/>
              </w:rPr>
              <w:t>1</w:t>
            </w:r>
            <w:r w:rsidR="009D3D21">
              <w:rPr>
                <w:rFonts w:cstheme="minorHAnsi"/>
                <w:vertAlign w:val="superscript"/>
              </w:rPr>
              <w:t>9</w:t>
            </w:r>
          </w:p>
          <w:p w:rsidR="00426926" w:rsidRPr="005179F6" w:rsidRDefault="002B46CB" w:rsidP="005179F6">
            <w:pPr>
              <w:rPr>
                <w:rFonts w:cstheme="minorHAnsi"/>
              </w:rPr>
            </w:pPr>
            <w:hyperlink r:id="rId45" w:history="1">
              <w:r w:rsidR="00426926" w:rsidRPr="005179F6">
                <w:rPr>
                  <w:rStyle w:val="Hyperlink"/>
                  <w:rFonts w:cstheme="minorHAnsi"/>
                </w:rPr>
                <w:t>Vincenza questionnaire and bleeding score</w:t>
              </w:r>
            </w:hyperlink>
          </w:p>
        </w:tc>
        <w:tc>
          <w:tcPr>
            <w:tcW w:w="2061" w:type="dxa"/>
          </w:tcPr>
          <w:p w:rsidR="00426926" w:rsidRPr="005179F6" w:rsidRDefault="00426926" w:rsidP="005179F6">
            <w:pPr>
              <w:rPr>
                <w:rFonts w:cstheme="minorHAnsi"/>
              </w:rPr>
            </w:pPr>
            <w:r w:rsidRPr="005179F6">
              <w:rPr>
                <w:rFonts w:cstheme="minorHAnsi"/>
              </w:rPr>
              <w:t>40 mins</w:t>
            </w:r>
          </w:p>
        </w:tc>
      </w:tr>
    </w:tbl>
    <w:p w:rsidR="002E3B80" w:rsidRPr="005179F6" w:rsidRDefault="002E3B80" w:rsidP="005179F6">
      <w:pPr>
        <w:rPr>
          <w:rFonts w:cstheme="minorHAnsi"/>
        </w:rPr>
        <w:sectPr w:rsidR="002E3B80" w:rsidRPr="005179F6" w:rsidSect="005179F6">
          <w:pgSz w:w="16838" w:h="11906" w:orient="landscape"/>
          <w:pgMar w:top="1418" w:right="1134" w:bottom="1418" w:left="1134" w:header="709" w:footer="709" w:gutter="0"/>
          <w:cols w:space="708"/>
          <w:docGrid w:linePitch="360"/>
        </w:sectPr>
      </w:pPr>
    </w:p>
    <w:p w:rsidR="00C94A36" w:rsidRDefault="00C94A36" w:rsidP="002B46CB">
      <w:pPr>
        <w:ind w:left="567" w:right="-20" w:hanging="567"/>
        <w:rPr>
          <w:rFonts w:ascii="TitilliumText25L" w:eastAsia="TitilliumText25L" w:hAnsi="TitilliumText25L" w:cs="TitilliumText25L"/>
          <w:sz w:val="60"/>
          <w:szCs w:val="60"/>
        </w:rPr>
      </w:pPr>
      <w:r>
        <w:rPr>
          <w:rFonts w:ascii="TitilliumText25L" w:eastAsia="TitilliumText25L" w:hAnsi="TitilliumText25L" w:cs="TitilliumText25L"/>
          <w:color w:val="D0202E"/>
          <w:position w:val="-1"/>
          <w:sz w:val="102"/>
          <w:szCs w:val="102"/>
        </w:rPr>
        <w:lastRenderedPageBreak/>
        <w:t>&gt;</w:t>
      </w:r>
      <w:r>
        <w:rPr>
          <w:rFonts w:ascii="TitilliumText25L" w:eastAsia="TitilliumText25L" w:hAnsi="TitilliumText25L" w:cs="TitilliumText25L"/>
          <w:color w:val="D0202E"/>
          <w:sz w:val="60"/>
          <w:szCs w:val="60"/>
        </w:rPr>
        <w:t>USE OF BATS IN THE CLINICAL SETTING</w:t>
      </w:r>
    </w:p>
    <w:p w:rsidR="000F715D" w:rsidRPr="005179F6" w:rsidRDefault="000F715D" w:rsidP="00816069">
      <w:pPr>
        <w:jc w:val="both"/>
        <w:rPr>
          <w:rFonts w:cstheme="minorHAnsi"/>
        </w:rPr>
      </w:pPr>
      <w:r w:rsidRPr="005179F6">
        <w:rPr>
          <w:rFonts w:cstheme="minorHAnsi"/>
        </w:rPr>
        <w:t>BAT</w:t>
      </w:r>
      <w:r w:rsidR="00637FF4" w:rsidRPr="005179F6">
        <w:rPr>
          <w:rFonts w:cstheme="minorHAnsi"/>
        </w:rPr>
        <w:t>s</w:t>
      </w:r>
      <w:r w:rsidRPr="005179F6">
        <w:rPr>
          <w:rFonts w:cstheme="minorHAnsi"/>
        </w:rPr>
        <w:t xml:space="preserve"> have been predominantly used and validated </w:t>
      </w:r>
      <w:r w:rsidR="009570E6" w:rsidRPr="005179F6">
        <w:rPr>
          <w:rFonts w:cstheme="minorHAnsi"/>
        </w:rPr>
        <w:t xml:space="preserve">as research tools </w:t>
      </w:r>
      <w:r w:rsidRPr="005179F6">
        <w:rPr>
          <w:rFonts w:cstheme="minorHAnsi"/>
        </w:rPr>
        <w:t>to identify patients with VWD. More studies of their use for diagnoses of mild bleeding disorders other than VWD are required.</w:t>
      </w:r>
      <w:r w:rsidR="009D3D21">
        <w:rPr>
          <w:rFonts w:cstheme="minorHAnsi"/>
          <w:vertAlign w:val="superscript"/>
        </w:rPr>
        <w:t>1</w:t>
      </w:r>
      <w:r w:rsidRPr="005179F6">
        <w:rPr>
          <w:rFonts w:cstheme="minorHAnsi"/>
        </w:rPr>
        <w:t xml:space="preserve"> </w:t>
      </w:r>
      <w:r w:rsidR="009839F7" w:rsidRPr="005179F6">
        <w:rPr>
          <w:rFonts w:cstheme="minorHAnsi"/>
        </w:rPr>
        <w:t>Platelet function disorders present a particular challenge due to a lack of a standardised approach to interpretation of platelet function testing.</w:t>
      </w:r>
      <w:r w:rsidR="009D3D21">
        <w:rPr>
          <w:rFonts w:cstheme="minorHAnsi"/>
          <w:vertAlign w:val="superscript"/>
        </w:rPr>
        <w:t>10,11</w:t>
      </w:r>
      <w:r w:rsidR="009839F7" w:rsidRPr="005179F6">
        <w:rPr>
          <w:rFonts w:cstheme="minorHAnsi"/>
        </w:rPr>
        <w:t xml:space="preserve"> BATs</w:t>
      </w:r>
      <w:r w:rsidRPr="005179F6">
        <w:rPr>
          <w:rFonts w:cstheme="minorHAnsi"/>
        </w:rPr>
        <w:t xml:space="preserve"> have never been intended for use in severe bleeding disorders such as haemophilia.</w:t>
      </w:r>
      <w:r w:rsidR="009D3D21">
        <w:rPr>
          <w:rFonts w:cstheme="minorHAnsi"/>
          <w:vertAlign w:val="superscript"/>
        </w:rPr>
        <w:t>10,11</w:t>
      </w:r>
      <w:r w:rsidR="00326082" w:rsidRPr="005179F6">
        <w:rPr>
          <w:rFonts w:cstheme="minorHAnsi"/>
        </w:rPr>
        <w:t xml:space="preserve"> </w:t>
      </w:r>
      <w:r w:rsidRPr="005179F6">
        <w:rPr>
          <w:rFonts w:cstheme="minorHAnsi"/>
        </w:rPr>
        <w:t>The instruments are designed to be administered by trained clinicians – further study would be required to assess the applicability of self-reporting of symptoms.</w:t>
      </w:r>
      <w:r w:rsidR="003D3145">
        <w:rPr>
          <w:rFonts w:cstheme="minorHAnsi"/>
          <w:vertAlign w:val="superscript"/>
        </w:rPr>
        <w:t>10</w:t>
      </w:r>
      <w:r w:rsidRPr="005179F6">
        <w:rPr>
          <w:rFonts w:cstheme="minorHAnsi"/>
        </w:rPr>
        <w:t xml:space="preserve"> An exact cut-off for an abnormal score has not been established and appears to vary depending on patient age, gender and the clinical setting.</w:t>
      </w:r>
      <w:r w:rsidR="003D3145">
        <w:rPr>
          <w:rFonts w:cstheme="minorHAnsi"/>
          <w:vertAlign w:val="superscript"/>
        </w:rPr>
        <w:t>11</w:t>
      </w:r>
    </w:p>
    <w:p w:rsidR="009839F7" w:rsidRPr="005179F6" w:rsidRDefault="009839F7" w:rsidP="00816069">
      <w:pPr>
        <w:jc w:val="both"/>
        <w:rPr>
          <w:rFonts w:cstheme="minorHAnsi"/>
        </w:rPr>
      </w:pPr>
    </w:p>
    <w:p w:rsidR="009839F7" w:rsidRPr="005179F6" w:rsidRDefault="009839F7" w:rsidP="00816069">
      <w:pPr>
        <w:jc w:val="both"/>
        <w:rPr>
          <w:rFonts w:cstheme="minorHAnsi"/>
        </w:rPr>
      </w:pPr>
      <w:r w:rsidRPr="005179F6">
        <w:rPr>
          <w:rFonts w:cstheme="minorHAnsi"/>
        </w:rPr>
        <w:t xml:space="preserve">The clinical utility of bleeding scores lies in their ability to summarise a great deal of clinical information about a patient to aid communication between clinicians and to assist </w:t>
      </w:r>
      <w:r w:rsidR="00B31B97" w:rsidRPr="005179F6">
        <w:rPr>
          <w:rFonts w:cstheme="minorHAnsi"/>
        </w:rPr>
        <w:t xml:space="preserve">in the </w:t>
      </w:r>
      <w:r w:rsidRPr="005179F6">
        <w:rPr>
          <w:rFonts w:cstheme="minorHAnsi"/>
        </w:rPr>
        <w:t>prioritis</w:t>
      </w:r>
      <w:r w:rsidR="00B31B97" w:rsidRPr="005179F6">
        <w:rPr>
          <w:rFonts w:cstheme="minorHAnsi"/>
        </w:rPr>
        <w:t>ation of</w:t>
      </w:r>
      <w:r w:rsidRPr="005179F6">
        <w:rPr>
          <w:rFonts w:cstheme="minorHAnsi"/>
        </w:rPr>
        <w:t xml:space="preserve"> laboratory testing. In the primary care and even haematology settings, the greatest clinical utility lies in their high negative predictive value and perhaps the greatest value is in the identification of patients for whom VWF testing is not necessary.</w:t>
      </w:r>
      <w:r w:rsidR="009D3D21">
        <w:rPr>
          <w:rFonts w:cstheme="minorHAnsi"/>
          <w:vertAlign w:val="superscript"/>
        </w:rPr>
        <w:t>11</w:t>
      </w:r>
    </w:p>
    <w:p w:rsidR="000F715D" w:rsidRPr="005179F6" w:rsidRDefault="000F715D" w:rsidP="00816069">
      <w:pPr>
        <w:jc w:val="both"/>
        <w:rPr>
          <w:rFonts w:cstheme="minorHAnsi"/>
        </w:rPr>
      </w:pPr>
    </w:p>
    <w:p w:rsidR="000F715D" w:rsidRPr="005179F6" w:rsidRDefault="00BA4B53" w:rsidP="00816069">
      <w:pPr>
        <w:jc w:val="both"/>
        <w:rPr>
          <w:rFonts w:cstheme="minorHAnsi"/>
        </w:rPr>
      </w:pPr>
      <w:r w:rsidRPr="005179F6">
        <w:rPr>
          <w:rFonts w:cstheme="minorHAnsi"/>
        </w:rPr>
        <w:t xml:space="preserve">It is important to note that </w:t>
      </w:r>
      <w:r w:rsidR="00EF0ADB" w:rsidRPr="005179F6">
        <w:rPr>
          <w:rFonts w:cstheme="minorHAnsi"/>
        </w:rPr>
        <w:t>bleeding history may be negative in paediatric patients due to lack of haemostatic challenges. Therefore, if a positive family history exists, some laboratory workup will be required to confirm or exclude a bleeding disorder.</w:t>
      </w:r>
      <w:r w:rsidR="009D3D21">
        <w:rPr>
          <w:rFonts w:cstheme="minorHAnsi"/>
          <w:vertAlign w:val="superscript"/>
        </w:rPr>
        <w:t>11</w:t>
      </w:r>
    </w:p>
    <w:p w:rsidR="009E4A39" w:rsidRPr="005179F6" w:rsidRDefault="009E4A39" w:rsidP="00816069">
      <w:pPr>
        <w:jc w:val="both"/>
        <w:rPr>
          <w:rFonts w:cstheme="minorHAnsi"/>
        </w:rPr>
      </w:pPr>
    </w:p>
    <w:p w:rsidR="0042734B" w:rsidRPr="005179F6" w:rsidRDefault="001D266C" w:rsidP="00816069">
      <w:pPr>
        <w:jc w:val="both"/>
        <w:rPr>
          <w:rFonts w:cstheme="minorHAnsi"/>
        </w:rPr>
      </w:pPr>
      <w:r w:rsidRPr="005179F6">
        <w:rPr>
          <w:rFonts w:cstheme="minorHAnsi"/>
        </w:rPr>
        <w:t>The ASH 2012 updated Quick Reference. Clinical Practice Guideline on the Evaluation and Management of von Willebrand Disease VWD</w:t>
      </w:r>
      <w:r w:rsidR="005E1050" w:rsidRPr="005E1050">
        <w:rPr>
          <w:rFonts w:cstheme="minorHAnsi"/>
          <w:vertAlign w:val="superscript"/>
        </w:rPr>
        <w:t>1</w:t>
      </w:r>
      <w:r w:rsidR="009D3D21">
        <w:rPr>
          <w:rFonts w:cstheme="minorHAnsi"/>
          <w:vertAlign w:val="superscript"/>
        </w:rPr>
        <w:t>4</w:t>
      </w:r>
      <w:r w:rsidRPr="005179F6">
        <w:rPr>
          <w:rFonts w:cstheme="minorHAnsi"/>
        </w:rPr>
        <w:t xml:space="preserve"> </w:t>
      </w:r>
      <w:r w:rsidR="009570E6" w:rsidRPr="005179F6">
        <w:rPr>
          <w:rFonts w:cstheme="minorHAnsi"/>
        </w:rPr>
        <w:t xml:space="preserve">is </w:t>
      </w:r>
      <w:r w:rsidR="00AD374A" w:rsidRPr="005179F6">
        <w:rPr>
          <w:rFonts w:cstheme="minorHAnsi"/>
        </w:rPr>
        <w:t xml:space="preserve">an example of the use of a BAT in clinical practice. </w:t>
      </w:r>
      <w:r w:rsidR="009570E6" w:rsidRPr="005179F6">
        <w:rPr>
          <w:rFonts w:cstheme="minorHAnsi"/>
        </w:rPr>
        <w:t xml:space="preserve">It </w:t>
      </w:r>
      <w:r w:rsidR="00796F38" w:rsidRPr="005179F6">
        <w:rPr>
          <w:rFonts w:cstheme="minorHAnsi"/>
        </w:rPr>
        <w:t>starts with three</w:t>
      </w:r>
      <w:r w:rsidRPr="005179F6">
        <w:rPr>
          <w:rFonts w:cstheme="minorHAnsi"/>
        </w:rPr>
        <w:t xml:space="preserve"> initial broad </w:t>
      </w:r>
      <w:r w:rsidR="00796F38" w:rsidRPr="005179F6">
        <w:rPr>
          <w:rFonts w:cstheme="minorHAnsi"/>
        </w:rPr>
        <w:t xml:space="preserve">screening </w:t>
      </w:r>
      <w:r w:rsidRPr="005179F6">
        <w:rPr>
          <w:rFonts w:cstheme="minorHAnsi"/>
        </w:rPr>
        <w:t>questions</w:t>
      </w:r>
      <w:r w:rsidR="00796F38" w:rsidRPr="005179F6">
        <w:rPr>
          <w:rFonts w:cstheme="minorHAnsi"/>
        </w:rPr>
        <w:t>. I</w:t>
      </w:r>
      <w:r w:rsidRPr="005179F6">
        <w:rPr>
          <w:rFonts w:cstheme="minorHAnsi"/>
        </w:rPr>
        <w:t>f a positive result is obtained</w:t>
      </w:r>
      <w:r w:rsidR="00796F38" w:rsidRPr="005179F6">
        <w:rPr>
          <w:rFonts w:cstheme="minorHAnsi"/>
        </w:rPr>
        <w:t>, the Condensed MCMDM-1 VWD Bleeding Questionnaire and Bleeding score are administered</w:t>
      </w:r>
      <w:r w:rsidRPr="005179F6">
        <w:rPr>
          <w:rFonts w:cstheme="minorHAnsi"/>
        </w:rPr>
        <w:t xml:space="preserve">. </w:t>
      </w:r>
      <w:r w:rsidR="00796F38" w:rsidRPr="005179F6">
        <w:rPr>
          <w:rFonts w:cstheme="minorHAnsi"/>
        </w:rPr>
        <w:t>P</w:t>
      </w:r>
      <w:r w:rsidRPr="005179F6">
        <w:rPr>
          <w:rFonts w:cstheme="minorHAnsi"/>
        </w:rPr>
        <w:t>hysical examination is required</w:t>
      </w:r>
      <w:r w:rsidR="00796F38" w:rsidRPr="005179F6">
        <w:rPr>
          <w:rFonts w:cstheme="minorHAnsi"/>
        </w:rPr>
        <w:t xml:space="preserve"> and if either history or examination is positive an assessment algorithm provides guidance on testing</w:t>
      </w:r>
      <w:r w:rsidR="00CC641D" w:rsidRPr="005179F6">
        <w:rPr>
          <w:rFonts w:cstheme="minorHAnsi"/>
        </w:rPr>
        <w:t>.</w:t>
      </w:r>
    </w:p>
    <w:p w:rsidR="00CC641D" w:rsidRPr="005179F6" w:rsidRDefault="00CC641D" w:rsidP="00816069">
      <w:pPr>
        <w:jc w:val="both"/>
        <w:rPr>
          <w:rFonts w:cstheme="minorHAnsi"/>
        </w:rPr>
      </w:pPr>
    </w:p>
    <w:p w:rsidR="00C94A36" w:rsidRDefault="00C94A36" w:rsidP="002B46CB">
      <w:pPr>
        <w:ind w:left="567" w:right="-20" w:hanging="567"/>
        <w:rPr>
          <w:rFonts w:ascii="TitilliumText25L" w:eastAsia="TitilliumText25L" w:hAnsi="TitilliumText25L" w:cs="TitilliumText25L"/>
          <w:sz w:val="60"/>
          <w:szCs w:val="60"/>
        </w:rPr>
      </w:pPr>
      <w:r>
        <w:rPr>
          <w:rFonts w:ascii="TitilliumText25L" w:eastAsia="TitilliumText25L" w:hAnsi="TitilliumText25L" w:cs="TitilliumText25L"/>
          <w:color w:val="D0202E"/>
          <w:position w:val="-1"/>
          <w:sz w:val="102"/>
          <w:szCs w:val="102"/>
        </w:rPr>
        <w:t>&gt;</w:t>
      </w:r>
      <w:r>
        <w:rPr>
          <w:rFonts w:ascii="TitilliumText25L" w:eastAsia="TitilliumText25L" w:hAnsi="TitilliumText25L" w:cs="TitilliumText25L"/>
          <w:color w:val="D0202E"/>
          <w:sz w:val="60"/>
          <w:szCs w:val="60"/>
        </w:rPr>
        <w:t>APPLICATION OF BATS IN THE PREOPERATIVE SETTING</w:t>
      </w:r>
    </w:p>
    <w:p w:rsidR="000F715D" w:rsidRPr="005179F6" w:rsidRDefault="009A7F46" w:rsidP="00816069">
      <w:pPr>
        <w:jc w:val="both"/>
        <w:rPr>
          <w:rFonts w:cstheme="minorHAnsi"/>
        </w:rPr>
      </w:pPr>
      <w:r w:rsidRPr="005179F6">
        <w:rPr>
          <w:rFonts w:cstheme="minorHAnsi"/>
        </w:rPr>
        <w:t>The British Committee for Standards in Haematology recommends a bleeding history be taken in all patients preoperatively and</w:t>
      </w:r>
      <w:r w:rsidR="00D42CAD" w:rsidRPr="005179F6">
        <w:rPr>
          <w:rFonts w:cstheme="minorHAnsi"/>
        </w:rPr>
        <w:t xml:space="preserve"> prior to invasive procedures.</w:t>
      </w:r>
      <w:r w:rsidR="009D3D21">
        <w:rPr>
          <w:rFonts w:cstheme="minorHAnsi"/>
          <w:vertAlign w:val="superscript"/>
        </w:rPr>
        <w:t>2</w:t>
      </w:r>
      <w:r w:rsidR="00D42CAD" w:rsidRPr="005179F6">
        <w:rPr>
          <w:rFonts w:cstheme="minorHAnsi"/>
        </w:rPr>
        <w:t xml:space="preserve"> </w:t>
      </w:r>
      <w:r w:rsidRPr="005179F6">
        <w:rPr>
          <w:rFonts w:cstheme="minorHAnsi"/>
        </w:rPr>
        <w:t xml:space="preserve">The European Society of Anaesthesiology specifically recommends the use of a structured patient interview </w:t>
      </w:r>
      <w:r w:rsidR="00E61584" w:rsidRPr="005179F6">
        <w:rPr>
          <w:rFonts w:cstheme="minorHAnsi"/>
        </w:rPr>
        <w:t>or</w:t>
      </w:r>
      <w:r w:rsidRPr="005179F6">
        <w:rPr>
          <w:rFonts w:cstheme="minorHAnsi"/>
        </w:rPr>
        <w:t xml:space="preserve"> questionnaire before surgery or invasive procedures. Both recommendations state the need for both clinical and family history of bleeding</w:t>
      </w:r>
      <w:r w:rsidR="00E61584" w:rsidRPr="005179F6">
        <w:rPr>
          <w:rFonts w:cstheme="minorHAnsi"/>
        </w:rPr>
        <w:t>,</w:t>
      </w:r>
      <w:r w:rsidRPr="005179F6">
        <w:rPr>
          <w:rFonts w:cstheme="minorHAnsi"/>
        </w:rPr>
        <w:t xml:space="preserve"> and details of medications which may impact on bleeding.</w:t>
      </w:r>
      <w:r w:rsidR="009D3D21">
        <w:rPr>
          <w:rFonts w:cstheme="minorHAnsi"/>
          <w:vertAlign w:val="superscript"/>
        </w:rPr>
        <w:t>3</w:t>
      </w:r>
    </w:p>
    <w:p w:rsidR="00C94A36" w:rsidRDefault="00C94A36">
      <w:pPr>
        <w:widowControl/>
        <w:spacing w:after="200" w:line="276" w:lineRule="auto"/>
        <w:rPr>
          <w:rFonts w:cstheme="minorHAnsi"/>
        </w:rPr>
      </w:pPr>
      <w:r>
        <w:rPr>
          <w:rFonts w:cstheme="minorHAnsi"/>
        </w:rPr>
        <w:br w:type="page"/>
      </w:r>
    </w:p>
    <w:p w:rsidR="00C94A36" w:rsidRDefault="00C94A36" w:rsidP="002B46CB">
      <w:pPr>
        <w:ind w:left="567" w:right="-20" w:hanging="567"/>
        <w:rPr>
          <w:rFonts w:ascii="TitilliumText25L" w:eastAsia="TitilliumText25L" w:hAnsi="TitilliumText25L" w:cs="TitilliumText25L"/>
          <w:sz w:val="60"/>
          <w:szCs w:val="60"/>
        </w:rPr>
      </w:pPr>
      <w:r>
        <w:rPr>
          <w:rFonts w:ascii="TitilliumText25L" w:eastAsia="TitilliumText25L" w:hAnsi="TitilliumText25L" w:cs="TitilliumText25L"/>
          <w:color w:val="D0202E"/>
          <w:position w:val="-1"/>
          <w:sz w:val="102"/>
          <w:szCs w:val="102"/>
        </w:rPr>
        <w:lastRenderedPageBreak/>
        <w:t>&gt;</w:t>
      </w:r>
      <w:r>
        <w:rPr>
          <w:rFonts w:ascii="TitilliumText25L" w:eastAsia="TitilliumText25L" w:hAnsi="TitilliumText25L" w:cs="TitilliumText25L"/>
          <w:color w:val="D0202E"/>
          <w:sz w:val="60"/>
          <w:szCs w:val="60"/>
        </w:rPr>
        <w:t>PATIENTS WITH CONGENITAL BLEEDING DISORDERS</w:t>
      </w:r>
      <w:r>
        <w:rPr>
          <w:rFonts w:ascii="TitilliumText25L" w:eastAsia="TitilliumText25L" w:hAnsi="TitilliumText25L" w:cs="TitilliumText25L"/>
          <w:color w:val="D0202E"/>
          <w:spacing w:val="62"/>
          <w:sz w:val="60"/>
          <w:szCs w:val="60"/>
        </w:rPr>
        <w:t xml:space="preserve"> </w:t>
      </w:r>
    </w:p>
    <w:p w:rsidR="00356FE2" w:rsidRDefault="00356FE2" w:rsidP="00356FE2">
      <w:pPr>
        <w:pStyle w:val="PlainText"/>
        <w:jc w:val="both"/>
        <w:rPr>
          <w:rFonts w:asciiTheme="minorHAnsi" w:hAnsiTheme="minorHAnsi" w:cstheme="minorHAnsi"/>
          <w:sz w:val="22"/>
          <w:szCs w:val="22"/>
          <w:lang w:eastAsia="en-US"/>
        </w:rPr>
      </w:pPr>
      <w:r w:rsidRPr="007B196C">
        <w:rPr>
          <w:rFonts w:asciiTheme="minorHAnsi" w:hAnsiTheme="minorHAnsi" w:cstheme="minorHAnsi"/>
          <w:sz w:val="22"/>
          <w:szCs w:val="22"/>
          <w:lang w:eastAsia="en-US"/>
        </w:rPr>
        <w:t>Pre-operative assessment and surgery in patients with known or suspected Von Willebrand disease, platelet defects, Haemophilia A and B or other rare bleeding disorders should whenever possible be undertaken in a hospital with a Haemophilia Treatment Centre or in close consultation with a haematologist in a Haemophilia Treatment Centre.</w:t>
      </w:r>
    </w:p>
    <w:p w:rsidR="00356FE2" w:rsidRDefault="00356FE2" w:rsidP="00816069">
      <w:pPr>
        <w:jc w:val="both"/>
        <w:rPr>
          <w:rFonts w:cstheme="minorHAnsi"/>
        </w:rPr>
      </w:pPr>
    </w:p>
    <w:p w:rsidR="00C94A36" w:rsidRDefault="00C94A36" w:rsidP="002B46CB">
      <w:pPr>
        <w:ind w:left="567" w:right="-20" w:hanging="567"/>
        <w:rPr>
          <w:rFonts w:ascii="TitilliumText25L" w:eastAsia="TitilliumText25L" w:hAnsi="TitilliumText25L" w:cs="TitilliumText25L"/>
          <w:sz w:val="60"/>
          <w:szCs w:val="60"/>
        </w:rPr>
      </w:pPr>
      <w:r>
        <w:rPr>
          <w:rFonts w:ascii="TitilliumText25L" w:eastAsia="TitilliumText25L" w:hAnsi="TitilliumText25L" w:cs="TitilliumText25L"/>
          <w:color w:val="D0202E"/>
          <w:position w:val="-1"/>
          <w:sz w:val="102"/>
          <w:szCs w:val="102"/>
        </w:rPr>
        <w:t>&gt;</w:t>
      </w:r>
      <w:r>
        <w:rPr>
          <w:rFonts w:ascii="TitilliumText25L" w:eastAsia="TitilliumText25L" w:hAnsi="TitilliumText25L" w:cs="TitilliumText25L"/>
          <w:color w:val="D0202E"/>
          <w:sz w:val="60"/>
          <w:szCs w:val="60"/>
        </w:rPr>
        <w:t>PATIENTS WITH COMORBIDITIES INVOLVING HAEMOSTATIC DERANGEMENT</w:t>
      </w:r>
    </w:p>
    <w:p w:rsidR="00272CED" w:rsidRPr="005179F6" w:rsidRDefault="00272CED" w:rsidP="00272CED">
      <w:pPr>
        <w:jc w:val="both"/>
        <w:rPr>
          <w:rFonts w:cstheme="minorHAnsi"/>
        </w:rPr>
      </w:pPr>
      <w:r w:rsidRPr="005179F6">
        <w:rPr>
          <w:rFonts w:cstheme="minorHAnsi"/>
        </w:rPr>
        <w:t>Specialist guidelines or haematology advice should be sought for at-risk patients with severe thrombocytopaenia or coagulopathy.</w:t>
      </w:r>
      <w:r w:rsidR="003D3145">
        <w:rPr>
          <w:rFonts w:cstheme="minorHAnsi"/>
          <w:vertAlign w:val="superscript"/>
        </w:rPr>
        <w:t>5</w:t>
      </w:r>
      <w:r w:rsidRPr="005179F6">
        <w:rPr>
          <w:rFonts w:cstheme="minorHAnsi"/>
        </w:rPr>
        <w:t xml:space="preserve"> The European Society of Anaesthesiology (ESA) suggest that patients with haemostatic derangements associated with systemic, metabolic and/or endocrine diseases should be managed perioperatively in collaboration with a haematologist.</w:t>
      </w:r>
      <w:r w:rsidR="009D3D21">
        <w:rPr>
          <w:rFonts w:cstheme="minorHAnsi"/>
          <w:vertAlign w:val="superscript"/>
        </w:rPr>
        <w:t>3</w:t>
      </w:r>
    </w:p>
    <w:p w:rsidR="00272CED" w:rsidRPr="005179F6" w:rsidRDefault="00272CED" w:rsidP="00816069">
      <w:pPr>
        <w:jc w:val="both"/>
        <w:rPr>
          <w:rFonts w:cstheme="minorHAnsi"/>
        </w:rPr>
      </w:pPr>
    </w:p>
    <w:p w:rsidR="00C94A36" w:rsidRDefault="00C94A36" w:rsidP="002B46CB">
      <w:pPr>
        <w:ind w:left="567" w:right="-20" w:hanging="567"/>
        <w:rPr>
          <w:rFonts w:ascii="TitilliumText25L" w:eastAsia="TitilliumText25L" w:hAnsi="TitilliumText25L" w:cs="TitilliumText25L"/>
          <w:sz w:val="60"/>
          <w:szCs w:val="60"/>
        </w:rPr>
      </w:pPr>
      <w:r>
        <w:rPr>
          <w:rFonts w:ascii="TitilliumText25L" w:eastAsia="TitilliumText25L" w:hAnsi="TitilliumText25L" w:cs="TitilliumText25L"/>
          <w:color w:val="D0202E"/>
          <w:position w:val="-1"/>
          <w:sz w:val="102"/>
          <w:szCs w:val="102"/>
        </w:rPr>
        <w:t>&gt;</w:t>
      </w:r>
      <w:r>
        <w:rPr>
          <w:rFonts w:ascii="TitilliumText25L" w:eastAsia="TitilliumText25L" w:hAnsi="TitilliumText25L" w:cs="TitilliumText25L"/>
          <w:color w:val="D0202E"/>
          <w:sz w:val="60"/>
          <w:szCs w:val="60"/>
        </w:rPr>
        <w:t>PHYSICAL EXAMINATION TO ASSESS BLEEDING</w:t>
      </w:r>
      <w:r>
        <w:rPr>
          <w:rFonts w:ascii="TitilliumText25L" w:eastAsia="TitilliumText25L" w:hAnsi="TitilliumText25L" w:cs="TitilliumText25L"/>
          <w:color w:val="D0202E"/>
          <w:spacing w:val="62"/>
          <w:sz w:val="60"/>
          <w:szCs w:val="60"/>
        </w:rPr>
        <w:t xml:space="preserve"> RISK</w:t>
      </w:r>
    </w:p>
    <w:p w:rsidR="006B704A" w:rsidRDefault="00EF7B6F" w:rsidP="00816069">
      <w:pPr>
        <w:jc w:val="both"/>
        <w:rPr>
          <w:rFonts w:cstheme="minorHAnsi"/>
        </w:rPr>
      </w:pPr>
      <w:r w:rsidRPr="005179F6">
        <w:rPr>
          <w:rFonts w:cstheme="minorHAnsi"/>
        </w:rPr>
        <w:t>Physical examination should be performed as a second step, focusing on signs of bleeding and diseases which may cause haemostatic</w:t>
      </w:r>
      <w:r w:rsidR="00D44704" w:rsidRPr="005179F6">
        <w:rPr>
          <w:rFonts w:cstheme="minorHAnsi"/>
        </w:rPr>
        <w:t xml:space="preserve"> failure (e.g. liver disease</w:t>
      </w:r>
      <w:r w:rsidRPr="005179F6">
        <w:rPr>
          <w:rFonts w:cstheme="minorHAnsi"/>
        </w:rPr>
        <w:t>).</w:t>
      </w:r>
      <w:r w:rsidR="009D3D21">
        <w:rPr>
          <w:rFonts w:cstheme="minorHAnsi"/>
          <w:vertAlign w:val="superscript"/>
        </w:rPr>
        <w:t>3</w:t>
      </w:r>
      <w:r w:rsidRPr="005179F6">
        <w:rPr>
          <w:rFonts w:cstheme="minorHAnsi"/>
        </w:rPr>
        <w:t xml:space="preserve"> Gender, body mass index and comorbidities including arterial hypertension, diabetes mellitus and renal dysfunction are independent risk factors for bleeding and transfusion.</w:t>
      </w:r>
      <w:r w:rsidR="009D3D21">
        <w:rPr>
          <w:rFonts w:cstheme="minorHAnsi"/>
          <w:vertAlign w:val="superscript"/>
        </w:rPr>
        <w:t>3</w:t>
      </w:r>
      <w:r w:rsidRPr="005179F6">
        <w:rPr>
          <w:rFonts w:cstheme="minorHAnsi"/>
        </w:rPr>
        <w:t xml:space="preserve"> </w:t>
      </w:r>
    </w:p>
    <w:p w:rsidR="00EF7B6F" w:rsidRPr="005179F6" w:rsidRDefault="001C4454" w:rsidP="00816069">
      <w:pPr>
        <w:jc w:val="both"/>
        <w:rPr>
          <w:rFonts w:cstheme="minorHAnsi"/>
        </w:rPr>
      </w:pPr>
      <w:r>
        <w:rPr>
          <w:rFonts w:cstheme="minorHAnsi"/>
        </w:rPr>
        <w:t>E</w:t>
      </w:r>
      <w:r w:rsidRPr="005179F6">
        <w:rPr>
          <w:rFonts w:cstheme="minorHAnsi"/>
        </w:rPr>
        <w:t xml:space="preserve">vidence </w:t>
      </w:r>
      <w:r w:rsidR="00EF7B6F" w:rsidRPr="005179F6">
        <w:rPr>
          <w:rFonts w:cstheme="minorHAnsi"/>
        </w:rPr>
        <w:t>of bleeding or anaemia, including size, location, and distribution of ecchymoses, haematomas, and petechiae</w:t>
      </w:r>
      <w:r>
        <w:rPr>
          <w:rFonts w:cstheme="minorHAnsi"/>
        </w:rPr>
        <w:t xml:space="preserve"> should be sought</w:t>
      </w:r>
      <w:r w:rsidR="00EF7B6F" w:rsidRPr="005179F6">
        <w:rPr>
          <w:rFonts w:cstheme="minorHAnsi"/>
        </w:rPr>
        <w:t>.</w:t>
      </w:r>
      <w:r w:rsidR="005E1050" w:rsidRPr="005E1050">
        <w:rPr>
          <w:rFonts w:cstheme="minorHAnsi"/>
          <w:vertAlign w:val="superscript"/>
        </w:rPr>
        <w:t>1</w:t>
      </w:r>
      <w:r w:rsidR="003D3145">
        <w:rPr>
          <w:rFonts w:cstheme="minorHAnsi"/>
          <w:vertAlign w:val="superscript"/>
        </w:rPr>
        <w:t>4</w:t>
      </w:r>
      <w:r w:rsidR="00EF7B6F" w:rsidRPr="005179F6">
        <w:rPr>
          <w:rFonts w:cstheme="minorHAnsi"/>
        </w:rPr>
        <w:t xml:space="preserve"> Evidence of risks of increased bleeding such as jaundice or spider angiomata, splenomegaly, arthropathy, joint and skin laxity, and telangiectasia should also be assessed.</w:t>
      </w:r>
      <w:r w:rsidR="005E1050" w:rsidRPr="005E1050">
        <w:rPr>
          <w:rFonts w:cstheme="minorHAnsi"/>
          <w:vertAlign w:val="superscript"/>
        </w:rPr>
        <w:t>1</w:t>
      </w:r>
      <w:r w:rsidR="009D3D21">
        <w:rPr>
          <w:rFonts w:cstheme="minorHAnsi"/>
          <w:vertAlign w:val="superscript"/>
        </w:rPr>
        <w:t>4</w:t>
      </w:r>
    </w:p>
    <w:p w:rsidR="00C94A36" w:rsidRDefault="00C94A36">
      <w:pPr>
        <w:widowControl/>
        <w:spacing w:after="200" w:line="276" w:lineRule="auto"/>
        <w:rPr>
          <w:rFonts w:cstheme="minorHAnsi"/>
        </w:rPr>
      </w:pPr>
      <w:r>
        <w:rPr>
          <w:rFonts w:cstheme="minorHAnsi"/>
        </w:rPr>
        <w:br w:type="page"/>
      </w:r>
    </w:p>
    <w:p w:rsidR="00C94A36" w:rsidRDefault="00C94A36" w:rsidP="00C94A36">
      <w:pPr>
        <w:ind w:right="-20"/>
        <w:rPr>
          <w:rFonts w:ascii="TitilliumText25L" w:eastAsia="TitilliumText25L" w:hAnsi="TitilliumText25L" w:cs="TitilliumText25L"/>
          <w:sz w:val="60"/>
          <w:szCs w:val="60"/>
        </w:rPr>
      </w:pPr>
      <w:r>
        <w:rPr>
          <w:rFonts w:ascii="TitilliumText25L" w:eastAsia="TitilliumText25L" w:hAnsi="TitilliumText25L" w:cs="TitilliumText25L"/>
          <w:color w:val="D0202E"/>
          <w:position w:val="-1"/>
          <w:sz w:val="102"/>
          <w:szCs w:val="102"/>
        </w:rPr>
        <w:lastRenderedPageBreak/>
        <w:t>&gt;</w:t>
      </w:r>
      <w:r>
        <w:rPr>
          <w:rFonts w:ascii="TitilliumText25L" w:eastAsia="TitilliumText25L" w:hAnsi="TitilliumText25L" w:cs="TitilliumText25L"/>
          <w:color w:val="D0202E"/>
          <w:sz w:val="60"/>
          <w:szCs w:val="60"/>
        </w:rPr>
        <w:t>TYPE OF SURGERY</w:t>
      </w:r>
    </w:p>
    <w:p w:rsidR="00ED508A" w:rsidRDefault="00CD4932" w:rsidP="00ED508A">
      <w:r>
        <w:t>W</w:t>
      </w:r>
      <w:r w:rsidR="00ED508A">
        <w:t>hen assessing bleeding risk</w:t>
      </w:r>
      <w:r>
        <w:t xml:space="preserve"> the type of surgery requires consideration</w:t>
      </w:r>
      <w:r w:rsidR="003A2C51">
        <w:t xml:space="preserve"> (</w:t>
      </w:r>
      <w:r w:rsidR="00ED508A">
        <w:t xml:space="preserve">Table </w:t>
      </w:r>
      <w:r w:rsidR="0056640C">
        <w:t>6</w:t>
      </w:r>
      <w:r w:rsidR="003A2C51">
        <w:t>).</w:t>
      </w:r>
    </w:p>
    <w:p w:rsidR="00ED508A" w:rsidRDefault="00ED508A" w:rsidP="00ED508A"/>
    <w:tbl>
      <w:tblPr>
        <w:tblStyle w:val="TableGrid"/>
        <w:tblW w:w="0" w:type="auto"/>
        <w:tblLook w:val="04A0" w:firstRow="1" w:lastRow="0" w:firstColumn="1" w:lastColumn="0" w:noHBand="0" w:noVBand="1"/>
      </w:tblPr>
      <w:tblGrid>
        <w:gridCol w:w="2802"/>
        <w:gridCol w:w="3767"/>
        <w:gridCol w:w="3285"/>
      </w:tblGrid>
      <w:tr w:rsidR="003A2C51" w:rsidRPr="00ED508A" w:rsidTr="006874F4">
        <w:tc>
          <w:tcPr>
            <w:tcW w:w="9854" w:type="dxa"/>
            <w:gridSpan w:val="3"/>
          </w:tcPr>
          <w:p w:rsidR="003A2C51" w:rsidRPr="003A2C51" w:rsidRDefault="003A2C51" w:rsidP="0056640C">
            <w:pPr>
              <w:pStyle w:val="Heading2"/>
              <w:outlineLvl w:val="1"/>
            </w:pPr>
            <w:bookmarkStart w:id="11" w:name="_Toc411414865"/>
            <w:r w:rsidRPr="003A2C51">
              <w:t xml:space="preserve">Table </w:t>
            </w:r>
            <w:r w:rsidR="0056640C">
              <w:t>6</w:t>
            </w:r>
            <w:r w:rsidRPr="003A2C51">
              <w:t>: Type of surgery and bleeding risk</w:t>
            </w:r>
            <w:bookmarkEnd w:id="11"/>
          </w:p>
        </w:tc>
      </w:tr>
      <w:tr w:rsidR="00ED508A" w:rsidRPr="00ED508A" w:rsidTr="006B704A">
        <w:tc>
          <w:tcPr>
            <w:tcW w:w="2802" w:type="dxa"/>
          </w:tcPr>
          <w:p w:rsidR="00ED508A" w:rsidRPr="00ED508A" w:rsidRDefault="00ED508A" w:rsidP="00717F50">
            <w:pPr>
              <w:spacing w:before="60" w:after="60"/>
              <w:rPr>
                <w:b/>
              </w:rPr>
            </w:pPr>
            <w:r w:rsidRPr="00ED508A">
              <w:rPr>
                <w:b/>
              </w:rPr>
              <w:t>Type of surgery</w:t>
            </w:r>
          </w:p>
        </w:tc>
        <w:tc>
          <w:tcPr>
            <w:tcW w:w="3767" w:type="dxa"/>
          </w:tcPr>
          <w:p w:rsidR="00ED508A" w:rsidRPr="00ED508A" w:rsidRDefault="00ED508A" w:rsidP="00717F50">
            <w:pPr>
              <w:spacing w:before="60" w:after="60"/>
              <w:rPr>
                <w:b/>
              </w:rPr>
            </w:pPr>
            <w:r w:rsidRPr="00ED508A">
              <w:rPr>
                <w:b/>
              </w:rPr>
              <w:t>Considerations</w:t>
            </w:r>
          </w:p>
        </w:tc>
        <w:tc>
          <w:tcPr>
            <w:tcW w:w="3285" w:type="dxa"/>
          </w:tcPr>
          <w:p w:rsidR="00ED508A" w:rsidRPr="00ED508A" w:rsidRDefault="00ED508A" w:rsidP="00717F50">
            <w:pPr>
              <w:spacing w:before="60" w:after="60"/>
              <w:rPr>
                <w:b/>
              </w:rPr>
            </w:pPr>
            <w:r>
              <w:rPr>
                <w:b/>
              </w:rPr>
              <w:t>Suggested action</w:t>
            </w:r>
          </w:p>
        </w:tc>
      </w:tr>
      <w:tr w:rsidR="00ED508A" w:rsidTr="006B704A">
        <w:tc>
          <w:tcPr>
            <w:tcW w:w="2802" w:type="dxa"/>
          </w:tcPr>
          <w:p w:rsidR="00ED508A" w:rsidRDefault="00ED508A" w:rsidP="00717F50">
            <w:pPr>
              <w:spacing w:before="60" w:after="60"/>
            </w:pPr>
            <w:r w:rsidRPr="005179F6">
              <w:rPr>
                <w:rFonts w:cstheme="minorHAnsi"/>
              </w:rPr>
              <w:t>Thoracic or abdominal procedures</w:t>
            </w:r>
          </w:p>
        </w:tc>
        <w:tc>
          <w:tcPr>
            <w:tcW w:w="3767" w:type="dxa"/>
          </w:tcPr>
          <w:p w:rsidR="00ED508A" w:rsidRDefault="00ED508A" w:rsidP="00717F50">
            <w:pPr>
              <w:spacing w:before="60" w:after="60"/>
              <w:rPr>
                <w:rFonts w:cstheme="minorHAnsi"/>
              </w:rPr>
            </w:pPr>
            <w:r>
              <w:rPr>
                <w:rFonts w:cstheme="minorHAnsi"/>
              </w:rPr>
              <w:t>C</w:t>
            </w:r>
            <w:r w:rsidRPr="005179F6">
              <w:rPr>
                <w:rFonts w:cstheme="minorHAnsi"/>
              </w:rPr>
              <w:t>arry particular risks</w:t>
            </w:r>
            <w:r>
              <w:rPr>
                <w:rFonts w:cstheme="minorHAnsi"/>
              </w:rPr>
              <w:t xml:space="preserve"> if:</w:t>
            </w:r>
          </w:p>
          <w:p w:rsidR="00ED508A" w:rsidRPr="008C4C50" w:rsidRDefault="00ED508A" w:rsidP="00CD4932">
            <w:pPr>
              <w:pStyle w:val="ListParagraph"/>
              <w:numPr>
                <w:ilvl w:val="0"/>
                <w:numId w:val="19"/>
              </w:numPr>
              <w:spacing w:before="60" w:after="60"/>
            </w:pPr>
            <w:r w:rsidRPr="00717F50">
              <w:rPr>
                <w:rFonts w:cstheme="minorHAnsi"/>
              </w:rPr>
              <w:t>lasting &gt;2 hours</w:t>
            </w:r>
            <w:r w:rsidRPr="008C4C50">
              <w:rPr>
                <w:rFonts w:cstheme="minorHAnsi"/>
              </w:rPr>
              <w:t xml:space="preserve"> </w:t>
            </w:r>
          </w:p>
          <w:p w:rsidR="00ED508A" w:rsidRDefault="00ED508A" w:rsidP="00CD4932">
            <w:pPr>
              <w:pStyle w:val="ListParagraph"/>
              <w:numPr>
                <w:ilvl w:val="0"/>
                <w:numId w:val="19"/>
              </w:numPr>
              <w:spacing w:before="60" w:after="60"/>
            </w:pPr>
            <w:r w:rsidRPr="00CF097E">
              <w:rPr>
                <w:rFonts w:cstheme="minorHAnsi"/>
              </w:rPr>
              <w:t>blood loss</w:t>
            </w:r>
            <w:r w:rsidRPr="00F958D1">
              <w:rPr>
                <w:rFonts w:cstheme="minorHAnsi"/>
              </w:rPr>
              <w:t xml:space="preserve"> &gt;500 mL</w:t>
            </w:r>
          </w:p>
        </w:tc>
        <w:tc>
          <w:tcPr>
            <w:tcW w:w="3285" w:type="dxa"/>
          </w:tcPr>
          <w:p w:rsidR="00ED508A" w:rsidRDefault="00ED508A" w:rsidP="00717F50">
            <w:pPr>
              <w:spacing w:before="60" w:after="60"/>
            </w:pPr>
            <w:r>
              <w:rPr>
                <w:rFonts w:cstheme="minorHAnsi"/>
              </w:rPr>
              <w:t>M</w:t>
            </w:r>
            <w:r w:rsidRPr="005179F6">
              <w:rPr>
                <w:rFonts w:cstheme="minorHAnsi"/>
              </w:rPr>
              <w:t>ay require laboratory analysis f</w:t>
            </w:r>
            <w:r w:rsidR="00717F50">
              <w:rPr>
                <w:rFonts w:cstheme="minorHAnsi"/>
              </w:rPr>
              <w:t>or bleeding risk stratification</w:t>
            </w:r>
            <w:r w:rsidR="009D3D21">
              <w:rPr>
                <w:rFonts w:cstheme="minorHAnsi"/>
                <w:vertAlign w:val="superscript"/>
              </w:rPr>
              <w:t>3</w:t>
            </w:r>
          </w:p>
        </w:tc>
      </w:tr>
      <w:tr w:rsidR="00ED508A" w:rsidTr="006B704A">
        <w:tc>
          <w:tcPr>
            <w:tcW w:w="2802" w:type="dxa"/>
          </w:tcPr>
          <w:p w:rsidR="00ED508A" w:rsidRPr="005179F6" w:rsidRDefault="00ED508A" w:rsidP="006B704A">
            <w:pPr>
              <w:spacing w:before="60" w:after="60"/>
              <w:rPr>
                <w:rFonts w:cstheme="minorHAnsi"/>
              </w:rPr>
            </w:pPr>
            <w:r>
              <w:rPr>
                <w:rFonts w:cstheme="minorHAnsi"/>
              </w:rPr>
              <w:t>I</w:t>
            </w:r>
            <w:r w:rsidRPr="005179F6">
              <w:rPr>
                <w:rFonts w:cstheme="minorHAnsi"/>
              </w:rPr>
              <w:t>ntracranial, intra</w:t>
            </w:r>
            <w:r w:rsidR="00717F50">
              <w:rPr>
                <w:rFonts w:cstheme="minorHAnsi"/>
              </w:rPr>
              <w:t>ocular and neuraxial procedures</w:t>
            </w:r>
          </w:p>
          <w:p w:rsidR="00ED508A" w:rsidRDefault="00ED508A" w:rsidP="00717F50">
            <w:pPr>
              <w:spacing w:before="60" w:after="60"/>
            </w:pPr>
          </w:p>
        </w:tc>
        <w:tc>
          <w:tcPr>
            <w:tcW w:w="3767" w:type="dxa"/>
          </w:tcPr>
          <w:p w:rsidR="00ED508A" w:rsidRDefault="00843C89" w:rsidP="00717F50">
            <w:pPr>
              <w:spacing w:before="60" w:after="60"/>
            </w:pPr>
            <w:r w:rsidRPr="005179F6">
              <w:rPr>
                <w:rFonts w:cstheme="minorHAnsi"/>
              </w:rPr>
              <w:t>Severe bleeding with the need for allogeneic blood transfusion is relatively uncommon in neurosurgery. However, haematoma growth has a major impact on neurological outcomes and mortality in patients with intracerebral haemorrhage (ICH).</w:t>
            </w:r>
          </w:p>
        </w:tc>
        <w:tc>
          <w:tcPr>
            <w:tcW w:w="3285" w:type="dxa"/>
          </w:tcPr>
          <w:p w:rsidR="00ED508A" w:rsidRDefault="00ED508A" w:rsidP="00717F50">
            <w:pPr>
              <w:spacing w:before="60" w:after="60"/>
              <w:rPr>
                <w:rFonts w:cstheme="minorHAnsi"/>
                <w:vertAlign w:val="superscript"/>
              </w:rPr>
            </w:pPr>
            <w:r w:rsidRPr="005179F6">
              <w:rPr>
                <w:rFonts w:cstheme="minorHAnsi"/>
              </w:rPr>
              <w:t>Specialist guidelines or haematology advice should be sought</w:t>
            </w:r>
            <w:r>
              <w:rPr>
                <w:rFonts w:cstheme="minorHAnsi"/>
              </w:rPr>
              <w:t xml:space="preserve"> </w:t>
            </w:r>
            <w:r w:rsidRPr="005179F6">
              <w:rPr>
                <w:rFonts w:cstheme="minorHAnsi"/>
              </w:rPr>
              <w:t>for at</w:t>
            </w:r>
            <w:r w:rsidR="004C0A56">
              <w:rPr>
                <w:rFonts w:cstheme="minorHAnsi"/>
              </w:rPr>
              <w:t>-</w:t>
            </w:r>
            <w:r w:rsidRPr="005179F6">
              <w:rPr>
                <w:rFonts w:cstheme="minorHAnsi"/>
              </w:rPr>
              <w:t>risk patients</w:t>
            </w:r>
            <w:r w:rsidR="009D3D21">
              <w:rPr>
                <w:rFonts w:cstheme="minorHAnsi"/>
                <w:vertAlign w:val="superscript"/>
              </w:rPr>
              <w:t>5</w:t>
            </w:r>
          </w:p>
          <w:p w:rsidR="00843C89" w:rsidRPr="005179F6" w:rsidRDefault="00843C89" w:rsidP="00843C89">
            <w:pPr>
              <w:jc w:val="both"/>
              <w:rPr>
                <w:rFonts w:cstheme="minorHAnsi"/>
              </w:rPr>
            </w:pPr>
            <w:r>
              <w:rPr>
                <w:rFonts w:cstheme="minorHAnsi"/>
              </w:rPr>
              <w:t xml:space="preserve">Treat </w:t>
            </w:r>
            <w:r w:rsidRPr="005179F6">
              <w:rPr>
                <w:rFonts w:cstheme="minorHAnsi"/>
              </w:rPr>
              <w:t>ICH early.</w:t>
            </w:r>
            <w:r w:rsidR="009D3D21">
              <w:rPr>
                <w:rFonts w:cstheme="minorHAnsi"/>
                <w:vertAlign w:val="superscript"/>
              </w:rPr>
              <w:t>3</w:t>
            </w:r>
          </w:p>
          <w:p w:rsidR="00843C89" w:rsidRDefault="00843C89" w:rsidP="00717F50">
            <w:pPr>
              <w:spacing w:before="60" w:after="60"/>
            </w:pPr>
          </w:p>
        </w:tc>
      </w:tr>
      <w:tr w:rsidR="00ED508A" w:rsidTr="006B704A">
        <w:tc>
          <w:tcPr>
            <w:tcW w:w="2802" w:type="dxa"/>
          </w:tcPr>
          <w:p w:rsidR="00ED508A" w:rsidRDefault="00717F50" w:rsidP="00717F50">
            <w:pPr>
              <w:spacing w:before="60" w:after="60"/>
            </w:pPr>
            <w:r>
              <w:rPr>
                <w:rFonts w:cstheme="minorHAnsi"/>
              </w:rPr>
              <w:t>C</w:t>
            </w:r>
            <w:r w:rsidRPr="005179F6">
              <w:rPr>
                <w:rFonts w:cstheme="minorHAnsi"/>
              </w:rPr>
              <w:t>ardiovascular surgery</w:t>
            </w:r>
          </w:p>
        </w:tc>
        <w:tc>
          <w:tcPr>
            <w:tcW w:w="3767" w:type="dxa"/>
          </w:tcPr>
          <w:p w:rsidR="00ED508A" w:rsidRPr="008C4C50" w:rsidRDefault="00717F50" w:rsidP="00717F50">
            <w:pPr>
              <w:spacing w:before="60" w:after="60"/>
              <w:rPr>
                <w:rFonts w:cstheme="minorHAnsi"/>
              </w:rPr>
            </w:pPr>
            <w:r w:rsidRPr="00717F50">
              <w:rPr>
                <w:rFonts w:cstheme="minorHAnsi"/>
              </w:rPr>
              <w:t>Complex cardiovascular surgery may be accompanied by major blood loss, which can lead to loss and consumption of coagulation factors and haemo</w:t>
            </w:r>
            <w:r w:rsidRPr="008C4C50">
              <w:rPr>
                <w:rFonts w:cstheme="minorHAnsi"/>
              </w:rPr>
              <w:t>dilution</w:t>
            </w:r>
          </w:p>
          <w:p w:rsidR="00717F50" w:rsidRPr="006B704A" w:rsidRDefault="00717F50" w:rsidP="008C4C50">
            <w:pPr>
              <w:spacing w:before="60" w:after="60"/>
            </w:pPr>
            <w:r w:rsidRPr="00CF097E">
              <w:rPr>
                <w:rFonts w:cstheme="minorHAnsi"/>
              </w:rPr>
              <w:t xml:space="preserve">Coagulopathy in cardiac surgery patients may be exacerbated by concurrent antithrombotic therapy, extracorporeal </w:t>
            </w:r>
            <w:r w:rsidRPr="00F958D1">
              <w:rPr>
                <w:rFonts w:cstheme="minorHAnsi"/>
              </w:rPr>
              <w:t>circulation, hypothermia and volume replacement using crystalloids/colloids.</w:t>
            </w:r>
            <w:r w:rsidR="009772BD">
              <w:rPr>
                <w:rFonts w:cstheme="minorHAnsi"/>
                <w:vertAlign w:val="superscript"/>
              </w:rPr>
              <w:t>3</w:t>
            </w:r>
          </w:p>
          <w:p w:rsidR="00717F50" w:rsidRPr="00F958D1" w:rsidRDefault="00717F50" w:rsidP="009772BD">
            <w:pPr>
              <w:rPr>
                <w:rFonts w:cstheme="minorHAnsi"/>
              </w:rPr>
            </w:pPr>
            <w:r w:rsidRPr="00717F50">
              <w:rPr>
                <w:rFonts w:cstheme="minorHAnsi"/>
              </w:rPr>
              <w:t>Failure to restore haemostasis and restrict perioperati</w:t>
            </w:r>
            <w:r w:rsidRPr="008C4C50">
              <w:rPr>
                <w:rFonts w:cstheme="minorHAnsi"/>
              </w:rPr>
              <w:t>ve bleeding increases the risk of re-exploration, transfusion requirements, ICU length of stay</w:t>
            </w:r>
            <w:r w:rsidRPr="00CF097E">
              <w:rPr>
                <w:rFonts w:cstheme="minorHAnsi"/>
              </w:rPr>
              <w:t>, morbidity and mortality.</w:t>
            </w:r>
            <w:r w:rsidR="009772BD">
              <w:rPr>
                <w:rFonts w:cstheme="minorHAnsi"/>
                <w:vertAlign w:val="superscript"/>
              </w:rPr>
              <w:t>3</w:t>
            </w:r>
          </w:p>
        </w:tc>
        <w:tc>
          <w:tcPr>
            <w:tcW w:w="3285" w:type="dxa"/>
          </w:tcPr>
          <w:p w:rsidR="00ED508A" w:rsidRDefault="00CD4932" w:rsidP="00717F50">
            <w:pPr>
              <w:spacing w:before="60" w:after="60"/>
            </w:pPr>
            <w:r>
              <w:t>Multidisciplinary assessment and/or referral to specialist guidelines</w:t>
            </w:r>
          </w:p>
        </w:tc>
      </w:tr>
      <w:tr w:rsidR="00ED508A" w:rsidTr="006B704A">
        <w:tc>
          <w:tcPr>
            <w:tcW w:w="2802" w:type="dxa"/>
          </w:tcPr>
          <w:p w:rsidR="00ED508A" w:rsidRDefault="00717F50" w:rsidP="00717F50">
            <w:pPr>
              <w:spacing w:before="60" w:after="60"/>
            </w:pPr>
            <w:r w:rsidRPr="005179F6">
              <w:rPr>
                <w:rFonts w:cstheme="minorHAnsi"/>
              </w:rPr>
              <w:t>Gynaecological cancer</w:t>
            </w:r>
            <w:r>
              <w:rPr>
                <w:rFonts w:cstheme="minorHAnsi"/>
              </w:rPr>
              <w:t xml:space="preserve"> surgery</w:t>
            </w:r>
          </w:p>
        </w:tc>
        <w:tc>
          <w:tcPr>
            <w:tcW w:w="3767" w:type="dxa"/>
          </w:tcPr>
          <w:p w:rsidR="00ED508A" w:rsidRDefault="00717F50" w:rsidP="00717F50">
            <w:pPr>
              <w:spacing w:before="60" w:after="60"/>
            </w:pPr>
            <w:r w:rsidRPr="00717F50">
              <w:rPr>
                <w:rFonts w:cstheme="minorHAnsi"/>
              </w:rPr>
              <w:t>Tendency to increased blood viscosity and fibrinogen concentrations, and perioperative transfusion &gt;2</w:t>
            </w:r>
            <w:r w:rsidRPr="008C4C50">
              <w:rPr>
                <w:rFonts w:cstheme="minorHAnsi"/>
              </w:rPr>
              <w:t xml:space="preserve"> L</w:t>
            </w:r>
            <w:r w:rsidRPr="00CF097E">
              <w:rPr>
                <w:rFonts w:cstheme="minorHAnsi"/>
              </w:rPr>
              <w:t xml:space="preserve"> increases the risk of postoperative venous thromboembolism.</w:t>
            </w:r>
          </w:p>
        </w:tc>
        <w:tc>
          <w:tcPr>
            <w:tcW w:w="3285" w:type="dxa"/>
          </w:tcPr>
          <w:p w:rsidR="00ED508A" w:rsidRDefault="00717F50" w:rsidP="00717F50">
            <w:pPr>
              <w:spacing w:before="60" w:after="60"/>
            </w:pPr>
            <w:r w:rsidRPr="005179F6">
              <w:rPr>
                <w:rFonts w:cstheme="minorHAnsi"/>
              </w:rPr>
              <w:t>Perioperative haemostatic monitoring and intervention is critical.</w:t>
            </w:r>
            <w:r w:rsidR="009D3D21">
              <w:rPr>
                <w:rFonts w:cstheme="minorHAnsi"/>
                <w:vertAlign w:val="superscript"/>
              </w:rPr>
              <w:t>3</w:t>
            </w:r>
          </w:p>
        </w:tc>
      </w:tr>
      <w:tr w:rsidR="00717F50" w:rsidTr="00717F50">
        <w:tc>
          <w:tcPr>
            <w:tcW w:w="2802" w:type="dxa"/>
          </w:tcPr>
          <w:p w:rsidR="00717F50" w:rsidRPr="005179F6" w:rsidRDefault="00717F50" w:rsidP="00717F50">
            <w:pPr>
              <w:spacing w:before="60" w:after="60"/>
              <w:rPr>
                <w:rFonts w:cstheme="minorHAnsi"/>
              </w:rPr>
            </w:pPr>
            <w:r w:rsidRPr="005179F6">
              <w:rPr>
                <w:rFonts w:cstheme="minorHAnsi"/>
              </w:rPr>
              <w:t>Obstetric</w:t>
            </w:r>
            <w:r>
              <w:rPr>
                <w:rFonts w:cstheme="minorHAnsi"/>
              </w:rPr>
              <w:t xml:space="preserve"> surgery</w:t>
            </w:r>
          </w:p>
        </w:tc>
        <w:tc>
          <w:tcPr>
            <w:tcW w:w="3767" w:type="dxa"/>
          </w:tcPr>
          <w:p w:rsidR="00717F50" w:rsidRPr="00717F50" w:rsidRDefault="00717F50" w:rsidP="00717F50">
            <w:pPr>
              <w:spacing w:before="60" w:after="60"/>
              <w:rPr>
                <w:rFonts w:cstheme="minorHAnsi"/>
              </w:rPr>
            </w:pPr>
            <w:r w:rsidRPr="005179F6">
              <w:rPr>
                <w:rFonts w:cstheme="minorHAnsi"/>
              </w:rPr>
              <w:t>Obstetric patients with conditions that are likely to result in surgery will require multidisciplinary assessment and management.</w:t>
            </w:r>
          </w:p>
        </w:tc>
        <w:tc>
          <w:tcPr>
            <w:tcW w:w="3285" w:type="dxa"/>
          </w:tcPr>
          <w:p w:rsidR="00717F50" w:rsidRPr="005179F6" w:rsidRDefault="00717F50" w:rsidP="00717F50">
            <w:pPr>
              <w:spacing w:before="60" w:after="60"/>
              <w:rPr>
                <w:rFonts w:cstheme="minorHAnsi"/>
              </w:rPr>
            </w:pPr>
            <w:r>
              <w:rPr>
                <w:rFonts w:cstheme="minorHAnsi"/>
              </w:rPr>
              <w:t xml:space="preserve">Refer to </w:t>
            </w:r>
            <w:r w:rsidRPr="005179F6">
              <w:rPr>
                <w:rFonts w:cstheme="minorHAnsi"/>
              </w:rPr>
              <w:t>Patient Blood Management Guidelines: Module 5 – Obstetrics</w:t>
            </w:r>
          </w:p>
        </w:tc>
      </w:tr>
    </w:tbl>
    <w:p w:rsidR="00ED508A" w:rsidRDefault="00ED508A" w:rsidP="00ED508A"/>
    <w:p w:rsidR="00C94A36" w:rsidRDefault="00C94A36" w:rsidP="00C94A36">
      <w:pPr>
        <w:ind w:right="-20"/>
        <w:rPr>
          <w:rFonts w:ascii="TitilliumText25L" w:eastAsia="TitilliumText25L" w:hAnsi="TitilliumText25L" w:cs="TitilliumText25L"/>
          <w:sz w:val="60"/>
          <w:szCs w:val="60"/>
        </w:rPr>
      </w:pPr>
      <w:r>
        <w:rPr>
          <w:rFonts w:ascii="TitilliumText25L" w:eastAsia="TitilliumText25L" w:hAnsi="TitilliumText25L" w:cs="TitilliumText25L"/>
          <w:color w:val="D0202E"/>
          <w:position w:val="-1"/>
          <w:sz w:val="102"/>
          <w:szCs w:val="102"/>
        </w:rPr>
        <w:lastRenderedPageBreak/>
        <w:t>&gt;</w:t>
      </w:r>
      <w:r>
        <w:rPr>
          <w:rFonts w:ascii="TitilliumText25L" w:eastAsia="TitilliumText25L" w:hAnsi="TitilliumText25L" w:cs="TitilliumText25L"/>
          <w:color w:val="D0202E"/>
          <w:sz w:val="60"/>
          <w:szCs w:val="60"/>
        </w:rPr>
        <w:t xml:space="preserve">COAGULATION </w:t>
      </w:r>
      <w:r>
        <w:rPr>
          <w:rFonts w:ascii="TitilliumText25L" w:eastAsia="TitilliumText25L" w:hAnsi="TitilliumText25L" w:cs="TitilliumText25L"/>
          <w:color w:val="D0202E"/>
          <w:spacing w:val="62"/>
          <w:sz w:val="60"/>
          <w:szCs w:val="60"/>
        </w:rPr>
        <w:t xml:space="preserve">ASSESSMENT </w:t>
      </w:r>
    </w:p>
    <w:p w:rsidR="0013572B" w:rsidRPr="005179F6" w:rsidRDefault="0013572B" w:rsidP="0013572B">
      <w:pPr>
        <w:jc w:val="both"/>
        <w:rPr>
          <w:rFonts w:cstheme="minorHAnsi"/>
        </w:rPr>
      </w:pPr>
      <w:r w:rsidRPr="005179F6">
        <w:rPr>
          <w:rFonts w:cstheme="minorHAnsi"/>
        </w:rPr>
        <w:t>Traditionally, perioperative coagulation monitoring has relied on clinical judgement and standard laboratory tests (SLTs). However, many SLTs were designed to test for coagulation factor deficiencies, not for predicting risk of bleeding or guiding haemostatic management. Moreover, utility of SLTs in emergency situations is limited by slow turnaround times due to sample transport and plasma preparation requirements.</w:t>
      </w:r>
      <w:r w:rsidR="009772BD">
        <w:rPr>
          <w:rFonts w:cstheme="minorHAnsi"/>
          <w:vertAlign w:val="superscript"/>
        </w:rPr>
        <w:t>3</w:t>
      </w:r>
    </w:p>
    <w:p w:rsidR="0013572B" w:rsidRPr="005179F6" w:rsidRDefault="0013572B" w:rsidP="0013572B">
      <w:pPr>
        <w:jc w:val="both"/>
        <w:rPr>
          <w:rFonts w:cstheme="minorHAnsi"/>
        </w:rPr>
      </w:pPr>
    </w:p>
    <w:p w:rsidR="0013572B" w:rsidRPr="005179F6" w:rsidRDefault="0013572B" w:rsidP="0013572B">
      <w:pPr>
        <w:jc w:val="both"/>
        <w:rPr>
          <w:rFonts w:cstheme="minorHAnsi"/>
        </w:rPr>
      </w:pPr>
      <w:r w:rsidRPr="005179F6">
        <w:rPr>
          <w:rFonts w:cstheme="minorHAnsi"/>
        </w:rPr>
        <w:t>Routine coagulation testing to predict perioperative bleeding risk in unselected patients prior to surgery or other invasive procedures is not recommended.</w:t>
      </w:r>
      <w:r w:rsidR="009772BD">
        <w:rPr>
          <w:rFonts w:cstheme="minorHAnsi"/>
          <w:vertAlign w:val="superscript"/>
        </w:rPr>
        <w:t>2,3</w:t>
      </w:r>
      <w:r w:rsidRPr="005179F6">
        <w:rPr>
          <w:rFonts w:cstheme="minorHAnsi"/>
        </w:rPr>
        <w:t xml:space="preserve"> Coagulation tests may suggest increased bleeding risk, but they cannot predict intraoperative or postoperative bleeding caused by exogenous factors.</w:t>
      </w:r>
      <w:r w:rsidR="009772BD">
        <w:rPr>
          <w:rFonts w:cstheme="minorHAnsi"/>
          <w:vertAlign w:val="superscript"/>
        </w:rPr>
        <w:t>3</w:t>
      </w:r>
    </w:p>
    <w:p w:rsidR="0013572B" w:rsidRPr="005179F6" w:rsidRDefault="0013572B" w:rsidP="0013572B">
      <w:pPr>
        <w:jc w:val="both"/>
        <w:rPr>
          <w:rFonts w:cstheme="minorHAnsi"/>
        </w:rPr>
      </w:pPr>
    </w:p>
    <w:p w:rsidR="0013572B" w:rsidRPr="005179F6" w:rsidRDefault="0013572B" w:rsidP="0013572B">
      <w:pPr>
        <w:jc w:val="both"/>
        <w:rPr>
          <w:rFonts w:cstheme="minorHAnsi"/>
        </w:rPr>
      </w:pPr>
      <w:r w:rsidRPr="005179F6">
        <w:rPr>
          <w:rFonts w:cstheme="minorHAnsi"/>
        </w:rPr>
        <w:t>Selective laboratory testing is advised because it is more cost-effective and more evidence based. Preoperative assessment of aPTT, PT, INR, fibrinogen and platelet count is warranted in patients with bleeding disorders, a history of bleeding or a clear clinical indication (e.g. HELLP syndrome [haemolysis, elevated liver enzymes and low platelets], liver disease or leukaemia).</w:t>
      </w:r>
    </w:p>
    <w:p w:rsidR="0013572B" w:rsidRPr="005179F6" w:rsidRDefault="0013572B" w:rsidP="0013572B">
      <w:pPr>
        <w:jc w:val="both"/>
        <w:rPr>
          <w:rFonts w:cstheme="minorHAnsi"/>
        </w:rPr>
      </w:pPr>
    </w:p>
    <w:p w:rsidR="0013572B" w:rsidRPr="00152639" w:rsidRDefault="0013572B" w:rsidP="0013572B">
      <w:pPr>
        <w:jc w:val="both"/>
        <w:rPr>
          <w:rFonts w:cstheme="minorHAnsi"/>
        </w:rPr>
      </w:pPr>
      <w:r w:rsidRPr="005179F6">
        <w:rPr>
          <w:rFonts w:cstheme="minorHAnsi"/>
        </w:rPr>
        <w:t xml:space="preserve">Platelet function </w:t>
      </w:r>
      <w:r>
        <w:rPr>
          <w:rFonts w:cstheme="minorHAnsi"/>
        </w:rPr>
        <w:t>screening</w:t>
      </w:r>
      <w:r w:rsidR="00945EEA">
        <w:rPr>
          <w:rFonts w:cstheme="minorHAnsi"/>
        </w:rPr>
        <w:t>,</w:t>
      </w:r>
      <w:r>
        <w:rPr>
          <w:rFonts w:cstheme="minorHAnsi"/>
        </w:rPr>
        <w:t xml:space="preserve"> eg with a </w:t>
      </w:r>
      <w:r w:rsidRPr="005179F6">
        <w:rPr>
          <w:rFonts w:cstheme="minorHAnsi"/>
        </w:rPr>
        <w:t xml:space="preserve">Platelet Function Analyser (PFA-100®, Siemens, Tarrytown, NY) </w:t>
      </w:r>
      <w:r>
        <w:rPr>
          <w:rFonts w:cstheme="minorHAnsi"/>
        </w:rPr>
        <w:t xml:space="preserve">may be useful preoperatively in </w:t>
      </w:r>
      <w:r w:rsidRPr="00152639">
        <w:rPr>
          <w:rFonts w:cstheme="minorHAnsi"/>
        </w:rPr>
        <w:t>patients with a positive bleeding history</w:t>
      </w:r>
      <w:r>
        <w:rPr>
          <w:rFonts w:cstheme="minorHAnsi"/>
        </w:rPr>
        <w:t xml:space="preserve"> or taking antiplatelet medication.</w:t>
      </w:r>
      <w:r w:rsidR="009772BD">
        <w:rPr>
          <w:rFonts w:cstheme="minorHAnsi"/>
          <w:vertAlign w:val="superscript"/>
        </w:rPr>
        <w:t>3</w:t>
      </w:r>
    </w:p>
    <w:p w:rsidR="0013572B" w:rsidRDefault="0013572B" w:rsidP="0013572B">
      <w:pPr>
        <w:jc w:val="both"/>
        <w:rPr>
          <w:rFonts w:cstheme="minorHAnsi"/>
        </w:rPr>
      </w:pPr>
    </w:p>
    <w:p w:rsidR="00C94A36" w:rsidRDefault="00C94A36" w:rsidP="002B46CB">
      <w:pPr>
        <w:ind w:left="567" w:right="-20" w:hanging="567"/>
        <w:rPr>
          <w:rFonts w:ascii="TitilliumText25L" w:eastAsia="TitilliumText25L" w:hAnsi="TitilliumText25L" w:cs="TitilliumText25L"/>
          <w:sz w:val="60"/>
          <w:szCs w:val="60"/>
        </w:rPr>
      </w:pPr>
      <w:r>
        <w:rPr>
          <w:rFonts w:ascii="TitilliumText25L" w:eastAsia="TitilliumText25L" w:hAnsi="TitilliumText25L" w:cs="TitilliumText25L"/>
          <w:color w:val="D0202E"/>
          <w:position w:val="-1"/>
          <w:sz w:val="102"/>
          <w:szCs w:val="102"/>
        </w:rPr>
        <w:t>&gt;</w:t>
      </w:r>
      <w:r>
        <w:rPr>
          <w:rFonts w:ascii="TitilliumText25L" w:eastAsia="TitilliumText25L" w:hAnsi="TitilliumText25L" w:cs="TitilliumText25L"/>
          <w:color w:val="D0202E"/>
          <w:sz w:val="60"/>
          <w:szCs w:val="60"/>
        </w:rPr>
        <w:t>POINT–OF-CARE</w:t>
      </w:r>
      <w:r w:rsidR="002B46CB">
        <w:rPr>
          <w:rFonts w:ascii="TitilliumText25L" w:eastAsia="TitilliumText25L" w:hAnsi="TitilliumText25L" w:cs="TitilliumText25L"/>
          <w:color w:val="D0202E"/>
          <w:sz w:val="60"/>
          <w:szCs w:val="60"/>
        </w:rPr>
        <w:t xml:space="preserve"> COAGULATION ASSESSMENT</w:t>
      </w:r>
    </w:p>
    <w:p w:rsidR="008A0B1F" w:rsidRDefault="0013572B" w:rsidP="0013572B">
      <w:pPr>
        <w:jc w:val="both"/>
        <w:rPr>
          <w:rFonts w:cstheme="minorHAnsi"/>
        </w:rPr>
      </w:pPr>
      <w:r w:rsidRPr="005179F6">
        <w:rPr>
          <w:rFonts w:cstheme="minorHAnsi"/>
        </w:rPr>
        <w:t>Point-of-care (POC) coagulation assays such as thrombelastography (TEG; Haemoscope Inc., Niles, IL) and thromboelastometry (ROTEM; TemInternationalGmbH,</w:t>
      </w:r>
      <w:r>
        <w:rPr>
          <w:rFonts w:cstheme="minorHAnsi"/>
        </w:rPr>
        <w:t xml:space="preserve"> </w:t>
      </w:r>
      <w:r w:rsidRPr="005179F6">
        <w:rPr>
          <w:rFonts w:cstheme="minorHAnsi"/>
        </w:rPr>
        <w:t>Munich,</w:t>
      </w:r>
      <w:r>
        <w:rPr>
          <w:rFonts w:cstheme="minorHAnsi"/>
        </w:rPr>
        <w:t xml:space="preserve"> </w:t>
      </w:r>
      <w:r w:rsidRPr="005179F6">
        <w:rPr>
          <w:rFonts w:cstheme="minorHAnsi"/>
        </w:rPr>
        <w:t>Germany), enable rapid intraoperative diagnosis of the cause of bleeding</w:t>
      </w:r>
      <w:r w:rsidR="009D3D21">
        <w:rPr>
          <w:rFonts w:cstheme="minorHAnsi"/>
          <w:vertAlign w:val="superscript"/>
        </w:rPr>
        <w:t>3</w:t>
      </w:r>
      <w:r w:rsidRPr="005179F6">
        <w:rPr>
          <w:rFonts w:cstheme="minorHAnsi"/>
        </w:rPr>
        <w:t xml:space="preserve"> but are not practical to use in pre-operative bleeding risk assessment and may not predict bleeding risk. </w:t>
      </w:r>
    </w:p>
    <w:p w:rsidR="008A0B1F" w:rsidRDefault="008A0B1F" w:rsidP="0013572B">
      <w:pPr>
        <w:jc w:val="both"/>
        <w:rPr>
          <w:rFonts w:cstheme="minorHAnsi"/>
        </w:rPr>
      </w:pPr>
    </w:p>
    <w:p w:rsidR="0013572B" w:rsidRPr="005179F6" w:rsidRDefault="0013572B" w:rsidP="0013572B">
      <w:pPr>
        <w:jc w:val="both"/>
        <w:rPr>
          <w:rFonts w:cstheme="minorHAnsi"/>
        </w:rPr>
      </w:pPr>
      <w:r w:rsidRPr="005179F6">
        <w:rPr>
          <w:rFonts w:cstheme="minorHAnsi"/>
        </w:rPr>
        <w:t>Indiscriminate preoperative coagulation monitoring using POC assays is unlikely to be cost-effective, but it may be wa</w:t>
      </w:r>
      <w:r>
        <w:rPr>
          <w:rFonts w:cstheme="minorHAnsi"/>
        </w:rPr>
        <w:t>rranted in combination with standard laboratory testing</w:t>
      </w:r>
      <w:r w:rsidRPr="005179F6">
        <w:rPr>
          <w:rFonts w:cstheme="minorHAnsi"/>
        </w:rPr>
        <w:t xml:space="preserve"> in patients with bleeding disorders such as VWD, factor XII deficiency, and haemophilia A with dysfibrinogenaemia.</w:t>
      </w:r>
      <w:r w:rsidR="009D3D21">
        <w:rPr>
          <w:rFonts w:cstheme="minorHAnsi"/>
          <w:vertAlign w:val="superscript"/>
        </w:rPr>
        <w:t>3</w:t>
      </w:r>
      <w:r w:rsidRPr="005179F6">
        <w:rPr>
          <w:rFonts w:cstheme="minorHAnsi"/>
        </w:rPr>
        <w:t xml:space="preserve"> Consideration for use in cardiac surgery is recommended.</w:t>
      </w:r>
      <w:r w:rsidR="009772BD">
        <w:rPr>
          <w:rFonts w:cstheme="minorHAnsi"/>
          <w:vertAlign w:val="superscript"/>
        </w:rPr>
        <w:t>4</w:t>
      </w:r>
    </w:p>
    <w:p w:rsidR="0013572B" w:rsidRPr="005179F6" w:rsidRDefault="0013572B" w:rsidP="0013572B">
      <w:pPr>
        <w:jc w:val="both"/>
        <w:rPr>
          <w:rFonts w:cstheme="minorHAnsi"/>
        </w:rPr>
      </w:pPr>
    </w:p>
    <w:p w:rsidR="0013572B" w:rsidRPr="005179F6" w:rsidRDefault="0013572B" w:rsidP="0013572B">
      <w:pPr>
        <w:jc w:val="both"/>
        <w:rPr>
          <w:rFonts w:cstheme="minorHAnsi"/>
        </w:rPr>
      </w:pPr>
      <w:r w:rsidRPr="005179F6">
        <w:rPr>
          <w:rFonts w:cstheme="minorHAnsi"/>
        </w:rPr>
        <w:t>Similarly, there is currently little evidence to support additional, routine application of point-of-care INR testing in the preoperative setting to predict bleeding tendency, despite the fact that many recent devices provide results which are comparable with laboratory testing.</w:t>
      </w:r>
      <w:r w:rsidR="009D3D21">
        <w:rPr>
          <w:rFonts w:cstheme="minorHAnsi"/>
          <w:vertAlign w:val="superscript"/>
        </w:rPr>
        <w:t>3</w:t>
      </w:r>
    </w:p>
    <w:p w:rsidR="0013572B" w:rsidRPr="007B196C" w:rsidRDefault="0013572B" w:rsidP="008539E6">
      <w:pPr>
        <w:pStyle w:val="PlainText"/>
        <w:jc w:val="both"/>
        <w:rPr>
          <w:rFonts w:asciiTheme="minorHAnsi" w:hAnsiTheme="minorHAnsi" w:cstheme="minorHAnsi"/>
          <w:sz w:val="22"/>
          <w:szCs w:val="22"/>
          <w:lang w:eastAsia="en-US"/>
        </w:rPr>
      </w:pPr>
    </w:p>
    <w:p w:rsidR="00F57048" w:rsidRPr="005179F6" w:rsidRDefault="00F57048" w:rsidP="005179F6">
      <w:pPr>
        <w:rPr>
          <w:rFonts w:cstheme="minorHAnsi"/>
        </w:rPr>
      </w:pPr>
      <w:r w:rsidRPr="005179F6">
        <w:rPr>
          <w:rFonts w:cstheme="minorHAnsi"/>
        </w:rPr>
        <w:br w:type="page"/>
      </w:r>
    </w:p>
    <w:p w:rsidR="006B666A" w:rsidRPr="005179F6" w:rsidRDefault="002B46CB" w:rsidP="00BF2D8B">
      <w:pPr>
        <w:pStyle w:val="Heading1"/>
      </w:pPr>
      <w:bookmarkStart w:id="12" w:name="_Toc411414868"/>
      <w:r w:rsidRPr="002B46CB">
        <w:rPr>
          <w:rFonts w:ascii="TitilliumText25L" w:eastAsia="TitilliumText25L" w:hAnsi="TitilliumText25L" w:cs="TitilliumText25L"/>
          <w:b w:val="0"/>
          <w:color w:val="D0202E"/>
          <w:position w:val="-1"/>
          <w:sz w:val="102"/>
          <w:szCs w:val="102"/>
        </w:rPr>
        <w:lastRenderedPageBreak/>
        <w:t>&gt;</w:t>
      </w:r>
      <w:r w:rsidRPr="002B46CB">
        <w:rPr>
          <w:rFonts w:ascii="TitilliumText25L" w:eastAsia="TitilliumText25L" w:hAnsi="TitilliumText25L" w:cs="TitilliumText25L"/>
          <w:b w:val="0"/>
          <w:color w:val="D0202E"/>
          <w:sz w:val="60"/>
          <w:szCs w:val="60"/>
        </w:rPr>
        <w:t xml:space="preserve"> R</w:t>
      </w:r>
      <w:r>
        <w:rPr>
          <w:rFonts w:ascii="TitilliumText25L" w:eastAsia="TitilliumText25L" w:hAnsi="TitilliumText25L" w:cs="TitilliumText25L"/>
          <w:b w:val="0"/>
          <w:color w:val="D0202E"/>
          <w:sz w:val="60"/>
          <w:szCs w:val="60"/>
        </w:rPr>
        <w:t>EFERENCES:</w:t>
      </w:r>
      <w:r w:rsidRPr="002B46CB">
        <w:rPr>
          <w:b w:val="0"/>
        </w:rPr>
        <w:t xml:space="preserve"> </w:t>
      </w:r>
      <w:bookmarkEnd w:id="12"/>
    </w:p>
    <w:p w:rsidR="00AD2CE3" w:rsidRPr="00AD2CE3" w:rsidRDefault="00AD2CE3" w:rsidP="00AD2CE3">
      <w:pPr>
        <w:pStyle w:val="ListParagraph"/>
        <w:numPr>
          <w:ilvl w:val="0"/>
          <w:numId w:val="6"/>
        </w:numPr>
        <w:rPr>
          <w:rFonts w:cstheme="minorHAnsi"/>
        </w:rPr>
      </w:pPr>
      <w:r w:rsidRPr="00AD2CE3">
        <w:rPr>
          <w:rFonts w:cstheme="minorHAnsi"/>
        </w:rPr>
        <w:t>Society of Thoracic Surgeons Blood Conservation Guideline Task Force, Ferraris VA, Brown JR, Despotis GJ, Hammon JW, Reece TB, et al.</w:t>
      </w:r>
      <w:r>
        <w:rPr>
          <w:rFonts w:cstheme="minorHAnsi"/>
        </w:rPr>
        <w:t xml:space="preserve"> </w:t>
      </w:r>
      <w:hyperlink r:id="rId46" w:history="1">
        <w:r w:rsidRPr="00AD2CE3">
          <w:rPr>
            <w:rStyle w:val="Hyperlink"/>
            <w:rFonts w:cstheme="minorHAnsi"/>
          </w:rPr>
          <w:t>2011 update to the Society of Thoracic Surgeons and the Society of Cardiovascular Anesthesiologists blood conservation clinical practice guidelines</w:t>
        </w:r>
      </w:hyperlink>
      <w:r w:rsidRPr="00AD2CE3">
        <w:rPr>
          <w:rFonts w:cstheme="minorHAnsi"/>
        </w:rPr>
        <w:t>.</w:t>
      </w:r>
      <w:r>
        <w:rPr>
          <w:rFonts w:cstheme="minorHAnsi"/>
        </w:rPr>
        <w:t xml:space="preserve"> </w:t>
      </w:r>
      <w:r w:rsidRPr="00AD2CE3">
        <w:rPr>
          <w:rFonts w:cstheme="minorHAnsi"/>
        </w:rPr>
        <w:t>Ann Thorac Surg. 2011 Mar;91(3):944-82.</w:t>
      </w:r>
    </w:p>
    <w:p w:rsidR="00E73EB2" w:rsidRPr="00983613" w:rsidRDefault="00E73EB2" w:rsidP="00DD68C7">
      <w:pPr>
        <w:pStyle w:val="ListParagraph"/>
        <w:numPr>
          <w:ilvl w:val="0"/>
          <w:numId w:val="6"/>
        </w:numPr>
        <w:rPr>
          <w:rFonts w:cstheme="minorHAnsi"/>
        </w:rPr>
      </w:pPr>
      <w:r w:rsidRPr="00983613">
        <w:rPr>
          <w:rFonts w:cstheme="minorHAnsi"/>
        </w:rPr>
        <w:t xml:space="preserve">Chee YL, Crawford JC, Watson HG and Greaves M. </w:t>
      </w:r>
      <w:hyperlink r:id="rId47" w:history="1">
        <w:r w:rsidRPr="00983613">
          <w:rPr>
            <w:rStyle w:val="Hyperlink"/>
            <w:rFonts w:cstheme="minorHAnsi"/>
          </w:rPr>
          <w:t>Guidelines on the assessment of bleeding risk prior to surgery or invasive procedures</w:t>
        </w:r>
      </w:hyperlink>
      <w:r w:rsidRPr="00983613">
        <w:rPr>
          <w:rFonts w:cstheme="minorHAnsi"/>
        </w:rPr>
        <w:t>. British Committee for Standards in Haematology. British Journal of Haematology, 2008;140:496–504</w:t>
      </w:r>
      <w:r w:rsidR="00CE4754">
        <w:rPr>
          <w:rFonts w:cstheme="minorHAnsi"/>
        </w:rPr>
        <w:t>.</w:t>
      </w:r>
    </w:p>
    <w:p w:rsidR="00E73EB2" w:rsidRPr="00983613" w:rsidRDefault="00E73EB2" w:rsidP="00DD68C7">
      <w:pPr>
        <w:pStyle w:val="ListParagraph"/>
        <w:numPr>
          <w:ilvl w:val="0"/>
          <w:numId w:val="6"/>
        </w:numPr>
        <w:rPr>
          <w:rFonts w:cstheme="minorHAnsi"/>
        </w:rPr>
      </w:pPr>
      <w:r w:rsidRPr="00983613">
        <w:rPr>
          <w:rFonts w:cstheme="minorHAnsi"/>
        </w:rPr>
        <w:t>Kozek-Langenecker SA, Afshari A, Albaladejo P, Santullano CA, De Robertis E, et al. Management of severe perioperative bleeding: guidelines from the European Society of Anaesthesiology. Eur J Anaesthesiol. 2013;30:270-382.</w:t>
      </w:r>
    </w:p>
    <w:p w:rsidR="00AD2CE3" w:rsidRPr="00AD2CE3" w:rsidRDefault="00AD2CE3" w:rsidP="00AD2CE3">
      <w:pPr>
        <w:pStyle w:val="ListParagraph"/>
        <w:numPr>
          <w:ilvl w:val="0"/>
          <w:numId w:val="6"/>
        </w:numPr>
        <w:rPr>
          <w:rFonts w:cstheme="minorHAnsi"/>
        </w:rPr>
      </w:pPr>
      <w:r w:rsidRPr="00AD2CE3">
        <w:t xml:space="preserve">National Health and Medical Research Council (NHMRC). </w:t>
      </w:r>
      <w:r w:rsidRPr="008A0B1F">
        <w:rPr>
          <w:rStyle w:val="Emphasis"/>
        </w:rPr>
        <w:t>Talking with your patients about Complementary Medicine – a Resource for Clinician</w:t>
      </w:r>
      <w:r>
        <w:rPr>
          <w:rStyle w:val="Emphasis"/>
        </w:rPr>
        <w:t xml:space="preserve">s. </w:t>
      </w:r>
      <w:r w:rsidRPr="00AD2CE3">
        <w:rPr>
          <w:rStyle w:val="Emphasis"/>
          <w:i w:val="0"/>
        </w:rPr>
        <w:t xml:space="preserve">2014. Available at: </w:t>
      </w:r>
      <w:hyperlink r:id="rId48" w:history="1">
        <w:r w:rsidRPr="008C22F6">
          <w:rPr>
            <w:rStyle w:val="Hyperlink"/>
          </w:rPr>
          <w:t>http://www.nhmrc.gov.au/guidelines-publications/cam001</w:t>
        </w:r>
      </w:hyperlink>
      <w:r w:rsidRPr="00AD2CE3">
        <w:rPr>
          <w:rStyle w:val="Emphasis"/>
          <w:i w:val="0"/>
        </w:rPr>
        <w:t xml:space="preserve"> [accessed 19 January 2015]</w:t>
      </w:r>
    </w:p>
    <w:p w:rsidR="00A41A1A" w:rsidRDefault="00A41A1A" w:rsidP="00DD68C7">
      <w:pPr>
        <w:pStyle w:val="ListParagraph"/>
        <w:numPr>
          <w:ilvl w:val="0"/>
          <w:numId w:val="6"/>
        </w:numPr>
        <w:rPr>
          <w:rFonts w:cstheme="minorHAnsi"/>
        </w:rPr>
      </w:pPr>
      <w:r w:rsidRPr="00983613">
        <w:rPr>
          <w:rFonts w:cstheme="minorHAnsi"/>
        </w:rPr>
        <w:t>Nat</w:t>
      </w:r>
      <w:r w:rsidR="006A3969">
        <w:rPr>
          <w:rFonts w:cstheme="minorHAnsi"/>
        </w:rPr>
        <w:t>i</w:t>
      </w:r>
      <w:r w:rsidRPr="00983613">
        <w:rPr>
          <w:rFonts w:cstheme="minorHAnsi"/>
        </w:rPr>
        <w:t xml:space="preserve">onal Blood Authority. </w:t>
      </w:r>
      <w:hyperlink r:id="rId49" w:history="1">
        <w:r w:rsidRPr="00983613">
          <w:rPr>
            <w:rStyle w:val="Hyperlink"/>
            <w:rFonts w:cstheme="minorHAnsi"/>
          </w:rPr>
          <w:t>Patient Blood Management Guidelines: Module 2 – Perioperative</w:t>
        </w:r>
      </w:hyperlink>
      <w:r w:rsidRPr="00983613">
        <w:rPr>
          <w:rFonts w:cstheme="minorHAnsi"/>
        </w:rPr>
        <w:t>. Australia, 2012.</w:t>
      </w:r>
    </w:p>
    <w:p w:rsidR="000535A3" w:rsidRPr="009E1887" w:rsidRDefault="000535A3" w:rsidP="00DD68C7">
      <w:pPr>
        <w:pStyle w:val="ListParagraph"/>
        <w:numPr>
          <w:ilvl w:val="0"/>
          <w:numId w:val="6"/>
        </w:numPr>
        <w:rPr>
          <w:rFonts w:cstheme="minorHAnsi"/>
        </w:rPr>
      </w:pPr>
      <w:r w:rsidRPr="009E1887">
        <w:rPr>
          <w:rFonts w:cstheme="minorHAnsi"/>
        </w:rPr>
        <w:t>Tran H</w:t>
      </w:r>
      <w:r w:rsidR="009E1887">
        <w:rPr>
          <w:rFonts w:cstheme="minorHAnsi"/>
        </w:rPr>
        <w:t>, Joseph J, Young L, McRae S, Curnow J, et al.</w:t>
      </w:r>
      <w:r w:rsidRPr="009E1887">
        <w:rPr>
          <w:rFonts w:cstheme="minorHAnsi"/>
        </w:rPr>
        <w:t xml:space="preserve"> </w:t>
      </w:r>
      <w:hyperlink r:id="rId50" w:history="1">
        <w:r w:rsidRPr="009E1887">
          <w:rPr>
            <w:rStyle w:val="Hyperlink"/>
            <w:rFonts w:cstheme="minorHAnsi"/>
          </w:rPr>
          <w:t>New oral anticoagulants – a practical guide on prescription, laboratory testing and peri-proce</w:t>
        </w:r>
        <w:r w:rsidR="009E1887" w:rsidRPr="009E1887">
          <w:rPr>
            <w:rStyle w:val="Hyperlink"/>
            <w:rFonts w:cstheme="minorHAnsi"/>
          </w:rPr>
          <w:t>dural/bleeding management.</w:t>
        </w:r>
      </w:hyperlink>
      <w:r w:rsidR="009E1887">
        <w:rPr>
          <w:rFonts w:cstheme="minorHAnsi"/>
        </w:rPr>
        <w:t xml:space="preserve"> Internal Medicine Journal, 2014;44:525-536</w:t>
      </w:r>
      <w:r w:rsidR="00CE4754">
        <w:rPr>
          <w:rFonts w:cstheme="minorHAnsi"/>
        </w:rPr>
        <w:t>.</w:t>
      </w:r>
    </w:p>
    <w:p w:rsidR="00A41A1A" w:rsidRPr="00983613" w:rsidRDefault="00A41A1A" w:rsidP="00DD68C7">
      <w:pPr>
        <w:pStyle w:val="ListParagraph"/>
        <w:numPr>
          <w:ilvl w:val="0"/>
          <w:numId w:val="6"/>
        </w:numPr>
        <w:rPr>
          <w:rFonts w:cstheme="minorHAnsi"/>
        </w:rPr>
      </w:pPr>
      <w:r w:rsidRPr="00983613">
        <w:rPr>
          <w:rFonts w:cstheme="minorHAnsi"/>
        </w:rPr>
        <w:t xml:space="preserve">Tran HA, Chunilal SD, Harper PL, Tran H, Wood, EM et al. </w:t>
      </w:r>
      <w:hyperlink r:id="rId51" w:history="1">
        <w:r w:rsidRPr="00983613">
          <w:rPr>
            <w:rStyle w:val="Hyperlink"/>
            <w:rFonts w:cstheme="minorHAnsi"/>
          </w:rPr>
          <w:t>An update of consensus guidelines for warfarin reversal</w:t>
        </w:r>
      </w:hyperlink>
      <w:r w:rsidRPr="00983613">
        <w:rPr>
          <w:rFonts w:cstheme="minorHAnsi"/>
        </w:rPr>
        <w:t>. On behalf of the Australasian Society of Thrombosis and Haemostasis. Med J Aust</w:t>
      </w:r>
      <w:r w:rsidR="009E1887">
        <w:rPr>
          <w:rFonts w:cstheme="minorHAnsi"/>
        </w:rPr>
        <w:t>,</w:t>
      </w:r>
      <w:r w:rsidRPr="00983613">
        <w:rPr>
          <w:rFonts w:cstheme="minorHAnsi"/>
        </w:rPr>
        <w:t xml:space="preserve"> 2013;198:198-199.</w:t>
      </w:r>
    </w:p>
    <w:p w:rsidR="00A41A1A" w:rsidRPr="00983613" w:rsidRDefault="00A41A1A" w:rsidP="00DD68C7">
      <w:pPr>
        <w:pStyle w:val="ListParagraph"/>
        <w:numPr>
          <w:ilvl w:val="0"/>
          <w:numId w:val="6"/>
        </w:numPr>
        <w:rPr>
          <w:rFonts w:cstheme="minorHAnsi"/>
        </w:rPr>
      </w:pPr>
      <w:r w:rsidRPr="00983613">
        <w:rPr>
          <w:rFonts w:cstheme="minorHAnsi"/>
        </w:rPr>
        <w:t xml:space="preserve">Douketis JD, Berger PB, Dunn AS, et al. </w:t>
      </w:r>
      <w:hyperlink r:id="rId52" w:history="1">
        <w:r w:rsidRPr="00983613">
          <w:rPr>
            <w:rStyle w:val="Hyperlink"/>
            <w:rFonts w:cstheme="minorHAnsi"/>
          </w:rPr>
          <w:t>The perioperative management of antithrombotic therapy*: American College of Chest Physicians Evidence-Based Clinical Practice Guidelines</w:t>
        </w:r>
      </w:hyperlink>
      <w:r w:rsidRPr="00983613">
        <w:rPr>
          <w:rFonts w:cstheme="minorHAnsi"/>
        </w:rPr>
        <w:t xml:space="preserve"> (8th edition). Chest, 2008;133(6_suppl):299S-339S.</w:t>
      </w:r>
    </w:p>
    <w:p w:rsidR="00701B53" w:rsidRPr="00983613" w:rsidRDefault="00701B53" w:rsidP="00DD68C7">
      <w:pPr>
        <w:pStyle w:val="ListParagraph"/>
        <w:numPr>
          <w:ilvl w:val="0"/>
          <w:numId w:val="6"/>
        </w:numPr>
        <w:rPr>
          <w:rFonts w:cstheme="minorHAnsi"/>
        </w:rPr>
      </w:pPr>
      <w:r w:rsidRPr="00983613">
        <w:rPr>
          <w:rFonts w:cstheme="minorHAnsi"/>
        </w:rPr>
        <w:t xml:space="preserve">Chee YL, Crawford JC, Watson HG, Greaves M. </w:t>
      </w:r>
      <w:hyperlink r:id="rId53" w:history="1">
        <w:r w:rsidRPr="00983613">
          <w:rPr>
            <w:rStyle w:val="Hyperlink"/>
            <w:rFonts w:cstheme="minorHAnsi"/>
          </w:rPr>
          <w:t>Guideline on the management of bleeding in patients on antithrombotic agents</w:t>
        </w:r>
      </w:hyperlink>
      <w:r w:rsidRPr="00983613">
        <w:rPr>
          <w:rFonts w:cstheme="minorHAnsi"/>
        </w:rPr>
        <w:t>: British Committee for Standards in Haematology. British Journal of Haematology, 2008;140:496-504.</w:t>
      </w:r>
    </w:p>
    <w:p w:rsidR="00E73EB2" w:rsidRPr="00983613" w:rsidRDefault="00E73EB2" w:rsidP="00DD68C7">
      <w:pPr>
        <w:pStyle w:val="ListParagraph"/>
        <w:numPr>
          <w:ilvl w:val="0"/>
          <w:numId w:val="6"/>
        </w:numPr>
        <w:rPr>
          <w:rFonts w:cstheme="minorHAnsi"/>
        </w:rPr>
      </w:pPr>
      <w:r w:rsidRPr="00983613">
        <w:rPr>
          <w:rFonts w:cstheme="minorHAnsi"/>
        </w:rPr>
        <w:t xml:space="preserve">Rydz N and James PD. </w:t>
      </w:r>
      <w:hyperlink r:id="rId54" w:history="1">
        <w:r w:rsidRPr="00983613">
          <w:rPr>
            <w:rStyle w:val="Hyperlink"/>
            <w:rFonts w:cstheme="minorHAnsi"/>
          </w:rPr>
          <w:t>The evolution and value of bleeding assessment tools</w:t>
        </w:r>
      </w:hyperlink>
      <w:r w:rsidRPr="00983613">
        <w:rPr>
          <w:rFonts w:cstheme="minorHAnsi"/>
        </w:rPr>
        <w:t>. Journal of Thrombosis and Ha</w:t>
      </w:r>
      <w:r w:rsidR="00CE4754">
        <w:rPr>
          <w:rFonts w:cstheme="minorHAnsi"/>
        </w:rPr>
        <w:t>emostasis, 2012; 10: 2223–2229.</w:t>
      </w:r>
    </w:p>
    <w:p w:rsidR="00E73EB2" w:rsidRPr="00983613" w:rsidRDefault="00E73EB2" w:rsidP="00DD68C7">
      <w:pPr>
        <w:pStyle w:val="ListParagraph"/>
        <w:numPr>
          <w:ilvl w:val="0"/>
          <w:numId w:val="6"/>
        </w:numPr>
        <w:rPr>
          <w:rFonts w:cstheme="minorHAnsi"/>
        </w:rPr>
      </w:pPr>
      <w:r w:rsidRPr="00983613">
        <w:rPr>
          <w:rFonts w:cstheme="minorHAnsi"/>
        </w:rPr>
        <w:t xml:space="preserve">O’Brien S. </w:t>
      </w:r>
      <w:hyperlink r:id="rId55" w:history="1">
        <w:r w:rsidRPr="00983613">
          <w:rPr>
            <w:rStyle w:val="Hyperlink"/>
            <w:rFonts w:cstheme="minorHAnsi"/>
          </w:rPr>
          <w:t>Bleeding scores: are they really useful?</w:t>
        </w:r>
      </w:hyperlink>
      <w:r w:rsidRPr="00983613">
        <w:rPr>
          <w:rFonts w:cstheme="minorHAnsi"/>
        </w:rPr>
        <w:t xml:space="preserve"> Hemaotology. Am Soc Hematol Educ Program, 2012;2012:152-156</w:t>
      </w:r>
      <w:r w:rsidR="00CE4754">
        <w:rPr>
          <w:rFonts w:cstheme="minorHAnsi"/>
        </w:rPr>
        <w:t>.</w:t>
      </w:r>
    </w:p>
    <w:p w:rsidR="000C29AF" w:rsidRPr="00983613" w:rsidRDefault="000C29AF" w:rsidP="00DD68C7">
      <w:pPr>
        <w:pStyle w:val="ListParagraph"/>
        <w:numPr>
          <w:ilvl w:val="0"/>
          <w:numId w:val="6"/>
        </w:numPr>
        <w:rPr>
          <w:rFonts w:cstheme="minorHAnsi"/>
        </w:rPr>
      </w:pPr>
      <w:r w:rsidRPr="00983613">
        <w:rPr>
          <w:rFonts w:cstheme="minorHAnsi"/>
        </w:rPr>
        <w:t xml:space="preserve">Rodeghiero F, Tosetto A, Abshire T, Arnold D, Coller B, et al. and On Behalf Of The ISTH/SSC Joint VWF And Perinatal/Pediatric Hemostasis Subcommittees Working Group.  </w:t>
      </w:r>
      <w:hyperlink r:id="rId56" w:history="1">
        <w:r w:rsidRPr="00983613">
          <w:rPr>
            <w:rStyle w:val="Hyperlink"/>
            <w:rFonts w:cstheme="minorHAnsi"/>
          </w:rPr>
          <w:t>ISTH/SSC bleeding assessment tool: a standardized questionnaire and a proposal for a new bleeding score for inherited bleeding disorders</w:t>
        </w:r>
      </w:hyperlink>
      <w:r w:rsidRPr="00983613">
        <w:rPr>
          <w:rFonts w:cstheme="minorHAnsi"/>
        </w:rPr>
        <w:t>. Journal of Thrombosis and Haemostasis, 2010; 8: 2063–2065.</w:t>
      </w:r>
    </w:p>
    <w:p w:rsidR="00E73EB2" w:rsidRPr="00983613" w:rsidRDefault="004A21A7" w:rsidP="00DD68C7">
      <w:pPr>
        <w:pStyle w:val="ListParagraph"/>
        <w:numPr>
          <w:ilvl w:val="0"/>
          <w:numId w:val="6"/>
        </w:numPr>
        <w:rPr>
          <w:rFonts w:cstheme="minorHAnsi"/>
        </w:rPr>
      </w:pPr>
      <w:r w:rsidRPr="00983613">
        <w:rPr>
          <w:rFonts w:cstheme="minorHAnsi"/>
        </w:rPr>
        <w:t>Sadler J</w:t>
      </w:r>
      <w:r w:rsidR="00E73EB2" w:rsidRPr="00983613">
        <w:rPr>
          <w:rFonts w:cstheme="minorHAnsi"/>
        </w:rPr>
        <w:t xml:space="preserve"> E and Rodeghiero F. </w:t>
      </w:r>
      <w:hyperlink r:id="rId57" w:history="1">
        <w:r w:rsidR="00E73EB2" w:rsidRPr="00983613">
          <w:rPr>
            <w:rStyle w:val="Hyperlink"/>
            <w:rFonts w:cstheme="minorHAnsi"/>
          </w:rPr>
          <w:t>Provisional criteria for the diagnosis of VWD type 1: on behalf of the ISTH SSC Subcommittee on von Willebrand Factor</w:t>
        </w:r>
      </w:hyperlink>
      <w:r w:rsidR="00E73EB2" w:rsidRPr="00983613">
        <w:rPr>
          <w:rFonts w:cstheme="minorHAnsi"/>
        </w:rPr>
        <w:t>. Journal of Thrombosis and Haemostasis, 2005</w:t>
      </w:r>
      <w:r w:rsidRPr="00983613">
        <w:rPr>
          <w:rFonts w:cstheme="minorHAnsi"/>
        </w:rPr>
        <w:t>; 3</w:t>
      </w:r>
      <w:r w:rsidR="00CE4754">
        <w:rPr>
          <w:rFonts w:cstheme="minorHAnsi"/>
        </w:rPr>
        <w:t>: 775–777.</w:t>
      </w:r>
    </w:p>
    <w:p w:rsidR="000C29AF" w:rsidRPr="00983613" w:rsidRDefault="002B46CB" w:rsidP="00DD68C7">
      <w:pPr>
        <w:pStyle w:val="ListParagraph"/>
        <w:numPr>
          <w:ilvl w:val="0"/>
          <w:numId w:val="6"/>
        </w:numPr>
        <w:rPr>
          <w:rFonts w:cstheme="minorHAnsi"/>
        </w:rPr>
      </w:pPr>
      <w:hyperlink r:id="rId58" w:history="1">
        <w:r w:rsidR="000C29AF" w:rsidRPr="00983613">
          <w:rPr>
            <w:rStyle w:val="Hyperlink"/>
            <w:rFonts w:cstheme="minorHAnsi"/>
          </w:rPr>
          <w:t>2012 Clinical Practice Guideline on the Evaluation and Management of von Willebrand Disease (VWD)</w:t>
        </w:r>
      </w:hyperlink>
      <w:r w:rsidR="000C29AF" w:rsidRPr="00983613">
        <w:rPr>
          <w:rFonts w:cstheme="minorHAnsi"/>
        </w:rPr>
        <w:t>. Quick Reference. American Society of Hematology, 2012.</w:t>
      </w:r>
    </w:p>
    <w:p w:rsidR="000C29AF" w:rsidRPr="00983613" w:rsidRDefault="000C29AF" w:rsidP="00DD68C7">
      <w:pPr>
        <w:pStyle w:val="ListParagraph"/>
        <w:numPr>
          <w:ilvl w:val="0"/>
          <w:numId w:val="6"/>
        </w:numPr>
        <w:rPr>
          <w:rFonts w:cstheme="minorHAnsi"/>
        </w:rPr>
      </w:pPr>
      <w:r w:rsidRPr="00983613">
        <w:rPr>
          <w:rFonts w:cstheme="minorHAnsi"/>
        </w:rPr>
        <w:t xml:space="preserve">Liumbruno GM, Bennardello F, Lattanzio A, Piccoli P, Rossetti G. Italian Society of Transfusion Medicine and Immunohaematology (SIMTI) Working Party. </w:t>
      </w:r>
      <w:hyperlink r:id="rId59" w:history="1">
        <w:r w:rsidRPr="00983613">
          <w:rPr>
            <w:rStyle w:val="Hyperlink"/>
            <w:rFonts w:cstheme="minorHAnsi"/>
          </w:rPr>
          <w:t>Recommendations for the transfusion management of patients in the peri-operative period. I. The pre-operative period</w:t>
        </w:r>
      </w:hyperlink>
      <w:r w:rsidRPr="00983613">
        <w:rPr>
          <w:rFonts w:cstheme="minorHAnsi"/>
        </w:rPr>
        <w:t>. Blood Transfus, 2011; 9:19–40.</w:t>
      </w:r>
    </w:p>
    <w:p w:rsidR="000C29AF" w:rsidRPr="00983613" w:rsidRDefault="000C29AF" w:rsidP="00DD68C7">
      <w:pPr>
        <w:pStyle w:val="ListParagraph"/>
        <w:numPr>
          <w:ilvl w:val="0"/>
          <w:numId w:val="6"/>
        </w:numPr>
        <w:rPr>
          <w:rFonts w:cstheme="minorHAnsi"/>
        </w:rPr>
      </w:pPr>
      <w:r w:rsidRPr="00983613">
        <w:rPr>
          <w:rFonts w:cstheme="minorHAnsi"/>
        </w:rPr>
        <w:t xml:space="preserve">Bowman M, Riddel J, Rand ML, Tosetto A, Silva M, and James PD. </w:t>
      </w:r>
      <w:hyperlink r:id="rId60" w:history="1">
        <w:r w:rsidRPr="00983613">
          <w:rPr>
            <w:rStyle w:val="Hyperlink"/>
            <w:rFonts w:cstheme="minorHAnsi"/>
          </w:rPr>
          <w:t>Evaluation of the diagnostic utility for von Willebrand disease of a pediatric bleeding questionnaire</w:t>
        </w:r>
      </w:hyperlink>
      <w:r w:rsidRPr="00983613">
        <w:rPr>
          <w:rFonts w:cstheme="minorHAnsi"/>
        </w:rPr>
        <w:t>. J Thromb Haemost, 2009;7:1418–1421.</w:t>
      </w:r>
    </w:p>
    <w:p w:rsidR="000C29AF" w:rsidRPr="00983613" w:rsidRDefault="000C29AF" w:rsidP="00DD68C7">
      <w:pPr>
        <w:pStyle w:val="ListParagraph"/>
        <w:numPr>
          <w:ilvl w:val="0"/>
          <w:numId w:val="6"/>
        </w:numPr>
        <w:rPr>
          <w:rFonts w:cstheme="minorHAnsi"/>
        </w:rPr>
      </w:pPr>
      <w:r w:rsidRPr="00983613">
        <w:rPr>
          <w:rFonts w:cstheme="minorHAnsi"/>
        </w:rPr>
        <w:t xml:space="preserve">Bowman M, Mundell G, Grabell J, et al. </w:t>
      </w:r>
      <w:hyperlink r:id="rId61" w:history="1">
        <w:r w:rsidRPr="00983613">
          <w:rPr>
            <w:rStyle w:val="Hyperlink"/>
            <w:rFonts w:cstheme="minorHAnsi"/>
          </w:rPr>
          <w:t>Generation and validation of the Condensed MCMDM-1VWD Bleeding Questionnaire for von Willebrand disease</w:t>
        </w:r>
      </w:hyperlink>
      <w:r w:rsidRPr="00983613">
        <w:rPr>
          <w:rFonts w:cstheme="minorHAnsi"/>
        </w:rPr>
        <w:t xml:space="preserve">. J Thromb Haemost, </w:t>
      </w:r>
      <w:r w:rsidRPr="00983613">
        <w:rPr>
          <w:rFonts w:cstheme="minorHAnsi"/>
        </w:rPr>
        <w:lastRenderedPageBreak/>
        <w:t>2008;6:2062–2066.</w:t>
      </w:r>
    </w:p>
    <w:p w:rsidR="000C29AF" w:rsidRPr="00983613" w:rsidRDefault="000C29AF" w:rsidP="00DD68C7">
      <w:pPr>
        <w:pStyle w:val="ListParagraph"/>
        <w:numPr>
          <w:ilvl w:val="0"/>
          <w:numId w:val="6"/>
        </w:numPr>
        <w:rPr>
          <w:rFonts w:cstheme="minorHAnsi"/>
        </w:rPr>
      </w:pPr>
      <w:r w:rsidRPr="00983613">
        <w:rPr>
          <w:rFonts w:cstheme="minorHAnsi"/>
        </w:rPr>
        <w:t xml:space="preserve">Tosetto A, Rodeghiero F, Castaman G, et al. </w:t>
      </w:r>
      <w:hyperlink r:id="rId62" w:history="1">
        <w:r w:rsidRPr="00983613">
          <w:rPr>
            <w:rStyle w:val="Hyperlink"/>
            <w:rFonts w:cstheme="minorHAnsi"/>
          </w:rPr>
          <w:t>A quantitative analysis of bleeding symptoms in type 1 von Willebrand disease: results from a multicenter European study (MCMDM-1 VWD)</w:t>
        </w:r>
      </w:hyperlink>
      <w:r w:rsidRPr="00983613">
        <w:rPr>
          <w:rFonts w:cstheme="minorHAnsi"/>
        </w:rPr>
        <w:t>. J Thromb Haemost, 2006;4:766–773.</w:t>
      </w:r>
    </w:p>
    <w:p w:rsidR="000B2EAC" w:rsidRDefault="00E73EB2" w:rsidP="00DD68C7">
      <w:pPr>
        <w:pStyle w:val="ListParagraph"/>
        <w:numPr>
          <w:ilvl w:val="0"/>
          <w:numId w:val="6"/>
        </w:numPr>
        <w:rPr>
          <w:rFonts w:cstheme="minorHAnsi"/>
        </w:rPr>
      </w:pPr>
      <w:r w:rsidRPr="00983613">
        <w:rPr>
          <w:rFonts w:cstheme="minorHAnsi"/>
        </w:rPr>
        <w:t xml:space="preserve">Rodeghiero F, Castaman G, Tosetto A, Batlle J, Baudo F, et al.  </w:t>
      </w:r>
      <w:hyperlink r:id="rId63" w:history="1">
        <w:r w:rsidRPr="00983613">
          <w:rPr>
            <w:rStyle w:val="Hyperlink"/>
            <w:rFonts w:cstheme="minorHAnsi"/>
          </w:rPr>
          <w:t>The discriminant power of bleeding history for the diagnosis of type 1 von Willebrand disease: an international, multicenter study</w:t>
        </w:r>
      </w:hyperlink>
      <w:r w:rsidRPr="00983613">
        <w:rPr>
          <w:rFonts w:cstheme="minorHAnsi"/>
        </w:rPr>
        <w:t>. J T</w:t>
      </w:r>
      <w:r w:rsidR="00CE4754">
        <w:rPr>
          <w:rFonts w:cstheme="minorHAnsi"/>
        </w:rPr>
        <w:t>hromb Haemost, 2005; 3:2619-26.</w:t>
      </w:r>
    </w:p>
    <w:p w:rsidR="008A0B1F" w:rsidRDefault="008A0B1F" w:rsidP="00AD2CE3">
      <w:pPr>
        <w:rPr>
          <w:rFonts w:cstheme="minorHAnsi"/>
        </w:rPr>
      </w:pPr>
    </w:p>
    <w:p w:rsidR="00BE2774" w:rsidRDefault="00BE2774" w:rsidP="005179F6">
      <w:pPr>
        <w:rPr>
          <w:rFonts w:cstheme="minorHAnsi"/>
        </w:rPr>
      </w:pPr>
      <w:r w:rsidRPr="005179F6">
        <w:rPr>
          <w:rFonts w:cstheme="minorHAnsi"/>
        </w:rPr>
        <w:br w:type="page"/>
      </w:r>
    </w:p>
    <w:p w:rsidR="00820A60" w:rsidRPr="002B46CB" w:rsidRDefault="002B46CB" w:rsidP="002B46CB">
      <w:pPr>
        <w:widowControl/>
        <w:ind w:left="567" w:hanging="567"/>
        <w:rPr>
          <w:rFonts w:asciiTheme="majorHAnsi" w:hAnsiTheme="majorHAnsi" w:cstheme="majorHAnsi"/>
          <w:b/>
          <w:bCs/>
          <w:sz w:val="24"/>
          <w:szCs w:val="24"/>
        </w:rPr>
      </w:pPr>
      <w:bookmarkStart w:id="13" w:name="_Appendix_1_–"/>
      <w:bookmarkStart w:id="14" w:name="_Appendix_1:_Preoperative"/>
      <w:bookmarkStart w:id="15" w:name="_Toc411414869"/>
      <w:bookmarkEnd w:id="13"/>
      <w:bookmarkEnd w:id="14"/>
      <w:r>
        <w:rPr>
          <w:rFonts w:ascii="TitilliumText25L" w:eastAsia="TitilliumText25L" w:hAnsi="TitilliumText25L" w:cs="TitilliumText25L"/>
          <w:color w:val="D0202E"/>
          <w:position w:val="-1"/>
          <w:sz w:val="102"/>
          <w:szCs w:val="102"/>
        </w:rPr>
        <w:lastRenderedPageBreak/>
        <w:t>&gt;</w:t>
      </w:r>
      <w:r>
        <w:rPr>
          <w:rFonts w:ascii="TitilliumText25L" w:eastAsia="TitilliumText25L" w:hAnsi="TitilliumText25L" w:cs="TitilliumText25L"/>
          <w:color w:val="D0202E"/>
          <w:sz w:val="60"/>
          <w:szCs w:val="60"/>
        </w:rPr>
        <w:t>APPENDIX 1:</w:t>
      </w:r>
      <w:r>
        <w:rPr>
          <w:rFonts w:ascii="TitilliumText25L" w:eastAsia="TitilliumText25L" w:hAnsi="TitilliumText25L" w:cs="TitilliumText25L"/>
          <w:color w:val="D0202E"/>
          <w:sz w:val="60"/>
          <w:szCs w:val="60"/>
        </w:rPr>
        <w:br/>
      </w:r>
      <w:r w:rsidRPr="002B46CB">
        <w:rPr>
          <w:rFonts w:ascii="TitilliumText25L" w:eastAsia="TitilliumText25L" w:hAnsi="TitilliumText25L" w:cs="TitilliumText25L"/>
          <w:color w:val="D0202E"/>
          <w:sz w:val="40"/>
          <w:szCs w:val="60"/>
        </w:rPr>
        <w:t xml:space="preserve">PREOPERATIVE BLEEDING RISK ASSESSMENT </w:t>
      </w:r>
      <w:r w:rsidR="00793F7A">
        <w:rPr>
          <w:rFonts w:ascii="TitilliumText25L" w:eastAsia="TitilliumText25L" w:hAnsi="TitilliumText25L" w:cs="TitilliumText25L"/>
          <w:color w:val="D0202E"/>
          <w:sz w:val="40"/>
          <w:szCs w:val="60"/>
        </w:rPr>
        <w:br/>
      </w:r>
      <w:r w:rsidRPr="002B46CB">
        <w:rPr>
          <w:rFonts w:ascii="TitilliumText25L" w:eastAsia="TitilliumText25L" w:hAnsi="TitilliumText25L" w:cs="TitilliumText25L"/>
          <w:color w:val="D0202E"/>
          <w:sz w:val="40"/>
          <w:szCs w:val="60"/>
        </w:rPr>
        <w:t xml:space="preserve">AND INTERVENTION – CONSIDERATIONS FOR ORGANISATIONS WANTING TO IMPROVE </w:t>
      </w:r>
      <w:r w:rsidR="00793F7A">
        <w:rPr>
          <w:rFonts w:ascii="TitilliumText25L" w:eastAsia="TitilliumText25L" w:hAnsi="TitilliumText25L" w:cs="TitilliumText25L"/>
          <w:color w:val="D0202E"/>
          <w:sz w:val="40"/>
          <w:szCs w:val="60"/>
        </w:rPr>
        <w:br/>
      </w:r>
      <w:r w:rsidRPr="002B46CB">
        <w:rPr>
          <w:rFonts w:ascii="TitilliumText25L" w:eastAsia="TitilliumText25L" w:hAnsi="TitilliumText25L" w:cs="TitilliumText25L"/>
          <w:color w:val="D0202E"/>
          <w:sz w:val="40"/>
          <w:szCs w:val="60"/>
        </w:rPr>
        <w:t>CLINICAL PRACTICE</w:t>
      </w:r>
      <w:bookmarkEnd w:id="15"/>
    </w:p>
    <w:p w:rsidR="00820A60" w:rsidRPr="005179F6" w:rsidRDefault="00820A60" w:rsidP="001C4454">
      <w:pPr>
        <w:jc w:val="both"/>
        <w:rPr>
          <w:rFonts w:cstheme="minorHAnsi"/>
        </w:rPr>
      </w:pPr>
      <w:r w:rsidRPr="005179F6">
        <w:rPr>
          <w:rFonts w:cstheme="minorHAnsi"/>
        </w:rPr>
        <w:t xml:space="preserve">Assessment </w:t>
      </w:r>
      <w:r w:rsidR="00DA1FDC">
        <w:rPr>
          <w:rFonts w:cstheme="minorHAnsi"/>
        </w:rPr>
        <w:t xml:space="preserve">and management </w:t>
      </w:r>
      <w:r w:rsidRPr="005179F6">
        <w:rPr>
          <w:rFonts w:cstheme="minorHAnsi"/>
        </w:rPr>
        <w:t>of bleeding risk is a key component of PBM strategies to minimise blood loss. In order to incorporate preoperative bleeding risk assessment and intervention into routine practice, the use of clinical practice improvement methodology is recommended. Identifying a lead clinician or clinicians (eg. anaesthetist, haematologist, high risk preoperative physician/anaesthetist or general physician with an interest in the area or role in the management of surgical patients) is an important starting point.</w:t>
      </w:r>
    </w:p>
    <w:p w:rsidR="00820A60" w:rsidRPr="005179F6" w:rsidRDefault="00820A60" w:rsidP="001C4454">
      <w:pPr>
        <w:jc w:val="both"/>
        <w:rPr>
          <w:rFonts w:cstheme="minorHAnsi"/>
        </w:rPr>
      </w:pPr>
    </w:p>
    <w:p w:rsidR="00361646" w:rsidRPr="005179F6" w:rsidRDefault="00820A60" w:rsidP="001C4454">
      <w:pPr>
        <w:jc w:val="both"/>
        <w:rPr>
          <w:rFonts w:cstheme="minorHAnsi"/>
        </w:rPr>
      </w:pPr>
      <w:r w:rsidRPr="005179F6">
        <w:rPr>
          <w:rFonts w:cstheme="minorHAnsi"/>
        </w:rPr>
        <w:t xml:space="preserve">Clinical practice improvement (CPI) is the overarching name for a series of methodologies that can be taken to plan, implement and assess the impact of changes in the delivery of health services. Clinical practice improvement is not a one-off event but a continuing cycle of improvement activities. CPI methodology is described in detail in the </w:t>
      </w:r>
      <w:hyperlink r:id="rId64" w:history="1">
        <w:r w:rsidRPr="005179F6">
          <w:rPr>
            <w:rStyle w:val="Hyperlink"/>
            <w:rFonts w:cstheme="minorHAnsi"/>
          </w:rPr>
          <w:t>Easy Guide to Clinical Practice Improvement</w:t>
        </w:r>
      </w:hyperlink>
      <w:r w:rsidRPr="005179F6">
        <w:rPr>
          <w:rFonts w:cstheme="minorHAnsi"/>
        </w:rPr>
        <w:t xml:space="preserve">, and many organisations offer training courses that are based around the participant undertaking a project. </w:t>
      </w:r>
    </w:p>
    <w:p w:rsidR="00361646" w:rsidRPr="005179F6" w:rsidRDefault="00361646" w:rsidP="001C4454">
      <w:pPr>
        <w:jc w:val="both"/>
        <w:rPr>
          <w:rFonts w:cstheme="minorHAnsi"/>
        </w:rPr>
      </w:pPr>
    </w:p>
    <w:p w:rsidR="00820A60" w:rsidRPr="005179F6" w:rsidRDefault="00820A60" w:rsidP="001C4454">
      <w:pPr>
        <w:jc w:val="both"/>
        <w:rPr>
          <w:rFonts w:cstheme="minorHAnsi"/>
        </w:rPr>
      </w:pPr>
      <w:r w:rsidRPr="005179F6">
        <w:rPr>
          <w:rFonts w:cstheme="minorHAnsi"/>
        </w:rPr>
        <w:t xml:space="preserve">Key steps of the CPI process are outlined below with specific examples given for a project centred </w:t>
      </w:r>
      <w:r w:rsidR="00935B70" w:rsidRPr="005179F6">
        <w:rPr>
          <w:rFonts w:cstheme="minorHAnsi"/>
        </w:rPr>
        <w:t>on</w:t>
      </w:r>
      <w:r w:rsidRPr="005179F6">
        <w:rPr>
          <w:rFonts w:cstheme="minorHAnsi"/>
        </w:rPr>
        <w:t xml:space="preserve"> incorporating preoperative bleeding risk assessment and intervention into routine preoperative care in cardiac surgery patients.</w:t>
      </w:r>
    </w:p>
    <w:p w:rsidR="00820A60" w:rsidRPr="0048367D" w:rsidRDefault="00820A60" w:rsidP="002B46CB">
      <w:pPr>
        <w:pStyle w:val="ListParagraph"/>
        <w:numPr>
          <w:ilvl w:val="0"/>
          <w:numId w:val="29"/>
        </w:numPr>
        <w:jc w:val="both"/>
        <w:rPr>
          <w:rFonts w:cstheme="minorHAnsi"/>
        </w:rPr>
      </w:pPr>
      <w:r w:rsidRPr="0048367D">
        <w:rPr>
          <w:rFonts w:cstheme="minorHAnsi"/>
        </w:rPr>
        <w:t>Form a guidance team: Gain support from relevant hospital heads including cardiothoracic surgery, anaesthetics, haematology, nursing and safety and quality.</w:t>
      </w:r>
    </w:p>
    <w:p w:rsidR="00820A60" w:rsidRPr="0048367D" w:rsidRDefault="00820A60" w:rsidP="002B46CB">
      <w:pPr>
        <w:pStyle w:val="ListParagraph"/>
        <w:numPr>
          <w:ilvl w:val="0"/>
          <w:numId w:val="29"/>
        </w:numPr>
        <w:jc w:val="both"/>
        <w:rPr>
          <w:rFonts w:cstheme="minorHAnsi"/>
        </w:rPr>
      </w:pPr>
      <w:r w:rsidRPr="0048367D">
        <w:rPr>
          <w:rFonts w:cstheme="minorHAnsi"/>
        </w:rPr>
        <w:t>Collect baseline data: Undertake an audit of the frequency and current management of preoperative bleeding risk assessment in cardiac surgery patients.</w:t>
      </w:r>
    </w:p>
    <w:p w:rsidR="00820A60" w:rsidRPr="0048367D" w:rsidRDefault="00820A60" w:rsidP="002B46CB">
      <w:pPr>
        <w:pStyle w:val="ListParagraph"/>
        <w:numPr>
          <w:ilvl w:val="0"/>
          <w:numId w:val="29"/>
        </w:numPr>
        <w:jc w:val="both"/>
        <w:rPr>
          <w:rFonts w:cstheme="minorHAnsi"/>
        </w:rPr>
      </w:pPr>
      <w:r w:rsidRPr="0048367D">
        <w:rPr>
          <w:rFonts w:cstheme="minorHAnsi"/>
        </w:rPr>
        <w:t>Establish a multidisciplinary project team consisting of the team leader and people with fundamental knowledge of the process</w:t>
      </w:r>
      <w:r w:rsidR="00935B70">
        <w:rPr>
          <w:rFonts w:cstheme="minorHAnsi"/>
        </w:rPr>
        <w:t>;</w:t>
      </w:r>
      <w:r w:rsidRPr="0048367D">
        <w:rPr>
          <w:rFonts w:cstheme="minorHAnsi"/>
        </w:rPr>
        <w:t xml:space="preserve"> for example</w:t>
      </w:r>
      <w:r w:rsidR="00FC0452">
        <w:rPr>
          <w:rFonts w:cstheme="minorHAnsi"/>
        </w:rPr>
        <w:t xml:space="preserve"> this could include:</w:t>
      </w:r>
      <w:r w:rsidRPr="0048367D">
        <w:rPr>
          <w:rFonts w:cstheme="minorHAnsi"/>
        </w:rPr>
        <w:t xml:space="preserve"> cardiac surgery clinical nurse consultant, cardiac surgery nurse coordinator, cardiac surgeon, cardiac surgery registrar, cardiac surgery resident medical officer, cardiac surgery physiotherapist, high-risk peri-operative physician, anaesthetist overseeing pre-admission clinic, general practitioner (GP), GP liaison nurse, haematologist, transfusion nurse consultant and a consumer. Include a quality improvement facilitator.</w:t>
      </w:r>
    </w:p>
    <w:p w:rsidR="00820A60" w:rsidRPr="0048367D" w:rsidRDefault="00820A60" w:rsidP="002B46CB">
      <w:pPr>
        <w:pStyle w:val="ListParagraph"/>
        <w:numPr>
          <w:ilvl w:val="0"/>
          <w:numId w:val="29"/>
        </w:numPr>
        <w:jc w:val="both"/>
        <w:rPr>
          <w:rFonts w:cstheme="minorHAnsi"/>
        </w:rPr>
      </w:pPr>
      <w:r w:rsidRPr="0048367D">
        <w:rPr>
          <w:rFonts w:cstheme="minorHAnsi"/>
        </w:rPr>
        <w:t>Develop an aim or mission statement that is SMART, ie Specific, Timely, Measurable, Appropriate, Result oriented and Time scheduled. (eg. To increase the percentage of patients on the cardiac surgery waiting list with bleeding risk assessed and managed prior to surgery by 75% by MM/YY)</w:t>
      </w:r>
    </w:p>
    <w:p w:rsidR="00820A60" w:rsidRPr="0048367D" w:rsidRDefault="00820A60" w:rsidP="002B46CB">
      <w:pPr>
        <w:pStyle w:val="ListParagraph"/>
        <w:numPr>
          <w:ilvl w:val="0"/>
          <w:numId w:val="29"/>
        </w:numPr>
        <w:jc w:val="both"/>
        <w:rPr>
          <w:rFonts w:cstheme="minorHAnsi"/>
        </w:rPr>
      </w:pPr>
      <w:r w:rsidRPr="0048367D">
        <w:rPr>
          <w:rFonts w:cstheme="minorHAnsi"/>
        </w:rPr>
        <w:t>Diagnostic phase: Map (flow-chart) current hospital processes for cardiac surgery patients p</w:t>
      </w:r>
      <w:r w:rsidR="0042789A">
        <w:rPr>
          <w:rFonts w:cstheme="minorHAnsi"/>
        </w:rPr>
        <w:t>re</w:t>
      </w:r>
      <w:r w:rsidRPr="0048367D">
        <w:rPr>
          <w:rFonts w:cstheme="minorHAnsi"/>
        </w:rPr>
        <w:t xml:space="preserve">operatively (starting with initial referral), conduct a brainstorming session of the barriers and enablers to improvement with the project team, construct a cause and effect diagram and prioritise the causes in a Pareto chart. </w:t>
      </w:r>
    </w:p>
    <w:p w:rsidR="00DB7A66" w:rsidRDefault="00820A60" w:rsidP="00DB7A66">
      <w:pPr>
        <w:pStyle w:val="ListParagraph"/>
        <w:numPr>
          <w:ilvl w:val="0"/>
          <w:numId w:val="29"/>
        </w:numPr>
        <w:jc w:val="both"/>
        <w:rPr>
          <w:rFonts w:cstheme="minorHAnsi"/>
        </w:rPr>
      </w:pPr>
      <w:r w:rsidRPr="0048367D">
        <w:rPr>
          <w:rFonts w:cstheme="minorHAnsi"/>
        </w:rPr>
        <w:t xml:space="preserve">Intervention phase: Achieve consensus within the team on where to focus improvement energy. Use a plan-do-study-act (PDSA) framework for improvement cycles. Customisation of the suggested flowchart by local experts may be required to tailor it to the patient </w:t>
      </w:r>
      <w:r w:rsidR="00DB7A66">
        <w:rPr>
          <w:rFonts w:cstheme="minorHAnsi"/>
        </w:rPr>
        <w:br/>
      </w:r>
      <w:r w:rsidRPr="0048367D">
        <w:rPr>
          <w:rFonts w:cstheme="minorHAnsi"/>
        </w:rPr>
        <w:t xml:space="preserve">group and hospital resources/referral pathways. The team will also need to determine </w:t>
      </w:r>
    </w:p>
    <w:p w:rsidR="00820A60" w:rsidRPr="0048367D" w:rsidRDefault="00820A60" w:rsidP="00DB7A66">
      <w:pPr>
        <w:pStyle w:val="ListParagraph"/>
        <w:ind w:left="720"/>
        <w:rPr>
          <w:rFonts w:cstheme="minorHAnsi"/>
        </w:rPr>
      </w:pPr>
      <w:bookmarkStart w:id="16" w:name="_GoBack"/>
      <w:bookmarkEnd w:id="16"/>
      <w:r w:rsidRPr="0048367D">
        <w:rPr>
          <w:rFonts w:cstheme="minorHAnsi"/>
        </w:rPr>
        <w:t>the most appropriate bleeding assessment tool for their local setting.</w:t>
      </w:r>
      <w:r w:rsidR="00DB7A66">
        <w:rPr>
          <w:rFonts w:cstheme="minorHAnsi"/>
        </w:rPr>
        <w:br/>
      </w:r>
      <w:r w:rsidR="00DB7A66">
        <w:rPr>
          <w:rFonts w:cstheme="minorHAnsi"/>
        </w:rPr>
        <w:br/>
      </w:r>
    </w:p>
    <w:p w:rsidR="00820A60" w:rsidRPr="0048367D" w:rsidRDefault="00820A60" w:rsidP="002B46CB">
      <w:pPr>
        <w:pStyle w:val="ListParagraph"/>
        <w:numPr>
          <w:ilvl w:val="0"/>
          <w:numId w:val="29"/>
        </w:numPr>
        <w:jc w:val="both"/>
        <w:rPr>
          <w:rFonts w:cstheme="minorHAnsi"/>
        </w:rPr>
      </w:pPr>
      <w:r w:rsidRPr="0048367D">
        <w:rPr>
          <w:rFonts w:cstheme="minorHAnsi"/>
        </w:rPr>
        <w:lastRenderedPageBreak/>
        <w:t>Impact and implementation phase: measure the impact of changes in order to be sure the intervention has resulted in an improvement, and to provide the evidence required to justify permanent implementation of these changes. Measure the number of cardiac surgery patients with bleeding risk assessed and managed in advance of surgery with each improvement cycle.</w:t>
      </w:r>
    </w:p>
    <w:p w:rsidR="00820A60" w:rsidRPr="0048367D" w:rsidRDefault="00820A60" w:rsidP="002B46CB">
      <w:pPr>
        <w:pStyle w:val="ListParagraph"/>
        <w:numPr>
          <w:ilvl w:val="0"/>
          <w:numId w:val="29"/>
        </w:numPr>
        <w:jc w:val="both"/>
        <w:rPr>
          <w:rFonts w:cstheme="minorHAnsi"/>
        </w:rPr>
      </w:pPr>
      <w:r w:rsidRPr="0048367D">
        <w:rPr>
          <w:rFonts w:cstheme="minorHAnsi"/>
        </w:rPr>
        <w:t>Sustaining improvement phase: Mechanisms, such as standardisation of existing systems and process, documentation of associated policies, procedures, protocols and guidelines, training and education of staff, and ongoing measurement and review, need to be established to sustain the improvement.</w:t>
      </w:r>
    </w:p>
    <w:p w:rsidR="00EB15B5" w:rsidRPr="002B46CB" w:rsidRDefault="00EB15B5" w:rsidP="002B46CB">
      <w:pPr>
        <w:pStyle w:val="ListParagraph"/>
        <w:numPr>
          <w:ilvl w:val="0"/>
          <w:numId w:val="29"/>
        </w:numPr>
        <w:rPr>
          <w:rFonts w:cstheme="minorHAnsi"/>
        </w:rPr>
      </w:pPr>
      <w:bookmarkStart w:id="17" w:name="_Appendix_2:_ESA"/>
      <w:bookmarkEnd w:id="17"/>
      <w:r w:rsidRPr="002B46CB">
        <w:rPr>
          <w:rFonts w:cstheme="minorHAnsi"/>
        </w:rPr>
        <w:br w:type="page"/>
      </w:r>
    </w:p>
    <w:p w:rsidR="00DE166F" w:rsidRPr="002B46CB" w:rsidRDefault="002B46CB" w:rsidP="002B46CB">
      <w:pPr>
        <w:pStyle w:val="Heading2"/>
        <w:ind w:left="567" w:hanging="567"/>
        <w:rPr>
          <w:rFonts w:ascii="TitilliumText25L" w:eastAsia="TitilliumText25L" w:hAnsi="TitilliumText25L" w:cs="TitilliumText25L"/>
          <w:b w:val="0"/>
          <w:bCs w:val="0"/>
          <w:color w:val="D0202E"/>
          <w:sz w:val="40"/>
          <w:szCs w:val="60"/>
        </w:rPr>
      </w:pPr>
      <w:bookmarkStart w:id="18" w:name="_Toc411414870"/>
      <w:r w:rsidRPr="002B46CB">
        <w:rPr>
          <w:rFonts w:ascii="TitilliumText25L" w:eastAsia="TitilliumText25L" w:hAnsi="TitilliumText25L" w:cs="TitilliumText25L"/>
          <w:b w:val="0"/>
          <w:color w:val="D0202E"/>
          <w:position w:val="-1"/>
          <w:sz w:val="102"/>
          <w:szCs w:val="102"/>
        </w:rPr>
        <w:lastRenderedPageBreak/>
        <w:t>&gt;</w:t>
      </w:r>
      <w:r w:rsidRPr="002B46CB">
        <w:rPr>
          <w:rFonts w:ascii="TitilliumText25L" w:eastAsia="TitilliumText25L" w:hAnsi="TitilliumText25L" w:cs="TitilliumText25L"/>
          <w:b w:val="0"/>
          <w:color w:val="D0202E"/>
          <w:sz w:val="60"/>
          <w:szCs w:val="60"/>
        </w:rPr>
        <w:t>APPENDIX 2:</w:t>
      </w:r>
      <w:r>
        <w:rPr>
          <w:rFonts w:ascii="TitilliumText25L" w:eastAsia="TitilliumText25L" w:hAnsi="TitilliumText25L" w:cs="TitilliumText25L"/>
          <w:b w:val="0"/>
          <w:color w:val="D0202E"/>
          <w:sz w:val="60"/>
          <w:szCs w:val="60"/>
        </w:rPr>
        <w:br/>
      </w:r>
      <w:r w:rsidRPr="002B46CB">
        <w:rPr>
          <w:rFonts w:ascii="TitilliumText25L" w:eastAsia="TitilliumText25L" w:hAnsi="TitilliumText25L" w:cs="TitilliumText25L"/>
          <w:b w:val="0"/>
          <w:bCs w:val="0"/>
          <w:color w:val="D0202E"/>
          <w:sz w:val="40"/>
          <w:szCs w:val="60"/>
        </w:rPr>
        <w:t>CLASSIFICATION OF EVIDENCE LEVELS AND GRADES OF RECOMMENDATIONS</w:t>
      </w:r>
      <w:bookmarkEnd w:id="18"/>
    </w:p>
    <w:p w:rsidR="00DE166F" w:rsidRDefault="00DE166F" w:rsidP="008C4C50">
      <w:pPr>
        <w:rPr>
          <w:b/>
          <w:sz w:val="18"/>
          <w:szCs w:val="18"/>
        </w:rPr>
      </w:pPr>
    </w:p>
    <w:p w:rsidR="00E8172A" w:rsidRPr="00DE166F" w:rsidRDefault="00E8172A" w:rsidP="00DE166F">
      <w:pPr>
        <w:pStyle w:val="ListParagraph"/>
        <w:numPr>
          <w:ilvl w:val="0"/>
          <w:numId w:val="24"/>
        </w:numPr>
        <w:rPr>
          <w:rFonts w:cstheme="minorHAnsi"/>
          <w:b/>
          <w:sz w:val="18"/>
          <w:szCs w:val="18"/>
        </w:rPr>
      </w:pPr>
      <w:r w:rsidRPr="00DE166F">
        <w:rPr>
          <w:rFonts w:cstheme="minorHAnsi"/>
          <w:b/>
          <w:sz w:val="18"/>
          <w:szCs w:val="18"/>
        </w:rPr>
        <w:t>Classification of evidence levels and grades of recommendations</w:t>
      </w:r>
      <w:r w:rsidR="00860E9F" w:rsidRPr="00DE166F">
        <w:rPr>
          <w:rFonts w:cstheme="minorHAnsi"/>
          <w:b/>
          <w:sz w:val="18"/>
          <w:szCs w:val="18"/>
        </w:rPr>
        <w:t xml:space="preserve"> –</w:t>
      </w:r>
      <w:r w:rsidRPr="00DE166F">
        <w:rPr>
          <w:rFonts w:cstheme="minorHAnsi"/>
          <w:b/>
          <w:sz w:val="18"/>
          <w:szCs w:val="18"/>
        </w:rPr>
        <w:t xml:space="preserve"> </w:t>
      </w:r>
      <w:r w:rsidR="00DE57A1" w:rsidRPr="00DE166F">
        <w:rPr>
          <w:rFonts w:cstheme="minorHAnsi"/>
          <w:b/>
          <w:sz w:val="18"/>
          <w:szCs w:val="18"/>
        </w:rPr>
        <w:t xml:space="preserve">British Committee for Standards in Haematology </w:t>
      </w:r>
      <w:r w:rsidR="00860E9F" w:rsidRPr="00DE166F">
        <w:rPr>
          <w:rFonts w:cstheme="minorHAnsi"/>
          <w:b/>
          <w:sz w:val="18"/>
          <w:szCs w:val="18"/>
        </w:rPr>
        <w:t>Guidelines</w:t>
      </w:r>
      <w:r w:rsidR="00DE57A1" w:rsidRPr="00DE166F">
        <w:rPr>
          <w:rFonts w:cstheme="minorHAnsi"/>
          <w:b/>
          <w:sz w:val="18"/>
          <w:szCs w:val="18"/>
        </w:rPr>
        <w:t xml:space="preserve"> on the assessment of bleeding risk prior to surgery or invasive procedures</w:t>
      </w:r>
    </w:p>
    <w:p w:rsidR="00DE57A1" w:rsidRPr="008C4C50" w:rsidRDefault="00DE57A1" w:rsidP="005179F6">
      <w:pPr>
        <w:rPr>
          <w:rFonts w:cstheme="minorHAnsi"/>
          <w:b/>
          <w:sz w:val="16"/>
        </w:rPr>
      </w:pPr>
      <w:r w:rsidRPr="008C4C50">
        <w:rPr>
          <w:rFonts w:cstheme="minorHAnsi"/>
          <w:b/>
          <w:sz w:val="16"/>
        </w:rPr>
        <w:t>Classification of evidence levels</w:t>
      </w:r>
    </w:p>
    <w:p w:rsidR="00DE57A1" w:rsidRPr="008C4C50" w:rsidRDefault="00DE57A1" w:rsidP="005179F6">
      <w:pPr>
        <w:rPr>
          <w:rFonts w:cstheme="minorHAnsi"/>
          <w:sz w:val="16"/>
        </w:rPr>
      </w:pPr>
      <w:r w:rsidRPr="008C4C50">
        <w:rPr>
          <w:rFonts w:cstheme="minorHAnsi"/>
          <w:sz w:val="16"/>
        </w:rPr>
        <w:t>Ia</w:t>
      </w:r>
      <w:r w:rsidR="00E8172A" w:rsidRPr="008C4C50">
        <w:rPr>
          <w:rFonts w:cstheme="minorHAnsi"/>
          <w:sz w:val="16"/>
        </w:rPr>
        <w:tab/>
      </w:r>
      <w:r w:rsidRPr="008C4C50">
        <w:rPr>
          <w:rFonts w:cstheme="minorHAnsi"/>
          <w:sz w:val="16"/>
        </w:rPr>
        <w:t>Evidence obtained from meta-analysis of randomi</w:t>
      </w:r>
      <w:r w:rsidR="008E3C2F" w:rsidRPr="008C4C50">
        <w:rPr>
          <w:rFonts w:cstheme="minorHAnsi"/>
          <w:sz w:val="16"/>
        </w:rPr>
        <w:t>s</w:t>
      </w:r>
      <w:r w:rsidRPr="008C4C50">
        <w:rPr>
          <w:rFonts w:cstheme="minorHAnsi"/>
          <w:sz w:val="16"/>
        </w:rPr>
        <w:t>ed</w:t>
      </w:r>
      <w:r w:rsidR="00404716" w:rsidRPr="008C4C50">
        <w:rPr>
          <w:rFonts w:cstheme="minorHAnsi"/>
          <w:sz w:val="16"/>
        </w:rPr>
        <w:t xml:space="preserve"> </w:t>
      </w:r>
      <w:r w:rsidRPr="008C4C50">
        <w:rPr>
          <w:rFonts w:cstheme="minorHAnsi"/>
          <w:sz w:val="16"/>
        </w:rPr>
        <w:t>controlled trials.</w:t>
      </w:r>
    </w:p>
    <w:p w:rsidR="00DE57A1" w:rsidRPr="008C4C50" w:rsidRDefault="00DE57A1" w:rsidP="005179F6">
      <w:pPr>
        <w:rPr>
          <w:rFonts w:cstheme="minorHAnsi"/>
          <w:sz w:val="16"/>
        </w:rPr>
      </w:pPr>
      <w:r w:rsidRPr="008C4C50">
        <w:rPr>
          <w:rFonts w:cstheme="minorHAnsi"/>
          <w:sz w:val="16"/>
        </w:rPr>
        <w:t>Ib</w:t>
      </w:r>
      <w:r w:rsidR="00E8172A" w:rsidRPr="008C4C50">
        <w:rPr>
          <w:rFonts w:cstheme="minorHAnsi"/>
          <w:sz w:val="16"/>
        </w:rPr>
        <w:tab/>
      </w:r>
      <w:r w:rsidRPr="008C4C50">
        <w:rPr>
          <w:rFonts w:cstheme="minorHAnsi"/>
          <w:sz w:val="16"/>
        </w:rPr>
        <w:t>Evidence obtained from at least one randomi</w:t>
      </w:r>
      <w:r w:rsidR="008E3C2F" w:rsidRPr="008C4C50">
        <w:rPr>
          <w:rFonts w:cstheme="minorHAnsi"/>
          <w:sz w:val="16"/>
        </w:rPr>
        <w:t>s</w:t>
      </w:r>
      <w:r w:rsidRPr="008C4C50">
        <w:rPr>
          <w:rFonts w:cstheme="minorHAnsi"/>
          <w:sz w:val="16"/>
        </w:rPr>
        <w:t>ed</w:t>
      </w:r>
      <w:r w:rsidR="00404716" w:rsidRPr="008C4C50">
        <w:rPr>
          <w:rFonts w:cstheme="minorHAnsi"/>
          <w:sz w:val="16"/>
        </w:rPr>
        <w:t xml:space="preserve"> </w:t>
      </w:r>
      <w:r w:rsidRPr="008C4C50">
        <w:rPr>
          <w:rFonts w:cstheme="minorHAnsi"/>
          <w:sz w:val="16"/>
        </w:rPr>
        <w:t>controlled trial.</w:t>
      </w:r>
    </w:p>
    <w:p w:rsidR="00DE57A1" w:rsidRPr="008C4C50" w:rsidRDefault="00E8172A" w:rsidP="005179F6">
      <w:pPr>
        <w:rPr>
          <w:rFonts w:cstheme="minorHAnsi"/>
          <w:sz w:val="16"/>
        </w:rPr>
      </w:pPr>
      <w:r w:rsidRPr="008C4C50">
        <w:rPr>
          <w:rFonts w:cstheme="minorHAnsi"/>
          <w:sz w:val="16"/>
        </w:rPr>
        <w:t>IIb</w:t>
      </w:r>
      <w:r w:rsidRPr="008C4C50">
        <w:rPr>
          <w:rFonts w:cstheme="minorHAnsi"/>
          <w:sz w:val="16"/>
        </w:rPr>
        <w:tab/>
      </w:r>
      <w:r w:rsidR="00DE57A1" w:rsidRPr="008C4C50">
        <w:rPr>
          <w:rFonts w:cstheme="minorHAnsi"/>
          <w:sz w:val="16"/>
        </w:rPr>
        <w:t>Evidence obtained from at least one well-designed</w:t>
      </w:r>
      <w:r w:rsidR="00404716" w:rsidRPr="008C4C50">
        <w:rPr>
          <w:rFonts w:cstheme="minorHAnsi"/>
          <w:sz w:val="16"/>
        </w:rPr>
        <w:t xml:space="preserve"> </w:t>
      </w:r>
      <w:r w:rsidR="00DE57A1" w:rsidRPr="008C4C50">
        <w:rPr>
          <w:rFonts w:cstheme="minorHAnsi"/>
          <w:sz w:val="16"/>
        </w:rPr>
        <w:t>controlled study without randomi</w:t>
      </w:r>
      <w:r w:rsidR="008E3C2F" w:rsidRPr="008C4C50">
        <w:rPr>
          <w:rFonts w:cstheme="minorHAnsi"/>
          <w:sz w:val="16"/>
        </w:rPr>
        <w:t>s</w:t>
      </w:r>
      <w:r w:rsidR="00DE57A1" w:rsidRPr="008C4C50">
        <w:rPr>
          <w:rFonts w:cstheme="minorHAnsi"/>
          <w:sz w:val="16"/>
        </w:rPr>
        <w:t>ation.</w:t>
      </w:r>
    </w:p>
    <w:p w:rsidR="00404716" w:rsidRPr="008C4C50" w:rsidRDefault="00404716" w:rsidP="005179F6">
      <w:pPr>
        <w:rPr>
          <w:rFonts w:cstheme="minorHAnsi"/>
          <w:sz w:val="16"/>
        </w:rPr>
      </w:pPr>
      <w:r w:rsidRPr="008C4C50">
        <w:rPr>
          <w:rFonts w:cstheme="minorHAnsi"/>
          <w:sz w:val="16"/>
        </w:rPr>
        <w:t>IIb</w:t>
      </w:r>
      <w:r w:rsidR="00E8172A" w:rsidRPr="008C4C50">
        <w:rPr>
          <w:rFonts w:cstheme="minorHAnsi"/>
          <w:sz w:val="16"/>
        </w:rPr>
        <w:tab/>
      </w:r>
      <w:r w:rsidR="00DE57A1" w:rsidRPr="008C4C50">
        <w:rPr>
          <w:rFonts w:cstheme="minorHAnsi"/>
          <w:sz w:val="16"/>
        </w:rPr>
        <w:t>Evidence obtained from at least one other type of</w:t>
      </w:r>
      <w:r w:rsidRPr="008C4C50">
        <w:rPr>
          <w:rFonts w:cstheme="minorHAnsi"/>
          <w:sz w:val="16"/>
        </w:rPr>
        <w:t xml:space="preserve"> </w:t>
      </w:r>
      <w:r w:rsidR="00DE57A1" w:rsidRPr="008C4C50">
        <w:rPr>
          <w:rFonts w:cstheme="minorHAnsi"/>
          <w:sz w:val="16"/>
        </w:rPr>
        <w:t>well-designed quasi-experimental study*.</w:t>
      </w:r>
    </w:p>
    <w:p w:rsidR="00DE57A1" w:rsidRPr="008C4C50" w:rsidRDefault="00DE57A1" w:rsidP="00F81AC4">
      <w:pPr>
        <w:ind w:left="720" w:hanging="720"/>
        <w:rPr>
          <w:rFonts w:cstheme="minorHAnsi"/>
          <w:sz w:val="16"/>
        </w:rPr>
      </w:pPr>
      <w:r w:rsidRPr="008C4C50">
        <w:rPr>
          <w:rFonts w:cstheme="minorHAnsi"/>
          <w:sz w:val="16"/>
        </w:rPr>
        <w:t>III</w:t>
      </w:r>
      <w:r w:rsidR="00E8172A" w:rsidRPr="008C4C50">
        <w:rPr>
          <w:rFonts w:cstheme="minorHAnsi"/>
          <w:sz w:val="16"/>
        </w:rPr>
        <w:tab/>
      </w:r>
      <w:r w:rsidRPr="008C4C50">
        <w:rPr>
          <w:rFonts w:cstheme="minorHAnsi"/>
          <w:sz w:val="16"/>
        </w:rPr>
        <w:t>Evidence obtained from well-designed non-experimental</w:t>
      </w:r>
      <w:r w:rsidR="00404716" w:rsidRPr="008C4C50">
        <w:rPr>
          <w:rFonts w:cstheme="minorHAnsi"/>
          <w:sz w:val="16"/>
        </w:rPr>
        <w:t xml:space="preserve"> </w:t>
      </w:r>
      <w:r w:rsidR="00F81AC4" w:rsidRPr="008C4C50">
        <w:rPr>
          <w:rFonts w:cstheme="minorHAnsi"/>
          <w:sz w:val="16"/>
        </w:rPr>
        <w:t xml:space="preserve">descriptive studies, such as </w:t>
      </w:r>
      <w:r w:rsidRPr="008C4C50">
        <w:rPr>
          <w:rFonts w:cstheme="minorHAnsi"/>
          <w:sz w:val="16"/>
        </w:rPr>
        <w:t>comparative studies,</w:t>
      </w:r>
      <w:r w:rsidR="00404716" w:rsidRPr="008C4C50">
        <w:rPr>
          <w:rFonts w:cstheme="minorHAnsi"/>
          <w:sz w:val="16"/>
        </w:rPr>
        <w:t xml:space="preserve"> </w:t>
      </w:r>
      <w:r w:rsidRPr="008C4C50">
        <w:rPr>
          <w:rFonts w:cstheme="minorHAnsi"/>
          <w:sz w:val="16"/>
        </w:rPr>
        <w:t>correlation studies and case studies.</w:t>
      </w:r>
    </w:p>
    <w:p w:rsidR="00DE57A1" w:rsidRPr="008C4C50" w:rsidRDefault="00DE57A1" w:rsidP="00F81AC4">
      <w:pPr>
        <w:ind w:left="720" w:hanging="720"/>
        <w:rPr>
          <w:rFonts w:cstheme="minorHAnsi"/>
          <w:sz w:val="16"/>
        </w:rPr>
      </w:pPr>
      <w:r w:rsidRPr="008C4C50">
        <w:rPr>
          <w:rFonts w:cstheme="minorHAnsi"/>
          <w:sz w:val="16"/>
        </w:rPr>
        <w:t>IV</w:t>
      </w:r>
      <w:r w:rsidR="00E8172A" w:rsidRPr="008C4C50">
        <w:rPr>
          <w:rFonts w:cstheme="minorHAnsi"/>
          <w:sz w:val="16"/>
        </w:rPr>
        <w:tab/>
      </w:r>
      <w:r w:rsidRPr="008C4C50">
        <w:rPr>
          <w:rFonts w:cstheme="minorHAnsi"/>
          <w:sz w:val="16"/>
        </w:rPr>
        <w:t>Evidence obtained from expert committee reports or</w:t>
      </w:r>
      <w:r w:rsidR="00404716" w:rsidRPr="008C4C50">
        <w:rPr>
          <w:rFonts w:cstheme="minorHAnsi"/>
          <w:sz w:val="16"/>
        </w:rPr>
        <w:t xml:space="preserve"> </w:t>
      </w:r>
      <w:r w:rsidRPr="008C4C50">
        <w:rPr>
          <w:rFonts w:cstheme="minorHAnsi"/>
          <w:sz w:val="16"/>
        </w:rPr>
        <w:t>opinions and/or clinical experiences of respected authorities.</w:t>
      </w:r>
    </w:p>
    <w:p w:rsidR="00A37FC3" w:rsidRDefault="00A37FC3" w:rsidP="00B8704F">
      <w:pPr>
        <w:rPr>
          <w:sz w:val="16"/>
          <w:szCs w:val="16"/>
        </w:rPr>
      </w:pPr>
    </w:p>
    <w:p w:rsidR="00B8704F" w:rsidRPr="00EE40D4" w:rsidRDefault="00B8704F" w:rsidP="00B8704F">
      <w:pPr>
        <w:rPr>
          <w:sz w:val="16"/>
          <w:szCs w:val="16"/>
        </w:rPr>
      </w:pPr>
      <w:r w:rsidRPr="00EE40D4">
        <w:rPr>
          <w:sz w:val="16"/>
          <w:szCs w:val="16"/>
        </w:rPr>
        <w:t>*refers to a situation in which implementation of an intervention is outwith the control of the investigators, but an opportunity exists to evaluate its effect.</w:t>
      </w:r>
    </w:p>
    <w:p w:rsidR="00B8704F" w:rsidRDefault="00B8704F" w:rsidP="005179F6">
      <w:pPr>
        <w:rPr>
          <w:rFonts w:cstheme="minorHAnsi"/>
          <w:b/>
          <w:sz w:val="16"/>
        </w:rPr>
      </w:pPr>
    </w:p>
    <w:p w:rsidR="00DE57A1" w:rsidRPr="008C4C50" w:rsidRDefault="00DE57A1" w:rsidP="005179F6">
      <w:pPr>
        <w:rPr>
          <w:rFonts w:cstheme="minorHAnsi"/>
          <w:b/>
          <w:sz w:val="16"/>
        </w:rPr>
      </w:pPr>
      <w:r w:rsidRPr="008C4C50">
        <w:rPr>
          <w:rFonts w:cstheme="minorHAnsi"/>
          <w:b/>
          <w:sz w:val="16"/>
        </w:rPr>
        <w:t>Classification of grades of recommendations</w:t>
      </w:r>
    </w:p>
    <w:p w:rsidR="00DE57A1" w:rsidRPr="008C4C50" w:rsidRDefault="00E8172A" w:rsidP="00F81AC4">
      <w:pPr>
        <w:ind w:left="720" w:hanging="720"/>
        <w:rPr>
          <w:rFonts w:cstheme="minorHAnsi"/>
          <w:sz w:val="16"/>
        </w:rPr>
      </w:pPr>
      <w:r w:rsidRPr="008C4C50">
        <w:rPr>
          <w:rFonts w:cstheme="minorHAnsi"/>
          <w:sz w:val="16"/>
        </w:rPr>
        <w:t>A</w:t>
      </w:r>
      <w:r w:rsidRPr="008C4C50">
        <w:rPr>
          <w:rFonts w:cstheme="minorHAnsi"/>
          <w:sz w:val="16"/>
        </w:rPr>
        <w:tab/>
      </w:r>
      <w:r w:rsidR="00DE57A1" w:rsidRPr="008C4C50">
        <w:rPr>
          <w:rFonts w:cstheme="minorHAnsi"/>
          <w:sz w:val="16"/>
        </w:rPr>
        <w:t>Requires at least one randomi</w:t>
      </w:r>
      <w:r w:rsidR="008E3C2F" w:rsidRPr="008C4C50">
        <w:rPr>
          <w:rFonts w:cstheme="minorHAnsi"/>
          <w:sz w:val="16"/>
        </w:rPr>
        <w:t>s</w:t>
      </w:r>
      <w:r w:rsidR="00DE57A1" w:rsidRPr="008C4C50">
        <w:rPr>
          <w:rFonts w:cstheme="minorHAnsi"/>
          <w:sz w:val="16"/>
        </w:rPr>
        <w:t>ed controlled trial as part of</w:t>
      </w:r>
      <w:r w:rsidR="00404716" w:rsidRPr="008C4C50">
        <w:rPr>
          <w:rFonts w:cstheme="minorHAnsi"/>
          <w:sz w:val="16"/>
        </w:rPr>
        <w:t xml:space="preserve"> </w:t>
      </w:r>
      <w:r w:rsidR="00DE57A1" w:rsidRPr="008C4C50">
        <w:rPr>
          <w:rFonts w:cstheme="minorHAnsi"/>
          <w:sz w:val="16"/>
        </w:rPr>
        <w:t>a body of literature of overall good quality and consistency</w:t>
      </w:r>
      <w:r w:rsidR="00404716" w:rsidRPr="008C4C50">
        <w:rPr>
          <w:rFonts w:cstheme="minorHAnsi"/>
          <w:sz w:val="16"/>
        </w:rPr>
        <w:t xml:space="preserve"> a</w:t>
      </w:r>
      <w:r w:rsidR="00DE57A1" w:rsidRPr="008C4C50">
        <w:rPr>
          <w:rFonts w:cstheme="minorHAnsi"/>
          <w:sz w:val="16"/>
        </w:rPr>
        <w:t>ddressing specific recommendation. (Evidence levels Ia, Ib).</w:t>
      </w:r>
    </w:p>
    <w:p w:rsidR="00404716" w:rsidRPr="008C4C50" w:rsidRDefault="00404716" w:rsidP="00F81AC4">
      <w:pPr>
        <w:ind w:left="720" w:hanging="720"/>
        <w:rPr>
          <w:rFonts w:cstheme="minorHAnsi"/>
          <w:sz w:val="16"/>
        </w:rPr>
      </w:pPr>
      <w:r w:rsidRPr="008C4C50">
        <w:rPr>
          <w:rFonts w:cstheme="minorHAnsi"/>
          <w:sz w:val="16"/>
        </w:rPr>
        <w:t>B</w:t>
      </w:r>
      <w:r w:rsidR="00E8172A" w:rsidRPr="008C4C50">
        <w:rPr>
          <w:rFonts w:cstheme="minorHAnsi"/>
          <w:sz w:val="16"/>
        </w:rPr>
        <w:tab/>
      </w:r>
      <w:r w:rsidR="00DE57A1" w:rsidRPr="008C4C50">
        <w:rPr>
          <w:rFonts w:cstheme="minorHAnsi"/>
          <w:sz w:val="16"/>
        </w:rPr>
        <w:t>Requires the availability of well conducted clinical studies but no</w:t>
      </w:r>
      <w:r w:rsidRPr="008C4C50">
        <w:rPr>
          <w:rFonts w:cstheme="minorHAnsi"/>
          <w:sz w:val="16"/>
        </w:rPr>
        <w:t xml:space="preserve"> </w:t>
      </w:r>
      <w:r w:rsidR="00DE57A1" w:rsidRPr="008C4C50">
        <w:rPr>
          <w:rFonts w:cstheme="minorHAnsi"/>
          <w:sz w:val="16"/>
        </w:rPr>
        <w:t>randomi</w:t>
      </w:r>
      <w:r w:rsidR="008E3C2F" w:rsidRPr="008C4C50">
        <w:rPr>
          <w:rFonts w:cstheme="minorHAnsi"/>
          <w:sz w:val="16"/>
        </w:rPr>
        <w:t>s</w:t>
      </w:r>
      <w:r w:rsidR="00DE57A1" w:rsidRPr="008C4C50">
        <w:rPr>
          <w:rFonts w:cstheme="minorHAnsi"/>
          <w:sz w:val="16"/>
        </w:rPr>
        <w:t>ed clinical trials on the topic of recommendation.</w:t>
      </w:r>
      <w:r w:rsidR="00E8172A" w:rsidRPr="008C4C50">
        <w:rPr>
          <w:rFonts w:cstheme="minorHAnsi"/>
          <w:sz w:val="16"/>
        </w:rPr>
        <w:t xml:space="preserve"> </w:t>
      </w:r>
      <w:r w:rsidR="00DE57A1" w:rsidRPr="008C4C50">
        <w:rPr>
          <w:rFonts w:cstheme="minorHAnsi"/>
          <w:sz w:val="16"/>
        </w:rPr>
        <w:t>(Evidence levels IIa, IIb, III).</w:t>
      </w:r>
    </w:p>
    <w:p w:rsidR="00E8172A" w:rsidRPr="008C4C50" w:rsidRDefault="00404716" w:rsidP="00F81AC4">
      <w:pPr>
        <w:ind w:left="720" w:hanging="720"/>
        <w:rPr>
          <w:rFonts w:cstheme="minorHAnsi"/>
          <w:sz w:val="16"/>
        </w:rPr>
      </w:pPr>
      <w:r w:rsidRPr="008C4C50">
        <w:rPr>
          <w:rFonts w:cstheme="minorHAnsi"/>
          <w:sz w:val="16"/>
        </w:rPr>
        <w:t>C</w:t>
      </w:r>
      <w:r w:rsidR="00E8172A" w:rsidRPr="008C4C50">
        <w:rPr>
          <w:rFonts w:cstheme="minorHAnsi"/>
          <w:sz w:val="16"/>
        </w:rPr>
        <w:tab/>
      </w:r>
      <w:r w:rsidR="00DE57A1" w:rsidRPr="008C4C50">
        <w:rPr>
          <w:rFonts w:cstheme="minorHAnsi"/>
          <w:sz w:val="16"/>
        </w:rPr>
        <w:t>Requires evidence obtained from expert committee reports or</w:t>
      </w:r>
      <w:r w:rsidRPr="008C4C50">
        <w:rPr>
          <w:rFonts w:cstheme="minorHAnsi"/>
          <w:sz w:val="16"/>
        </w:rPr>
        <w:t xml:space="preserve"> </w:t>
      </w:r>
      <w:r w:rsidR="00DE57A1" w:rsidRPr="008C4C50">
        <w:rPr>
          <w:rFonts w:cstheme="minorHAnsi"/>
          <w:sz w:val="16"/>
        </w:rPr>
        <w:t>opinions and/or clinical experiences of respected authorities.</w:t>
      </w:r>
      <w:r w:rsidRPr="008C4C50">
        <w:rPr>
          <w:rFonts w:cstheme="minorHAnsi"/>
          <w:sz w:val="16"/>
        </w:rPr>
        <w:t xml:space="preserve"> Indicates </w:t>
      </w:r>
      <w:r w:rsidR="00DE57A1" w:rsidRPr="008C4C50">
        <w:rPr>
          <w:rFonts w:cstheme="minorHAnsi"/>
          <w:sz w:val="16"/>
        </w:rPr>
        <w:t>an absence of directly applicable clinical studies</w:t>
      </w:r>
      <w:r w:rsidRPr="008C4C50">
        <w:rPr>
          <w:rFonts w:cstheme="minorHAnsi"/>
          <w:sz w:val="16"/>
        </w:rPr>
        <w:t xml:space="preserve"> </w:t>
      </w:r>
      <w:r w:rsidR="00DE57A1" w:rsidRPr="008C4C50">
        <w:rPr>
          <w:rFonts w:cstheme="minorHAnsi"/>
          <w:sz w:val="16"/>
        </w:rPr>
        <w:t>of good quality. (Evidence level IV).</w:t>
      </w:r>
      <w:r w:rsidR="003263AD" w:rsidRPr="008C4C50">
        <w:rPr>
          <w:rFonts w:cstheme="minorHAnsi"/>
          <w:sz w:val="16"/>
        </w:rPr>
        <w:t xml:space="preserve"> </w:t>
      </w:r>
    </w:p>
    <w:p w:rsidR="00B8704F" w:rsidRDefault="00B8704F" w:rsidP="0042789A">
      <w:pPr>
        <w:rPr>
          <w:sz w:val="14"/>
          <w:szCs w:val="20"/>
        </w:rPr>
      </w:pPr>
    </w:p>
    <w:p w:rsidR="00B8704F" w:rsidRPr="0012219F" w:rsidRDefault="00DE166F" w:rsidP="0012219F">
      <w:pPr>
        <w:rPr>
          <w:rFonts w:cstheme="minorHAnsi"/>
          <w:b/>
          <w:sz w:val="18"/>
          <w:szCs w:val="18"/>
        </w:rPr>
      </w:pPr>
      <w:r w:rsidRPr="0012219F">
        <w:rPr>
          <w:rFonts w:cstheme="minorHAnsi"/>
          <w:b/>
          <w:sz w:val="18"/>
          <w:szCs w:val="18"/>
        </w:rPr>
        <w:t>b)</w:t>
      </w:r>
      <w:r w:rsidR="00B8704F" w:rsidRPr="0012219F">
        <w:rPr>
          <w:rFonts w:cstheme="minorHAnsi"/>
          <w:b/>
          <w:sz w:val="18"/>
          <w:szCs w:val="18"/>
        </w:rPr>
        <w:t xml:space="preserve"> Grades of recommendation – GRADE system – Management of severe perioperative bleeding: guidelines from the European Society of Anaesthesiology</w:t>
      </w:r>
    </w:p>
    <w:tbl>
      <w:tblPr>
        <w:tblStyle w:val="LightShading"/>
        <w:tblW w:w="9747" w:type="dxa"/>
        <w:tblLook w:val="04A0" w:firstRow="1" w:lastRow="0" w:firstColumn="1" w:lastColumn="0" w:noHBand="0" w:noVBand="1"/>
      </w:tblPr>
      <w:tblGrid>
        <w:gridCol w:w="1668"/>
        <w:gridCol w:w="2126"/>
        <w:gridCol w:w="3544"/>
        <w:gridCol w:w="2409"/>
      </w:tblGrid>
      <w:tr w:rsidR="00B8704F" w:rsidRPr="008C4C50" w:rsidTr="00B8704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B8704F" w:rsidRPr="008C4C50" w:rsidRDefault="00B8704F" w:rsidP="00F958D1">
            <w:pPr>
              <w:spacing w:before="40"/>
              <w:rPr>
                <w:rFonts w:cstheme="minorHAnsi"/>
                <w:sz w:val="16"/>
                <w:szCs w:val="16"/>
              </w:rPr>
            </w:pPr>
          </w:p>
        </w:tc>
        <w:tc>
          <w:tcPr>
            <w:tcW w:w="2126" w:type="dxa"/>
          </w:tcPr>
          <w:p w:rsidR="00B8704F" w:rsidRPr="008C4C50" w:rsidRDefault="00B8704F" w:rsidP="00F958D1">
            <w:pPr>
              <w:spacing w:before="40"/>
              <w:cnfStyle w:val="100000000000" w:firstRow="1" w:lastRow="0" w:firstColumn="0" w:lastColumn="0" w:oddVBand="0" w:evenVBand="0" w:oddHBand="0" w:evenHBand="0" w:firstRowFirstColumn="0" w:firstRowLastColumn="0" w:lastRowFirstColumn="0" w:lastRowLastColumn="0"/>
              <w:rPr>
                <w:rFonts w:cstheme="minorHAnsi"/>
                <w:sz w:val="16"/>
                <w:szCs w:val="16"/>
              </w:rPr>
            </w:pPr>
            <w:r w:rsidRPr="008C4C50">
              <w:rPr>
                <w:rFonts w:cstheme="minorHAnsi"/>
                <w:sz w:val="16"/>
                <w:szCs w:val="16"/>
              </w:rPr>
              <w:t>Clarity of benefit</w:t>
            </w:r>
          </w:p>
        </w:tc>
        <w:tc>
          <w:tcPr>
            <w:tcW w:w="3544" w:type="dxa"/>
          </w:tcPr>
          <w:p w:rsidR="00B8704F" w:rsidRPr="008C4C50" w:rsidRDefault="00B8704F" w:rsidP="00F958D1">
            <w:pPr>
              <w:spacing w:before="40"/>
              <w:cnfStyle w:val="100000000000" w:firstRow="1" w:lastRow="0" w:firstColumn="0" w:lastColumn="0" w:oddVBand="0" w:evenVBand="0" w:oddHBand="0" w:evenHBand="0" w:firstRowFirstColumn="0" w:firstRowLastColumn="0" w:lastRowFirstColumn="0" w:lastRowLastColumn="0"/>
              <w:rPr>
                <w:rFonts w:cstheme="minorHAnsi"/>
                <w:sz w:val="16"/>
                <w:szCs w:val="16"/>
              </w:rPr>
            </w:pPr>
            <w:r w:rsidRPr="008C4C50">
              <w:rPr>
                <w:rFonts w:cstheme="minorHAnsi"/>
                <w:sz w:val="16"/>
                <w:szCs w:val="16"/>
              </w:rPr>
              <w:t>Quality of supporting evidence</w:t>
            </w:r>
          </w:p>
        </w:tc>
        <w:tc>
          <w:tcPr>
            <w:tcW w:w="2409" w:type="dxa"/>
          </w:tcPr>
          <w:p w:rsidR="00B8704F" w:rsidRPr="008C4C50" w:rsidRDefault="00B8704F" w:rsidP="00F958D1">
            <w:pPr>
              <w:spacing w:before="40"/>
              <w:cnfStyle w:val="100000000000" w:firstRow="1" w:lastRow="0" w:firstColumn="0" w:lastColumn="0" w:oddVBand="0" w:evenVBand="0" w:oddHBand="0" w:evenHBand="0" w:firstRowFirstColumn="0" w:firstRowLastColumn="0" w:lastRowFirstColumn="0" w:lastRowLastColumn="0"/>
              <w:rPr>
                <w:rFonts w:cstheme="minorHAnsi"/>
                <w:sz w:val="16"/>
                <w:szCs w:val="16"/>
              </w:rPr>
            </w:pPr>
            <w:r w:rsidRPr="008C4C50">
              <w:rPr>
                <w:rFonts w:cstheme="minorHAnsi"/>
                <w:sz w:val="16"/>
                <w:szCs w:val="16"/>
              </w:rPr>
              <w:t>Implications</w:t>
            </w:r>
          </w:p>
        </w:tc>
      </w:tr>
      <w:tr w:rsidR="00B8704F" w:rsidRPr="008C4C50" w:rsidTr="008C4C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B8704F" w:rsidRPr="008C4C50" w:rsidRDefault="00B8704F" w:rsidP="00F958D1">
            <w:pPr>
              <w:spacing w:before="40"/>
              <w:rPr>
                <w:rFonts w:cstheme="minorHAnsi"/>
                <w:sz w:val="16"/>
                <w:szCs w:val="16"/>
              </w:rPr>
            </w:pPr>
            <w:r w:rsidRPr="008C4C50">
              <w:rPr>
                <w:rFonts w:cstheme="minorHAnsi"/>
                <w:sz w:val="16"/>
                <w:szCs w:val="16"/>
              </w:rPr>
              <w:t>1A Strong recommendation. High quality evidence</w:t>
            </w:r>
          </w:p>
        </w:tc>
        <w:tc>
          <w:tcPr>
            <w:tcW w:w="2126" w:type="dxa"/>
          </w:tcPr>
          <w:p w:rsidR="00B8704F" w:rsidRPr="008C4C50" w:rsidRDefault="00B8704F" w:rsidP="00F958D1">
            <w:pPr>
              <w:spacing w:before="40"/>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8C4C50">
              <w:rPr>
                <w:rFonts w:cstheme="minorHAnsi"/>
                <w:sz w:val="16"/>
                <w:szCs w:val="16"/>
              </w:rPr>
              <w:t>Benefits clearly outweigh risk and burdens, or vice versa</w:t>
            </w:r>
          </w:p>
        </w:tc>
        <w:tc>
          <w:tcPr>
            <w:tcW w:w="3544" w:type="dxa"/>
          </w:tcPr>
          <w:p w:rsidR="00B8704F" w:rsidRPr="008C4C50" w:rsidRDefault="00B8704F" w:rsidP="00F958D1">
            <w:pPr>
              <w:spacing w:before="40"/>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8C4C50">
              <w:rPr>
                <w:rFonts w:cstheme="minorHAnsi"/>
                <w:sz w:val="16"/>
                <w:szCs w:val="16"/>
              </w:rPr>
              <w:t>Consistent evidence from well performed randomised, controlled trials or overwhelming evidence of some other form. Further research is unlikely to change our confidence in the estimate of benefit and risk.</w:t>
            </w:r>
          </w:p>
        </w:tc>
        <w:tc>
          <w:tcPr>
            <w:tcW w:w="2409" w:type="dxa"/>
          </w:tcPr>
          <w:p w:rsidR="00B8704F" w:rsidRPr="008C4C50" w:rsidRDefault="00B8704F" w:rsidP="00F958D1">
            <w:pPr>
              <w:spacing w:before="40"/>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8C4C50">
              <w:rPr>
                <w:rFonts w:cstheme="minorHAnsi"/>
                <w:sz w:val="16"/>
                <w:szCs w:val="16"/>
              </w:rPr>
              <w:t>Strong recommendation, can apply to most patients in most circumstances without reservation.</w:t>
            </w:r>
          </w:p>
        </w:tc>
      </w:tr>
      <w:tr w:rsidR="00B8704F" w:rsidRPr="008C4C50" w:rsidTr="008C4C50">
        <w:tc>
          <w:tcPr>
            <w:cnfStyle w:val="001000000000" w:firstRow="0" w:lastRow="0" w:firstColumn="1" w:lastColumn="0" w:oddVBand="0" w:evenVBand="0" w:oddHBand="0" w:evenHBand="0" w:firstRowFirstColumn="0" w:firstRowLastColumn="0" w:lastRowFirstColumn="0" w:lastRowLastColumn="0"/>
            <w:tcW w:w="1668" w:type="dxa"/>
          </w:tcPr>
          <w:p w:rsidR="00B8704F" w:rsidRPr="008C4C50" w:rsidRDefault="00B8704F" w:rsidP="00F958D1">
            <w:pPr>
              <w:spacing w:before="40"/>
              <w:rPr>
                <w:rFonts w:cstheme="minorHAnsi"/>
                <w:sz w:val="16"/>
                <w:szCs w:val="16"/>
              </w:rPr>
            </w:pPr>
            <w:r w:rsidRPr="008C4C50">
              <w:rPr>
                <w:rFonts w:cstheme="minorHAnsi"/>
                <w:sz w:val="16"/>
                <w:szCs w:val="16"/>
              </w:rPr>
              <w:t>1B Strong recommendation. Moderate quality evidence</w:t>
            </w:r>
          </w:p>
        </w:tc>
        <w:tc>
          <w:tcPr>
            <w:tcW w:w="2126" w:type="dxa"/>
          </w:tcPr>
          <w:p w:rsidR="00B8704F" w:rsidRPr="008C4C50" w:rsidRDefault="00B8704F" w:rsidP="00F958D1">
            <w:pPr>
              <w:spacing w:before="40"/>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8C4C50">
              <w:rPr>
                <w:rFonts w:cstheme="minorHAnsi"/>
                <w:sz w:val="16"/>
                <w:szCs w:val="16"/>
              </w:rPr>
              <w:t>Benefits clearly outweigh risk and burdens, or vice versa.</w:t>
            </w:r>
          </w:p>
        </w:tc>
        <w:tc>
          <w:tcPr>
            <w:tcW w:w="3544" w:type="dxa"/>
          </w:tcPr>
          <w:p w:rsidR="00B8704F" w:rsidRPr="008C4C50" w:rsidRDefault="00B8704F" w:rsidP="00F958D1">
            <w:pPr>
              <w:spacing w:before="40"/>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8C4C50">
              <w:rPr>
                <w:rFonts w:cstheme="minorHAnsi"/>
                <w:sz w:val="16"/>
                <w:szCs w:val="16"/>
              </w:rPr>
              <w:t>Evidence from randomised, controlled trials with important limitations (inconsistent results, methodological flaws, indirect or imprecise), or very strong evidence of some other form. Further research (if performed) is likely to have an impact on our confidence in the estimate of benefit and risk and may change the estimate.</w:t>
            </w:r>
          </w:p>
        </w:tc>
        <w:tc>
          <w:tcPr>
            <w:tcW w:w="2409" w:type="dxa"/>
          </w:tcPr>
          <w:p w:rsidR="00B8704F" w:rsidRPr="008C4C50" w:rsidRDefault="00B8704F" w:rsidP="00F958D1">
            <w:pPr>
              <w:spacing w:before="40"/>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8C4C50">
              <w:rPr>
                <w:rFonts w:cstheme="minorHAnsi"/>
                <w:sz w:val="16"/>
                <w:szCs w:val="16"/>
              </w:rPr>
              <w:t>Strong recommendation, likely to apply to most patients.</w:t>
            </w:r>
          </w:p>
          <w:p w:rsidR="00B8704F" w:rsidRPr="008C4C50" w:rsidRDefault="00B8704F" w:rsidP="00F958D1">
            <w:pPr>
              <w:spacing w:before="40"/>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r>
      <w:tr w:rsidR="00B8704F" w:rsidRPr="008C4C50" w:rsidTr="008C4C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B8704F" w:rsidRPr="008C4C50" w:rsidRDefault="00B8704F" w:rsidP="00F958D1">
            <w:pPr>
              <w:spacing w:before="40"/>
              <w:rPr>
                <w:rFonts w:cstheme="minorHAnsi"/>
                <w:sz w:val="16"/>
                <w:szCs w:val="16"/>
              </w:rPr>
            </w:pPr>
            <w:r w:rsidRPr="00CD4932">
              <w:rPr>
                <w:rFonts w:cstheme="minorHAnsi"/>
                <w:sz w:val="16"/>
                <w:szCs w:val="16"/>
              </w:rPr>
              <w:t>1C Strong recommendation. Low quality evidence</w:t>
            </w:r>
          </w:p>
        </w:tc>
        <w:tc>
          <w:tcPr>
            <w:tcW w:w="2126" w:type="dxa"/>
          </w:tcPr>
          <w:p w:rsidR="00B8704F" w:rsidRPr="008C4C50" w:rsidRDefault="00B8704F" w:rsidP="00F958D1">
            <w:pPr>
              <w:spacing w:before="40"/>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8C4C50">
              <w:rPr>
                <w:rFonts w:cstheme="minorHAnsi"/>
                <w:sz w:val="16"/>
                <w:szCs w:val="16"/>
              </w:rPr>
              <w:t>Benefits appear to outweigh risk and burdens, or vice versa.</w:t>
            </w:r>
          </w:p>
        </w:tc>
        <w:tc>
          <w:tcPr>
            <w:tcW w:w="3544" w:type="dxa"/>
          </w:tcPr>
          <w:p w:rsidR="00B8704F" w:rsidRPr="008C4C50" w:rsidRDefault="00B8704F" w:rsidP="00F958D1">
            <w:pPr>
              <w:spacing w:before="40"/>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8C4C50">
              <w:rPr>
                <w:rFonts w:cstheme="minorHAnsi"/>
                <w:sz w:val="16"/>
                <w:szCs w:val="16"/>
              </w:rPr>
              <w:t>Evidence from observational studies, unsystematic clinical experience, or from randomised, controlled trials with serious flaws. Any estimate of effect is uncertain.</w:t>
            </w:r>
          </w:p>
        </w:tc>
        <w:tc>
          <w:tcPr>
            <w:tcW w:w="2409" w:type="dxa"/>
          </w:tcPr>
          <w:p w:rsidR="00B8704F" w:rsidRPr="008C4C50" w:rsidRDefault="00B8704F" w:rsidP="00F958D1">
            <w:pPr>
              <w:spacing w:before="40"/>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8C4C50">
              <w:rPr>
                <w:rFonts w:cstheme="minorHAnsi"/>
                <w:sz w:val="16"/>
                <w:szCs w:val="16"/>
              </w:rPr>
              <w:t>Relatively strong recommendation; might change when higher quality evidence becomes available.</w:t>
            </w:r>
          </w:p>
        </w:tc>
      </w:tr>
      <w:tr w:rsidR="00B8704F" w:rsidRPr="008C4C50" w:rsidTr="008C4C50">
        <w:tc>
          <w:tcPr>
            <w:cnfStyle w:val="001000000000" w:firstRow="0" w:lastRow="0" w:firstColumn="1" w:lastColumn="0" w:oddVBand="0" w:evenVBand="0" w:oddHBand="0" w:evenHBand="0" w:firstRowFirstColumn="0" w:firstRowLastColumn="0" w:lastRowFirstColumn="0" w:lastRowLastColumn="0"/>
            <w:tcW w:w="1668" w:type="dxa"/>
          </w:tcPr>
          <w:p w:rsidR="00B8704F" w:rsidRPr="008C4C50" w:rsidRDefault="00B8704F" w:rsidP="00F958D1">
            <w:pPr>
              <w:spacing w:before="40"/>
              <w:rPr>
                <w:rFonts w:cstheme="minorHAnsi"/>
                <w:sz w:val="16"/>
                <w:szCs w:val="16"/>
              </w:rPr>
            </w:pPr>
            <w:r w:rsidRPr="00CD4932">
              <w:rPr>
                <w:rFonts w:cstheme="minorHAnsi"/>
                <w:sz w:val="16"/>
                <w:szCs w:val="16"/>
              </w:rPr>
              <w:t>2A Weak recommendation. High quality evidence.</w:t>
            </w:r>
          </w:p>
        </w:tc>
        <w:tc>
          <w:tcPr>
            <w:tcW w:w="2126" w:type="dxa"/>
          </w:tcPr>
          <w:p w:rsidR="00B8704F" w:rsidRPr="008C4C50" w:rsidRDefault="00B8704F" w:rsidP="00F958D1">
            <w:pPr>
              <w:spacing w:before="40"/>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8C4C50">
              <w:rPr>
                <w:rFonts w:cstheme="minorHAnsi"/>
                <w:sz w:val="16"/>
                <w:szCs w:val="16"/>
              </w:rPr>
              <w:t>Benefits closely balanced with risks and burdens.</w:t>
            </w:r>
          </w:p>
        </w:tc>
        <w:tc>
          <w:tcPr>
            <w:tcW w:w="3544" w:type="dxa"/>
          </w:tcPr>
          <w:p w:rsidR="00B8704F" w:rsidRPr="008C4C50" w:rsidRDefault="00B8704F" w:rsidP="00F958D1">
            <w:pPr>
              <w:spacing w:before="40"/>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8C4C50">
              <w:rPr>
                <w:rFonts w:cstheme="minorHAnsi"/>
                <w:sz w:val="16"/>
                <w:szCs w:val="16"/>
              </w:rPr>
              <w:t>Consistent evidence from well performed, randomised, controlled trials or overwhelming evidence of some other form. Further research is unlikely to change our confidence in the estimate of benefit and risk.</w:t>
            </w:r>
          </w:p>
        </w:tc>
        <w:tc>
          <w:tcPr>
            <w:tcW w:w="2409" w:type="dxa"/>
          </w:tcPr>
          <w:p w:rsidR="00B8704F" w:rsidRPr="008C4C50" w:rsidRDefault="00B8704F" w:rsidP="00F958D1">
            <w:pPr>
              <w:spacing w:before="40"/>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8C4C50">
              <w:rPr>
                <w:rFonts w:cstheme="minorHAnsi"/>
                <w:sz w:val="16"/>
                <w:szCs w:val="16"/>
              </w:rPr>
              <w:t>Weak recommendation, best action may differ depending on circumstances or patients or societal values.</w:t>
            </w:r>
          </w:p>
          <w:p w:rsidR="00B8704F" w:rsidRPr="008C4C50" w:rsidRDefault="00B8704F" w:rsidP="00F958D1">
            <w:pPr>
              <w:spacing w:before="40"/>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r>
      <w:tr w:rsidR="00B8704F" w:rsidRPr="008C4C50" w:rsidTr="008C4C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B8704F" w:rsidRPr="008C4C50" w:rsidRDefault="00B8704F" w:rsidP="00F958D1">
            <w:pPr>
              <w:spacing w:before="40"/>
              <w:rPr>
                <w:rFonts w:cstheme="minorHAnsi"/>
                <w:sz w:val="16"/>
                <w:szCs w:val="16"/>
              </w:rPr>
            </w:pPr>
            <w:r w:rsidRPr="00CD4932">
              <w:rPr>
                <w:rFonts w:cstheme="minorHAnsi"/>
                <w:sz w:val="16"/>
                <w:szCs w:val="16"/>
              </w:rPr>
              <w:t>2B Weak recommendation. Moderate quality evidence.</w:t>
            </w:r>
          </w:p>
        </w:tc>
        <w:tc>
          <w:tcPr>
            <w:tcW w:w="2126" w:type="dxa"/>
          </w:tcPr>
          <w:p w:rsidR="00B8704F" w:rsidRPr="008C4C50" w:rsidRDefault="00B8704F" w:rsidP="00F958D1">
            <w:pPr>
              <w:spacing w:before="40"/>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8C4C50">
              <w:rPr>
                <w:rFonts w:cstheme="minorHAnsi"/>
                <w:sz w:val="16"/>
                <w:szCs w:val="16"/>
              </w:rPr>
              <w:t>Benefits closely balanced with risks and burdens, some uncertainty in the estimates of benefits, risks and burdens.</w:t>
            </w:r>
          </w:p>
        </w:tc>
        <w:tc>
          <w:tcPr>
            <w:tcW w:w="3544" w:type="dxa"/>
          </w:tcPr>
          <w:p w:rsidR="00B8704F" w:rsidRPr="008C4C50" w:rsidRDefault="00B8704F" w:rsidP="00F958D1">
            <w:pPr>
              <w:spacing w:before="40"/>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8C4C50">
              <w:rPr>
                <w:rFonts w:cstheme="minorHAnsi"/>
                <w:sz w:val="16"/>
                <w:szCs w:val="16"/>
              </w:rPr>
              <w:t>Evidence from randomised, controlled trials with important limitations (inconsistent results, methodological flaws, indirect or imprecise), or very strong evidence of some other form. Further research (if performed) is likely to have an impact on our confidence in the estimate of benefit and risk and may change the estimate.</w:t>
            </w:r>
          </w:p>
        </w:tc>
        <w:tc>
          <w:tcPr>
            <w:tcW w:w="2409" w:type="dxa"/>
          </w:tcPr>
          <w:p w:rsidR="00B8704F" w:rsidRPr="008C4C50" w:rsidRDefault="00B8704F" w:rsidP="00F958D1">
            <w:pPr>
              <w:spacing w:before="40"/>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8C4C50">
              <w:rPr>
                <w:rFonts w:cstheme="minorHAnsi"/>
                <w:sz w:val="16"/>
                <w:szCs w:val="16"/>
              </w:rPr>
              <w:t>Weak recommendation, alternative approaches likely to be better for some patients under some circumstances.</w:t>
            </w:r>
          </w:p>
          <w:p w:rsidR="00B8704F" w:rsidRPr="008C4C50" w:rsidRDefault="00B8704F" w:rsidP="00F958D1">
            <w:pPr>
              <w:spacing w:before="40"/>
              <w:cnfStyle w:val="000000100000" w:firstRow="0" w:lastRow="0" w:firstColumn="0" w:lastColumn="0" w:oddVBand="0" w:evenVBand="0" w:oddHBand="1" w:evenHBand="0" w:firstRowFirstColumn="0" w:firstRowLastColumn="0" w:lastRowFirstColumn="0" w:lastRowLastColumn="0"/>
              <w:rPr>
                <w:rFonts w:cstheme="minorHAnsi"/>
                <w:sz w:val="16"/>
                <w:szCs w:val="16"/>
              </w:rPr>
            </w:pPr>
          </w:p>
        </w:tc>
      </w:tr>
      <w:tr w:rsidR="00B8704F" w:rsidRPr="008C4C50" w:rsidTr="00B8704F">
        <w:tc>
          <w:tcPr>
            <w:cnfStyle w:val="001000000000" w:firstRow="0" w:lastRow="0" w:firstColumn="1" w:lastColumn="0" w:oddVBand="0" w:evenVBand="0" w:oddHBand="0" w:evenHBand="0" w:firstRowFirstColumn="0" w:firstRowLastColumn="0" w:lastRowFirstColumn="0" w:lastRowLastColumn="0"/>
            <w:tcW w:w="1668" w:type="dxa"/>
          </w:tcPr>
          <w:p w:rsidR="00B8704F" w:rsidRPr="008C4C50" w:rsidRDefault="00B8704F" w:rsidP="00F958D1">
            <w:pPr>
              <w:spacing w:before="40"/>
              <w:rPr>
                <w:rFonts w:cstheme="minorHAnsi"/>
                <w:sz w:val="16"/>
                <w:szCs w:val="16"/>
              </w:rPr>
            </w:pPr>
            <w:r w:rsidRPr="00CD4932">
              <w:rPr>
                <w:rFonts w:cstheme="minorHAnsi"/>
                <w:sz w:val="16"/>
                <w:szCs w:val="16"/>
              </w:rPr>
              <w:t>2C Weak recommendation. Low quality evidence.</w:t>
            </w:r>
          </w:p>
        </w:tc>
        <w:tc>
          <w:tcPr>
            <w:tcW w:w="2126" w:type="dxa"/>
          </w:tcPr>
          <w:p w:rsidR="00B8704F" w:rsidRPr="008C4C50" w:rsidRDefault="00B8704F" w:rsidP="00F958D1">
            <w:pPr>
              <w:spacing w:before="40"/>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8C4C50">
              <w:rPr>
                <w:rFonts w:cstheme="minorHAnsi"/>
                <w:sz w:val="16"/>
                <w:szCs w:val="16"/>
              </w:rPr>
              <w:t>Uncertainty in the estimates of benefits risks and burdens; benefits may be closely balanced with risks and burdens.</w:t>
            </w:r>
          </w:p>
        </w:tc>
        <w:tc>
          <w:tcPr>
            <w:tcW w:w="3544" w:type="dxa"/>
          </w:tcPr>
          <w:p w:rsidR="00B8704F" w:rsidRPr="008C4C50" w:rsidRDefault="00B8704F" w:rsidP="00F958D1">
            <w:pPr>
              <w:spacing w:before="40"/>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8C4C50">
              <w:rPr>
                <w:rFonts w:cstheme="minorHAnsi"/>
                <w:sz w:val="16"/>
                <w:szCs w:val="16"/>
              </w:rPr>
              <w:t>Evidence from observational studies, unsystematic clinical experience, or from randomised, controlled trials with serious flaws. Any estimate of effect is uncertain.</w:t>
            </w:r>
          </w:p>
        </w:tc>
        <w:tc>
          <w:tcPr>
            <w:tcW w:w="2409" w:type="dxa"/>
          </w:tcPr>
          <w:p w:rsidR="00B8704F" w:rsidRPr="008C4C50" w:rsidRDefault="00B8704F" w:rsidP="00F958D1">
            <w:pPr>
              <w:spacing w:before="40"/>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8C4C50">
              <w:rPr>
                <w:rFonts w:cstheme="minorHAnsi"/>
                <w:sz w:val="16"/>
                <w:szCs w:val="16"/>
              </w:rPr>
              <w:t>Very weak recommendation;</w:t>
            </w:r>
          </w:p>
          <w:p w:rsidR="00B8704F" w:rsidRPr="008C4C50" w:rsidRDefault="00B8704F" w:rsidP="00F958D1">
            <w:pPr>
              <w:spacing w:before="40"/>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8C4C50">
              <w:rPr>
                <w:rFonts w:cstheme="minorHAnsi"/>
                <w:sz w:val="16"/>
                <w:szCs w:val="16"/>
              </w:rPr>
              <w:t>other alternatives may be equally reasonable.</w:t>
            </w:r>
          </w:p>
          <w:p w:rsidR="00B8704F" w:rsidRPr="008C4C50" w:rsidRDefault="00B8704F" w:rsidP="00F958D1">
            <w:pPr>
              <w:spacing w:before="40"/>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r>
    </w:tbl>
    <w:p w:rsidR="00B8704F" w:rsidRDefault="00B8704F" w:rsidP="0042789A">
      <w:pPr>
        <w:rPr>
          <w:sz w:val="14"/>
          <w:szCs w:val="20"/>
        </w:rPr>
      </w:pPr>
    </w:p>
    <w:p w:rsidR="00B40493" w:rsidRPr="00DE166F" w:rsidRDefault="00DE166F" w:rsidP="008C4C50">
      <w:pPr>
        <w:rPr>
          <w:rFonts w:cstheme="minorHAnsi"/>
          <w:b/>
          <w:sz w:val="18"/>
          <w:szCs w:val="18"/>
        </w:rPr>
      </w:pPr>
      <w:r w:rsidRPr="00DE166F">
        <w:rPr>
          <w:rFonts w:cstheme="minorHAnsi"/>
          <w:b/>
          <w:sz w:val="18"/>
          <w:szCs w:val="18"/>
        </w:rPr>
        <w:t>c)</w:t>
      </w:r>
      <w:r w:rsidR="00AD3599" w:rsidRPr="00DE166F">
        <w:rPr>
          <w:rFonts w:cstheme="minorHAnsi"/>
          <w:b/>
          <w:sz w:val="18"/>
          <w:szCs w:val="18"/>
        </w:rPr>
        <w:t xml:space="preserve"> </w:t>
      </w:r>
      <w:r w:rsidR="00B40493" w:rsidRPr="00DE166F">
        <w:rPr>
          <w:rFonts w:cstheme="minorHAnsi"/>
          <w:b/>
          <w:sz w:val="18"/>
          <w:szCs w:val="18"/>
        </w:rPr>
        <w:t>Recommendations and Practice points</w:t>
      </w:r>
      <w:bookmarkStart w:id="19" w:name="bookmark0"/>
      <w:bookmarkStart w:id="20" w:name="Table_2.3_Definitions_of_NHMRC_grades_fo"/>
      <w:bookmarkEnd w:id="19"/>
      <w:bookmarkEnd w:id="20"/>
      <w:r w:rsidR="004C611C" w:rsidRPr="00DE166F">
        <w:rPr>
          <w:rFonts w:cstheme="minorHAnsi"/>
          <w:b/>
          <w:sz w:val="18"/>
          <w:szCs w:val="18"/>
        </w:rPr>
        <w:t xml:space="preserve"> – Patient Blood Management Guidelines</w:t>
      </w:r>
    </w:p>
    <w:p w:rsidR="00CF665C" w:rsidRDefault="00EE2EE0" w:rsidP="005179F6">
      <w:pPr>
        <w:rPr>
          <w:rFonts w:cstheme="minorHAnsi"/>
          <w:sz w:val="16"/>
          <w:szCs w:val="16"/>
        </w:rPr>
      </w:pPr>
      <w:r w:rsidRPr="008C4C50">
        <w:rPr>
          <w:rFonts w:cstheme="minorHAnsi"/>
          <w:sz w:val="16"/>
          <w:szCs w:val="16"/>
        </w:rPr>
        <w:t xml:space="preserve">The Patient Blood Management Guidelines contain both recommendations and practice points to guide clinical practice. </w:t>
      </w:r>
      <w:r w:rsidRPr="008C4C50">
        <w:rPr>
          <w:rFonts w:cstheme="minorHAnsi"/>
          <w:sz w:val="16"/>
          <w:szCs w:val="16"/>
        </w:rPr>
        <w:lastRenderedPageBreak/>
        <w:t>R</w:t>
      </w:r>
      <w:r w:rsidR="00CF665C" w:rsidRPr="008C4C50">
        <w:rPr>
          <w:rFonts w:cstheme="minorHAnsi"/>
          <w:sz w:val="16"/>
          <w:szCs w:val="16"/>
        </w:rPr>
        <w:t>ecommendations are based on evidence from systematic review</w:t>
      </w:r>
      <w:r w:rsidR="00860E9F" w:rsidRPr="008C4C50">
        <w:rPr>
          <w:rFonts w:cstheme="minorHAnsi"/>
          <w:sz w:val="16"/>
          <w:szCs w:val="16"/>
        </w:rPr>
        <w:t xml:space="preserve"> of the literature</w:t>
      </w:r>
      <w:r w:rsidR="00B8704F">
        <w:rPr>
          <w:rFonts w:cstheme="minorHAnsi"/>
          <w:sz w:val="16"/>
          <w:szCs w:val="16"/>
        </w:rPr>
        <w:t xml:space="preserve"> using the </w:t>
      </w:r>
      <w:r w:rsidR="00B8704F" w:rsidRPr="00EE40D4">
        <w:rPr>
          <w:rFonts w:cstheme="minorHAnsi"/>
          <w:sz w:val="16"/>
          <w:szCs w:val="16"/>
        </w:rPr>
        <w:t>National Health and Medical Research Council (NHMRC) grades of recommendations definitions</w:t>
      </w:r>
      <w:r w:rsidR="00B8704F">
        <w:rPr>
          <w:rFonts w:cstheme="minorHAnsi"/>
          <w:sz w:val="16"/>
          <w:szCs w:val="16"/>
        </w:rPr>
        <w:t>;</w:t>
      </w:r>
      <w:r w:rsidR="00CF665C" w:rsidRPr="008C4C50">
        <w:rPr>
          <w:rFonts w:cstheme="minorHAnsi"/>
          <w:sz w:val="16"/>
          <w:szCs w:val="16"/>
        </w:rPr>
        <w:t xml:space="preserve"> and the practice points are base</w:t>
      </w:r>
      <w:r w:rsidRPr="008C4C50">
        <w:rPr>
          <w:rFonts w:cstheme="minorHAnsi"/>
          <w:sz w:val="16"/>
          <w:szCs w:val="16"/>
        </w:rPr>
        <w:t>d on consensus decision-making, where</w:t>
      </w:r>
      <w:r w:rsidR="00CF665C" w:rsidRPr="008C4C50">
        <w:rPr>
          <w:rFonts w:cstheme="minorHAnsi"/>
          <w:sz w:val="16"/>
          <w:szCs w:val="16"/>
        </w:rPr>
        <w:t xml:space="preserve"> insufficient </w:t>
      </w:r>
      <w:r w:rsidRPr="008C4C50">
        <w:rPr>
          <w:rFonts w:cstheme="minorHAnsi"/>
          <w:sz w:val="16"/>
          <w:szCs w:val="16"/>
        </w:rPr>
        <w:t>high-quality data was available</w:t>
      </w:r>
      <w:r w:rsidR="00CF665C" w:rsidRPr="008C4C50">
        <w:rPr>
          <w:rFonts w:cstheme="minorHAnsi"/>
          <w:sz w:val="16"/>
          <w:szCs w:val="16"/>
        </w:rPr>
        <w:t xml:space="preserve">. </w:t>
      </w:r>
    </w:p>
    <w:p w:rsidR="007B3A28" w:rsidRPr="008C4C50" w:rsidRDefault="007B3A28" w:rsidP="005179F6">
      <w:pPr>
        <w:rPr>
          <w:rFonts w:cstheme="minorHAnsi"/>
          <w:sz w:val="16"/>
          <w:szCs w:val="16"/>
        </w:rPr>
      </w:pPr>
    </w:p>
    <w:tbl>
      <w:tblPr>
        <w:tblStyle w:val="TableGrid"/>
        <w:tblW w:w="0" w:type="auto"/>
        <w:tblInd w:w="250" w:type="dxa"/>
        <w:tblLook w:val="04A0" w:firstRow="1" w:lastRow="0" w:firstColumn="1" w:lastColumn="0" w:noHBand="0" w:noVBand="1"/>
      </w:tblPr>
      <w:tblGrid>
        <w:gridCol w:w="992"/>
        <w:gridCol w:w="8163"/>
      </w:tblGrid>
      <w:tr w:rsidR="007B3A28" w:rsidRPr="008C4C50" w:rsidTr="00E07D80">
        <w:tc>
          <w:tcPr>
            <w:tcW w:w="992" w:type="dxa"/>
          </w:tcPr>
          <w:p w:rsidR="007B3A28" w:rsidRPr="008C4C50" w:rsidRDefault="007B3A28" w:rsidP="00A37FC3">
            <w:pPr>
              <w:spacing w:before="40"/>
              <w:rPr>
                <w:rFonts w:cstheme="minorHAnsi"/>
                <w:b/>
                <w:sz w:val="16"/>
                <w:szCs w:val="16"/>
              </w:rPr>
            </w:pPr>
            <w:r w:rsidRPr="008C4C50">
              <w:rPr>
                <w:rFonts w:cstheme="minorHAnsi"/>
                <w:b/>
                <w:sz w:val="16"/>
                <w:szCs w:val="16"/>
              </w:rPr>
              <w:t>Grade</w:t>
            </w:r>
          </w:p>
        </w:tc>
        <w:tc>
          <w:tcPr>
            <w:tcW w:w="8163" w:type="dxa"/>
          </w:tcPr>
          <w:p w:rsidR="007B3A28" w:rsidRPr="008C4C50" w:rsidRDefault="007B3A28" w:rsidP="00A37FC3">
            <w:pPr>
              <w:spacing w:before="40"/>
              <w:rPr>
                <w:rFonts w:cstheme="minorHAnsi"/>
                <w:sz w:val="16"/>
                <w:szCs w:val="16"/>
              </w:rPr>
            </w:pPr>
          </w:p>
        </w:tc>
      </w:tr>
      <w:tr w:rsidR="007B3A28" w:rsidRPr="008C4C50" w:rsidTr="00E07D80">
        <w:tc>
          <w:tcPr>
            <w:tcW w:w="992" w:type="dxa"/>
          </w:tcPr>
          <w:p w:rsidR="007B3A28" w:rsidRPr="008C4C50" w:rsidRDefault="007B3A28" w:rsidP="00A37FC3">
            <w:pPr>
              <w:spacing w:before="40"/>
              <w:rPr>
                <w:rFonts w:cstheme="minorHAnsi"/>
                <w:b/>
                <w:sz w:val="16"/>
                <w:szCs w:val="16"/>
              </w:rPr>
            </w:pPr>
            <w:r w:rsidRPr="008C4C50">
              <w:rPr>
                <w:rFonts w:cstheme="minorHAnsi"/>
                <w:b/>
                <w:sz w:val="16"/>
                <w:szCs w:val="16"/>
              </w:rPr>
              <w:t>A</w:t>
            </w:r>
          </w:p>
        </w:tc>
        <w:tc>
          <w:tcPr>
            <w:tcW w:w="8163" w:type="dxa"/>
          </w:tcPr>
          <w:p w:rsidR="007B3A28" w:rsidRPr="008C4C50" w:rsidRDefault="007B3A28" w:rsidP="00A37FC3">
            <w:pPr>
              <w:spacing w:before="40"/>
              <w:rPr>
                <w:rFonts w:cstheme="minorHAnsi"/>
                <w:sz w:val="16"/>
                <w:szCs w:val="16"/>
              </w:rPr>
            </w:pPr>
            <w:r w:rsidRPr="008C4C50">
              <w:rPr>
                <w:rFonts w:cstheme="minorHAnsi"/>
                <w:sz w:val="16"/>
                <w:szCs w:val="16"/>
              </w:rPr>
              <w:t>Body of evidence can be trusted to guide practice</w:t>
            </w:r>
          </w:p>
        </w:tc>
      </w:tr>
      <w:tr w:rsidR="007B3A28" w:rsidRPr="008C4C50" w:rsidTr="00E07D80">
        <w:tc>
          <w:tcPr>
            <w:tcW w:w="992" w:type="dxa"/>
          </w:tcPr>
          <w:p w:rsidR="007B3A28" w:rsidRPr="008C4C50" w:rsidRDefault="007B3A28" w:rsidP="00A37FC3">
            <w:pPr>
              <w:spacing w:before="40"/>
              <w:rPr>
                <w:rFonts w:cstheme="minorHAnsi"/>
                <w:b/>
                <w:sz w:val="16"/>
                <w:szCs w:val="16"/>
              </w:rPr>
            </w:pPr>
            <w:r w:rsidRPr="008C4C50">
              <w:rPr>
                <w:rFonts w:cstheme="minorHAnsi"/>
                <w:b/>
                <w:sz w:val="16"/>
                <w:szCs w:val="16"/>
              </w:rPr>
              <w:t>B</w:t>
            </w:r>
          </w:p>
        </w:tc>
        <w:tc>
          <w:tcPr>
            <w:tcW w:w="8163" w:type="dxa"/>
          </w:tcPr>
          <w:p w:rsidR="007B3A28" w:rsidRPr="008C4C50" w:rsidRDefault="007B3A28" w:rsidP="00A37FC3">
            <w:pPr>
              <w:spacing w:before="40"/>
              <w:rPr>
                <w:rFonts w:cstheme="minorHAnsi"/>
                <w:sz w:val="16"/>
                <w:szCs w:val="16"/>
              </w:rPr>
            </w:pPr>
            <w:r w:rsidRPr="008C4C50">
              <w:rPr>
                <w:rFonts w:cstheme="minorHAnsi"/>
                <w:sz w:val="16"/>
                <w:szCs w:val="16"/>
              </w:rPr>
              <w:t>Body of evidence can be trusted to guide practice in most situations</w:t>
            </w:r>
          </w:p>
        </w:tc>
      </w:tr>
      <w:tr w:rsidR="007B3A28" w:rsidRPr="008C4C50" w:rsidTr="00E07D80">
        <w:tc>
          <w:tcPr>
            <w:tcW w:w="992" w:type="dxa"/>
          </w:tcPr>
          <w:p w:rsidR="007B3A28" w:rsidRPr="008C4C50" w:rsidRDefault="007B3A28" w:rsidP="00A37FC3">
            <w:pPr>
              <w:spacing w:before="40"/>
              <w:rPr>
                <w:rFonts w:cstheme="minorHAnsi"/>
                <w:b/>
                <w:sz w:val="16"/>
                <w:szCs w:val="16"/>
              </w:rPr>
            </w:pPr>
            <w:r w:rsidRPr="008C4C50">
              <w:rPr>
                <w:rFonts w:cstheme="minorHAnsi"/>
                <w:b/>
                <w:sz w:val="16"/>
                <w:szCs w:val="16"/>
              </w:rPr>
              <w:t>C</w:t>
            </w:r>
          </w:p>
        </w:tc>
        <w:tc>
          <w:tcPr>
            <w:tcW w:w="8163" w:type="dxa"/>
          </w:tcPr>
          <w:p w:rsidR="007B3A28" w:rsidRPr="008C4C50" w:rsidRDefault="007B3A28" w:rsidP="00A37FC3">
            <w:pPr>
              <w:spacing w:before="40"/>
              <w:rPr>
                <w:rFonts w:cstheme="minorHAnsi"/>
                <w:sz w:val="16"/>
                <w:szCs w:val="16"/>
              </w:rPr>
            </w:pPr>
            <w:r w:rsidRPr="008C4C50">
              <w:rPr>
                <w:rFonts w:cstheme="minorHAnsi"/>
                <w:sz w:val="16"/>
                <w:szCs w:val="16"/>
              </w:rPr>
              <w:t>Body of evidence provides some support for recommendation(s) but care should be taken in its application</w:t>
            </w:r>
          </w:p>
        </w:tc>
      </w:tr>
      <w:tr w:rsidR="007B3A28" w:rsidRPr="008C4C50" w:rsidTr="00E07D80">
        <w:tc>
          <w:tcPr>
            <w:tcW w:w="992" w:type="dxa"/>
          </w:tcPr>
          <w:p w:rsidR="007B3A28" w:rsidRPr="008C4C50" w:rsidRDefault="007B3A28" w:rsidP="00A37FC3">
            <w:pPr>
              <w:spacing w:before="40"/>
              <w:rPr>
                <w:rFonts w:cstheme="minorHAnsi"/>
                <w:b/>
                <w:sz w:val="16"/>
                <w:szCs w:val="16"/>
              </w:rPr>
            </w:pPr>
            <w:r w:rsidRPr="008C4C50">
              <w:rPr>
                <w:rFonts w:cstheme="minorHAnsi"/>
                <w:b/>
                <w:sz w:val="16"/>
                <w:szCs w:val="16"/>
              </w:rPr>
              <w:t>D</w:t>
            </w:r>
          </w:p>
        </w:tc>
        <w:tc>
          <w:tcPr>
            <w:tcW w:w="8163" w:type="dxa"/>
          </w:tcPr>
          <w:p w:rsidR="007B3A28" w:rsidRPr="008C4C50" w:rsidRDefault="007B3A28" w:rsidP="00A37FC3">
            <w:pPr>
              <w:spacing w:before="40"/>
              <w:rPr>
                <w:rFonts w:cstheme="minorHAnsi"/>
                <w:sz w:val="16"/>
                <w:szCs w:val="16"/>
              </w:rPr>
            </w:pPr>
            <w:r w:rsidRPr="008C4C50">
              <w:rPr>
                <w:rFonts w:cstheme="minorHAnsi"/>
                <w:sz w:val="16"/>
                <w:szCs w:val="16"/>
              </w:rPr>
              <w:t>Body of evidence is weak and recommendations must be applied with caution</w:t>
            </w:r>
          </w:p>
        </w:tc>
      </w:tr>
    </w:tbl>
    <w:p w:rsidR="000C67B6" w:rsidRPr="008C4C50" w:rsidRDefault="000C67B6" w:rsidP="005179F6">
      <w:pPr>
        <w:rPr>
          <w:rFonts w:cstheme="minorHAnsi"/>
          <w:sz w:val="16"/>
          <w:szCs w:val="16"/>
        </w:rPr>
        <w:sectPr w:rsidR="000C67B6" w:rsidRPr="008C4C50" w:rsidSect="00C9091C">
          <w:pgSz w:w="11906" w:h="16838"/>
          <w:pgMar w:top="1247" w:right="1134" w:bottom="1134" w:left="1134" w:header="709" w:footer="709" w:gutter="0"/>
          <w:cols w:space="708"/>
          <w:docGrid w:linePitch="360"/>
        </w:sectPr>
      </w:pPr>
    </w:p>
    <w:p w:rsidR="000D066B" w:rsidRPr="002B46CB" w:rsidRDefault="002B46CB" w:rsidP="002B46CB">
      <w:pPr>
        <w:pStyle w:val="Heading2"/>
        <w:ind w:left="567" w:hanging="567"/>
        <w:rPr>
          <w:rFonts w:ascii="TitilliumText25L" w:eastAsia="TitilliumText25L" w:hAnsi="TitilliumText25L" w:cs="TitilliumText25L"/>
          <w:b w:val="0"/>
          <w:bCs w:val="0"/>
          <w:color w:val="D0202E"/>
          <w:sz w:val="40"/>
          <w:szCs w:val="60"/>
        </w:rPr>
      </w:pPr>
      <w:bookmarkStart w:id="21" w:name="_Toc411414871"/>
      <w:bookmarkEnd w:id="1"/>
      <w:r w:rsidRPr="002B46CB">
        <w:rPr>
          <w:rFonts w:ascii="TitilliumText25L" w:eastAsia="TitilliumText25L" w:hAnsi="TitilliumText25L" w:cs="TitilliumText25L"/>
          <w:b w:val="0"/>
          <w:color w:val="D0202E"/>
          <w:position w:val="-1"/>
          <w:sz w:val="102"/>
          <w:szCs w:val="102"/>
        </w:rPr>
        <w:lastRenderedPageBreak/>
        <w:t>&gt;</w:t>
      </w:r>
      <w:r w:rsidRPr="002B46CB">
        <w:rPr>
          <w:rFonts w:ascii="TitilliumText25L" w:eastAsia="TitilliumText25L" w:hAnsi="TitilliumText25L" w:cs="TitilliumText25L"/>
          <w:b w:val="0"/>
          <w:color w:val="D0202E"/>
          <w:sz w:val="60"/>
          <w:szCs w:val="60"/>
        </w:rPr>
        <w:t xml:space="preserve">APPENDIX </w:t>
      </w:r>
      <w:r>
        <w:rPr>
          <w:rFonts w:ascii="TitilliumText25L" w:eastAsia="TitilliumText25L" w:hAnsi="TitilliumText25L" w:cs="TitilliumText25L"/>
          <w:b w:val="0"/>
          <w:color w:val="D0202E"/>
          <w:sz w:val="60"/>
          <w:szCs w:val="60"/>
        </w:rPr>
        <w:t>3</w:t>
      </w:r>
      <w:r w:rsidRPr="002B46CB">
        <w:rPr>
          <w:rFonts w:ascii="TitilliumText25L" w:eastAsia="TitilliumText25L" w:hAnsi="TitilliumText25L" w:cs="TitilliumText25L"/>
          <w:b w:val="0"/>
          <w:color w:val="D0202E"/>
          <w:sz w:val="60"/>
          <w:szCs w:val="60"/>
        </w:rPr>
        <w:t>:</w:t>
      </w:r>
      <w:r w:rsidRPr="002B46CB">
        <w:rPr>
          <w:rFonts w:ascii="TitilliumText25L" w:eastAsia="TitilliumText25L" w:hAnsi="TitilliumText25L" w:cs="TitilliumText25L"/>
          <w:b w:val="0"/>
          <w:color w:val="D0202E"/>
          <w:sz w:val="60"/>
          <w:szCs w:val="60"/>
        </w:rPr>
        <w:br/>
      </w:r>
      <w:r w:rsidRPr="002B46CB">
        <w:rPr>
          <w:rFonts w:ascii="TitilliumText25L" w:eastAsia="TitilliumText25L" w:hAnsi="TitilliumText25L" w:cs="TitilliumText25L"/>
          <w:b w:val="0"/>
          <w:bCs w:val="0"/>
          <w:color w:val="D0202E"/>
          <w:sz w:val="40"/>
          <w:szCs w:val="60"/>
        </w:rPr>
        <w:t>EUROPEAN SOCIETY OF ANAESTHESIOLOGY (ESA) GUIDANCE REGARDING CESSATION OF MEDICATIONS (EXTRACT)</w:t>
      </w:r>
      <w:r w:rsidRPr="00793F7A">
        <w:rPr>
          <w:rFonts w:ascii="TitilliumText25L" w:eastAsia="TitilliumText25L" w:hAnsi="TitilliumText25L" w:cs="TitilliumText25L"/>
          <w:b w:val="0"/>
          <w:bCs w:val="0"/>
          <w:color w:val="D0202E"/>
          <w:sz w:val="40"/>
          <w:szCs w:val="60"/>
          <w:vertAlign w:val="superscript"/>
        </w:rPr>
        <w:t>2</w:t>
      </w:r>
      <w:bookmarkEnd w:id="21"/>
    </w:p>
    <w:p w:rsidR="008A7E4B" w:rsidRDefault="008A7E4B" w:rsidP="008A7E4B">
      <w:r>
        <w:t>Note: Whilst the ESA guidelines provide guidance regarding aspirin, warfarin, and NOAC, it is recommended that Australasian guidelines and references be consulted in the first instance.</w:t>
      </w:r>
    </w:p>
    <w:p w:rsidR="00963E3D" w:rsidRDefault="00963E3D"/>
    <w:tbl>
      <w:tblPr>
        <w:tblStyle w:val="TableGrid"/>
        <w:tblW w:w="8930" w:type="dxa"/>
        <w:tblInd w:w="250" w:type="dxa"/>
        <w:tblLook w:val="0480" w:firstRow="0" w:lastRow="0" w:firstColumn="1" w:lastColumn="0" w:noHBand="0" w:noVBand="1"/>
      </w:tblPr>
      <w:tblGrid>
        <w:gridCol w:w="2053"/>
        <w:gridCol w:w="6877"/>
      </w:tblGrid>
      <w:tr w:rsidR="00963E3D" w:rsidRPr="005179F6" w:rsidTr="00CB48EB">
        <w:tc>
          <w:tcPr>
            <w:tcW w:w="8930" w:type="dxa"/>
            <w:gridSpan w:val="2"/>
          </w:tcPr>
          <w:p w:rsidR="00963E3D" w:rsidRPr="00E07D80" w:rsidRDefault="00963E3D" w:rsidP="00CB48EB">
            <w:pPr>
              <w:spacing w:before="100" w:after="100"/>
              <w:rPr>
                <w:rFonts w:cstheme="minorHAnsi"/>
                <w:b/>
              </w:rPr>
            </w:pPr>
            <w:r w:rsidRPr="00E07D80">
              <w:rPr>
                <w:rFonts w:cstheme="minorHAnsi"/>
                <w:b/>
              </w:rPr>
              <w:t>ESA guidance regarding cessation of medications</w:t>
            </w:r>
          </w:p>
        </w:tc>
      </w:tr>
      <w:tr w:rsidR="00963E3D" w:rsidRPr="00E07D80" w:rsidTr="00CB48EB">
        <w:tc>
          <w:tcPr>
            <w:tcW w:w="2053" w:type="dxa"/>
          </w:tcPr>
          <w:p w:rsidR="00963E3D" w:rsidRPr="00E07D80" w:rsidRDefault="00963E3D" w:rsidP="00CB48EB">
            <w:pPr>
              <w:spacing w:before="100" w:after="100"/>
              <w:rPr>
                <w:rFonts w:cstheme="minorHAnsi"/>
                <w:b/>
              </w:rPr>
            </w:pPr>
            <w:r w:rsidRPr="00E07D80">
              <w:rPr>
                <w:rFonts w:cstheme="minorHAnsi"/>
                <w:b/>
              </w:rPr>
              <w:t>Medication</w:t>
            </w:r>
          </w:p>
        </w:tc>
        <w:tc>
          <w:tcPr>
            <w:tcW w:w="6877" w:type="dxa"/>
          </w:tcPr>
          <w:p w:rsidR="00963E3D" w:rsidRPr="00E07D80" w:rsidRDefault="00963E3D" w:rsidP="00CB48EB">
            <w:pPr>
              <w:spacing w:before="100" w:after="100"/>
              <w:rPr>
                <w:rFonts w:cstheme="minorHAnsi"/>
                <w:b/>
              </w:rPr>
            </w:pPr>
            <w:r w:rsidRPr="00E07D80">
              <w:rPr>
                <w:rFonts w:cstheme="minorHAnsi"/>
                <w:b/>
              </w:rPr>
              <w:t>Recommendation/suggestion</w:t>
            </w:r>
          </w:p>
        </w:tc>
      </w:tr>
      <w:tr w:rsidR="007B50BD" w:rsidRPr="005179F6" w:rsidTr="00963E3D">
        <w:tc>
          <w:tcPr>
            <w:tcW w:w="2053" w:type="dxa"/>
            <w:vMerge w:val="restart"/>
            <w:vAlign w:val="center"/>
          </w:tcPr>
          <w:p w:rsidR="007B50BD" w:rsidRPr="005179F6" w:rsidRDefault="007B50BD" w:rsidP="00963E3D">
            <w:pPr>
              <w:spacing w:before="100" w:after="100"/>
              <w:rPr>
                <w:rFonts w:cstheme="minorHAnsi"/>
              </w:rPr>
            </w:pPr>
            <w:r w:rsidRPr="005179F6">
              <w:rPr>
                <w:rFonts w:cstheme="minorHAnsi"/>
              </w:rPr>
              <w:t>Dual antiplatelet therapy</w:t>
            </w:r>
          </w:p>
        </w:tc>
        <w:tc>
          <w:tcPr>
            <w:tcW w:w="6877" w:type="dxa"/>
          </w:tcPr>
          <w:p w:rsidR="007B50BD" w:rsidRPr="005179F6" w:rsidRDefault="007B50BD" w:rsidP="00963E3D">
            <w:pPr>
              <w:spacing w:before="100" w:after="100"/>
              <w:rPr>
                <w:rFonts w:cstheme="minorHAnsi"/>
              </w:rPr>
            </w:pPr>
            <w:r w:rsidRPr="005179F6">
              <w:rPr>
                <w:rFonts w:cstheme="minorHAnsi"/>
              </w:rPr>
              <w:t>We recommend discontinuing dual antiplatelet therapy before urgent intracranial neurosurgery</w:t>
            </w:r>
            <w:r w:rsidRPr="007B50BD">
              <w:rPr>
                <w:rFonts w:cstheme="minorHAnsi"/>
              </w:rPr>
              <w:t>. A risk-benefit analysis is required for the continuation of aspirin monotherapy during neurosurgery. 1B</w:t>
            </w:r>
          </w:p>
        </w:tc>
      </w:tr>
      <w:tr w:rsidR="007B50BD" w:rsidRPr="005179F6" w:rsidTr="00963E3D">
        <w:tc>
          <w:tcPr>
            <w:tcW w:w="2053" w:type="dxa"/>
            <w:vMerge/>
            <w:vAlign w:val="center"/>
          </w:tcPr>
          <w:p w:rsidR="007B50BD" w:rsidRPr="005179F6" w:rsidRDefault="007B50BD" w:rsidP="00963E3D">
            <w:pPr>
              <w:spacing w:before="100" w:after="100"/>
              <w:rPr>
                <w:rFonts w:cstheme="minorHAnsi"/>
              </w:rPr>
            </w:pPr>
          </w:p>
        </w:tc>
        <w:tc>
          <w:tcPr>
            <w:tcW w:w="6877" w:type="dxa"/>
          </w:tcPr>
          <w:p w:rsidR="007B50BD" w:rsidRPr="005179F6" w:rsidRDefault="007B50BD" w:rsidP="00963E3D">
            <w:pPr>
              <w:spacing w:before="100" w:after="100"/>
              <w:rPr>
                <w:rFonts w:cstheme="minorHAnsi"/>
              </w:rPr>
            </w:pPr>
            <w:r w:rsidRPr="005179F6">
              <w:rPr>
                <w:rFonts w:cstheme="minorHAnsi"/>
              </w:rPr>
              <w:t>We suggest that urgent or semi-urgent surgery should be performed under aspirin/clopidogrel or aspirin/prasugrel combination therapy if possible, or at least under aspirin alone. 2C</w:t>
            </w:r>
          </w:p>
        </w:tc>
      </w:tr>
      <w:tr w:rsidR="007B50BD" w:rsidRPr="005179F6" w:rsidTr="00963E3D">
        <w:tc>
          <w:tcPr>
            <w:tcW w:w="2053" w:type="dxa"/>
            <w:vMerge w:val="restart"/>
            <w:vAlign w:val="center"/>
          </w:tcPr>
          <w:p w:rsidR="007B50BD" w:rsidRPr="005179F6" w:rsidRDefault="007B50BD" w:rsidP="00963E3D">
            <w:pPr>
              <w:spacing w:before="100" w:after="100"/>
              <w:rPr>
                <w:rFonts w:cstheme="minorHAnsi"/>
              </w:rPr>
            </w:pPr>
            <w:r w:rsidRPr="005179F6">
              <w:rPr>
                <w:rFonts w:cstheme="minorHAnsi"/>
              </w:rPr>
              <w:t>Metal or drug-eluting stent</w:t>
            </w:r>
          </w:p>
        </w:tc>
        <w:tc>
          <w:tcPr>
            <w:tcW w:w="6877" w:type="dxa"/>
          </w:tcPr>
          <w:p w:rsidR="007B50BD" w:rsidRPr="005179F6" w:rsidRDefault="007B50BD" w:rsidP="00963E3D">
            <w:pPr>
              <w:spacing w:before="100" w:after="100"/>
              <w:rPr>
                <w:rFonts w:cstheme="minorHAnsi"/>
              </w:rPr>
            </w:pPr>
            <w:r w:rsidRPr="005179F6">
              <w:rPr>
                <w:rFonts w:cstheme="minorHAnsi"/>
              </w:rPr>
              <w:t>We recommend against performing orthopaedic surgery during the first three months after bare metal stent implantation or during the first twelve months after drug-eluting stent implantation. 1C</w:t>
            </w:r>
          </w:p>
        </w:tc>
      </w:tr>
      <w:tr w:rsidR="007B50BD" w:rsidRPr="005179F6" w:rsidTr="00963E3D">
        <w:tc>
          <w:tcPr>
            <w:tcW w:w="2053" w:type="dxa"/>
            <w:vMerge/>
            <w:vAlign w:val="center"/>
          </w:tcPr>
          <w:p w:rsidR="007B50BD" w:rsidRPr="005179F6" w:rsidRDefault="007B50BD" w:rsidP="00963E3D">
            <w:pPr>
              <w:spacing w:before="100" w:after="100"/>
              <w:rPr>
                <w:rFonts w:cstheme="minorHAnsi"/>
              </w:rPr>
            </w:pPr>
          </w:p>
        </w:tc>
        <w:tc>
          <w:tcPr>
            <w:tcW w:w="6877" w:type="dxa"/>
          </w:tcPr>
          <w:p w:rsidR="007B50BD" w:rsidRPr="005179F6" w:rsidRDefault="007B50BD" w:rsidP="00963E3D">
            <w:pPr>
              <w:spacing w:before="100" w:after="100"/>
              <w:rPr>
                <w:rFonts w:cstheme="minorHAnsi"/>
              </w:rPr>
            </w:pPr>
            <w:r w:rsidRPr="005179F6">
              <w:rPr>
                <w:rFonts w:cstheme="minorHAnsi"/>
              </w:rPr>
              <w:t>We recommend postponement of elective surgery following coronary stenting (at least 6 to 12 weeks for bare metal stent and one year for drug-eluting stents). 1C</w:t>
            </w:r>
          </w:p>
        </w:tc>
      </w:tr>
      <w:tr w:rsidR="007B50BD" w:rsidRPr="005179F6" w:rsidTr="00963E3D">
        <w:tc>
          <w:tcPr>
            <w:tcW w:w="2053" w:type="dxa"/>
            <w:vAlign w:val="center"/>
          </w:tcPr>
          <w:p w:rsidR="007B50BD" w:rsidRPr="005179F6" w:rsidRDefault="005C7518" w:rsidP="00963E3D">
            <w:pPr>
              <w:spacing w:before="100" w:after="100"/>
              <w:rPr>
                <w:rFonts w:cstheme="minorHAnsi"/>
              </w:rPr>
            </w:pPr>
            <w:r>
              <w:rPr>
                <w:rFonts w:cstheme="minorHAnsi"/>
              </w:rPr>
              <w:t>S</w:t>
            </w:r>
            <w:r w:rsidRPr="005179F6">
              <w:rPr>
                <w:rFonts w:cstheme="minorHAnsi"/>
              </w:rPr>
              <w:t xml:space="preserve">elective serotonin reuptake inhibitor </w:t>
            </w:r>
            <w:r>
              <w:rPr>
                <w:rFonts w:cstheme="minorHAnsi"/>
              </w:rPr>
              <w:t>(SSRI)</w:t>
            </w:r>
          </w:p>
        </w:tc>
        <w:tc>
          <w:tcPr>
            <w:tcW w:w="6877" w:type="dxa"/>
          </w:tcPr>
          <w:p w:rsidR="007B50BD" w:rsidRPr="005179F6" w:rsidRDefault="007B50BD" w:rsidP="00963E3D">
            <w:pPr>
              <w:spacing w:before="100" w:after="100"/>
              <w:rPr>
                <w:rFonts w:cstheme="minorHAnsi"/>
              </w:rPr>
            </w:pPr>
            <w:r w:rsidRPr="005179F6">
              <w:rPr>
                <w:rFonts w:cstheme="minorHAnsi"/>
              </w:rPr>
              <w:t>We suggest that selective serotonin reuptake inhibitor (SSRI) treatment should not be routinely discontinued perioperatively. 2</w:t>
            </w:r>
            <w:r>
              <w:rPr>
                <w:rFonts w:cstheme="minorHAnsi"/>
              </w:rPr>
              <w:t>B</w:t>
            </w:r>
          </w:p>
        </w:tc>
      </w:tr>
      <w:tr w:rsidR="007B50BD" w:rsidRPr="005179F6" w:rsidTr="00963E3D">
        <w:tc>
          <w:tcPr>
            <w:tcW w:w="2053" w:type="dxa"/>
            <w:vAlign w:val="center"/>
          </w:tcPr>
          <w:p w:rsidR="007B50BD" w:rsidRPr="005179F6" w:rsidRDefault="007B50BD" w:rsidP="00963E3D">
            <w:pPr>
              <w:spacing w:before="100" w:after="100"/>
              <w:rPr>
                <w:rFonts w:cstheme="minorHAnsi"/>
              </w:rPr>
            </w:pPr>
            <w:r w:rsidRPr="005179F6">
              <w:rPr>
                <w:rFonts w:cstheme="minorHAnsi"/>
              </w:rPr>
              <w:t>Antiepileptic agents</w:t>
            </w:r>
          </w:p>
        </w:tc>
        <w:tc>
          <w:tcPr>
            <w:tcW w:w="6877" w:type="dxa"/>
          </w:tcPr>
          <w:p w:rsidR="007B50BD" w:rsidRPr="005179F6" w:rsidRDefault="007B50BD" w:rsidP="00963E3D">
            <w:pPr>
              <w:spacing w:before="100" w:after="100"/>
              <w:rPr>
                <w:rFonts w:cstheme="minorHAnsi"/>
              </w:rPr>
            </w:pPr>
            <w:r w:rsidRPr="005179F6">
              <w:rPr>
                <w:rFonts w:cstheme="minorHAnsi"/>
              </w:rPr>
              <w:t>We suggest individualised perioperative discontinuation of antiepileptic agents, such as valproic acid, which may increase bleeding. 2C</w:t>
            </w:r>
          </w:p>
        </w:tc>
      </w:tr>
      <w:tr w:rsidR="007B50BD" w:rsidRPr="005179F6" w:rsidTr="00963E3D">
        <w:tc>
          <w:tcPr>
            <w:tcW w:w="2053" w:type="dxa"/>
            <w:vAlign w:val="center"/>
          </w:tcPr>
          <w:p w:rsidR="007B50BD" w:rsidRPr="005179F6" w:rsidRDefault="007B50BD" w:rsidP="00963E3D">
            <w:pPr>
              <w:spacing w:before="100" w:after="100"/>
              <w:rPr>
                <w:rFonts w:cstheme="minorHAnsi"/>
              </w:rPr>
            </w:pPr>
            <w:r w:rsidRPr="005179F6">
              <w:rPr>
                <w:rFonts w:cstheme="minorHAnsi"/>
              </w:rPr>
              <w:t>Complementary medicines</w:t>
            </w:r>
          </w:p>
        </w:tc>
        <w:tc>
          <w:tcPr>
            <w:tcW w:w="6877" w:type="dxa"/>
          </w:tcPr>
          <w:p w:rsidR="007B50BD" w:rsidRPr="005179F6" w:rsidRDefault="007B50BD" w:rsidP="00963E3D">
            <w:pPr>
              <w:spacing w:before="100" w:after="100"/>
              <w:rPr>
                <w:rFonts w:cstheme="minorHAnsi"/>
              </w:rPr>
            </w:pPr>
            <w:r w:rsidRPr="005179F6">
              <w:rPr>
                <w:rFonts w:cstheme="minorHAnsi"/>
              </w:rPr>
              <w:t>We do not recommend discontinuation of Gingko biloba extracts. 1B</w:t>
            </w:r>
          </w:p>
        </w:tc>
      </w:tr>
    </w:tbl>
    <w:p w:rsidR="00963E3D" w:rsidRDefault="00963E3D">
      <w:pPr>
        <w:widowControl/>
        <w:spacing w:after="200" w:line="276" w:lineRule="auto"/>
        <w:rPr>
          <w:rFonts w:ascii="Arial" w:hAnsi="Arial" w:cs="Arial"/>
          <w:sz w:val="20"/>
          <w:szCs w:val="20"/>
        </w:rPr>
      </w:pPr>
    </w:p>
    <w:sectPr w:rsidR="00963E3D" w:rsidSect="000C67B6">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46CB" w:rsidRDefault="002B46CB" w:rsidP="00F74586">
      <w:r>
        <w:separator/>
      </w:r>
    </w:p>
  </w:endnote>
  <w:endnote w:type="continuationSeparator" w:id="0">
    <w:p w:rsidR="002B46CB" w:rsidRDefault="002B46CB" w:rsidP="00F745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tilliumText22L Lt">
    <w:altName w:val="TitilliumText22L Lt"/>
    <w:panose1 w:val="00000000000000000000"/>
    <w:charset w:val="00"/>
    <w:family w:val="modern"/>
    <w:notTrueType/>
    <w:pitch w:val="variable"/>
    <w:sig w:usb0="A00000EF" w:usb1="0000004B" w:usb2="00000000" w:usb3="00000000" w:csb0="00000193" w:csb1="00000000"/>
  </w:font>
  <w:font w:name="Consolas">
    <w:panose1 w:val="020B0609020204030204"/>
    <w:charset w:val="00"/>
    <w:family w:val="modern"/>
    <w:pitch w:val="fixed"/>
    <w:sig w:usb0="E10002FF" w:usb1="4000FCFF" w:usb2="00000009" w:usb3="00000000" w:csb0="0000019F" w:csb1="00000000"/>
  </w:font>
  <w:font w:name="TitilliumText25L">
    <w:altName w:val="TitilliumText25L"/>
    <w:panose1 w:val="02000000000000000000"/>
    <w:charset w:val="00"/>
    <w:family w:val="modern"/>
    <w:notTrueType/>
    <w:pitch w:val="variable"/>
    <w:sig w:usb0="A00000EF" w:usb1="0000004B" w:usb2="00000000" w:usb3="00000000" w:csb0="00000193"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5255414"/>
      <w:docPartObj>
        <w:docPartGallery w:val="Page Numbers (Bottom of Page)"/>
        <w:docPartUnique/>
      </w:docPartObj>
    </w:sdtPr>
    <w:sdtEndPr>
      <w:rPr>
        <w:noProof/>
        <w:sz w:val="18"/>
      </w:rPr>
    </w:sdtEndPr>
    <w:sdtContent>
      <w:p w:rsidR="002B46CB" w:rsidRPr="00620C45" w:rsidRDefault="002B46CB" w:rsidP="00620C45">
        <w:pPr>
          <w:pStyle w:val="Footer"/>
          <w:tabs>
            <w:tab w:val="clear" w:pos="9026"/>
            <w:tab w:val="right" w:pos="9356"/>
          </w:tabs>
          <w:rPr>
            <w:sz w:val="16"/>
            <w:szCs w:val="20"/>
          </w:rPr>
        </w:pPr>
        <w:r w:rsidRPr="00620C45">
          <w:rPr>
            <w:sz w:val="16"/>
            <w:szCs w:val="20"/>
          </w:rPr>
          <w:t xml:space="preserve">National Blood Authority                          PREOPERATIVE BLEEDING RISK ASSESSMENT </w:t>
        </w:r>
        <w:r w:rsidRPr="00620C45">
          <w:rPr>
            <w:color w:val="C00000"/>
            <w:sz w:val="16"/>
            <w:szCs w:val="20"/>
          </w:rPr>
          <w:t>JUNE 2015</w:t>
        </w:r>
        <w:r w:rsidRPr="00620C45">
          <w:rPr>
            <w:sz w:val="16"/>
            <w:szCs w:val="20"/>
          </w:rPr>
          <w:tab/>
        </w:r>
        <w:r w:rsidRPr="00620C45">
          <w:rPr>
            <w:sz w:val="16"/>
            <w:szCs w:val="20"/>
          </w:rPr>
          <w:tab/>
          <w:t xml:space="preserve">pg. </w:t>
        </w:r>
        <w:r w:rsidRPr="00620C45">
          <w:rPr>
            <w:sz w:val="16"/>
            <w:szCs w:val="20"/>
          </w:rPr>
          <w:fldChar w:fldCharType="begin"/>
        </w:r>
        <w:r w:rsidRPr="00620C45">
          <w:rPr>
            <w:sz w:val="16"/>
            <w:szCs w:val="20"/>
          </w:rPr>
          <w:instrText xml:space="preserve"> PAGE    \* MERGEFORMAT </w:instrText>
        </w:r>
        <w:r w:rsidRPr="00620C45">
          <w:rPr>
            <w:sz w:val="16"/>
            <w:szCs w:val="20"/>
          </w:rPr>
          <w:fldChar w:fldCharType="separate"/>
        </w:r>
        <w:r>
          <w:rPr>
            <w:noProof/>
            <w:sz w:val="16"/>
            <w:szCs w:val="20"/>
          </w:rPr>
          <w:t>0</w:t>
        </w:r>
        <w:r w:rsidRPr="00620C45">
          <w:rPr>
            <w:sz w:val="16"/>
            <w:szCs w:val="20"/>
          </w:rPr>
          <w:fldChar w:fldCharType="end"/>
        </w:r>
      </w:p>
      <w:p w:rsidR="002B46CB" w:rsidRDefault="002B46CB">
        <w:pPr>
          <w:pStyle w:val="Footer"/>
          <w:jc w:val="right"/>
        </w:pPr>
      </w:p>
    </w:sdtContent>
  </w:sdt>
  <w:p w:rsidR="002B46CB" w:rsidRDefault="002B46C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2313463"/>
      <w:docPartObj>
        <w:docPartGallery w:val="Page Numbers (Bottom of Page)"/>
        <w:docPartUnique/>
      </w:docPartObj>
    </w:sdtPr>
    <w:sdtEndPr>
      <w:rPr>
        <w:noProof/>
        <w:sz w:val="18"/>
      </w:rPr>
    </w:sdtEndPr>
    <w:sdtContent>
      <w:p w:rsidR="002B46CB" w:rsidRPr="00620C45" w:rsidRDefault="002B46CB" w:rsidP="00620C45">
        <w:pPr>
          <w:pStyle w:val="Footer"/>
          <w:tabs>
            <w:tab w:val="clear" w:pos="9026"/>
            <w:tab w:val="right" w:pos="9356"/>
          </w:tabs>
          <w:rPr>
            <w:sz w:val="16"/>
            <w:szCs w:val="20"/>
          </w:rPr>
        </w:pPr>
        <w:r w:rsidRPr="00620C45">
          <w:rPr>
            <w:sz w:val="16"/>
            <w:szCs w:val="20"/>
          </w:rPr>
          <w:t xml:space="preserve">National Blood Authority                          PREOPERATIVE BLEEDING RISK ASSESSMENT </w:t>
        </w:r>
        <w:r w:rsidRPr="00620C45">
          <w:rPr>
            <w:color w:val="C00000"/>
            <w:sz w:val="16"/>
            <w:szCs w:val="20"/>
          </w:rPr>
          <w:t>JUNE 2015</w:t>
        </w:r>
        <w:r>
          <w:rPr>
            <w:color w:val="C00000"/>
            <w:sz w:val="16"/>
            <w:szCs w:val="20"/>
          </w:rPr>
          <w:t xml:space="preserve"> </w:t>
        </w:r>
        <w:r w:rsidRPr="00620C45">
          <w:rPr>
            <w:sz w:val="16"/>
            <w:szCs w:val="20"/>
          </w:rPr>
          <w:tab/>
          <w:t xml:space="preserve">pg. </w:t>
        </w:r>
        <w:r w:rsidRPr="00620C45">
          <w:rPr>
            <w:sz w:val="16"/>
            <w:szCs w:val="20"/>
          </w:rPr>
          <w:fldChar w:fldCharType="begin"/>
        </w:r>
        <w:r w:rsidRPr="00620C45">
          <w:rPr>
            <w:sz w:val="16"/>
            <w:szCs w:val="20"/>
          </w:rPr>
          <w:instrText xml:space="preserve"> PAGE    \* MERGEFORMAT </w:instrText>
        </w:r>
        <w:r w:rsidRPr="00620C45">
          <w:rPr>
            <w:sz w:val="16"/>
            <w:szCs w:val="20"/>
          </w:rPr>
          <w:fldChar w:fldCharType="separate"/>
        </w:r>
        <w:r w:rsidR="0036710B">
          <w:rPr>
            <w:noProof/>
            <w:sz w:val="16"/>
            <w:szCs w:val="20"/>
          </w:rPr>
          <w:t>24</w:t>
        </w:r>
        <w:r w:rsidRPr="00620C45">
          <w:rPr>
            <w:sz w:val="16"/>
            <w:szCs w:val="20"/>
          </w:rPr>
          <w:fldChar w:fldCharType="end"/>
        </w:r>
      </w:p>
      <w:p w:rsidR="002B46CB" w:rsidRDefault="002B46CB">
        <w:pPr>
          <w:pStyle w:val="Footer"/>
          <w:jc w:val="right"/>
        </w:pPr>
      </w:p>
    </w:sdtContent>
  </w:sdt>
  <w:p w:rsidR="002B46CB" w:rsidRDefault="002B46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46CB" w:rsidRDefault="002B46CB" w:rsidP="00F74586">
      <w:r>
        <w:separator/>
      </w:r>
    </w:p>
  </w:footnote>
  <w:footnote w:type="continuationSeparator" w:id="0">
    <w:p w:rsidR="002B46CB" w:rsidRDefault="002B46CB" w:rsidP="00F745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60A6E"/>
    <w:multiLevelType w:val="hybridMultilevel"/>
    <w:tmpl w:val="9FF0662C"/>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13030DAF"/>
    <w:multiLevelType w:val="hybridMultilevel"/>
    <w:tmpl w:val="C62E8168"/>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nsid w:val="2A316216"/>
    <w:multiLevelType w:val="hybridMultilevel"/>
    <w:tmpl w:val="45449A62"/>
    <w:lvl w:ilvl="0" w:tplc="2B5814D8">
      <w:start w:val="1"/>
      <w:numFmt w:val="bullet"/>
      <w:lvlText w:val=""/>
      <w:lvlJc w:val="left"/>
      <w:pPr>
        <w:ind w:left="780" w:hanging="360"/>
      </w:pPr>
      <w:rPr>
        <w:rFonts w:ascii="Wingdings" w:hAnsi="Wingdings" w:hint="default"/>
        <w:color w:val="C60C30"/>
        <w:sz w:val="12"/>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
    <w:nsid w:val="2FB312EB"/>
    <w:multiLevelType w:val="hybridMultilevel"/>
    <w:tmpl w:val="0764EB7A"/>
    <w:lvl w:ilvl="0" w:tplc="DD128868">
      <w:start w:val="1"/>
      <w:numFmt w:val="bullet"/>
      <w:lvlText w:val=""/>
      <w:lvlJc w:val="left"/>
      <w:pPr>
        <w:ind w:left="1080" w:hanging="360"/>
      </w:pPr>
      <w:rPr>
        <w:rFonts w:ascii="Wingdings" w:hAnsi="Wingdings" w:hint="default"/>
        <w:color w:val="C60C30"/>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nsid w:val="31096452"/>
    <w:multiLevelType w:val="hybridMultilevel"/>
    <w:tmpl w:val="E79AAB5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39B6379B"/>
    <w:multiLevelType w:val="hybridMultilevel"/>
    <w:tmpl w:val="FCDE55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3D3C54BE"/>
    <w:multiLevelType w:val="hybridMultilevel"/>
    <w:tmpl w:val="615210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3EF45353"/>
    <w:multiLevelType w:val="hybridMultilevel"/>
    <w:tmpl w:val="D1205618"/>
    <w:lvl w:ilvl="0" w:tplc="846E1344">
      <w:start w:val="1"/>
      <w:numFmt w:val="bullet"/>
      <w:lvlText w:val=""/>
      <w:lvlJc w:val="left"/>
      <w:pPr>
        <w:ind w:left="720" w:hanging="360"/>
      </w:pPr>
      <w:rPr>
        <w:rFonts w:ascii="Wingdings" w:hAnsi="Wingdings" w:hint="default"/>
        <w:color w:val="C60C30"/>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42CF4B23"/>
    <w:multiLevelType w:val="hybridMultilevel"/>
    <w:tmpl w:val="96EC71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465E381E"/>
    <w:multiLevelType w:val="hybridMultilevel"/>
    <w:tmpl w:val="187801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47292E52"/>
    <w:multiLevelType w:val="hybridMultilevel"/>
    <w:tmpl w:val="60BEDE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48EE1374"/>
    <w:multiLevelType w:val="hybridMultilevel"/>
    <w:tmpl w:val="DFF0BC04"/>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2">
    <w:nsid w:val="4C4659E7"/>
    <w:multiLevelType w:val="hybridMultilevel"/>
    <w:tmpl w:val="6252496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4DCA03D5"/>
    <w:multiLevelType w:val="multilevel"/>
    <w:tmpl w:val="64AED47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nsid w:val="4E736594"/>
    <w:multiLevelType w:val="hybridMultilevel"/>
    <w:tmpl w:val="3DB6C6B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544052FF"/>
    <w:multiLevelType w:val="hybridMultilevel"/>
    <w:tmpl w:val="A7B07E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56AA77C1"/>
    <w:multiLevelType w:val="hybridMultilevel"/>
    <w:tmpl w:val="2298886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57AE7AE7"/>
    <w:multiLevelType w:val="hybridMultilevel"/>
    <w:tmpl w:val="86B2E748"/>
    <w:lvl w:ilvl="0" w:tplc="846E1344">
      <w:start w:val="1"/>
      <w:numFmt w:val="bullet"/>
      <w:lvlText w:val=""/>
      <w:lvlJc w:val="left"/>
      <w:pPr>
        <w:ind w:left="720" w:hanging="360"/>
      </w:pPr>
      <w:rPr>
        <w:rFonts w:ascii="Wingdings" w:hAnsi="Wingdings" w:hint="default"/>
        <w:color w:val="C60C30"/>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663F5AB0"/>
    <w:multiLevelType w:val="hybridMultilevel"/>
    <w:tmpl w:val="C396054E"/>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67491869"/>
    <w:multiLevelType w:val="hybridMultilevel"/>
    <w:tmpl w:val="36525980"/>
    <w:lvl w:ilvl="0" w:tplc="846E1344">
      <w:start w:val="1"/>
      <w:numFmt w:val="bullet"/>
      <w:lvlText w:val=""/>
      <w:lvlJc w:val="left"/>
      <w:pPr>
        <w:ind w:left="780" w:hanging="360"/>
      </w:pPr>
      <w:rPr>
        <w:rFonts w:ascii="Wingdings" w:hAnsi="Wingdings" w:hint="default"/>
        <w:color w:val="C60C30"/>
        <w:sz w:val="16"/>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0">
    <w:nsid w:val="76097EC6"/>
    <w:multiLevelType w:val="hybridMultilevel"/>
    <w:tmpl w:val="72907A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5"/>
  </w:num>
  <w:num w:numId="2">
    <w:abstractNumId w:val="16"/>
  </w:num>
  <w:num w:numId="3">
    <w:abstractNumId w:val="18"/>
  </w:num>
  <w:num w:numId="4">
    <w:abstractNumId w:val="8"/>
  </w:num>
  <w:num w:numId="5">
    <w:abstractNumId w:val="9"/>
  </w:num>
  <w:num w:numId="6">
    <w:abstractNumId w:val="12"/>
  </w:num>
  <w:num w:numId="7">
    <w:abstractNumId w:val="20"/>
  </w:num>
  <w:num w:numId="8">
    <w:abstractNumId w:val="14"/>
  </w:num>
  <w:num w:numId="9">
    <w:abstractNumId w:val="0"/>
  </w:num>
  <w:num w:numId="10">
    <w:abstractNumId w:val="13"/>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6"/>
  </w:num>
  <w:num w:numId="21">
    <w:abstractNumId w:val="4"/>
  </w:num>
  <w:num w:numId="22">
    <w:abstractNumId w:val="11"/>
  </w:num>
  <w:num w:numId="23">
    <w:abstractNumId w:val="5"/>
  </w:num>
  <w:num w:numId="24">
    <w:abstractNumId w:val="1"/>
  </w:num>
  <w:num w:numId="25">
    <w:abstractNumId w:val="3"/>
  </w:num>
  <w:num w:numId="26">
    <w:abstractNumId w:val="2"/>
  </w:num>
  <w:num w:numId="27">
    <w:abstractNumId w:val="19"/>
  </w:num>
  <w:num w:numId="28">
    <w:abstractNumId w:val="17"/>
  </w:num>
  <w:num w:numId="29">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8433"/>
  </w:hdrShapeDefaults>
  <w:footnotePr>
    <w:numFmt w:val="lowerLette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48A"/>
    <w:rsid w:val="000049C8"/>
    <w:rsid w:val="000232C9"/>
    <w:rsid w:val="0003292C"/>
    <w:rsid w:val="00036271"/>
    <w:rsid w:val="00043F66"/>
    <w:rsid w:val="00045D4E"/>
    <w:rsid w:val="000526CD"/>
    <w:rsid w:val="00052CA8"/>
    <w:rsid w:val="000535A3"/>
    <w:rsid w:val="000814D2"/>
    <w:rsid w:val="0009320B"/>
    <w:rsid w:val="00095202"/>
    <w:rsid w:val="000962C3"/>
    <w:rsid w:val="000A2237"/>
    <w:rsid w:val="000B08F7"/>
    <w:rsid w:val="000B2EAC"/>
    <w:rsid w:val="000C29AF"/>
    <w:rsid w:val="000C497F"/>
    <w:rsid w:val="000C5A07"/>
    <w:rsid w:val="000C6541"/>
    <w:rsid w:val="000C67B6"/>
    <w:rsid w:val="000D066B"/>
    <w:rsid w:val="000D0680"/>
    <w:rsid w:val="000D2BC1"/>
    <w:rsid w:val="000D350F"/>
    <w:rsid w:val="000D5B60"/>
    <w:rsid w:val="000E2F52"/>
    <w:rsid w:val="000E7E5A"/>
    <w:rsid w:val="000F3E5A"/>
    <w:rsid w:val="000F715D"/>
    <w:rsid w:val="001058E5"/>
    <w:rsid w:val="00106036"/>
    <w:rsid w:val="0012219F"/>
    <w:rsid w:val="001238C8"/>
    <w:rsid w:val="0013572B"/>
    <w:rsid w:val="00137F32"/>
    <w:rsid w:val="001447A7"/>
    <w:rsid w:val="00145F0F"/>
    <w:rsid w:val="001474DE"/>
    <w:rsid w:val="00150DF0"/>
    <w:rsid w:val="00152639"/>
    <w:rsid w:val="0016499F"/>
    <w:rsid w:val="00170AB8"/>
    <w:rsid w:val="00173674"/>
    <w:rsid w:val="00186A17"/>
    <w:rsid w:val="0018721E"/>
    <w:rsid w:val="00191A14"/>
    <w:rsid w:val="0019753D"/>
    <w:rsid w:val="001A33D8"/>
    <w:rsid w:val="001C2B90"/>
    <w:rsid w:val="001C2D16"/>
    <w:rsid w:val="001C4454"/>
    <w:rsid w:val="001C60D5"/>
    <w:rsid w:val="001D266C"/>
    <w:rsid w:val="001D6975"/>
    <w:rsid w:val="001E4FCC"/>
    <w:rsid w:val="001F226C"/>
    <w:rsid w:val="001F4394"/>
    <w:rsid w:val="001F46FD"/>
    <w:rsid w:val="0020002F"/>
    <w:rsid w:val="0020516C"/>
    <w:rsid w:val="00227725"/>
    <w:rsid w:val="00233584"/>
    <w:rsid w:val="00233CDB"/>
    <w:rsid w:val="00233FE1"/>
    <w:rsid w:val="002341AB"/>
    <w:rsid w:val="00250719"/>
    <w:rsid w:val="00253A05"/>
    <w:rsid w:val="00253D01"/>
    <w:rsid w:val="0025621E"/>
    <w:rsid w:val="00261CCE"/>
    <w:rsid w:val="00270052"/>
    <w:rsid w:val="00272CED"/>
    <w:rsid w:val="002769D6"/>
    <w:rsid w:val="0028098D"/>
    <w:rsid w:val="00290710"/>
    <w:rsid w:val="002941EE"/>
    <w:rsid w:val="0029481D"/>
    <w:rsid w:val="00295D4F"/>
    <w:rsid w:val="002A604E"/>
    <w:rsid w:val="002A643D"/>
    <w:rsid w:val="002B17F3"/>
    <w:rsid w:val="002B3356"/>
    <w:rsid w:val="002B46CB"/>
    <w:rsid w:val="002B627E"/>
    <w:rsid w:val="002B740E"/>
    <w:rsid w:val="002C22FF"/>
    <w:rsid w:val="002C6782"/>
    <w:rsid w:val="002C6ECA"/>
    <w:rsid w:val="002C7AE1"/>
    <w:rsid w:val="002E0F45"/>
    <w:rsid w:val="002E3B80"/>
    <w:rsid w:val="002F21F5"/>
    <w:rsid w:val="002F3B6F"/>
    <w:rsid w:val="00311FA4"/>
    <w:rsid w:val="00316EB0"/>
    <w:rsid w:val="003172DC"/>
    <w:rsid w:val="00326082"/>
    <w:rsid w:val="003263AD"/>
    <w:rsid w:val="0034485B"/>
    <w:rsid w:val="00350B61"/>
    <w:rsid w:val="00356FE2"/>
    <w:rsid w:val="00361646"/>
    <w:rsid w:val="00362DD1"/>
    <w:rsid w:val="0036710B"/>
    <w:rsid w:val="00376933"/>
    <w:rsid w:val="00381710"/>
    <w:rsid w:val="00382496"/>
    <w:rsid w:val="0039076D"/>
    <w:rsid w:val="003A2C51"/>
    <w:rsid w:val="003A62B2"/>
    <w:rsid w:val="003D3145"/>
    <w:rsid w:val="003D540D"/>
    <w:rsid w:val="003D75AE"/>
    <w:rsid w:val="003E0423"/>
    <w:rsid w:val="003E6F53"/>
    <w:rsid w:val="003F7861"/>
    <w:rsid w:val="00400C25"/>
    <w:rsid w:val="00400CAA"/>
    <w:rsid w:val="00403B70"/>
    <w:rsid w:val="00404716"/>
    <w:rsid w:val="00412160"/>
    <w:rsid w:val="00422F52"/>
    <w:rsid w:val="00425237"/>
    <w:rsid w:val="00425427"/>
    <w:rsid w:val="00426926"/>
    <w:rsid w:val="0042734B"/>
    <w:rsid w:val="0042789A"/>
    <w:rsid w:val="00427ABF"/>
    <w:rsid w:val="004314FC"/>
    <w:rsid w:val="004463CA"/>
    <w:rsid w:val="00446F52"/>
    <w:rsid w:val="00453174"/>
    <w:rsid w:val="00457FCD"/>
    <w:rsid w:val="00472F76"/>
    <w:rsid w:val="0048367D"/>
    <w:rsid w:val="004910B4"/>
    <w:rsid w:val="004A21A7"/>
    <w:rsid w:val="004A2435"/>
    <w:rsid w:val="004A2826"/>
    <w:rsid w:val="004A57D8"/>
    <w:rsid w:val="004C0A56"/>
    <w:rsid w:val="004C611C"/>
    <w:rsid w:val="004D0604"/>
    <w:rsid w:val="004D0C01"/>
    <w:rsid w:val="004D2F0A"/>
    <w:rsid w:val="004E50A6"/>
    <w:rsid w:val="004F6525"/>
    <w:rsid w:val="004F70F0"/>
    <w:rsid w:val="004F799C"/>
    <w:rsid w:val="004F7FDE"/>
    <w:rsid w:val="005106DF"/>
    <w:rsid w:val="00515974"/>
    <w:rsid w:val="005161B2"/>
    <w:rsid w:val="00516387"/>
    <w:rsid w:val="005179F6"/>
    <w:rsid w:val="00520E3D"/>
    <w:rsid w:val="005253F4"/>
    <w:rsid w:val="00533B57"/>
    <w:rsid w:val="00536602"/>
    <w:rsid w:val="005371DA"/>
    <w:rsid w:val="005422A5"/>
    <w:rsid w:val="00545056"/>
    <w:rsid w:val="0054565D"/>
    <w:rsid w:val="005525F9"/>
    <w:rsid w:val="00563D5E"/>
    <w:rsid w:val="0056640C"/>
    <w:rsid w:val="00575D37"/>
    <w:rsid w:val="0057765C"/>
    <w:rsid w:val="00587D12"/>
    <w:rsid w:val="0059126D"/>
    <w:rsid w:val="005972D6"/>
    <w:rsid w:val="005A7BD8"/>
    <w:rsid w:val="005B0232"/>
    <w:rsid w:val="005C6A8F"/>
    <w:rsid w:val="005C7518"/>
    <w:rsid w:val="005D1266"/>
    <w:rsid w:val="005E1050"/>
    <w:rsid w:val="005F78A9"/>
    <w:rsid w:val="00602BA8"/>
    <w:rsid w:val="0061088F"/>
    <w:rsid w:val="00620C45"/>
    <w:rsid w:val="006227EE"/>
    <w:rsid w:val="006257AB"/>
    <w:rsid w:val="006274B4"/>
    <w:rsid w:val="00633B70"/>
    <w:rsid w:val="00633C5A"/>
    <w:rsid w:val="00637FF4"/>
    <w:rsid w:val="00650A5F"/>
    <w:rsid w:val="00652222"/>
    <w:rsid w:val="00660A72"/>
    <w:rsid w:val="006714B8"/>
    <w:rsid w:val="006769CA"/>
    <w:rsid w:val="00682524"/>
    <w:rsid w:val="006872E5"/>
    <w:rsid w:val="006874F4"/>
    <w:rsid w:val="0069398F"/>
    <w:rsid w:val="0069673C"/>
    <w:rsid w:val="006A3969"/>
    <w:rsid w:val="006A3F28"/>
    <w:rsid w:val="006A4439"/>
    <w:rsid w:val="006B2BCD"/>
    <w:rsid w:val="006B666A"/>
    <w:rsid w:val="006B704A"/>
    <w:rsid w:val="006C6948"/>
    <w:rsid w:val="006E4434"/>
    <w:rsid w:val="006E60D8"/>
    <w:rsid w:val="006F0C68"/>
    <w:rsid w:val="006F30CB"/>
    <w:rsid w:val="006F3E74"/>
    <w:rsid w:val="00701B53"/>
    <w:rsid w:val="00717F50"/>
    <w:rsid w:val="00735265"/>
    <w:rsid w:val="00743240"/>
    <w:rsid w:val="0075072F"/>
    <w:rsid w:val="007507BD"/>
    <w:rsid w:val="007516D5"/>
    <w:rsid w:val="0075281E"/>
    <w:rsid w:val="00764656"/>
    <w:rsid w:val="007656B8"/>
    <w:rsid w:val="00771B7F"/>
    <w:rsid w:val="00771BC5"/>
    <w:rsid w:val="0077568E"/>
    <w:rsid w:val="00793F7A"/>
    <w:rsid w:val="00796F38"/>
    <w:rsid w:val="00797560"/>
    <w:rsid w:val="007A5931"/>
    <w:rsid w:val="007B196C"/>
    <w:rsid w:val="007B3A28"/>
    <w:rsid w:val="007B50BD"/>
    <w:rsid w:val="007B597F"/>
    <w:rsid w:val="007C0A03"/>
    <w:rsid w:val="007D3585"/>
    <w:rsid w:val="007E0454"/>
    <w:rsid w:val="007F10BE"/>
    <w:rsid w:val="007F7029"/>
    <w:rsid w:val="007F7581"/>
    <w:rsid w:val="00804E24"/>
    <w:rsid w:val="0081085F"/>
    <w:rsid w:val="008151C8"/>
    <w:rsid w:val="00816069"/>
    <w:rsid w:val="00816192"/>
    <w:rsid w:val="008167E7"/>
    <w:rsid w:val="00820A60"/>
    <w:rsid w:val="008272D7"/>
    <w:rsid w:val="00843C89"/>
    <w:rsid w:val="00846FFF"/>
    <w:rsid w:val="008539E6"/>
    <w:rsid w:val="00854E43"/>
    <w:rsid w:val="00857E54"/>
    <w:rsid w:val="00860E9F"/>
    <w:rsid w:val="00877656"/>
    <w:rsid w:val="008A0B1F"/>
    <w:rsid w:val="008A7E4B"/>
    <w:rsid w:val="008B2222"/>
    <w:rsid w:val="008C4C50"/>
    <w:rsid w:val="008D016C"/>
    <w:rsid w:val="008D0D6A"/>
    <w:rsid w:val="008D2981"/>
    <w:rsid w:val="008E3C2F"/>
    <w:rsid w:val="008E5730"/>
    <w:rsid w:val="008E60FD"/>
    <w:rsid w:val="00903997"/>
    <w:rsid w:val="00915F94"/>
    <w:rsid w:val="009242DB"/>
    <w:rsid w:val="009271C9"/>
    <w:rsid w:val="009300D0"/>
    <w:rsid w:val="0093012B"/>
    <w:rsid w:val="00930A68"/>
    <w:rsid w:val="00935196"/>
    <w:rsid w:val="00935B70"/>
    <w:rsid w:val="009376E9"/>
    <w:rsid w:val="00945EEA"/>
    <w:rsid w:val="00954967"/>
    <w:rsid w:val="009570E6"/>
    <w:rsid w:val="00962DDF"/>
    <w:rsid w:val="00963E3D"/>
    <w:rsid w:val="00970A60"/>
    <w:rsid w:val="0097256A"/>
    <w:rsid w:val="00972E9E"/>
    <w:rsid w:val="009769DB"/>
    <w:rsid w:val="009772BD"/>
    <w:rsid w:val="00983613"/>
    <w:rsid w:val="009839F7"/>
    <w:rsid w:val="00983BDE"/>
    <w:rsid w:val="0098730A"/>
    <w:rsid w:val="00991110"/>
    <w:rsid w:val="00996542"/>
    <w:rsid w:val="00996670"/>
    <w:rsid w:val="009A080A"/>
    <w:rsid w:val="009A34CA"/>
    <w:rsid w:val="009A52DD"/>
    <w:rsid w:val="009A6349"/>
    <w:rsid w:val="009A7F46"/>
    <w:rsid w:val="009C0295"/>
    <w:rsid w:val="009D2111"/>
    <w:rsid w:val="009D3A5D"/>
    <w:rsid w:val="009D3D21"/>
    <w:rsid w:val="009D5650"/>
    <w:rsid w:val="009D6141"/>
    <w:rsid w:val="009D7E40"/>
    <w:rsid w:val="009E1887"/>
    <w:rsid w:val="009E4A39"/>
    <w:rsid w:val="009E7081"/>
    <w:rsid w:val="009F088E"/>
    <w:rsid w:val="009F20B4"/>
    <w:rsid w:val="009F330E"/>
    <w:rsid w:val="00A02CA9"/>
    <w:rsid w:val="00A104E7"/>
    <w:rsid w:val="00A228DD"/>
    <w:rsid w:val="00A37FC3"/>
    <w:rsid w:val="00A40CF2"/>
    <w:rsid w:val="00A41A1A"/>
    <w:rsid w:val="00A42BC3"/>
    <w:rsid w:val="00A43290"/>
    <w:rsid w:val="00A46AE5"/>
    <w:rsid w:val="00A55EAD"/>
    <w:rsid w:val="00A671EC"/>
    <w:rsid w:val="00A71369"/>
    <w:rsid w:val="00A83B7B"/>
    <w:rsid w:val="00A84862"/>
    <w:rsid w:val="00A9748A"/>
    <w:rsid w:val="00AB1A7D"/>
    <w:rsid w:val="00AC2C92"/>
    <w:rsid w:val="00AD2CE3"/>
    <w:rsid w:val="00AD3599"/>
    <w:rsid w:val="00AD3728"/>
    <w:rsid w:val="00AD374A"/>
    <w:rsid w:val="00AE21DE"/>
    <w:rsid w:val="00AE4FCA"/>
    <w:rsid w:val="00AF04EE"/>
    <w:rsid w:val="00B0190A"/>
    <w:rsid w:val="00B03C1A"/>
    <w:rsid w:val="00B0590C"/>
    <w:rsid w:val="00B1577A"/>
    <w:rsid w:val="00B223A5"/>
    <w:rsid w:val="00B232A5"/>
    <w:rsid w:val="00B31B97"/>
    <w:rsid w:val="00B40493"/>
    <w:rsid w:val="00B43CE3"/>
    <w:rsid w:val="00B51A58"/>
    <w:rsid w:val="00B52B6B"/>
    <w:rsid w:val="00B53F29"/>
    <w:rsid w:val="00B54D45"/>
    <w:rsid w:val="00B56206"/>
    <w:rsid w:val="00B577EF"/>
    <w:rsid w:val="00B6130E"/>
    <w:rsid w:val="00B73181"/>
    <w:rsid w:val="00B75803"/>
    <w:rsid w:val="00B8704F"/>
    <w:rsid w:val="00B94DE6"/>
    <w:rsid w:val="00B972D4"/>
    <w:rsid w:val="00BA0268"/>
    <w:rsid w:val="00BA19EA"/>
    <w:rsid w:val="00BA3631"/>
    <w:rsid w:val="00BA4B53"/>
    <w:rsid w:val="00BA50B7"/>
    <w:rsid w:val="00BA6FB6"/>
    <w:rsid w:val="00BB11A5"/>
    <w:rsid w:val="00BC68CD"/>
    <w:rsid w:val="00BC6A8C"/>
    <w:rsid w:val="00BD0B19"/>
    <w:rsid w:val="00BD4DBA"/>
    <w:rsid w:val="00BE2774"/>
    <w:rsid w:val="00BF2D8B"/>
    <w:rsid w:val="00BF77C0"/>
    <w:rsid w:val="00C04ACA"/>
    <w:rsid w:val="00C04B73"/>
    <w:rsid w:val="00C0640D"/>
    <w:rsid w:val="00C10A75"/>
    <w:rsid w:val="00C1145A"/>
    <w:rsid w:val="00C17D18"/>
    <w:rsid w:val="00C22E73"/>
    <w:rsid w:val="00C2654E"/>
    <w:rsid w:val="00C3148B"/>
    <w:rsid w:val="00C33A69"/>
    <w:rsid w:val="00C36590"/>
    <w:rsid w:val="00C433ED"/>
    <w:rsid w:val="00C4648B"/>
    <w:rsid w:val="00C46B34"/>
    <w:rsid w:val="00C46B9D"/>
    <w:rsid w:val="00C5298E"/>
    <w:rsid w:val="00C53561"/>
    <w:rsid w:val="00C579AA"/>
    <w:rsid w:val="00C60081"/>
    <w:rsid w:val="00C6184D"/>
    <w:rsid w:val="00C670D0"/>
    <w:rsid w:val="00C751D8"/>
    <w:rsid w:val="00C85849"/>
    <w:rsid w:val="00C864D5"/>
    <w:rsid w:val="00C866BA"/>
    <w:rsid w:val="00C9091C"/>
    <w:rsid w:val="00C92AA7"/>
    <w:rsid w:val="00C94A36"/>
    <w:rsid w:val="00C9560E"/>
    <w:rsid w:val="00CA308F"/>
    <w:rsid w:val="00CB12A5"/>
    <w:rsid w:val="00CB48EB"/>
    <w:rsid w:val="00CB627C"/>
    <w:rsid w:val="00CC08B4"/>
    <w:rsid w:val="00CC641D"/>
    <w:rsid w:val="00CD4932"/>
    <w:rsid w:val="00CE0EA2"/>
    <w:rsid w:val="00CE1E46"/>
    <w:rsid w:val="00CE34E5"/>
    <w:rsid w:val="00CE45E3"/>
    <w:rsid w:val="00CE4754"/>
    <w:rsid w:val="00CE7A7A"/>
    <w:rsid w:val="00CF097E"/>
    <w:rsid w:val="00CF2B8F"/>
    <w:rsid w:val="00CF665C"/>
    <w:rsid w:val="00D00A43"/>
    <w:rsid w:val="00D046F4"/>
    <w:rsid w:val="00D06EF2"/>
    <w:rsid w:val="00D13998"/>
    <w:rsid w:val="00D207CC"/>
    <w:rsid w:val="00D21A11"/>
    <w:rsid w:val="00D2548D"/>
    <w:rsid w:val="00D42CAD"/>
    <w:rsid w:val="00D44704"/>
    <w:rsid w:val="00D45975"/>
    <w:rsid w:val="00D53862"/>
    <w:rsid w:val="00D66976"/>
    <w:rsid w:val="00D86695"/>
    <w:rsid w:val="00D86AAC"/>
    <w:rsid w:val="00DA1A22"/>
    <w:rsid w:val="00DA1FDC"/>
    <w:rsid w:val="00DB7A66"/>
    <w:rsid w:val="00DD17ED"/>
    <w:rsid w:val="00DD2AF2"/>
    <w:rsid w:val="00DD2C86"/>
    <w:rsid w:val="00DD59B0"/>
    <w:rsid w:val="00DD68C7"/>
    <w:rsid w:val="00DE166F"/>
    <w:rsid w:val="00DE2E2B"/>
    <w:rsid w:val="00DE3603"/>
    <w:rsid w:val="00DE57A1"/>
    <w:rsid w:val="00DF4726"/>
    <w:rsid w:val="00E03FAE"/>
    <w:rsid w:val="00E07D80"/>
    <w:rsid w:val="00E10F41"/>
    <w:rsid w:val="00E12487"/>
    <w:rsid w:val="00E167EF"/>
    <w:rsid w:val="00E1766E"/>
    <w:rsid w:val="00E262C8"/>
    <w:rsid w:val="00E2676F"/>
    <w:rsid w:val="00E31C78"/>
    <w:rsid w:val="00E34A3D"/>
    <w:rsid w:val="00E412EF"/>
    <w:rsid w:val="00E476BF"/>
    <w:rsid w:val="00E60E72"/>
    <w:rsid w:val="00E61584"/>
    <w:rsid w:val="00E6571D"/>
    <w:rsid w:val="00E73EB2"/>
    <w:rsid w:val="00E76F68"/>
    <w:rsid w:val="00E8172A"/>
    <w:rsid w:val="00E92243"/>
    <w:rsid w:val="00E935BD"/>
    <w:rsid w:val="00E9404E"/>
    <w:rsid w:val="00E94A95"/>
    <w:rsid w:val="00E95A66"/>
    <w:rsid w:val="00E96947"/>
    <w:rsid w:val="00E9789B"/>
    <w:rsid w:val="00E978AE"/>
    <w:rsid w:val="00EA3C89"/>
    <w:rsid w:val="00EB15B5"/>
    <w:rsid w:val="00EB411D"/>
    <w:rsid w:val="00EB7D36"/>
    <w:rsid w:val="00EC5AD9"/>
    <w:rsid w:val="00ED1145"/>
    <w:rsid w:val="00ED451E"/>
    <w:rsid w:val="00ED508A"/>
    <w:rsid w:val="00ED5363"/>
    <w:rsid w:val="00ED5FDD"/>
    <w:rsid w:val="00EE22CC"/>
    <w:rsid w:val="00EE2ED2"/>
    <w:rsid w:val="00EE2EE0"/>
    <w:rsid w:val="00EE7EDF"/>
    <w:rsid w:val="00EF0ADB"/>
    <w:rsid w:val="00EF6C89"/>
    <w:rsid w:val="00EF7B6F"/>
    <w:rsid w:val="00F00062"/>
    <w:rsid w:val="00F032D7"/>
    <w:rsid w:val="00F04815"/>
    <w:rsid w:val="00F04A61"/>
    <w:rsid w:val="00F06480"/>
    <w:rsid w:val="00F118C7"/>
    <w:rsid w:val="00F1194E"/>
    <w:rsid w:val="00F12D9C"/>
    <w:rsid w:val="00F16B5F"/>
    <w:rsid w:val="00F17AF9"/>
    <w:rsid w:val="00F22F5E"/>
    <w:rsid w:val="00F23C5A"/>
    <w:rsid w:val="00F25FAF"/>
    <w:rsid w:val="00F35A45"/>
    <w:rsid w:val="00F36C78"/>
    <w:rsid w:val="00F445D4"/>
    <w:rsid w:val="00F57048"/>
    <w:rsid w:val="00F61EB8"/>
    <w:rsid w:val="00F65452"/>
    <w:rsid w:val="00F67CCA"/>
    <w:rsid w:val="00F74586"/>
    <w:rsid w:val="00F802E0"/>
    <w:rsid w:val="00F81AC4"/>
    <w:rsid w:val="00F8297D"/>
    <w:rsid w:val="00F85D0D"/>
    <w:rsid w:val="00F924D2"/>
    <w:rsid w:val="00F9353A"/>
    <w:rsid w:val="00F958D1"/>
    <w:rsid w:val="00FA1EB1"/>
    <w:rsid w:val="00FA2D7C"/>
    <w:rsid w:val="00FA3994"/>
    <w:rsid w:val="00FA5106"/>
    <w:rsid w:val="00FA7DC0"/>
    <w:rsid w:val="00FC0452"/>
    <w:rsid w:val="00FC3708"/>
    <w:rsid w:val="00FC3CEE"/>
    <w:rsid w:val="00FD12A8"/>
    <w:rsid w:val="00FE1C46"/>
    <w:rsid w:val="00FE2C3D"/>
    <w:rsid w:val="00FF5FFB"/>
    <w:rsid w:val="00FF7C2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179F6"/>
    <w:pPr>
      <w:widowControl w:val="0"/>
      <w:spacing w:after="0" w:line="240" w:lineRule="auto"/>
    </w:pPr>
  </w:style>
  <w:style w:type="paragraph" w:styleId="Heading1">
    <w:name w:val="heading 1"/>
    <w:basedOn w:val="Normal"/>
    <w:next w:val="Normal"/>
    <w:link w:val="Heading1Char"/>
    <w:autoRedefine/>
    <w:uiPriority w:val="9"/>
    <w:qFormat/>
    <w:rsid w:val="00BF2D8B"/>
    <w:pPr>
      <w:keepNext/>
      <w:keepLines/>
      <w:spacing w:before="120" w:after="120"/>
      <w:outlineLvl w:val="0"/>
    </w:pPr>
    <w:rPr>
      <w:rFonts w:asciiTheme="majorHAnsi" w:eastAsiaTheme="majorEastAsia" w:hAnsiTheme="majorHAnsi" w:cstheme="majorHAnsi"/>
      <w:b/>
      <w:bCs/>
      <w:sz w:val="24"/>
      <w:szCs w:val="28"/>
    </w:rPr>
  </w:style>
  <w:style w:type="paragraph" w:styleId="Heading2">
    <w:name w:val="heading 2"/>
    <w:basedOn w:val="Normal"/>
    <w:next w:val="Normal"/>
    <w:link w:val="Heading2Char1"/>
    <w:autoRedefine/>
    <w:uiPriority w:val="9"/>
    <w:unhideWhenUsed/>
    <w:qFormat/>
    <w:rsid w:val="0012219F"/>
    <w:pPr>
      <w:keepNext/>
      <w:keepLines/>
      <w:spacing w:before="120" w:after="120"/>
      <w:outlineLvl w:val="1"/>
    </w:pPr>
    <w:rPr>
      <w:rFonts w:asciiTheme="majorHAnsi" w:hAnsiTheme="majorHAnsi" w:cstheme="majorHAnsi"/>
      <w:b/>
      <w:bCs/>
      <w:sz w:val="24"/>
      <w:szCs w:val="24"/>
    </w:rPr>
  </w:style>
  <w:style w:type="paragraph" w:styleId="Heading3">
    <w:name w:val="heading 3"/>
    <w:basedOn w:val="Normal"/>
    <w:next w:val="Normal"/>
    <w:link w:val="Heading3Char"/>
    <w:uiPriority w:val="9"/>
    <w:unhideWhenUsed/>
    <w:qFormat/>
    <w:rsid w:val="005179F6"/>
    <w:pPr>
      <w:keepNext/>
      <w:keepLines/>
      <w:spacing w:before="200"/>
      <w:outlineLvl w:val="2"/>
    </w:pPr>
    <w:rPr>
      <w:rFonts w:asciiTheme="majorHAnsi" w:eastAsiaTheme="majorEastAsia" w:hAnsiTheme="majorHAnsi" w:cstheme="majorBidi"/>
      <w:b/>
      <w:bCs/>
      <w:color w:val="DDDDDD" w:themeColor="accent1"/>
    </w:rPr>
  </w:style>
  <w:style w:type="paragraph" w:styleId="Heading4">
    <w:name w:val="heading 4"/>
    <w:basedOn w:val="Normal"/>
    <w:next w:val="Normal"/>
    <w:link w:val="Heading4Char"/>
    <w:uiPriority w:val="9"/>
    <w:unhideWhenUsed/>
    <w:qFormat/>
    <w:rsid w:val="005179F6"/>
    <w:pPr>
      <w:keepNext/>
      <w:keepLines/>
      <w:spacing w:before="200"/>
      <w:outlineLvl w:val="3"/>
    </w:pPr>
    <w:rPr>
      <w:rFonts w:asciiTheme="majorHAnsi" w:eastAsiaTheme="majorEastAsia" w:hAnsiTheme="majorHAnsi" w:cstheme="majorBidi"/>
      <w:b/>
      <w:bCs/>
      <w:i/>
      <w:iCs/>
      <w:color w:val="DDDDDD" w:themeColor="accent1"/>
    </w:rPr>
  </w:style>
  <w:style w:type="paragraph" w:styleId="Heading5">
    <w:name w:val="heading 5"/>
    <w:basedOn w:val="Normal"/>
    <w:next w:val="Normal"/>
    <w:link w:val="Heading5Char"/>
    <w:uiPriority w:val="9"/>
    <w:semiHidden/>
    <w:unhideWhenUsed/>
    <w:qFormat/>
    <w:rsid w:val="005179F6"/>
    <w:pPr>
      <w:keepNext/>
      <w:keepLines/>
      <w:spacing w:before="200"/>
      <w:outlineLvl w:val="4"/>
    </w:pPr>
    <w:rPr>
      <w:rFonts w:asciiTheme="majorHAnsi" w:eastAsiaTheme="majorEastAsia" w:hAnsiTheme="majorHAnsi" w:cstheme="majorBidi"/>
      <w:color w:val="6E6E6E" w:themeColor="accent1" w:themeShade="7F"/>
    </w:rPr>
  </w:style>
  <w:style w:type="paragraph" w:styleId="Heading6">
    <w:name w:val="heading 6"/>
    <w:basedOn w:val="Normal"/>
    <w:next w:val="Normal"/>
    <w:link w:val="Heading6Char"/>
    <w:uiPriority w:val="9"/>
    <w:semiHidden/>
    <w:unhideWhenUsed/>
    <w:qFormat/>
    <w:rsid w:val="005179F6"/>
    <w:pPr>
      <w:keepNext/>
      <w:keepLines/>
      <w:spacing w:before="200"/>
      <w:outlineLvl w:val="5"/>
    </w:pPr>
    <w:rPr>
      <w:rFonts w:asciiTheme="majorHAnsi" w:eastAsiaTheme="majorEastAsia" w:hAnsiTheme="majorHAnsi" w:cstheme="majorBidi"/>
      <w:i/>
      <w:iCs/>
      <w:color w:val="6E6E6E" w:themeColor="accent1" w:themeShade="7F"/>
    </w:rPr>
  </w:style>
  <w:style w:type="paragraph" w:styleId="Heading7">
    <w:name w:val="heading 7"/>
    <w:basedOn w:val="Normal"/>
    <w:next w:val="Normal"/>
    <w:link w:val="Heading7Char"/>
    <w:uiPriority w:val="9"/>
    <w:semiHidden/>
    <w:unhideWhenUsed/>
    <w:qFormat/>
    <w:rsid w:val="005179F6"/>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179F6"/>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5179F6"/>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2D8B"/>
    <w:rPr>
      <w:rFonts w:asciiTheme="majorHAnsi" w:eastAsiaTheme="majorEastAsia" w:hAnsiTheme="majorHAnsi" w:cstheme="majorHAnsi"/>
      <w:b/>
      <w:bCs/>
      <w:sz w:val="24"/>
      <w:szCs w:val="28"/>
    </w:rPr>
  </w:style>
  <w:style w:type="character" w:customStyle="1" w:styleId="Heading2Char">
    <w:name w:val="Heading 2 Char"/>
    <w:basedOn w:val="DefaultParagraphFont"/>
    <w:uiPriority w:val="9"/>
    <w:rsid w:val="005179F6"/>
    <w:rPr>
      <w:rFonts w:asciiTheme="majorHAnsi" w:eastAsiaTheme="majorEastAsia" w:hAnsiTheme="majorHAnsi" w:cstheme="majorBidi"/>
      <w:b/>
      <w:bCs/>
      <w:sz w:val="26"/>
      <w:szCs w:val="26"/>
    </w:rPr>
  </w:style>
  <w:style w:type="paragraph" w:styleId="ListParagraph">
    <w:name w:val="List Paragraph"/>
    <w:basedOn w:val="Normal"/>
    <w:uiPriority w:val="34"/>
    <w:qFormat/>
    <w:rsid w:val="005179F6"/>
  </w:style>
  <w:style w:type="character" w:styleId="Hyperlink">
    <w:name w:val="Hyperlink"/>
    <w:basedOn w:val="DefaultParagraphFont"/>
    <w:uiPriority w:val="99"/>
    <w:unhideWhenUsed/>
    <w:rsid w:val="00A9748A"/>
    <w:rPr>
      <w:color w:val="0000FF"/>
      <w:u w:val="single"/>
    </w:rPr>
  </w:style>
  <w:style w:type="paragraph" w:customStyle="1" w:styleId="Arialheading1">
    <w:name w:val="Arial heading 1"/>
    <w:basedOn w:val="Arialheading2"/>
    <w:autoRedefine/>
    <w:uiPriority w:val="1"/>
    <w:qFormat/>
    <w:rsid w:val="005179F6"/>
    <w:pPr>
      <w:spacing w:before="120" w:after="120"/>
    </w:pPr>
    <w:rPr>
      <w:sz w:val="28"/>
      <w:szCs w:val="28"/>
      <w:lang w:val="en-GB" w:eastAsia="en-AU"/>
    </w:rPr>
  </w:style>
  <w:style w:type="paragraph" w:styleId="BodyText">
    <w:name w:val="Body Text"/>
    <w:basedOn w:val="Normal"/>
    <w:link w:val="BodyTextChar"/>
    <w:uiPriority w:val="1"/>
    <w:qFormat/>
    <w:rsid w:val="005179F6"/>
    <w:pPr>
      <w:ind w:left="680"/>
    </w:pPr>
    <w:rPr>
      <w:rFonts w:ascii="Arial" w:eastAsia="Arial" w:hAnsi="Arial"/>
      <w:sz w:val="18"/>
      <w:szCs w:val="18"/>
    </w:rPr>
  </w:style>
  <w:style w:type="character" w:customStyle="1" w:styleId="BodyTextChar">
    <w:name w:val="Body Text Char"/>
    <w:basedOn w:val="DefaultParagraphFont"/>
    <w:link w:val="BodyText"/>
    <w:uiPriority w:val="1"/>
    <w:rsid w:val="005179F6"/>
    <w:rPr>
      <w:rFonts w:ascii="Arial" w:eastAsia="Arial" w:hAnsi="Arial"/>
      <w:sz w:val="18"/>
      <w:szCs w:val="18"/>
    </w:rPr>
  </w:style>
  <w:style w:type="paragraph" w:customStyle="1" w:styleId="Body1">
    <w:name w:val="Body1"/>
    <w:basedOn w:val="Normal"/>
    <w:uiPriority w:val="99"/>
    <w:rsid w:val="00E10F41"/>
    <w:pPr>
      <w:widowControl/>
      <w:tabs>
        <w:tab w:val="left" w:pos="567"/>
        <w:tab w:val="left" w:pos="1134"/>
        <w:tab w:val="left" w:pos="1701"/>
      </w:tabs>
      <w:spacing w:before="60" w:after="120"/>
      <w:jc w:val="both"/>
    </w:pPr>
    <w:rPr>
      <w:rFonts w:ascii="Arial" w:eastAsia="Times New Roman" w:hAnsi="Arial" w:cs="Times New Roman"/>
      <w:color w:val="000000"/>
      <w:sz w:val="20"/>
      <w:szCs w:val="20"/>
      <w:lang w:val="en-GB" w:eastAsia="en-AU"/>
    </w:rPr>
  </w:style>
  <w:style w:type="paragraph" w:customStyle="1" w:styleId="DefaultIndent">
    <w:name w:val="Default Indent"/>
    <w:basedOn w:val="Normal"/>
    <w:uiPriority w:val="99"/>
    <w:rsid w:val="00E10F41"/>
    <w:pPr>
      <w:widowControl/>
      <w:tabs>
        <w:tab w:val="left" w:pos="5103"/>
      </w:tabs>
      <w:spacing w:before="60" w:after="120"/>
      <w:ind w:left="720"/>
      <w:jc w:val="both"/>
    </w:pPr>
    <w:rPr>
      <w:rFonts w:ascii="Arial" w:eastAsia="Times New Roman" w:hAnsi="Arial" w:cs="Times New Roman"/>
      <w:szCs w:val="20"/>
      <w:lang w:val="en-GB" w:eastAsia="en-AU"/>
    </w:rPr>
  </w:style>
  <w:style w:type="table" w:styleId="TableGrid">
    <w:name w:val="Table Grid"/>
    <w:basedOn w:val="TableNormal"/>
    <w:uiPriority w:val="59"/>
    <w:rsid w:val="00E10F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F4394"/>
    <w:rPr>
      <w:rFonts w:ascii="Tahoma" w:hAnsi="Tahoma" w:cs="Tahoma"/>
      <w:sz w:val="16"/>
      <w:szCs w:val="16"/>
    </w:rPr>
  </w:style>
  <w:style w:type="character" w:customStyle="1" w:styleId="BalloonTextChar">
    <w:name w:val="Balloon Text Char"/>
    <w:basedOn w:val="DefaultParagraphFont"/>
    <w:link w:val="BalloonText"/>
    <w:uiPriority w:val="99"/>
    <w:semiHidden/>
    <w:rsid w:val="001F4394"/>
    <w:rPr>
      <w:rFonts w:ascii="Tahoma" w:hAnsi="Tahoma" w:cs="Tahoma"/>
      <w:sz w:val="16"/>
      <w:szCs w:val="16"/>
    </w:rPr>
  </w:style>
  <w:style w:type="character" w:styleId="Emphasis">
    <w:name w:val="Emphasis"/>
    <w:basedOn w:val="DefaultParagraphFont"/>
    <w:uiPriority w:val="20"/>
    <w:qFormat/>
    <w:rsid w:val="005179F6"/>
    <w:rPr>
      <w:i/>
      <w:iCs/>
    </w:rPr>
  </w:style>
  <w:style w:type="character" w:styleId="HTMLCite">
    <w:name w:val="HTML Cite"/>
    <w:basedOn w:val="DefaultParagraphFont"/>
    <w:uiPriority w:val="99"/>
    <w:semiHidden/>
    <w:unhideWhenUsed/>
    <w:rsid w:val="000B2EAC"/>
    <w:rPr>
      <w:i/>
      <w:iCs/>
    </w:rPr>
  </w:style>
  <w:style w:type="character" w:customStyle="1" w:styleId="cit-auth2">
    <w:name w:val="cit-auth2"/>
    <w:basedOn w:val="DefaultParagraphFont"/>
    <w:rsid w:val="000B2EAC"/>
  </w:style>
  <w:style w:type="character" w:customStyle="1" w:styleId="cit-name-surname">
    <w:name w:val="cit-name-surname"/>
    <w:basedOn w:val="DefaultParagraphFont"/>
    <w:rsid w:val="000B2EAC"/>
  </w:style>
  <w:style w:type="character" w:customStyle="1" w:styleId="cit-name-given-names">
    <w:name w:val="cit-name-given-names"/>
    <w:basedOn w:val="DefaultParagraphFont"/>
    <w:rsid w:val="000B2EAC"/>
  </w:style>
  <w:style w:type="character" w:customStyle="1" w:styleId="cit-etal">
    <w:name w:val="cit-etal"/>
    <w:basedOn w:val="DefaultParagraphFont"/>
    <w:rsid w:val="000B2EAC"/>
  </w:style>
  <w:style w:type="character" w:customStyle="1" w:styleId="cit-pub-date2">
    <w:name w:val="cit-pub-date2"/>
    <w:basedOn w:val="DefaultParagraphFont"/>
    <w:rsid w:val="000B2EAC"/>
  </w:style>
  <w:style w:type="character" w:customStyle="1" w:styleId="cit-article-title">
    <w:name w:val="cit-article-title"/>
    <w:basedOn w:val="DefaultParagraphFont"/>
    <w:rsid w:val="000B2EAC"/>
  </w:style>
  <w:style w:type="character" w:customStyle="1" w:styleId="cit-vol4">
    <w:name w:val="cit-vol4"/>
    <w:basedOn w:val="DefaultParagraphFont"/>
    <w:rsid w:val="000B2EAC"/>
  </w:style>
  <w:style w:type="character" w:customStyle="1" w:styleId="cit-issue">
    <w:name w:val="cit-issue"/>
    <w:basedOn w:val="DefaultParagraphFont"/>
    <w:rsid w:val="000B2EAC"/>
  </w:style>
  <w:style w:type="character" w:customStyle="1" w:styleId="cit-fpage">
    <w:name w:val="cit-fpage"/>
    <w:basedOn w:val="DefaultParagraphFont"/>
    <w:rsid w:val="000B2EAC"/>
  </w:style>
  <w:style w:type="character" w:customStyle="1" w:styleId="cit-lpage">
    <w:name w:val="cit-lpage"/>
    <w:basedOn w:val="DefaultParagraphFont"/>
    <w:rsid w:val="000B2EAC"/>
  </w:style>
  <w:style w:type="character" w:styleId="CommentReference">
    <w:name w:val="annotation reference"/>
    <w:basedOn w:val="DefaultParagraphFont"/>
    <w:uiPriority w:val="99"/>
    <w:semiHidden/>
    <w:unhideWhenUsed/>
    <w:rsid w:val="00A55EAD"/>
    <w:rPr>
      <w:sz w:val="16"/>
      <w:szCs w:val="16"/>
    </w:rPr>
  </w:style>
  <w:style w:type="paragraph" w:styleId="CommentText">
    <w:name w:val="annotation text"/>
    <w:basedOn w:val="Normal"/>
    <w:link w:val="CommentTextChar"/>
    <w:uiPriority w:val="99"/>
    <w:unhideWhenUsed/>
    <w:rsid w:val="00A55EAD"/>
    <w:rPr>
      <w:sz w:val="20"/>
      <w:szCs w:val="20"/>
    </w:rPr>
  </w:style>
  <w:style w:type="character" w:customStyle="1" w:styleId="CommentTextChar">
    <w:name w:val="Comment Text Char"/>
    <w:basedOn w:val="DefaultParagraphFont"/>
    <w:link w:val="CommentText"/>
    <w:uiPriority w:val="99"/>
    <w:rsid w:val="00A55EAD"/>
    <w:rPr>
      <w:sz w:val="20"/>
      <w:szCs w:val="20"/>
    </w:rPr>
  </w:style>
  <w:style w:type="paragraph" w:styleId="CommentSubject">
    <w:name w:val="annotation subject"/>
    <w:basedOn w:val="CommentText"/>
    <w:next w:val="CommentText"/>
    <w:link w:val="CommentSubjectChar"/>
    <w:uiPriority w:val="99"/>
    <w:semiHidden/>
    <w:unhideWhenUsed/>
    <w:rsid w:val="00A55EAD"/>
    <w:rPr>
      <w:b/>
      <w:bCs/>
    </w:rPr>
  </w:style>
  <w:style w:type="character" w:customStyle="1" w:styleId="CommentSubjectChar">
    <w:name w:val="Comment Subject Char"/>
    <w:basedOn w:val="CommentTextChar"/>
    <w:link w:val="CommentSubject"/>
    <w:uiPriority w:val="99"/>
    <w:semiHidden/>
    <w:rsid w:val="00A55EAD"/>
    <w:rPr>
      <w:b/>
      <w:bCs/>
      <w:sz w:val="20"/>
      <w:szCs w:val="20"/>
    </w:rPr>
  </w:style>
  <w:style w:type="character" w:customStyle="1" w:styleId="citation-publication-date">
    <w:name w:val="citation-publication-date"/>
    <w:basedOn w:val="DefaultParagraphFont"/>
    <w:rsid w:val="009A7F46"/>
  </w:style>
  <w:style w:type="character" w:customStyle="1" w:styleId="doi1">
    <w:name w:val="doi1"/>
    <w:basedOn w:val="DefaultParagraphFont"/>
    <w:rsid w:val="009A7F46"/>
  </w:style>
  <w:style w:type="character" w:customStyle="1" w:styleId="ref-journal">
    <w:name w:val="ref-journal"/>
    <w:basedOn w:val="DefaultParagraphFont"/>
    <w:rsid w:val="00043F66"/>
  </w:style>
  <w:style w:type="character" w:customStyle="1" w:styleId="ref-vol">
    <w:name w:val="ref-vol"/>
    <w:basedOn w:val="DefaultParagraphFont"/>
    <w:rsid w:val="00043F66"/>
  </w:style>
  <w:style w:type="paragraph" w:customStyle="1" w:styleId="TableParagraph">
    <w:name w:val="Table Paragraph"/>
    <w:basedOn w:val="Normal"/>
    <w:uiPriority w:val="1"/>
    <w:qFormat/>
    <w:rsid w:val="005179F6"/>
    <w:rPr>
      <w:lang w:val="en-US"/>
    </w:rPr>
  </w:style>
  <w:style w:type="paragraph" w:customStyle="1" w:styleId="Arialheadinglarge">
    <w:name w:val="Arial heading large"/>
    <w:basedOn w:val="Arialheading1"/>
    <w:autoRedefine/>
    <w:uiPriority w:val="1"/>
    <w:rsid w:val="00701B53"/>
    <w:rPr>
      <w:szCs w:val="24"/>
    </w:rPr>
  </w:style>
  <w:style w:type="character" w:styleId="FollowedHyperlink">
    <w:name w:val="FollowedHyperlink"/>
    <w:basedOn w:val="DefaultParagraphFont"/>
    <w:uiPriority w:val="99"/>
    <w:semiHidden/>
    <w:unhideWhenUsed/>
    <w:rsid w:val="000D350F"/>
    <w:rPr>
      <w:color w:val="919191" w:themeColor="followedHyperlink"/>
      <w:u w:val="single"/>
    </w:rPr>
  </w:style>
  <w:style w:type="character" w:customStyle="1" w:styleId="Heading3Char">
    <w:name w:val="Heading 3 Char"/>
    <w:basedOn w:val="DefaultParagraphFont"/>
    <w:link w:val="Heading3"/>
    <w:uiPriority w:val="9"/>
    <w:rsid w:val="005179F6"/>
    <w:rPr>
      <w:rFonts w:asciiTheme="majorHAnsi" w:eastAsiaTheme="majorEastAsia" w:hAnsiTheme="majorHAnsi" w:cstheme="majorBidi"/>
      <w:b/>
      <w:bCs/>
      <w:color w:val="DDDDDD" w:themeColor="accent1"/>
    </w:rPr>
  </w:style>
  <w:style w:type="character" w:customStyle="1" w:styleId="Heading4Char">
    <w:name w:val="Heading 4 Char"/>
    <w:basedOn w:val="DefaultParagraphFont"/>
    <w:link w:val="Heading4"/>
    <w:uiPriority w:val="9"/>
    <w:rsid w:val="005179F6"/>
    <w:rPr>
      <w:rFonts w:asciiTheme="majorHAnsi" w:eastAsiaTheme="majorEastAsia" w:hAnsiTheme="majorHAnsi" w:cstheme="majorBidi"/>
      <w:b/>
      <w:bCs/>
      <w:i/>
      <w:iCs/>
      <w:color w:val="DDDDDD" w:themeColor="accent1"/>
    </w:rPr>
  </w:style>
  <w:style w:type="paragraph" w:styleId="TOC1">
    <w:name w:val="toc 1"/>
    <w:basedOn w:val="Normal"/>
    <w:next w:val="Normal"/>
    <w:autoRedefine/>
    <w:uiPriority w:val="39"/>
    <w:unhideWhenUsed/>
    <w:qFormat/>
    <w:rsid w:val="00DE3603"/>
    <w:pPr>
      <w:tabs>
        <w:tab w:val="right" w:leader="dot" w:pos="9639"/>
      </w:tabs>
      <w:spacing w:after="100"/>
    </w:pPr>
  </w:style>
  <w:style w:type="paragraph" w:styleId="TOC2">
    <w:name w:val="toc 2"/>
    <w:basedOn w:val="Normal"/>
    <w:next w:val="Normal"/>
    <w:autoRedefine/>
    <w:uiPriority w:val="39"/>
    <w:unhideWhenUsed/>
    <w:qFormat/>
    <w:rsid w:val="005179F6"/>
    <w:pPr>
      <w:spacing w:after="100"/>
      <w:ind w:left="220"/>
    </w:pPr>
  </w:style>
  <w:style w:type="paragraph" w:styleId="Header">
    <w:name w:val="header"/>
    <w:basedOn w:val="Normal"/>
    <w:link w:val="HeaderChar"/>
    <w:uiPriority w:val="99"/>
    <w:unhideWhenUsed/>
    <w:rsid w:val="00F74586"/>
    <w:pPr>
      <w:tabs>
        <w:tab w:val="center" w:pos="4513"/>
        <w:tab w:val="right" w:pos="9026"/>
      </w:tabs>
    </w:pPr>
  </w:style>
  <w:style w:type="character" w:customStyle="1" w:styleId="HeaderChar">
    <w:name w:val="Header Char"/>
    <w:basedOn w:val="DefaultParagraphFont"/>
    <w:link w:val="Header"/>
    <w:uiPriority w:val="99"/>
    <w:rsid w:val="00F74586"/>
  </w:style>
  <w:style w:type="paragraph" w:styleId="Footer">
    <w:name w:val="footer"/>
    <w:basedOn w:val="Normal"/>
    <w:link w:val="FooterChar"/>
    <w:uiPriority w:val="99"/>
    <w:unhideWhenUsed/>
    <w:rsid w:val="00F74586"/>
    <w:pPr>
      <w:tabs>
        <w:tab w:val="center" w:pos="4513"/>
        <w:tab w:val="right" w:pos="9026"/>
      </w:tabs>
    </w:pPr>
  </w:style>
  <w:style w:type="character" w:customStyle="1" w:styleId="FooterChar">
    <w:name w:val="Footer Char"/>
    <w:basedOn w:val="DefaultParagraphFont"/>
    <w:link w:val="Footer"/>
    <w:uiPriority w:val="99"/>
    <w:rsid w:val="00F74586"/>
  </w:style>
  <w:style w:type="paragraph" w:customStyle="1" w:styleId="Pa26">
    <w:name w:val="Pa26"/>
    <w:basedOn w:val="Normal"/>
    <w:next w:val="Normal"/>
    <w:uiPriority w:val="99"/>
    <w:rsid w:val="00C866BA"/>
    <w:pPr>
      <w:widowControl/>
      <w:autoSpaceDE w:val="0"/>
      <w:autoSpaceDN w:val="0"/>
      <w:adjustRightInd w:val="0"/>
      <w:spacing w:line="181" w:lineRule="atLeast"/>
    </w:pPr>
    <w:rPr>
      <w:rFonts w:ascii="TitilliumText22L Lt" w:hAnsi="TitilliumText22L Lt"/>
      <w:sz w:val="24"/>
      <w:szCs w:val="24"/>
    </w:rPr>
  </w:style>
  <w:style w:type="paragraph" w:styleId="EndnoteText">
    <w:name w:val="endnote text"/>
    <w:basedOn w:val="Normal"/>
    <w:link w:val="EndnoteTextChar"/>
    <w:uiPriority w:val="99"/>
    <w:semiHidden/>
    <w:unhideWhenUsed/>
    <w:rsid w:val="009D7E40"/>
    <w:rPr>
      <w:sz w:val="20"/>
      <w:szCs w:val="20"/>
    </w:rPr>
  </w:style>
  <w:style w:type="character" w:customStyle="1" w:styleId="EndnoteTextChar">
    <w:name w:val="Endnote Text Char"/>
    <w:basedOn w:val="DefaultParagraphFont"/>
    <w:link w:val="EndnoteText"/>
    <w:uiPriority w:val="99"/>
    <w:semiHidden/>
    <w:rsid w:val="009D7E40"/>
    <w:rPr>
      <w:sz w:val="20"/>
      <w:szCs w:val="20"/>
    </w:rPr>
  </w:style>
  <w:style w:type="character" w:styleId="EndnoteReference">
    <w:name w:val="endnote reference"/>
    <w:basedOn w:val="DefaultParagraphFont"/>
    <w:uiPriority w:val="99"/>
    <w:semiHidden/>
    <w:unhideWhenUsed/>
    <w:rsid w:val="009D7E40"/>
    <w:rPr>
      <w:vertAlign w:val="superscript"/>
    </w:rPr>
  </w:style>
  <w:style w:type="paragraph" w:styleId="FootnoteText">
    <w:name w:val="footnote text"/>
    <w:basedOn w:val="Normal"/>
    <w:link w:val="FootnoteTextChar"/>
    <w:uiPriority w:val="99"/>
    <w:semiHidden/>
    <w:unhideWhenUsed/>
    <w:rsid w:val="009D7E40"/>
    <w:rPr>
      <w:sz w:val="20"/>
      <w:szCs w:val="20"/>
    </w:rPr>
  </w:style>
  <w:style w:type="character" w:customStyle="1" w:styleId="FootnoteTextChar">
    <w:name w:val="Footnote Text Char"/>
    <w:basedOn w:val="DefaultParagraphFont"/>
    <w:link w:val="FootnoteText"/>
    <w:uiPriority w:val="99"/>
    <w:semiHidden/>
    <w:rsid w:val="009D7E40"/>
    <w:rPr>
      <w:sz w:val="20"/>
      <w:szCs w:val="20"/>
    </w:rPr>
  </w:style>
  <w:style w:type="character" w:styleId="FootnoteReference">
    <w:name w:val="footnote reference"/>
    <w:basedOn w:val="DefaultParagraphFont"/>
    <w:uiPriority w:val="99"/>
    <w:semiHidden/>
    <w:unhideWhenUsed/>
    <w:rsid w:val="009D7E40"/>
    <w:rPr>
      <w:vertAlign w:val="superscript"/>
    </w:rPr>
  </w:style>
  <w:style w:type="table" w:styleId="LightShading">
    <w:name w:val="Light Shading"/>
    <w:basedOn w:val="TableNormal"/>
    <w:uiPriority w:val="60"/>
    <w:rsid w:val="00BD0B1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Style1">
    <w:name w:val="Style1"/>
    <w:basedOn w:val="TableNormal"/>
    <w:uiPriority w:val="99"/>
    <w:rsid w:val="009C0295"/>
    <w:pPr>
      <w:spacing w:after="0" w:line="240" w:lineRule="auto"/>
    </w:pPr>
    <w:tblPr/>
  </w:style>
  <w:style w:type="character" w:customStyle="1" w:styleId="Heading5Char">
    <w:name w:val="Heading 5 Char"/>
    <w:basedOn w:val="DefaultParagraphFont"/>
    <w:link w:val="Heading5"/>
    <w:uiPriority w:val="9"/>
    <w:semiHidden/>
    <w:rsid w:val="005179F6"/>
    <w:rPr>
      <w:rFonts w:asciiTheme="majorHAnsi" w:eastAsiaTheme="majorEastAsia" w:hAnsiTheme="majorHAnsi" w:cstheme="majorBidi"/>
      <w:color w:val="6E6E6E" w:themeColor="accent1" w:themeShade="7F"/>
    </w:rPr>
  </w:style>
  <w:style w:type="character" w:customStyle="1" w:styleId="Heading6Char">
    <w:name w:val="Heading 6 Char"/>
    <w:basedOn w:val="DefaultParagraphFont"/>
    <w:link w:val="Heading6"/>
    <w:uiPriority w:val="9"/>
    <w:semiHidden/>
    <w:rsid w:val="005179F6"/>
    <w:rPr>
      <w:rFonts w:asciiTheme="majorHAnsi" w:eastAsiaTheme="majorEastAsia" w:hAnsiTheme="majorHAnsi" w:cstheme="majorBidi"/>
      <w:i/>
      <w:iCs/>
      <w:color w:val="6E6E6E" w:themeColor="accent1" w:themeShade="7F"/>
    </w:rPr>
  </w:style>
  <w:style w:type="character" w:customStyle="1" w:styleId="Heading7Char">
    <w:name w:val="Heading 7 Char"/>
    <w:basedOn w:val="DefaultParagraphFont"/>
    <w:link w:val="Heading7"/>
    <w:uiPriority w:val="9"/>
    <w:semiHidden/>
    <w:rsid w:val="005179F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5179F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5179F6"/>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5179F6"/>
    <w:pPr>
      <w:pBdr>
        <w:bottom w:val="single" w:sz="8" w:space="4" w:color="DDDDDD" w:themeColor="accent1"/>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5179F6"/>
    <w:rPr>
      <w:rFonts w:asciiTheme="majorHAnsi" w:eastAsiaTheme="majorEastAsia" w:hAnsiTheme="majorHAnsi" w:cstheme="majorBidi"/>
      <w:color w:val="000000" w:themeColor="text2" w:themeShade="BF"/>
      <w:spacing w:val="5"/>
      <w:kern w:val="28"/>
      <w:sz w:val="52"/>
      <w:szCs w:val="52"/>
    </w:rPr>
  </w:style>
  <w:style w:type="paragraph" w:styleId="Subtitle">
    <w:name w:val="Subtitle"/>
    <w:basedOn w:val="Normal"/>
    <w:next w:val="Normal"/>
    <w:link w:val="SubtitleChar"/>
    <w:uiPriority w:val="11"/>
    <w:qFormat/>
    <w:rsid w:val="005179F6"/>
    <w:pPr>
      <w:numPr>
        <w:ilvl w:val="1"/>
      </w:numPr>
    </w:pPr>
    <w:rPr>
      <w:rFonts w:asciiTheme="majorHAnsi" w:eastAsiaTheme="majorEastAsia" w:hAnsiTheme="majorHAnsi" w:cstheme="majorBidi"/>
      <w:i/>
      <w:iCs/>
      <w:color w:val="DDDDDD" w:themeColor="accent1"/>
      <w:spacing w:val="15"/>
      <w:sz w:val="24"/>
      <w:szCs w:val="24"/>
    </w:rPr>
  </w:style>
  <w:style w:type="character" w:customStyle="1" w:styleId="SubtitleChar">
    <w:name w:val="Subtitle Char"/>
    <w:basedOn w:val="DefaultParagraphFont"/>
    <w:link w:val="Subtitle"/>
    <w:uiPriority w:val="11"/>
    <w:rsid w:val="005179F6"/>
    <w:rPr>
      <w:rFonts w:asciiTheme="majorHAnsi" w:eastAsiaTheme="majorEastAsia" w:hAnsiTheme="majorHAnsi" w:cstheme="majorBidi"/>
      <w:i/>
      <w:iCs/>
      <w:color w:val="DDDDDD" w:themeColor="accent1"/>
      <w:spacing w:val="15"/>
      <w:sz w:val="24"/>
      <w:szCs w:val="24"/>
    </w:rPr>
  </w:style>
  <w:style w:type="character" w:styleId="Strong">
    <w:name w:val="Strong"/>
    <w:basedOn w:val="DefaultParagraphFont"/>
    <w:uiPriority w:val="22"/>
    <w:qFormat/>
    <w:rsid w:val="005179F6"/>
    <w:rPr>
      <w:b/>
      <w:bCs/>
    </w:rPr>
  </w:style>
  <w:style w:type="paragraph" w:styleId="NoSpacing">
    <w:name w:val="No Spacing"/>
    <w:basedOn w:val="Normal"/>
    <w:uiPriority w:val="1"/>
    <w:qFormat/>
    <w:rsid w:val="005179F6"/>
  </w:style>
  <w:style w:type="paragraph" w:styleId="Quote">
    <w:name w:val="Quote"/>
    <w:basedOn w:val="Normal"/>
    <w:next w:val="Normal"/>
    <w:link w:val="QuoteChar"/>
    <w:uiPriority w:val="29"/>
    <w:qFormat/>
    <w:rsid w:val="005179F6"/>
    <w:rPr>
      <w:i/>
      <w:iCs/>
      <w:color w:val="000000" w:themeColor="text1"/>
    </w:rPr>
  </w:style>
  <w:style w:type="character" w:customStyle="1" w:styleId="QuoteChar">
    <w:name w:val="Quote Char"/>
    <w:basedOn w:val="DefaultParagraphFont"/>
    <w:link w:val="Quote"/>
    <w:uiPriority w:val="29"/>
    <w:rsid w:val="005179F6"/>
    <w:rPr>
      <w:i/>
      <w:iCs/>
      <w:color w:val="000000" w:themeColor="text1"/>
    </w:rPr>
  </w:style>
  <w:style w:type="paragraph" w:styleId="IntenseQuote">
    <w:name w:val="Intense Quote"/>
    <w:basedOn w:val="Normal"/>
    <w:next w:val="Normal"/>
    <w:link w:val="IntenseQuoteChar"/>
    <w:uiPriority w:val="30"/>
    <w:qFormat/>
    <w:rsid w:val="005179F6"/>
    <w:pPr>
      <w:pBdr>
        <w:bottom w:val="single" w:sz="4" w:space="4" w:color="DDDDDD" w:themeColor="accent1"/>
      </w:pBdr>
      <w:spacing w:before="200" w:after="280"/>
      <w:ind w:left="936" w:right="936"/>
    </w:pPr>
    <w:rPr>
      <w:b/>
      <w:bCs/>
      <w:i/>
      <w:iCs/>
      <w:color w:val="DDDDDD" w:themeColor="accent1"/>
    </w:rPr>
  </w:style>
  <w:style w:type="character" w:customStyle="1" w:styleId="IntenseQuoteChar">
    <w:name w:val="Intense Quote Char"/>
    <w:basedOn w:val="DefaultParagraphFont"/>
    <w:link w:val="IntenseQuote"/>
    <w:uiPriority w:val="30"/>
    <w:rsid w:val="005179F6"/>
    <w:rPr>
      <w:b/>
      <w:bCs/>
      <w:i/>
      <w:iCs/>
      <w:color w:val="DDDDDD" w:themeColor="accent1"/>
    </w:rPr>
  </w:style>
  <w:style w:type="character" w:styleId="SubtleEmphasis">
    <w:name w:val="Subtle Emphasis"/>
    <w:uiPriority w:val="19"/>
    <w:qFormat/>
    <w:rsid w:val="005179F6"/>
    <w:rPr>
      <w:i/>
      <w:iCs/>
      <w:color w:val="808080" w:themeColor="text1" w:themeTint="7F"/>
    </w:rPr>
  </w:style>
  <w:style w:type="character" w:styleId="IntenseEmphasis">
    <w:name w:val="Intense Emphasis"/>
    <w:uiPriority w:val="21"/>
    <w:qFormat/>
    <w:rsid w:val="005179F6"/>
    <w:rPr>
      <w:b/>
      <w:bCs/>
      <w:i/>
      <w:iCs/>
      <w:color w:val="DDDDDD" w:themeColor="accent1"/>
    </w:rPr>
  </w:style>
  <w:style w:type="character" w:styleId="SubtleReference">
    <w:name w:val="Subtle Reference"/>
    <w:uiPriority w:val="31"/>
    <w:qFormat/>
    <w:rsid w:val="005179F6"/>
    <w:rPr>
      <w:smallCaps/>
      <w:color w:val="B2B2B2" w:themeColor="accent2"/>
      <w:u w:val="single"/>
    </w:rPr>
  </w:style>
  <w:style w:type="character" w:styleId="IntenseReference">
    <w:name w:val="Intense Reference"/>
    <w:uiPriority w:val="32"/>
    <w:qFormat/>
    <w:rsid w:val="005179F6"/>
    <w:rPr>
      <w:b/>
      <w:bCs/>
      <w:smallCaps/>
      <w:color w:val="B2B2B2" w:themeColor="accent2"/>
      <w:spacing w:val="5"/>
      <w:u w:val="single"/>
    </w:rPr>
  </w:style>
  <w:style w:type="character" w:styleId="BookTitle">
    <w:name w:val="Book Title"/>
    <w:uiPriority w:val="33"/>
    <w:qFormat/>
    <w:rsid w:val="005179F6"/>
    <w:rPr>
      <w:b/>
      <w:bCs/>
      <w:smallCaps/>
      <w:spacing w:val="5"/>
    </w:rPr>
  </w:style>
  <w:style w:type="paragraph" w:styleId="TOCHeading">
    <w:name w:val="TOC Heading"/>
    <w:basedOn w:val="Heading1"/>
    <w:next w:val="Normal"/>
    <w:uiPriority w:val="39"/>
    <w:unhideWhenUsed/>
    <w:qFormat/>
    <w:rsid w:val="005179F6"/>
    <w:pPr>
      <w:widowControl/>
      <w:spacing w:line="276" w:lineRule="auto"/>
      <w:outlineLvl w:val="9"/>
    </w:pPr>
    <w:rPr>
      <w:lang w:val="en-US" w:eastAsia="ja-JP"/>
    </w:rPr>
  </w:style>
  <w:style w:type="paragraph" w:styleId="Caption">
    <w:name w:val="caption"/>
    <w:basedOn w:val="Normal"/>
    <w:next w:val="Normal"/>
    <w:uiPriority w:val="35"/>
    <w:semiHidden/>
    <w:unhideWhenUsed/>
    <w:qFormat/>
    <w:rsid w:val="005179F6"/>
    <w:pPr>
      <w:spacing w:after="200"/>
    </w:pPr>
    <w:rPr>
      <w:b/>
      <w:bCs/>
      <w:color w:val="DDDDDD" w:themeColor="accent1"/>
      <w:sz w:val="18"/>
      <w:szCs w:val="18"/>
    </w:rPr>
  </w:style>
  <w:style w:type="paragraph" w:customStyle="1" w:styleId="Arialheading2">
    <w:name w:val="Arial heading 2"/>
    <w:basedOn w:val="Normal"/>
    <w:uiPriority w:val="1"/>
    <w:qFormat/>
    <w:rsid w:val="005179F6"/>
    <w:rPr>
      <w:rFonts w:ascii="Arial" w:hAnsi="Arial" w:cs="Arial"/>
      <w:b/>
      <w:sz w:val="24"/>
    </w:rPr>
  </w:style>
  <w:style w:type="character" w:customStyle="1" w:styleId="Heading2Char1">
    <w:name w:val="Heading 2 Char1"/>
    <w:basedOn w:val="DefaultParagraphFont"/>
    <w:link w:val="Heading2"/>
    <w:uiPriority w:val="9"/>
    <w:rsid w:val="0012219F"/>
    <w:rPr>
      <w:rFonts w:asciiTheme="majorHAnsi" w:hAnsiTheme="majorHAnsi" w:cstheme="majorHAnsi"/>
      <w:b/>
      <w:bCs/>
      <w:sz w:val="24"/>
      <w:szCs w:val="24"/>
    </w:rPr>
  </w:style>
  <w:style w:type="paragraph" w:styleId="TOC3">
    <w:name w:val="toc 3"/>
    <w:basedOn w:val="Normal"/>
    <w:next w:val="Normal"/>
    <w:autoRedefine/>
    <w:uiPriority w:val="39"/>
    <w:unhideWhenUsed/>
    <w:qFormat/>
    <w:rsid w:val="005179F6"/>
    <w:pPr>
      <w:spacing w:after="100"/>
      <w:ind w:left="440"/>
    </w:pPr>
  </w:style>
  <w:style w:type="table" w:customStyle="1" w:styleId="TableGrid1">
    <w:name w:val="Table Grid1"/>
    <w:basedOn w:val="TableNormal"/>
    <w:next w:val="TableGrid"/>
    <w:uiPriority w:val="59"/>
    <w:rsid w:val="006E60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ED5363"/>
    <w:pPr>
      <w:widowControl/>
    </w:pPr>
    <w:rPr>
      <w:rFonts w:ascii="Consolas" w:hAnsi="Consolas" w:cs="Consolas"/>
      <w:sz w:val="21"/>
      <w:szCs w:val="21"/>
      <w:lang w:eastAsia="en-AU"/>
    </w:rPr>
  </w:style>
  <w:style w:type="character" w:customStyle="1" w:styleId="PlainTextChar">
    <w:name w:val="Plain Text Char"/>
    <w:basedOn w:val="DefaultParagraphFont"/>
    <w:link w:val="PlainText"/>
    <w:uiPriority w:val="99"/>
    <w:rsid w:val="00ED5363"/>
    <w:rPr>
      <w:rFonts w:ascii="Consolas" w:hAnsi="Consolas" w:cs="Consolas"/>
      <w:sz w:val="21"/>
      <w:szCs w:val="21"/>
      <w:lang w:eastAsia="en-AU"/>
    </w:rPr>
  </w:style>
  <w:style w:type="paragraph" w:styleId="Revision">
    <w:name w:val="Revision"/>
    <w:hidden/>
    <w:uiPriority w:val="99"/>
    <w:semiHidden/>
    <w:rsid w:val="008539E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179F6"/>
    <w:pPr>
      <w:widowControl w:val="0"/>
      <w:spacing w:after="0" w:line="240" w:lineRule="auto"/>
    </w:pPr>
  </w:style>
  <w:style w:type="paragraph" w:styleId="Heading1">
    <w:name w:val="heading 1"/>
    <w:basedOn w:val="Normal"/>
    <w:next w:val="Normal"/>
    <w:link w:val="Heading1Char"/>
    <w:autoRedefine/>
    <w:uiPriority w:val="9"/>
    <w:qFormat/>
    <w:rsid w:val="00BF2D8B"/>
    <w:pPr>
      <w:keepNext/>
      <w:keepLines/>
      <w:spacing w:before="120" w:after="120"/>
      <w:outlineLvl w:val="0"/>
    </w:pPr>
    <w:rPr>
      <w:rFonts w:asciiTheme="majorHAnsi" w:eastAsiaTheme="majorEastAsia" w:hAnsiTheme="majorHAnsi" w:cstheme="majorHAnsi"/>
      <w:b/>
      <w:bCs/>
      <w:sz w:val="24"/>
      <w:szCs w:val="28"/>
    </w:rPr>
  </w:style>
  <w:style w:type="paragraph" w:styleId="Heading2">
    <w:name w:val="heading 2"/>
    <w:basedOn w:val="Normal"/>
    <w:next w:val="Normal"/>
    <w:link w:val="Heading2Char1"/>
    <w:autoRedefine/>
    <w:uiPriority w:val="9"/>
    <w:unhideWhenUsed/>
    <w:qFormat/>
    <w:rsid w:val="0012219F"/>
    <w:pPr>
      <w:keepNext/>
      <w:keepLines/>
      <w:spacing w:before="120" w:after="120"/>
      <w:outlineLvl w:val="1"/>
    </w:pPr>
    <w:rPr>
      <w:rFonts w:asciiTheme="majorHAnsi" w:hAnsiTheme="majorHAnsi" w:cstheme="majorHAnsi"/>
      <w:b/>
      <w:bCs/>
      <w:sz w:val="24"/>
      <w:szCs w:val="24"/>
    </w:rPr>
  </w:style>
  <w:style w:type="paragraph" w:styleId="Heading3">
    <w:name w:val="heading 3"/>
    <w:basedOn w:val="Normal"/>
    <w:next w:val="Normal"/>
    <w:link w:val="Heading3Char"/>
    <w:uiPriority w:val="9"/>
    <w:unhideWhenUsed/>
    <w:qFormat/>
    <w:rsid w:val="005179F6"/>
    <w:pPr>
      <w:keepNext/>
      <w:keepLines/>
      <w:spacing w:before="200"/>
      <w:outlineLvl w:val="2"/>
    </w:pPr>
    <w:rPr>
      <w:rFonts w:asciiTheme="majorHAnsi" w:eastAsiaTheme="majorEastAsia" w:hAnsiTheme="majorHAnsi" w:cstheme="majorBidi"/>
      <w:b/>
      <w:bCs/>
      <w:color w:val="DDDDDD" w:themeColor="accent1"/>
    </w:rPr>
  </w:style>
  <w:style w:type="paragraph" w:styleId="Heading4">
    <w:name w:val="heading 4"/>
    <w:basedOn w:val="Normal"/>
    <w:next w:val="Normal"/>
    <w:link w:val="Heading4Char"/>
    <w:uiPriority w:val="9"/>
    <w:unhideWhenUsed/>
    <w:qFormat/>
    <w:rsid w:val="005179F6"/>
    <w:pPr>
      <w:keepNext/>
      <w:keepLines/>
      <w:spacing w:before="200"/>
      <w:outlineLvl w:val="3"/>
    </w:pPr>
    <w:rPr>
      <w:rFonts w:asciiTheme="majorHAnsi" w:eastAsiaTheme="majorEastAsia" w:hAnsiTheme="majorHAnsi" w:cstheme="majorBidi"/>
      <w:b/>
      <w:bCs/>
      <w:i/>
      <w:iCs/>
      <w:color w:val="DDDDDD" w:themeColor="accent1"/>
    </w:rPr>
  </w:style>
  <w:style w:type="paragraph" w:styleId="Heading5">
    <w:name w:val="heading 5"/>
    <w:basedOn w:val="Normal"/>
    <w:next w:val="Normal"/>
    <w:link w:val="Heading5Char"/>
    <w:uiPriority w:val="9"/>
    <w:semiHidden/>
    <w:unhideWhenUsed/>
    <w:qFormat/>
    <w:rsid w:val="005179F6"/>
    <w:pPr>
      <w:keepNext/>
      <w:keepLines/>
      <w:spacing w:before="200"/>
      <w:outlineLvl w:val="4"/>
    </w:pPr>
    <w:rPr>
      <w:rFonts w:asciiTheme="majorHAnsi" w:eastAsiaTheme="majorEastAsia" w:hAnsiTheme="majorHAnsi" w:cstheme="majorBidi"/>
      <w:color w:val="6E6E6E" w:themeColor="accent1" w:themeShade="7F"/>
    </w:rPr>
  </w:style>
  <w:style w:type="paragraph" w:styleId="Heading6">
    <w:name w:val="heading 6"/>
    <w:basedOn w:val="Normal"/>
    <w:next w:val="Normal"/>
    <w:link w:val="Heading6Char"/>
    <w:uiPriority w:val="9"/>
    <w:semiHidden/>
    <w:unhideWhenUsed/>
    <w:qFormat/>
    <w:rsid w:val="005179F6"/>
    <w:pPr>
      <w:keepNext/>
      <w:keepLines/>
      <w:spacing w:before="200"/>
      <w:outlineLvl w:val="5"/>
    </w:pPr>
    <w:rPr>
      <w:rFonts w:asciiTheme="majorHAnsi" w:eastAsiaTheme="majorEastAsia" w:hAnsiTheme="majorHAnsi" w:cstheme="majorBidi"/>
      <w:i/>
      <w:iCs/>
      <w:color w:val="6E6E6E" w:themeColor="accent1" w:themeShade="7F"/>
    </w:rPr>
  </w:style>
  <w:style w:type="paragraph" w:styleId="Heading7">
    <w:name w:val="heading 7"/>
    <w:basedOn w:val="Normal"/>
    <w:next w:val="Normal"/>
    <w:link w:val="Heading7Char"/>
    <w:uiPriority w:val="9"/>
    <w:semiHidden/>
    <w:unhideWhenUsed/>
    <w:qFormat/>
    <w:rsid w:val="005179F6"/>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179F6"/>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5179F6"/>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2D8B"/>
    <w:rPr>
      <w:rFonts w:asciiTheme="majorHAnsi" w:eastAsiaTheme="majorEastAsia" w:hAnsiTheme="majorHAnsi" w:cstheme="majorHAnsi"/>
      <w:b/>
      <w:bCs/>
      <w:sz w:val="24"/>
      <w:szCs w:val="28"/>
    </w:rPr>
  </w:style>
  <w:style w:type="character" w:customStyle="1" w:styleId="Heading2Char">
    <w:name w:val="Heading 2 Char"/>
    <w:basedOn w:val="DefaultParagraphFont"/>
    <w:uiPriority w:val="9"/>
    <w:rsid w:val="005179F6"/>
    <w:rPr>
      <w:rFonts w:asciiTheme="majorHAnsi" w:eastAsiaTheme="majorEastAsia" w:hAnsiTheme="majorHAnsi" w:cstheme="majorBidi"/>
      <w:b/>
      <w:bCs/>
      <w:sz w:val="26"/>
      <w:szCs w:val="26"/>
    </w:rPr>
  </w:style>
  <w:style w:type="paragraph" w:styleId="ListParagraph">
    <w:name w:val="List Paragraph"/>
    <w:basedOn w:val="Normal"/>
    <w:uiPriority w:val="34"/>
    <w:qFormat/>
    <w:rsid w:val="005179F6"/>
  </w:style>
  <w:style w:type="character" w:styleId="Hyperlink">
    <w:name w:val="Hyperlink"/>
    <w:basedOn w:val="DefaultParagraphFont"/>
    <w:uiPriority w:val="99"/>
    <w:unhideWhenUsed/>
    <w:rsid w:val="00A9748A"/>
    <w:rPr>
      <w:color w:val="0000FF"/>
      <w:u w:val="single"/>
    </w:rPr>
  </w:style>
  <w:style w:type="paragraph" w:customStyle="1" w:styleId="Arialheading1">
    <w:name w:val="Arial heading 1"/>
    <w:basedOn w:val="Arialheading2"/>
    <w:autoRedefine/>
    <w:uiPriority w:val="1"/>
    <w:qFormat/>
    <w:rsid w:val="005179F6"/>
    <w:pPr>
      <w:spacing w:before="120" w:after="120"/>
    </w:pPr>
    <w:rPr>
      <w:sz w:val="28"/>
      <w:szCs w:val="28"/>
      <w:lang w:val="en-GB" w:eastAsia="en-AU"/>
    </w:rPr>
  </w:style>
  <w:style w:type="paragraph" w:styleId="BodyText">
    <w:name w:val="Body Text"/>
    <w:basedOn w:val="Normal"/>
    <w:link w:val="BodyTextChar"/>
    <w:uiPriority w:val="1"/>
    <w:qFormat/>
    <w:rsid w:val="005179F6"/>
    <w:pPr>
      <w:ind w:left="680"/>
    </w:pPr>
    <w:rPr>
      <w:rFonts w:ascii="Arial" w:eastAsia="Arial" w:hAnsi="Arial"/>
      <w:sz w:val="18"/>
      <w:szCs w:val="18"/>
    </w:rPr>
  </w:style>
  <w:style w:type="character" w:customStyle="1" w:styleId="BodyTextChar">
    <w:name w:val="Body Text Char"/>
    <w:basedOn w:val="DefaultParagraphFont"/>
    <w:link w:val="BodyText"/>
    <w:uiPriority w:val="1"/>
    <w:rsid w:val="005179F6"/>
    <w:rPr>
      <w:rFonts w:ascii="Arial" w:eastAsia="Arial" w:hAnsi="Arial"/>
      <w:sz w:val="18"/>
      <w:szCs w:val="18"/>
    </w:rPr>
  </w:style>
  <w:style w:type="paragraph" w:customStyle="1" w:styleId="Body1">
    <w:name w:val="Body1"/>
    <w:basedOn w:val="Normal"/>
    <w:uiPriority w:val="99"/>
    <w:rsid w:val="00E10F41"/>
    <w:pPr>
      <w:widowControl/>
      <w:tabs>
        <w:tab w:val="left" w:pos="567"/>
        <w:tab w:val="left" w:pos="1134"/>
        <w:tab w:val="left" w:pos="1701"/>
      </w:tabs>
      <w:spacing w:before="60" w:after="120"/>
      <w:jc w:val="both"/>
    </w:pPr>
    <w:rPr>
      <w:rFonts w:ascii="Arial" w:eastAsia="Times New Roman" w:hAnsi="Arial" w:cs="Times New Roman"/>
      <w:color w:val="000000"/>
      <w:sz w:val="20"/>
      <w:szCs w:val="20"/>
      <w:lang w:val="en-GB" w:eastAsia="en-AU"/>
    </w:rPr>
  </w:style>
  <w:style w:type="paragraph" w:customStyle="1" w:styleId="DefaultIndent">
    <w:name w:val="Default Indent"/>
    <w:basedOn w:val="Normal"/>
    <w:uiPriority w:val="99"/>
    <w:rsid w:val="00E10F41"/>
    <w:pPr>
      <w:widowControl/>
      <w:tabs>
        <w:tab w:val="left" w:pos="5103"/>
      </w:tabs>
      <w:spacing w:before="60" w:after="120"/>
      <w:ind w:left="720"/>
      <w:jc w:val="both"/>
    </w:pPr>
    <w:rPr>
      <w:rFonts w:ascii="Arial" w:eastAsia="Times New Roman" w:hAnsi="Arial" w:cs="Times New Roman"/>
      <w:szCs w:val="20"/>
      <w:lang w:val="en-GB" w:eastAsia="en-AU"/>
    </w:rPr>
  </w:style>
  <w:style w:type="table" w:styleId="TableGrid">
    <w:name w:val="Table Grid"/>
    <w:basedOn w:val="TableNormal"/>
    <w:uiPriority w:val="59"/>
    <w:rsid w:val="00E10F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F4394"/>
    <w:rPr>
      <w:rFonts w:ascii="Tahoma" w:hAnsi="Tahoma" w:cs="Tahoma"/>
      <w:sz w:val="16"/>
      <w:szCs w:val="16"/>
    </w:rPr>
  </w:style>
  <w:style w:type="character" w:customStyle="1" w:styleId="BalloonTextChar">
    <w:name w:val="Balloon Text Char"/>
    <w:basedOn w:val="DefaultParagraphFont"/>
    <w:link w:val="BalloonText"/>
    <w:uiPriority w:val="99"/>
    <w:semiHidden/>
    <w:rsid w:val="001F4394"/>
    <w:rPr>
      <w:rFonts w:ascii="Tahoma" w:hAnsi="Tahoma" w:cs="Tahoma"/>
      <w:sz w:val="16"/>
      <w:szCs w:val="16"/>
    </w:rPr>
  </w:style>
  <w:style w:type="character" w:styleId="Emphasis">
    <w:name w:val="Emphasis"/>
    <w:basedOn w:val="DefaultParagraphFont"/>
    <w:uiPriority w:val="20"/>
    <w:qFormat/>
    <w:rsid w:val="005179F6"/>
    <w:rPr>
      <w:i/>
      <w:iCs/>
    </w:rPr>
  </w:style>
  <w:style w:type="character" w:styleId="HTMLCite">
    <w:name w:val="HTML Cite"/>
    <w:basedOn w:val="DefaultParagraphFont"/>
    <w:uiPriority w:val="99"/>
    <w:semiHidden/>
    <w:unhideWhenUsed/>
    <w:rsid w:val="000B2EAC"/>
    <w:rPr>
      <w:i/>
      <w:iCs/>
    </w:rPr>
  </w:style>
  <w:style w:type="character" w:customStyle="1" w:styleId="cit-auth2">
    <w:name w:val="cit-auth2"/>
    <w:basedOn w:val="DefaultParagraphFont"/>
    <w:rsid w:val="000B2EAC"/>
  </w:style>
  <w:style w:type="character" w:customStyle="1" w:styleId="cit-name-surname">
    <w:name w:val="cit-name-surname"/>
    <w:basedOn w:val="DefaultParagraphFont"/>
    <w:rsid w:val="000B2EAC"/>
  </w:style>
  <w:style w:type="character" w:customStyle="1" w:styleId="cit-name-given-names">
    <w:name w:val="cit-name-given-names"/>
    <w:basedOn w:val="DefaultParagraphFont"/>
    <w:rsid w:val="000B2EAC"/>
  </w:style>
  <w:style w:type="character" w:customStyle="1" w:styleId="cit-etal">
    <w:name w:val="cit-etal"/>
    <w:basedOn w:val="DefaultParagraphFont"/>
    <w:rsid w:val="000B2EAC"/>
  </w:style>
  <w:style w:type="character" w:customStyle="1" w:styleId="cit-pub-date2">
    <w:name w:val="cit-pub-date2"/>
    <w:basedOn w:val="DefaultParagraphFont"/>
    <w:rsid w:val="000B2EAC"/>
  </w:style>
  <w:style w:type="character" w:customStyle="1" w:styleId="cit-article-title">
    <w:name w:val="cit-article-title"/>
    <w:basedOn w:val="DefaultParagraphFont"/>
    <w:rsid w:val="000B2EAC"/>
  </w:style>
  <w:style w:type="character" w:customStyle="1" w:styleId="cit-vol4">
    <w:name w:val="cit-vol4"/>
    <w:basedOn w:val="DefaultParagraphFont"/>
    <w:rsid w:val="000B2EAC"/>
  </w:style>
  <w:style w:type="character" w:customStyle="1" w:styleId="cit-issue">
    <w:name w:val="cit-issue"/>
    <w:basedOn w:val="DefaultParagraphFont"/>
    <w:rsid w:val="000B2EAC"/>
  </w:style>
  <w:style w:type="character" w:customStyle="1" w:styleId="cit-fpage">
    <w:name w:val="cit-fpage"/>
    <w:basedOn w:val="DefaultParagraphFont"/>
    <w:rsid w:val="000B2EAC"/>
  </w:style>
  <w:style w:type="character" w:customStyle="1" w:styleId="cit-lpage">
    <w:name w:val="cit-lpage"/>
    <w:basedOn w:val="DefaultParagraphFont"/>
    <w:rsid w:val="000B2EAC"/>
  </w:style>
  <w:style w:type="character" w:styleId="CommentReference">
    <w:name w:val="annotation reference"/>
    <w:basedOn w:val="DefaultParagraphFont"/>
    <w:uiPriority w:val="99"/>
    <w:semiHidden/>
    <w:unhideWhenUsed/>
    <w:rsid w:val="00A55EAD"/>
    <w:rPr>
      <w:sz w:val="16"/>
      <w:szCs w:val="16"/>
    </w:rPr>
  </w:style>
  <w:style w:type="paragraph" w:styleId="CommentText">
    <w:name w:val="annotation text"/>
    <w:basedOn w:val="Normal"/>
    <w:link w:val="CommentTextChar"/>
    <w:uiPriority w:val="99"/>
    <w:unhideWhenUsed/>
    <w:rsid w:val="00A55EAD"/>
    <w:rPr>
      <w:sz w:val="20"/>
      <w:szCs w:val="20"/>
    </w:rPr>
  </w:style>
  <w:style w:type="character" w:customStyle="1" w:styleId="CommentTextChar">
    <w:name w:val="Comment Text Char"/>
    <w:basedOn w:val="DefaultParagraphFont"/>
    <w:link w:val="CommentText"/>
    <w:uiPriority w:val="99"/>
    <w:rsid w:val="00A55EAD"/>
    <w:rPr>
      <w:sz w:val="20"/>
      <w:szCs w:val="20"/>
    </w:rPr>
  </w:style>
  <w:style w:type="paragraph" w:styleId="CommentSubject">
    <w:name w:val="annotation subject"/>
    <w:basedOn w:val="CommentText"/>
    <w:next w:val="CommentText"/>
    <w:link w:val="CommentSubjectChar"/>
    <w:uiPriority w:val="99"/>
    <w:semiHidden/>
    <w:unhideWhenUsed/>
    <w:rsid w:val="00A55EAD"/>
    <w:rPr>
      <w:b/>
      <w:bCs/>
    </w:rPr>
  </w:style>
  <w:style w:type="character" w:customStyle="1" w:styleId="CommentSubjectChar">
    <w:name w:val="Comment Subject Char"/>
    <w:basedOn w:val="CommentTextChar"/>
    <w:link w:val="CommentSubject"/>
    <w:uiPriority w:val="99"/>
    <w:semiHidden/>
    <w:rsid w:val="00A55EAD"/>
    <w:rPr>
      <w:b/>
      <w:bCs/>
      <w:sz w:val="20"/>
      <w:szCs w:val="20"/>
    </w:rPr>
  </w:style>
  <w:style w:type="character" w:customStyle="1" w:styleId="citation-publication-date">
    <w:name w:val="citation-publication-date"/>
    <w:basedOn w:val="DefaultParagraphFont"/>
    <w:rsid w:val="009A7F46"/>
  </w:style>
  <w:style w:type="character" w:customStyle="1" w:styleId="doi1">
    <w:name w:val="doi1"/>
    <w:basedOn w:val="DefaultParagraphFont"/>
    <w:rsid w:val="009A7F46"/>
  </w:style>
  <w:style w:type="character" w:customStyle="1" w:styleId="ref-journal">
    <w:name w:val="ref-journal"/>
    <w:basedOn w:val="DefaultParagraphFont"/>
    <w:rsid w:val="00043F66"/>
  </w:style>
  <w:style w:type="character" w:customStyle="1" w:styleId="ref-vol">
    <w:name w:val="ref-vol"/>
    <w:basedOn w:val="DefaultParagraphFont"/>
    <w:rsid w:val="00043F66"/>
  </w:style>
  <w:style w:type="paragraph" w:customStyle="1" w:styleId="TableParagraph">
    <w:name w:val="Table Paragraph"/>
    <w:basedOn w:val="Normal"/>
    <w:uiPriority w:val="1"/>
    <w:qFormat/>
    <w:rsid w:val="005179F6"/>
    <w:rPr>
      <w:lang w:val="en-US"/>
    </w:rPr>
  </w:style>
  <w:style w:type="paragraph" w:customStyle="1" w:styleId="Arialheadinglarge">
    <w:name w:val="Arial heading large"/>
    <w:basedOn w:val="Arialheading1"/>
    <w:autoRedefine/>
    <w:uiPriority w:val="1"/>
    <w:rsid w:val="00701B53"/>
    <w:rPr>
      <w:szCs w:val="24"/>
    </w:rPr>
  </w:style>
  <w:style w:type="character" w:styleId="FollowedHyperlink">
    <w:name w:val="FollowedHyperlink"/>
    <w:basedOn w:val="DefaultParagraphFont"/>
    <w:uiPriority w:val="99"/>
    <w:semiHidden/>
    <w:unhideWhenUsed/>
    <w:rsid w:val="000D350F"/>
    <w:rPr>
      <w:color w:val="919191" w:themeColor="followedHyperlink"/>
      <w:u w:val="single"/>
    </w:rPr>
  </w:style>
  <w:style w:type="character" w:customStyle="1" w:styleId="Heading3Char">
    <w:name w:val="Heading 3 Char"/>
    <w:basedOn w:val="DefaultParagraphFont"/>
    <w:link w:val="Heading3"/>
    <w:uiPriority w:val="9"/>
    <w:rsid w:val="005179F6"/>
    <w:rPr>
      <w:rFonts w:asciiTheme="majorHAnsi" w:eastAsiaTheme="majorEastAsia" w:hAnsiTheme="majorHAnsi" w:cstheme="majorBidi"/>
      <w:b/>
      <w:bCs/>
      <w:color w:val="DDDDDD" w:themeColor="accent1"/>
    </w:rPr>
  </w:style>
  <w:style w:type="character" w:customStyle="1" w:styleId="Heading4Char">
    <w:name w:val="Heading 4 Char"/>
    <w:basedOn w:val="DefaultParagraphFont"/>
    <w:link w:val="Heading4"/>
    <w:uiPriority w:val="9"/>
    <w:rsid w:val="005179F6"/>
    <w:rPr>
      <w:rFonts w:asciiTheme="majorHAnsi" w:eastAsiaTheme="majorEastAsia" w:hAnsiTheme="majorHAnsi" w:cstheme="majorBidi"/>
      <w:b/>
      <w:bCs/>
      <w:i/>
      <w:iCs/>
      <w:color w:val="DDDDDD" w:themeColor="accent1"/>
    </w:rPr>
  </w:style>
  <w:style w:type="paragraph" w:styleId="TOC1">
    <w:name w:val="toc 1"/>
    <w:basedOn w:val="Normal"/>
    <w:next w:val="Normal"/>
    <w:autoRedefine/>
    <w:uiPriority w:val="39"/>
    <w:unhideWhenUsed/>
    <w:qFormat/>
    <w:rsid w:val="00DE3603"/>
    <w:pPr>
      <w:tabs>
        <w:tab w:val="right" w:leader="dot" w:pos="9639"/>
      </w:tabs>
      <w:spacing w:after="100"/>
    </w:pPr>
  </w:style>
  <w:style w:type="paragraph" w:styleId="TOC2">
    <w:name w:val="toc 2"/>
    <w:basedOn w:val="Normal"/>
    <w:next w:val="Normal"/>
    <w:autoRedefine/>
    <w:uiPriority w:val="39"/>
    <w:unhideWhenUsed/>
    <w:qFormat/>
    <w:rsid w:val="005179F6"/>
    <w:pPr>
      <w:spacing w:after="100"/>
      <w:ind w:left="220"/>
    </w:pPr>
  </w:style>
  <w:style w:type="paragraph" w:styleId="Header">
    <w:name w:val="header"/>
    <w:basedOn w:val="Normal"/>
    <w:link w:val="HeaderChar"/>
    <w:uiPriority w:val="99"/>
    <w:unhideWhenUsed/>
    <w:rsid w:val="00F74586"/>
    <w:pPr>
      <w:tabs>
        <w:tab w:val="center" w:pos="4513"/>
        <w:tab w:val="right" w:pos="9026"/>
      </w:tabs>
    </w:pPr>
  </w:style>
  <w:style w:type="character" w:customStyle="1" w:styleId="HeaderChar">
    <w:name w:val="Header Char"/>
    <w:basedOn w:val="DefaultParagraphFont"/>
    <w:link w:val="Header"/>
    <w:uiPriority w:val="99"/>
    <w:rsid w:val="00F74586"/>
  </w:style>
  <w:style w:type="paragraph" w:styleId="Footer">
    <w:name w:val="footer"/>
    <w:basedOn w:val="Normal"/>
    <w:link w:val="FooterChar"/>
    <w:uiPriority w:val="99"/>
    <w:unhideWhenUsed/>
    <w:rsid w:val="00F74586"/>
    <w:pPr>
      <w:tabs>
        <w:tab w:val="center" w:pos="4513"/>
        <w:tab w:val="right" w:pos="9026"/>
      </w:tabs>
    </w:pPr>
  </w:style>
  <w:style w:type="character" w:customStyle="1" w:styleId="FooterChar">
    <w:name w:val="Footer Char"/>
    <w:basedOn w:val="DefaultParagraphFont"/>
    <w:link w:val="Footer"/>
    <w:uiPriority w:val="99"/>
    <w:rsid w:val="00F74586"/>
  </w:style>
  <w:style w:type="paragraph" w:customStyle="1" w:styleId="Pa26">
    <w:name w:val="Pa26"/>
    <w:basedOn w:val="Normal"/>
    <w:next w:val="Normal"/>
    <w:uiPriority w:val="99"/>
    <w:rsid w:val="00C866BA"/>
    <w:pPr>
      <w:widowControl/>
      <w:autoSpaceDE w:val="0"/>
      <w:autoSpaceDN w:val="0"/>
      <w:adjustRightInd w:val="0"/>
      <w:spacing w:line="181" w:lineRule="atLeast"/>
    </w:pPr>
    <w:rPr>
      <w:rFonts w:ascii="TitilliumText22L Lt" w:hAnsi="TitilliumText22L Lt"/>
      <w:sz w:val="24"/>
      <w:szCs w:val="24"/>
    </w:rPr>
  </w:style>
  <w:style w:type="paragraph" w:styleId="EndnoteText">
    <w:name w:val="endnote text"/>
    <w:basedOn w:val="Normal"/>
    <w:link w:val="EndnoteTextChar"/>
    <w:uiPriority w:val="99"/>
    <w:semiHidden/>
    <w:unhideWhenUsed/>
    <w:rsid w:val="009D7E40"/>
    <w:rPr>
      <w:sz w:val="20"/>
      <w:szCs w:val="20"/>
    </w:rPr>
  </w:style>
  <w:style w:type="character" w:customStyle="1" w:styleId="EndnoteTextChar">
    <w:name w:val="Endnote Text Char"/>
    <w:basedOn w:val="DefaultParagraphFont"/>
    <w:link w:val="EndnoteText"/>
    <w:uiPriority w:val="99"/>
    <w:semiHidden/>
    <w:rsid w:val="009D7E40"/>
    <w:rPr>
      <w:sz w:val="20"/>
      <w:szCs w:val="20"/>
    </w:rPr>
  </w:style>
  <w:style w:type="character" w:styleId="EndnoteReference">
    <w:name w:val="endnote reference"/>
    <w:basedOn w:val="DefaultParagraphFont"/>
    <w:uiPriority w:val="99"/>
    <w:semiHidden/>
    <w:unhideWhenUsed/>
    <w:rsid w:val="009D7E40"/>
    <w:rPr>
      <w:vertAlign w:val="superscript"/>
    </w:rPr>
  </w:style>
  <w:style w:type="paragraph" w:styleId="FootnoteText">
    <w:name w:val="footnote text"/>
    <w:basedOn w:val="Normal"/>
    <w:link w:val="FootnoteTextChar"/>
    <w:uiPriority w:val="99"/>
    <w:semiHidden/>
    <w:unhideWhenUsed/>
    <w:rsid w:val="009D7E40"/>
    <w:rPr>
      <w:sz w:val="20"/>
      <w:szCs w:val="20"/>
    </w:rPr>
  </w:style>
  <w:style w:type="character" w:customStyle="1" w:styleId="FootnoteTextChar">
    <w:name w:val="Footnote Text Char"/>
    <w:basedOn w:val="DefaultParagraphFont"/>
    <w:link w:val="FootnoteText"/>
    <w:uiPriority w:val="99"/>
    <w:semiHidden/>
    <w:rsid w:val="009D7E40"/>
    <w:rPr>
      <w:sz w:val="20"/>
      <w:szCs w:val="20"/>
    </w:rPr>
  </w:style>
  <w:style w:type="character" w:styleId="FootnoteReference">
    <w:name w:val="footnote reference"/>
    <w:basedOn w:val="DefaultParagraphFont"/>
    <w:uiPriority w:val="99"/>
    <w:semiHidden/>
    <w:unhideWhenUsed/>
    <w:rsid w:val="009D7E40"/>
    <w:rPr>
      <w:vertAlign w:val="superscript"/>
    </w:rPr>
  </w:style>
  <w:style w:type="table" w:styleId="LightShading">
    <w:name w:val="Light Shading"/>
    <w:basedOn w:val="TableNormal"/>
    <w:uiPriority w:val="60"/>
    <w:rsid w:val="00BD0B1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Style1">
    <w:name w:val="Style1"/>
    <w:basedOn w:val="TableNormal"/>
    <w:uiPriority w:val="99"/>
    <w:rsid w:val="009C0295"/>
    <w:pPr>
      <w:spacing w:after="0" w:line="240" w:lineRule="auto"/>
    </w:pPr>
    <w:tblPr/>
  </w:style>
  <w:style w:type="character" w:customStyle="1" w:styleId="Heading5Char">
    <w:name w:val="Heading 5 Char"/>
    <w:basedOn w:val="DefaultParagraphFont"/>
    <w:link w:val="Heading5"/>
    <w:uiPriority w:val="9"/>
    <w:semiHidden/>
    <w:rsid w:val="005179F6"/>
    <w:rPr>
      <w:rFonts w:asciiTheme="majorHAnsi" w:eastAsiaTheme="majorEastAsia" w:hAnsiTheme="majorHAnsi" w:cstheme="majorBidi"/>
      <w:color w:val="6E6E6E" w:themeColor="accent1" w:themeShade="7F"/>
    </w:rPr>
  </w:style>
  <w:style w:type="character" w:customStyle="1" w:styleId="Heading6Char">
    <w:name w:val="Heading 6 Char"/>
    <w:basedOn w:val="DefaultParagraphFont"/>
    <w:link w:val="Heading6"/>
    <w:uiPriority w:val="9"/>
    <w:semiHidden/>
    <w:rsid w:val="005179F6"/>
    <w:rPr>
      <w:rFonts w:asciiTheme="majorHAnsi" w:eastAsiaTheme="majorEastAsia" w:hAnsiTheme="majorHAnsi" w:cstheme="majorBidi"/>
      <w:i/>
      <w:iCs/>
      <w:color w:val="6E6E6E" w:themeColor="accent1" w:themeShade="7F"/>
    </w:rPr>
  </w:style>
  <w:style w:type="character" w:customStyle="1" w:styleId="Heading7Char">
    <w:name w:val="Heading 7 Char"/>
    <w:basedOn w:val="DefaultParagraphFont"/>
    <w:link w:val="Heading7"/>
    <w:uiPriority w:val="9"/>
    <w:semiHidden/>
    <w:rsid w:val="005179F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5179F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5179F6"/>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5179F6"/>
    <w:pPr>
      <w:pBdr>
        <w:bottom w:val="single" w:sz="8" w:space="4" w:color="DDDDDD" w:themeColor="accent1"/>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5179F6"/>
    <w:rPr>
      <w:rFonts w:asciiTheme="majorHAnsi" w:eastAsiaTheme="majorEastAsia" w:hAnsiTheme="majorHAnsi" w:cstheme="majorBidi"/>
      <w:color w:val="000000" w:themeColor="text2" w:themeShade="BF"/>
      <w:spacing w:val="5"/>
      <w:kern w:val="28"/>
      <w:sz w:val="52"/>
      <w:szCs w:val="52"/>
    </w:rPr>
  </w:style>
  <w:style w:type="paragraph" w:styleId="Subtitle">
    <w:name w:val="Subtitle"/>
    <w:basedOn w:val="Normal"/>
    <w:next w:val="Normal"/>
    <w:link w:val="SubtitleChar"/>
    <w:uiPriority w:val="11"/>
    <w:qFormat/>
    <w:rsid w:val="005179F6"/>
    <w:pPr>
      <w:numPr>
        <w:ilvl w:val="1"/>
      </w:numPr>
    </w:pPr>
    <w:rPr>
      <w:rFonts w:asciiTheme="majorHAnsi" w:eastAsiaTheme="majorEastAsia" w:hAnsiTheme="majorHAnsi" w:cstheme="majorBidi"/>
      <w:i/>
      <w:iCs/>
      <w:color w:val="DDDDDD" w:themeColor="accent1"/>
      <w:spacing w:val="15"/>
      <w:sz w:val="24"/>
      <w:szCs w:val="24"/>
    </w:rPr>
  </w:style>
  <w:style w:type="character" w:customStyle="1" w:styleId="SubtitleChar">
    <w:name w:val="Subtitle Char"/>
    <w:basedOn w:val="DefaultParagraphFont"/>
    <w:link w:val="Subtitle"/>
    <w:uiPriority w:val="11"/>
    <w:rsid w:val="005179F6"/>
    <w:rPr>
      <w:rFonts w:asciiTheme="majorHAnsi" w:eastAsiaTheme="majorEastAsia" w:hAnsiTheme="majorHAnsi" w:cstheme="majorBidi"/>
      <w:i/>
      <w:iCs/>
      <w:color w:val="DDDDDD" w:themeColor="accent1"/>
      <w:spacing w:val="15"/>
      <w:sz w:val="24"/>
      <w:szCs w:val="24"/>
    </w:rPr>
  </w:style>
  <w:style w:type="character" w:styleId="Strong">
    <w:name w:val="Strong"/>
    <w:basedOn w:val="DefaultParagraphFont"/>
    <w:uiPriority w:val="22"/>
    <w:qFormat/>
    <w:rsid w:val="005179F6"/>
    <w:rPr>
      <w:b/>
      <w:bCs/>
    </w:rPr>
  </w:style>
  <w:style w:type="paragraph" w:styleId="NoSpacing">
    <w:name w:val="No Spacing"/>
    <w:basedOn w:val="Normal"/>
    <w:uiPriority w:val="1"/>
    <w:qFormat/>
    <w:rsid w:val="005179F6"/>
  </w:style>
  <w:style w:type="paragraph" w:styleId="Quote">
    <w:name w:val="Quote"/>
    <w:basedOn w:val="Normal"/>
    <w:next w:val="Normal"/>
    <w:link w:val="QuoteChar"/>
    <w:uiPriority w:val="29"/>
    <w:qFormat/>
    <w:rsid w:val="005179F6"/>
    <w:rPr>
      <w:i/>
      <w:iCs/>
      <w:color w:val="000000" w:themeColor="text1"/>
    </w:rPr>
  </w:style>
  <w:style w:type="character" w:customStyle="1" w:styleId="QuoteChar">
    <w:name w:val="Quote Char"/>
    <w:basedOn w:val="DefaultParagraphFont"/>
    <w:link w:val="Quote"/>
    <w:uiPriority w:val="29"/>
    <w:rsid w:val="005179F6"/>
    <w:rPr>
      <w:i/>
      <w:iCs/>
      <w:color w:val="000000" w:themeColor="text1"/>
    </w:rPr>
  </w:style>
  <w:style w:type="paragraph" w:styleId="IntenseQuote">
    <w:name w:val="Intense Quote"/>
    <w:basedOn w:val="Normal"/>
    <w:next w:val="Normal"/>
    <w:link w:val="IntenseQuoteChar"/>
    <w:uiPriority w:val="30"/>
    <w:qFormat/>
    <w:rsid w:val="005179F6"/>
    <w:pPr>
      <w:pBdr>
        <w:bottom w:val="single" w:sz="4" w:space="4" w:color="DDDDDD" w:themeColor="accent1"/>
      </w:pBdr>
      <w:spacing w:before="200" w:after="280"/>
      <w:ind w:left="936" w:right="936"/>
    </w:pPr>
    <w:rPr>
      <w:b/>
      <w:bCs/>
      <w:i/>
      <w:iCs/>
      <w:color w:val="DDDDDD" w:themeColor="accent1"/>
    </w:rPr>
  </w:style>
  <w:style w:type="character" w:customStyle="1" w:styleId="IntenseQuoteChar">
    <w:name w:val="Intense Quote Char"/>
    <w:basedOn w:val="DefaultParagraphFont"/>
    <w:link w:val="IntenseQuote"/>
    <w:uiPriority w:val="30"/>
    <w:rsid w:val="005179F6"/>
    <w:rPr>
      <w:b/>
      <w:bCs/>
      <w:i/>
      <w:iCs/>
      <w:color w:val="DDDDDD" w:themeColor="accent1"/>
    </w:rPr>
  </w:style>
  <w:style w:type="character" w:styleId="SubtleEmphasis">
    <w:name w:val="Subtle Emphasis"/>
    <w:uiPriority w:val="19"/>
    <w:qFormat/>
    <w:rsid w:val="005179F6"/>
    <w:rPr>
      <w:i/>
      <w:iCs/>
      <w:color w:val="808080" w:themeColor="text1" w:themeTint="7F"/>
    </w:rPr>
  </w:style>
  <w:style w:type="character" w:styleId="IntenseEmphasis">
    <w:name w:val="Intense Emphasis"/>
    <w:uiPriority w:val="21"/>
    <w:qFormat/>
    <w:rsid w:val="005179F6"/>
    <w:rPr>
      <w:b/>
      <w:bCs/>
      <w:i/>
      <w:iCs/>
      <w:color w:val="DDDDDD" w:themeColor="accent1"/>
    </w:rPr>
  </w:style>
  <w:style w:type="character" w:styleId="SubtleReference">
    <w:name w:val="Subtle Reference"/>
    <w:uiPriority w:val="31"/>
    <w:qFormat/>
    <w:rsid w:val="005179F6"/>
    <w:rPr>
      <w:smallCaps/>
      <w:color w:val="B2B2B2" w:themeColor="accent2"/>
      <w:u w:val="single"/>
    </w:rPr>
  </w:style>
  <w:style w:type="character" w:styleId="IntenseReference">
    <w:name w:val="Intense Reference"/>
    <w:uiPriority w:val="32"/>
    <w:qFormat/>
    <w:rsid w:val="005179F6"/>
    <w:rPr>
      <w:b/>
      <w:bCs/>
      <w:smallCaps/>
      <w:color w:val="B2B2B2" w:themeColor="accent2"/>
      <w:spacing w:val="5"/>
      <w:u w:val="single"/>
    </w:rPr>
  </w:style>
  <w:style w:type="character" w:styleId="BookTitle">
    <w:name w:val="Book Title"/>
    <w:uiPriority w:val="33"/>
    <w:qFormat/>
    <w:rsid w:val="005179F6"/>
    <w:rPr>
      <w:b/>
      <w:bCs/>
      <w:smallCaps/>
      <w:spacing w:val="5"/>
    </w:rPr>
  </w:style>
  <w:style w:type="paragraph" w:styleId="TOCHeading">
    <w:name w:val="TOC Heading"/>
    <w:basedOn w:val="Heading1"/>
    <w:next w:val="Normal"/>
    <w:uiPriority w:val="39"/>
    <w:unhideWhenUsed/>
    <w:qFormat/>
    <w:rsid w:val="005179F6"/>
    <w:pPr>
      <w:widowControl/>
      <w:spacing w:line="276" w:lineRule="auto"/>
      <w:outlineLvl w:val="9"/>
    </w:pPr>
    <w:rPr>
      <w:lang w:val="en-US" w:eastAsia="ja-JP"/>
    </w:rPr>
  </w:style>
  <w:style w:type="paragraph" w:styleId="Caption">
    <w:name w:val="caption"/>
    <w:basedOn w:val="Normal"/>
    <w:next w:val="Normal"/>
    <w:uiPriority w:val="35"/>
    <w:semiHidden/>
    <w:unhideWhenUsed/>
    <w:qFormat/>
    <w:rsid w:val="005179F6"/>
    <w:pPr>
      <w:spacing w:after="200"/>
    </w:pPr>
    <w:rPr>
      <w:b/>
      <w:bCs/>
      <w:color w:val="DDDDDD" w:themeColor="accent1"/>
      <w:sz w:val="18"/>
      <w:szCs w:val="18"/>
    </w:rPr>
  </w:style>
  <w:style w:type="paragraph" w:customStyle="1" w:styleId="Arialheading2">
    <w:name w:val="Arial heading 2"/>
    <w:basedOn w:val="Normal"/>
    <w:uiPriority w:val="1"/>
    <w:qFormat/>
    <w:rsid w:val="005179F6"/>
    <w:rPr>
      <w:rFonts w:ascii="Arial" w:hAnsi="Arial" w:cs="Arial"/>
      <w:b/>
      <w:sz w:val="24"/>
    </w:rPr>
  </w:style>
  <w:style w:type="character" w:customStyle="1" w:styleId="Heading2Char1">
    <w:name w:val="Heading 2 Char1"/>
    <w:basedOn w:val="DefaultParagraphFont"/>
    <w:link w:val="Heading2"/>
    <w:uiPriority w:val="9"/>
    <w:rsid w:val="0012219F"/>
    <w:rPr>
      <w:rFonts w:asciiTheme="majorHAnsi" w:hAnsiTheme="majorHAnsi" w:cstheme="majorHAnsi"/>
      <w:b/>
      <w:bCs/>
      <w:sz w:val="24"/>
      <w:szCs w:val="24"/>
    </w:rPr>
  </w:style>
  <w:style w:type="paragraph" w:styleId="TOC3">
    <w:name w:val="toc 3"/>
    <w:basedOn w:val="Normal"/>
    <w:next w:val="Normal"/>
    <w:autoRedefine/>
    <w:uiPriority w:val="39"/>
    <w:unhideWhenUsed/>
    <w:qFormat/>
    <w:rsid w:val="005179F6"/>
    <w:pPr>
      <w:spacing w:after="100"/>
      <w:ind w:left="440"/>
    </w:pPr>
  </w:style>
  <w:style w:type="table" w:customStyle="1" w:styleId="TableGrid1">
    <w:name w:val="Table Grid1"/>
    <w:basedOn w:val="TableNormal"/>
    <w:next w:val="TableGrid"/>
    <w:uiPriority w:val="59"/>
    <w:rsid w:val="006E60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ED5363"/>
    <w:pPr>
      <w:widowControl/>
    </w:pPr>
    <w:rPr>
      <w:rFonts w:ascii="Consolas" w:hAnsi="Consolas" w:cs="Consolas"/>
      <w:sz w:val="21"/>
      <w:szCs w:val="21"/>
      <w:lang w:eastAsia="en-AU"/>
    </w:rPr>
  </w:style>
  <w:style w:type="character" w:customStyle="1" w:styleId="PlainTextChar">
    <w:name w:val="Plain Text Char"/>
    <w:basedOn w:val="DefaultParagraphFont"/>
    <w:link w:val="PlainText"/>
    <w:uiPriority w:val="99"/>
    <w:rsid w:val="00ED5363"/>
    <w:rPr>
      <w:rFonts w:ascii="Consolas" w:hAnsi="Consolas" w:cs="Consolas"/>
      <w:sz w:val="21"/>
      <w:szCs w:val="21"/>
      <w:lang w:eastAsia="en-AU"/>
    </w:rPr>
  </w:style>
  <w:style w:type="paragraph" w:styleId="Revision">
    <w:name w:val="Revision"/>
    <w:hidden/>
    <w:uiPriority w:val="99"/>
    <w:semiHidden/>
    <w:rsid w:val="008539E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354526">
      <w:bodyDiv w:val="1"/>
      <w:marLeft w:val="0"/>
      <w:marRight w:val="0"/>
      <w:marTop w:val="0"/>
      <w:marBottom w:val="0"/>
      <w:divBdr>
        <w:top w:val="none" w:sz="0" w:space="0" w:color="auto"/>
        <w:left w:val="none" w:sz="0" w:space="0" w:color="auto"/>
        <w:bottom w:val="none" w:sz="0" w:space="0" w:color="auto"/>
        <w:right w:val="none" w:sz="0" w:space="0" w:color="auto"/>
      </w:divBdr>
    </w:div>
    <w:div w:id="201788193">
      <w:bodyDiv w:val="1"/>
      <w:marLeft w:val="0"/>
      <w:marRight w:val="0"/>
      <w:marTop w:val="0"/>
      <w:marBottom w:val="0"/>
      <w:divBdr>
        <w:top w:val="none" w:sz="0" w:space="0" w:color="auto"/>
        <w:left w:val="none" w:sz="0" w:space="0" w:color="auto"/>
        <w:bottom w:val="none" w:sz="0" w:space="0" w:color="auto"/>
        <w:right w:val="none" w:sz="0" w:space="0" w:color="auto"/>
      </w:divBdr>
    </w:div>
    <w:div w:id="255022630">
      <w:bodyDiv w:val="1"/>
      <w:marLeft w:val="0"/>
      <w:marRight w:val="0"/>
      <w:marTop w:val="0"/>
      <w:marBottom w:val="0"/>
      <w:divBdr>
        <w:top w:val="none" w:sz="0" w:space="0" w:color="auto"/>
        <w:left w:val="none" w:sz="0" w:space="0" w:color="auto"/>
        <w:bottom w:val="none" w:sz="0" w:space="0" w:color="auto"/>
        <w:right w:val="none" w:sz="0" w:space="0" w:color="auto"/>
      </w:divBdr>
      <w:divsChild>
        <w:div w:id="1774545838">
          <w:marLeft w:val="0"/>
          <w:marRight w:val="0"/>
          <w:marTop w:val="0"/>
          <w:marBottom w:val="0"/>
          <w:divBdr>
            <w:top w:val="none" w:sz="0" w:space="0" w:color="auto"/>
            <w:left w:val="none" w:sz="0" w:space="0" w:color="auto"/>
            <w:bottom w:val="none" w:sz="0" w:space="0" w:color="auto"/>
            <w:right w:val="none" w:sz="0" w:space="0" w:color="auto"/>
          </w:divBdr>
          <w:divsChild>
            <w:div w:id="143357656">
              <w:marLeft w:val="0"/>
              <w:marRight w:val="0"/>
              <w:marTop w:val="0"/>
              <w:marBottom w:val="0"/>
              <w:divBdr>
                <w:top w:val="none" w:sz="0" w:space="0" w:color="auto"/>
                <w:left w:val="none" w:sz="0" w:space="0" w:color="auto"/>
                <w:bottom w:val="none" w:sz="0" w:space="0" w:color="auto"/>
                <w:right w:val="none" w:sz="0" w:space="0" w:color="auto"/>
              </w:divBdr>
              <w:divsChild>
                <w:div w:id="1825779866">
                  <w:marLeft w:val="0"/>
                  <w:marRight w:val="0"/>
                  <w:marTop w:val="0"/>
                  <w:marBottom w:val="0"/>
                  <w:divBdr>
                    <w:top w:val="none" w:sz="0" w:space="0" w:color="auto"/>
                    <w:left w:val="none" w:sz="0" w:space="0" w:color="auto"/>
                    <w:bottom w:val="none" w:sz="0" w:space="0" w:color="auto"/>
                    <w:right w:val="none" w:sz="0" w:space="0" w:color="auto"/>
                  </w:divBdr>
                  <w:divsChild>
                    <w:div w:id="710617050">
                      <w:marLeft w:val="0"/>
                      <w:marRight w:val="0"/>
                      <w:marTop w:val="0"/>
                      <w:marBottom w:val="0"/>
                      <w:divBdr>
                        <w:top w:val="none" w:sz="0" w:space="0" w:color="auto"/>
                        <w:left w:val="none" w:sz="0" w:space="0" w:color="auto"/>
                        <w:bottom w:val="none" w:sz="0" w:space="0" w:color="auto"/>
                        <w:right w:val="none" w:sz="0" w:space="0" w:color="auto"/>
                      </w:divBdr>
                      <w:divsChild>
                        <w:div w:id="1713378186">
                          <w:marLeft w:val="0"/>
                          <w:marRight w:val="0"/>
                          <w:marTop w:val="0"/>
                          <w:marBottom w:val="0"/>
                          <w:divBdr>
                            <w:top w:val="none" w:sz="0" w:space="0" w:color="auto"/>
                            <w:left w:val="none" w:sz="0" w:space="0" w:color="auto"/>
                            <w:bottom w:val="none" w:sz="0" w:space="0" w:color="auto"/>
                            <w:right w:val="none" w:sz="0" w:space="0" w:color="auto"/>
                          </w:divBdr>
                          <w:divsChild>
                            <w:div w:id="1185746067">
                              <w:marLeft w:val="0"/>
                              <w:marRight w:val="0"/>
                              <w:marTop w:val="0"/>
                              <w:marBottom w:val="0"/>
                              <w:divBdr>
                                <w:top w:val="none" w:sz="0" w:space="0" w:color="auto"/>
                                <w:left w:val="none" w:sz="0" w:space="0" w:color="auto"/>
                                <w:bottom w:val="none" w:sz="0" w:space="0" w:color="auto"/>
                                <w:right w:val="none" w:sz="0" w:space="0" w:color="auto"/>
                              </w:divBdr>
                              <w:divsChild>
                                <w:div w:id="985815925">
                                  <w:marLeft w:val="0"/>
                                  <w:marRight w:val="0"/>
                                  <w:marTop w:val="0"/>
                                  <w:marBottom w:val="0"/>
                                  <w:divBdr>
                                    <w:top w:val="none" w:sz="0" w:space="0" w:color="auto"/>
                                    <w:left w:val="none" w:sz="0" w:space="0" w:color="auto"/>
                                    <w:bottom w:val="none" w:sz="0" w:space="0" w:color="auto"/>
                                    <w:right w:val="none" w:sz="0" w:space="0" w:color="auto"/>
                                  </w:divBdr>
                                  <w:divsChild>
                                    <w:div w:id="311107471">
                                      <w:marLeft w:val="0"/>
                                      <w:marRight w:val="0"/>
                                      <w:marTop w:val="0"/>
                                      <w:marBottom w:val="0"/>
                                      <w:divBdr>
                                        <w:top w:val="none" w:sz="0" w:space="0" w:color="auto"/>
                                        <w:left w:val="none" w:sz="0" w:space="0" w:color="auto"/>
                                        <w:bottom w:val="none" w:sz="0" w:space="0" w:color="auto"/>
                                        <w:right w:val="none" w:sz="0" w:space="0" w:color="auto"/>
                                      </w:divBdr>
                                      <w:divsChild>
                                        <w:div w:id="52001648">
                                          <w:marLeft w:val="0"/>
                                          <w:marRight w:val="0"/>
                                          <w:marTop w:val="0"/>
                                          <w:marBottom w:val="0"/>
                                          <w:divBdr>
                                            <w:top w:val="none" w:sz="0" w:space="0" w:color="auto"/>
                                            <w:left w:val="none" w:sz="0" w:space="0" w:color="auto"/>
                                            <w:bottom w:val="none" w:sz="0" w:space="0" w:color="auto"/>
                                            <w:right w:val="none" w:sz="0" w:space="0" w:color="auto"/>
                                          </w:divBdr>
                                          <w:divsChild>
                                            <w:div w:id="290406887">
                                              <w:marLeft w:val="0"/>
                                              <w:marRight w:val="0"/>
                                              <w:marTop w:val="0"/>
                                              <w:marBottom w:val="0"/>
                                              <w:divBdr>
                                                <w:top w:val="none" w:sz="0" w:space="0" w:color="auto"/>
                                                <w:left w:val="none" w:sz="0" w:space="0" w:color="auto"/>
                                                <w:bottom w:val="none" w:sz="0" w:space="0" w:color="auto"/>
                                                <w:right w:val="none" w:sz="0" w:space="0" w:color="auto"/>
                                              </w:divBdr>
                                            </w:div>
                                            <w:div w:id="1748304132">
                                              <w:marLeft w:val="0"/>
                                              <w:marRight w:val="0"/>
                                              <w:marTop w:val="0"/>
                                              <w:marBottom w:val="0"/>
                                              <w:divBdr>
                                                <w:top w:val="none" w:sz="0" w:space="0" w:color="auto"/>
                                                <w:left w:val="none" w:sz="0" w:space="0" w:color="auto"/>
                                                <w:bottom w:val="none" w:sz="0" w:space="0" w:color="auto"/>
                                                <w:right w:val="none" w:sz="0" w:space="0" w:color="auto"/>
                                              </w:divBdr>
                                              <w:divsChild>
                                                <w:div w:id="1690179259">
                                                  <w:marLeft w:val="0"/>
                                                  <w:marRight w:val="0"/>
                                                  <w:marTop w:val="0"/>
                                                  <w:marBottom w:val="0"/>
                                                  <w:divBdr>
                                                    <w:top w:val="none" w:sz="0" w:space="0" w:color="auto"/>
                                                    <w:left w:val="none" w:sz="0" w:space="0" w:color="auto"/>
                                                    <w:bottom w:val="none" w:sz="0" w:space="0" w:color="auto"/>
                                                    <w:right w:val="none" w:sz="0" w:space="0" w:color="auto"/>
                                                  </w:divBdr>
                                                </w:div>
                                                <w:div w:id="47121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1039446">
      <w:bodyDiv w:val="1"/>
      <w:marLeft w:val="0"/>
      <w:marRight w:val="0"/>
      <w:marTop w:val="0"/>
      <w:marBottom w:val="0"/>
      <w:divBdr>
        <w:top w:val="none" w:sz="0" w:space="0" w:color="auto"/>
        <w:left w:val="none" w:sz="0" w:space="0" w:color="auto"/>
        <w:bottom w:val="none" w:sz="0" w:space="0" w:color="auto"/>
        <w:right w:val="none" w:sz="0" w:space="0" w:color="auto"/>
      </w:divBdr>
      <w:divsChild>
        <w:div w:id="1570577942">
          <w:marLeft w:val="0"/>
          <w:marRight w:val="1"/>
          <w:marTop w:val="0"/>
          <w:marBottom w:val="0"/>
          <w:divBdr>
            <w:top w:val="none" w:sz="0" w:space="0" w:color="auto"/>
            <w:left w:val="none" w:sz="0" w:space="0" w:color="auto"/>
            <w:bottom w:val="none" w:sz="0" w:space="0" w:color="auto"/>
            <w:right w:val="none" w:sz="0" w:space="0" w:color="auto"/>
          </w:divBdr>
          <w:divsChild>
            <w:div w:id="767701061">
              <w:marLeft w:val="0"/>
              <w:marRight w:val="0"/>
              <w:marTop w:val="0"/>
              <w:marBottom w:val="0"/>
              <w:divBdr>
                <w:top w:val="none" w:sz="0" w:space="0" w:color="auto"/>
                <w:left w:val="none" w:sz="0" w:space="0" w:color="auto"/>
                <w:bottom w:val="none" w:sz="0" w:space="0" w:color="auto"/>
                <w:right w:val="none" w:sz="0" w:space="0" w:color="auto"/>
              </w:divBdr>
              <w:divsChild>
                <w:div w:id="779109165">
                  <w:marLeft w:val="0"/>
                  <w:marRight w:val="0"/>
                  <w:marTop w:val="0"/>
                  <w:marBottom w:val="0"/>
                  <w:divBdr>
                    <w:top w:val="none" w:sz="0" w:space="0" w:color="auto"/>
                    <w:left w:val="none" w:sz="0" w:space="0" w:color="auto"/>
                    <w:bottom w:val="none" w:sz="0" w:space="0" w:color="auto"/>
                    <w:right w:val="none" w:sz="0" w:space="0" w:color="auto"/>
                  </w:divBdr>
                  <w:divsChild>
                    <w:div w:id="716047188">
                      <w:marLeft w:val="0"/>
                      <w:marRight w:val="0"/>
                      <w:marTop w:val="0"/>
                      <w:marBottom w:val="0"/>
                      <w:divBdr>
                        <w:top w:val="none" w:sz="0" w:space="0" w:color="auto"/>
                        <w:left w:val="none" w:sz="0" w:space="0" w:color="auto"/>
                        <w:bottom w:val="none" w:sz="0" w:space="0" w:color="auto"/>
                        <w:right w:val="none" w:sz="0" w:space="0" w:color="auto"/>
                      </w:divBdr>
                      <w:divsChild>
                        <w:div w:id="1945721003">
                          <w:marLeft w:val="0"/>
                          <w:marRight w:val="0"/>
                          <w:marTop w:val="0"/>
                          <w:marBottom w:val="0"/>
                          <w:divBdr>
                            <w:top w:val="none" w:sz="0" w:space="0" w:color="auto"/>
                            <w:left w:val="none" w:sz="0" w:space="0" w:color="auto"/>
                            <w:bottom w:val="none" w:sz="0" w:space="0" w:color="auto"/>
                            <w:right w:val="none" w:sz="0" w:space="0" w:color="auto"/>
                          </w:divBdr>
                          <w:divsChild>
                            <w:div w:id="1244800342">
                              <w:marLeft w:val="0"/>
                              <w:marRight w:val="0"/>
                              <w:marTop w:val="0"/>
                              <w:marBottom w:val="0"/>
                              <w:divBdr>
                                <w:top w:val="none" w:sz="0" w:space="0" w:color="auto"/>
                                <w:left w:val="none" w:sz="0" w:space="0" w:color="auto"/>
                                <w:bottom w:val="none" w:sz="0" w:space="0" w:color="auto"/>
                                <w:right w:val="none" w:sz="0" w:space="0" w:color="auto"/>
                              </w:divBdr>
                              <w:divsChild>
                                <w:div w:id="2117366010">
                                  <w:marLeft w:val="0"/>
                                  <w:marRight w:val="0"/>
                                  <w:marTop w:val="185"/>
                                  <w:marBottom w:val="517"/>
                                  <w:divBdr>
                                    <w:top w:val="single" w:sz="36" w:space="6" w:color="97B0C8"/>
                                    <w:left w:val="none" w:sz="0" w:space="0" w:color="auto"/>
                                    <w:bottom w:val="none" w:sz="0" w:space="0" w:color="auto"/>
                                    <w:right w:val="none" w:sz="0" w:space="0" w:color="auto"/>
                                  </w:divBdr>
                                  <w:divsChild>
                                    <w:div w:id="1199122788">
                                      <w:marLeft w:val="0"/>
                                      <w:marRight w:val="0"/>
                                      <w:marTop w:val="0"/>
                                      <w:marBottom w:val="0"/>
                                      <w:divBdr>
                                        <w:top w:val="none" w:sz="0" w:space="0" w:color="auto"/>
                                        <w:left w:val="none" w:sz="0" w:space="0" w:color="auto"/>
                                        <w:bottom w:val="none" w:sz="0" w:space="0" w:color="auto"/>
                                        <w:right w:val="none" w:sz="0" w:space="0" w:color="auto"/>
                                      </w:divBdr>
                                      <w:divsChild>
                                        <w:div w:id="1653414282">
                                          <w:marLeft w:val="0"/>
                                          <w:marRight w:val="0"/>
                                          <w:marTop w:val="0"/>
                                          <w:marBottom w:val="0"/>
                                          <w:divBdr>
                                            <w:top w:val="none" w:sz="0" w:space="0" w:color="auto"/>
                                            <w:left w:val="none" w:sz="0" w:space="0" w:color="auto"/>
                                            <w:bottom w:val="none" w:sz="0" w:space="0" w:color="auto"/>
                                            <w:right w:val="none" w:sz="0" w:space="0" w:color="auto"/>
                                          </w:divBdr>
                                          <w:divsChild>
                                            <w:div w:id="495388605">
                                              <w:marLeft w:val="0"/>
                                              <w:marRight w:val="0"/>
                                              <w:marTop w:val="0"/>
                                              <w:marBottom w:val="0"/>
                                              <w:divBdr>
                                                <w:top w:val="none" w:sz="0" w:space="0" w:color="auto"/>
                                                <w:left w:val="none" w:sz="0" w:space="0" w:color="auto"/>
                                                <w:bottom w:val="none" w:sz="0" w:space="0" w:color="auto"/>
                                                <w:right w:val="none" w:sz="0" w:space="0" w:color="auto"/>
                                              </w:divBdr>
                                              <w:divsChild>
                                                <w:div w:id="185602360">
                                                  <w:marLeft w:val="0"/>
                                                  <w:marRight w:val="0"/>
                                                  <w:marTop w:val="9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1628991">
      <w:bodyDiv w:val="1"/>
      <w:marLeft w:val="0"/>
      <w:marRight w:val="0"/>
      <w:marTop w:val="0"/>
      <w:marBottom w:val="0"/>
      <w:divBdr>
        <w:top w:val="none" w:sz="0" w:space="0" w:color="auto"/>
        <w:left w:val="none" w:sz="0" w:space="0" w:color="auto"/>
        <w:bottom w:val="none" w:sz="0" w:space="0" w:color="auto"/>
        <w:right w:val="none" w:sz="0" w:space="0" w:color="auto"/>
      </w:divBdr>
    </w:div>
    <w:div w:id="1675649023">
      <w:bodyDiv w:val="1"/>
      <w:marLeft w:val="0"/>
      <w:marRight w:val="0"/>
      <w:marTop w:val="0"/>
      <w:marBottom w:val="0"/>
      <w:divBdr>
        <w:top w:val="none" w:sz="0" w:space="0" w:color="auto"/>
        <w:left w:val="none" w:sz="0" w:space="0" w:color="auto"/>
        <w:bottom w:val="none" w:sz="0" w:space="0" w:color="auto"/>
        <w:right w:val="none" w:sz="0" w:space="0" w:color="auto"/>
      </w:divBdr>
      <w:divsChild>
        <w:div w:id="1602101409">
          <w:marLeft w:val="0"/>
          <w:marRight w:val="0"/>
          <w:marTop w:val="150"/>
          <w:marBottom w:val="0"/>
          <w:divBdr>
            <w:top w:val="none" w:sz="0" w:space="0" w:color="auto"/>
            <w:left w:val="none" w:sz="0" w:space="0" w:color="auto"/>
            <w:bottom w:val="none" w:sz="0" w:space="0" w:color="auto"/>
            <w:right w:val="none" w:sz="0" w:space="0" w:color="auto"/>
          </w:divBdr>
          <w:divsChild>
            <w:div w:id="603073598">
              <w:marLeft w:val="0"/>
              <w:marRight w:val="0"/>
              <w:marTop w:val="0"/>
              <w:marBottom w:val="0"/>
              <w:divBdr>
                <w:top w:val="none" w:sz="0" w:space="0" w:color="auto"/>
                <w:left w:val="none" w:sz="0" w:space="0" w:color="auto"/>
                <w:bottom w:val="none" w:sz="0" w:space="0" w:color="auto"/>
                <w:right w:val="none" w:sz="0" w:space="0" w:color="auto"/>
              </w:divBdr>
              <w:divsChild>
                <w:div w:id="1651326344">
                  <w:marLeft w:val="0"/>
                  <w:marRight w:val="0"/>
                  <w:marTop w:val="0"/>
                  <w:marBottom w:val="0"/>
                  <w:divBdr>
                    <w:top w:val="none" w:sz="0" w:space="0" w:color="auto"/>
                    <w:left w:val="none" w:sz="0" w:space="0" w:color="auto"/>
                    <w:bottom w:val="none" w:sz="0" w:space="0" w:color="auto"/>
                    <w:right w:val="none" w:sz="0" w:space="0" w:color="auto"/>
                  </w:divBdr>
                  <w:divsChild>
                    <w:div w:id="128058030">
                      <w:marLeft w:val="0"/>
                      <w:marRight w:val="0"/>
                      <w:marTop w:val="168"/>
                      <w:marBottom w:val="0"/>
                      <w:divBdr>
                        <w:top w:val="none" w:sz="0" w:space="0" w:color="auto"/>
                        <w:left w:val="none" w:sz="0" w:space="0" w:color="auto"/>
                        <w:bottom w:val="none" w:sz="0" w:space="0" w:color="auto"/>
                        <w:right w:val="none" w:sz="0" w:space="0" w:color="auto"/>
                      </w:divBdr>
                      <w:divsChild>
                        <w:div w:id="27297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0369632">
      <w:bodyDiv w:val="1"/>
      <w:marLeft w:val="0"/>
      <w:marRight w:val="0"/>
      <w:marTop w:val="0"/>
      <w:marBottom w:val="0"/>
      <w:divBdr>
        <w:top w:val="none" w:sz="0" w:space="0" w:color="auto"/>
        <w:left w:val="none" w:sz="0" w:space="0" w:color="auto"/>
        <w:bottom w:val="none" w:sz="0" w:space="0" w:color="auto"/>
        <w:right w:val="none" w:sz="0" w:space="0" w:color="auto"/>
      </w:divBdr>
    </w:div>
    <w:div w:id="1899827989">
      <w:bodyDiv w:val="1"/>
      <w:marLeft w:val="0"/>
      <w:marRight w:val="0"/>
      <w:marTop w:val="0"/>
      <w:marBottom w:val="0"/>
      <w:divBdr>
        <w:top w:val="none" w:sz="0" w:space="0" w:color="auto"/>
        <w:left w:val="none" w:sz="0" w:space="0" w:color="auto"/>
        <w:bottom w:val="none" w:sz="0" w:space="0" w:color="auto"/>
        <w:right w:val="none" w:sz="0" w:space="0" w:color="auto"/>
      </w:divBdr>
    </w:div>
    <w:div w:id="1908110383">
      <w:bodyDiv w:val="1"/>
      <w:marLeft w:val="0"/>
      <w:marRight w:val="0"/>
      <w:marTop w:val="0"/>
      <w:marBottom w:val="0"/>
      <w:divBdr>
        <w:top w:val="none" w:sz="0" w:space="0" w:color="auto"/>
        <w:left w:val="none" w:sz="0" w:space="0" w:color="auto"/>
        <w:bottom w:val="none" w:sz="0" w:space="0" w:color="auto"/>
        <w:right w:val="none" w:sz="0" w:space="0" w:color="auto"/>
      </w:divBdr>
      <w:divsChild>
        <w:div w:id="1045063113">
          <w:marLeft w:val="0"/>
          <w:marRight w:val="0"/>
          <w:marTop w:val="150"/>
          <w:marBottom w:val="0"/>
          <w:divBdr>
            <w:top w:val="none" w:sz="0" w:space="0" w:color="auto"/>
            <w:left w:val="none" w:sz="0" w:space="0" w:color="auto"/>
            <w:bottom w:val="none" w:sz="0" w:space="0" w:color="auto"/>
            <w:right w:val="none" w:sz="0" w:space="0" w:color="auto"/>
          </w:divBdr>
          <w:divsChild>
            <w:div w:id="1546717136">
              <w:marLeft w:val="0"/>
              <w:marRight w:val="0"/>
              <w:marTop w:val="0"/>
              <w:marBottom w:val="0"/>
              <w:divBdr>
                <w:top w:val="none" w:sz="0" w:space="0" w:color="auto"/>
                <w:left w:val="none" w:sz="0" w:space="0" w:color="auto"/>
                <w:bottom w:val="none" w:sz="0" w:space="0" w:color="auto"/>
                <w:right w:val="none" w:sz="0" w:space="0" w:color="auto"/>
              </w:divBdr>
              <w:divsChild>
                <w:div w:id="524369933">
                  <w:marLeft w:val="0"/>
                  <w:marRight w:val="0"/>
                  <w:marTop w:val="0"/>
                  <w:marBottom w:val="0"/>
                  <w:divBdr>
                    <w:top w:val="none" w:sz="0" w:space="0" w:color="auto"/>
                    <w:left w:val="none" w:sz="0" w:space="0" w:color="auto"/>
                    <w:bottom w:val="none" w:sz="0" w:space="0" w:color="auto"/>
                    <w:right w:val="none" w:sz="0" w:space="0" w:color="auto"/>
                  </w:divBdr>
                  <w:divsChild>
                    <w:div w:id="922378448">
                      <w:marLeft w:val="0"/>
                      <w:marRight w:val="0"/>
                      <w:marTop w:val="168"/>
                      <w:marBottom w:val="0"/>
                      <w:divBdr>
                        <w:top w:val="none" w:sz="0" w:space="0" w:color="auto"/>
                        <w:left w:val="none" w:sz="0" w:space="0" w:color="auto"/>
                        <w:bottom w:val="none" w:sz="0" w:space="0" w:color="auto"/>
                        <w:right w:val="none" w:sz="0" w:space="0" w:color="auto"/>
                      </w:divBdr>
                      <w:divsChild>
                        <w:div w:id="98304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9696073">
      <w:bodyDiv w:val="1"/>
      <w:marLeft w:val="0"/>
      <w:marRight w:val="0"/>
      <w:marTop w:val="0"/>
      <w:marBottom w:val="0"/>
      <w:divBdr>
        <w:top w:val="none" w:sz="0" w:space="0" w:color="auto"/>
        <w:left w:val="none" w:sz="0" w:space="0" w:color="auto"/>
        <w:bottom w:val="none" w:sz="0" w:space="0" w:color="auto"/>
        <w:right w:val="none" w:sz="0" w:space="0" w:color="auto"/>
      </w:divBdr>
      <w:divsChild>
        <w:div w:id="685329683">
          <w:marLeft w:val="0"/>
          <w:marRight w:val="0"/>
          <w:marTop w:val="150"/>
          <w:marBottom w:val="0"/>
          <w:divBdr>
            <w:top w:val="none" w:sz="0" w:space="0" w:color="auto"/>
            <w:left w:val="none" w:sz="0" w:space="0" w:color="auto"/>
            <w:bottom w:val="none" w:sz="0" w:space="0" w:color="auto"/>
            <w:right w:val="none" w:sz="0" w:space="0" w:color="auto"/>
          </w:divBdr>
          <w:divsChild>
            <w:div w:id="1532261739">
              <w:marLeft w:val="0"/>
              <w:marRight w:val="0"/>
              <w:marTop w:val="0"/>
              <w:marBottom w:val="0"/>
              <w:divBdr>
                <w:top w:val="none" w:sz="0" w:space="0" w:color="auto"/>
                <w:left w:val="none" w:sz="0" w:space="0" w:color="auto"/>
                <w:bottom w:val="none" w:sz="0" w:space="0" w:color="auto"/>
                <w:right w:val="none" w:sz="0" w:space="0" w:color="auto"/>
              </w:divBdr>
              <w:divsChild>
                <w:div w:id="1726172515">
                  <w:marLeft w:val="0"/>
                  <w:marRight w:val="0"/>
                  <w:marTop w:val="0"/>
                  <w:marBottom w:val="0"/>
                  <w:divBdr>
                    <w:top w:val="none" w:sz="0" w:space="0" w:color="auto"/>
                    <w:left w:val="none" w:sz="0" w:space="0" w:color="auto"/>
                    <w:bottom w:val="none" w:sz="0" w:space="0" w:color="auto"/>
                    <w:right w:val="none" w:sz="0" w:space="0" w:color="auto"/>
                  </w:divBdr>
                  <w:divsChild>
                    <w:div w:id="1220288150">
                      <w:marLeft w:val="0"/>
                      <w:marRight w:val="0"/>
                      <w:marTop w:val="168"/>
                      <w:marBottom w:val="0"/>
                      <w:divBdr>
                        <w:top w:val="none" w:sz="0" w:space="0" w:color="auto"/>
                        <w:left w:val="none" w:sz="0" w:space="0" w:color="auto"/>
                        <w:bottom w:val="none" w:sz="0" w:space="0" w:color="auto"/>
                        <w:right w:val="none" w:sz="0" w:space="0" w:color="auto"/>
                      </w:divBdr>
                      <w:divsChild>
                        <w:div w:id="114885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creativecommons.org/licenses/by/3.0/au/legalcode" TargetMode="External"/><Relationship Id="rId18" Type="http://schemas.openxmlformats.org/officeDocument/2006/relationships/hyperlink" Target="http://www.hematology.org/Clinicians/Guidelines-Quality/Quick-Ref/528.aspx" TargetMode="External"/><Relationship Id="rId26" Type="http://schemas.openxmlformats.org/officeDocument/2006/relationships/hyperlink" Target="http://www.annalsthoracicsurgery.org/article/S0003-4975(10)02888-2/abstract" TargetMode="External"/><Relationship Id="rId39" Type="http://schemas.openxmlformats.org/officeDocument/2006/relationships/hyperlink" Target="http://onlinelibrary.wiley.com/doi/10.1111/j.1538-7836.2008.03182.x/full" TargetMode="External"/><Relationship Id="rId21" Type="http://schemas.openxmlformats.org/officeDocument/2006/relationships/hyperlink" Target="https://www.mja.com.au/journal/2013/198/4/update-consensus-guidelines-warfarin-reversal?0=ip_login_no_cache%3D2013f6a9e18c1fc6468552d9d58caa15" TargetMode="External"/><Relationship Id="rId34" Type="http://schemas.openxmlformats.org/officeDocument/2006/relationships/hyperlink" Target="http://www.ncbi.nlm.nih.gov/pmc/articles/PMC3021395/" TargetMode="External"/><Relationship Id="rId42" Type="http://schemas.openxmlformats.org/officeDocument/2006/relationships/hyperlink" Target="http://www.euvwd.group.shef.ac.uk/files/question.pdf" TargetMode="External"/><Relationship Id="rId47" Type="http://schemas.openxmlformats.org/officeDocument/2006/relationships/hyperlink" Target="http://onlinelibrary.wiley.com/doi/10.1111/j.1365-2141.2007.06968.x/full" TargetMode="External"/><Relationship Id="rId50" Type="http://schemas.openxmlformats.org/officeDocument/2006/relationships/hyperlink" Target="http://onlinelibrary.wiley.com/doi/10.1111/imj.12448/abstract?campaign=woletoc" TargetMode="External"/><Relationship Id="rId55" Type="http://schemas.openxmlformats.org/officeDocument/2006/relationships/hyperlink" Target="http://asheducationbook.hematologylibrary.org/content/2012/1/152.long" TargetMode="External"/><Relationship Id="rId63" Type="http://schemas.openxmlformats.org/officeDocument/2006/relationships/hyperlink" Target="http://onlinelibrary.wiley.com/doi/10.1111/j.1538-7836.2005.01663.x/full"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mailto:patientbloodmanagement@blood.gov.au" TargetMode="External"/><Relationship Id="rId20" Type="http://schemas.openxmlformats.org/officeDocument/2006/relationships/hyperlink" Target="http://www.nhmrc.gov.au/guidelines/publications/cam001" TargetMode="External"/><Relationship Id="rId29" Type="http://schemas.openxmlformats.org/officeDocument/2006/relationships/hyperlink" Target="http://onlinelibrary.wiley.com/doi/10.1111/j.1538-7836.2012.04923.x/full" TargetMode="External"/><Relationship Id="rId41" Type="http://schemas.openxmlformats.org/officeDocument/2006/relationships/hyperlink" Target="http://onlinelibrary.wiley.com/doi/10.1111/j.1538-7836.2006.01847.x/full" TargetMode="External"/><Relationship Id="rId54" Type="http://schemas.openxmlformats.org/officeDocument/2006/relationships/hyperlink" Target="http://onlinelibrary.wiley.com/doi/10.1111/j.1538-7836.2012.04923.x/full" TargetMode="External"/><Relationship Id="rId62" Type="http://schemas.openxmlformats.org/officeDocument/2006/relationships/hyperlink" Target="http://onlinelibrary.wiley.com/doi/10.1111/j.1538-7836.2006.01847.x/ful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hyperlink" Target="http://www.ncbi.nlm.nih.gov/pubmed/23656742" TargetMode="External"/><Relationship Id="rId32" Type="http://schemas.openxmlformats.org/officeDocument/2006/relationships/footer" Target="footer2.xml"/><Relationship Id="rId37" Type="http://schemas.openxmlformats.org/officeDocument/2006/relationships/hyperlink" Target="http://onlinelibrary.wiley.com/doi/10.1111/j.1538-7836.2009.03499.x/full" TargetMode="External"/><Relationship Id="rId40" Type="http://schemas.openxmlformats.org/officeDocument/2006/relationships/hyperlink" Target="http://onlinelibrary.wiley.com/store/10.1111/j.1538-7836.2008.03182.x/asset/supinfo/JTH_3182_sm_SuppInfQuestionnaire%20with%20scoring%20key.doc?v=1&amp;s=2aaeb4db2139dd862e42c1c1e45cd59a98c615a2" TargetMode="External"/><Relationship Id="rId45" Type="http://schemas.openxmlformats.org/officeDocument/2006/relationships/hyperlink" Target="http://c.ymcdn.com/sites/www.isth.org/resource/resmgr/ssc/bleeding_type1_vwd.pdf" TargetMode="External"/><Relationship Id="rId53" Type="http://schemas.openxmlformats.org/officeDocument/2006/relationships/hyperlink" Target="http://onlinelibrary.wiley.com/doi/10.1111/bjh.12107/pdf" TargetMode="External"/><Relationship Id="rId58" Type="http://schemas.openxmlformats.org/officeDocument/2006/relationships/hyperlink" Target="http://www.hematology.org/Practice/Guidelines/9342.aspx" TargetMode="External"/><Relationship Id="rId66"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blood.gov.au/" TargetMode="External"/><Relationship Id="rId23" Type="http://schemas.openxmlformats.org/officeDocument/2006/relationships/hyperlink" Target="http://onlinelibrary.wiley.com/doi/10.1111/imj.12448/abstract?campaign=woletoc" TargetMode="External"/><Relationship Id="rId28" Type="http://schemas.openxmlformats.org/officeDocument/2006/relationships/image" Target="media/image5.PNG"/><Relationship Id="rId36" Type="http://schemas.openxmlformats.org/officeDocument/2006/relationships/hyperlink" Target="http://onlinelibrary.wiley.com/store/10.1111/j.1538-7836.2010.03975.x/asset/supinfo/JTH_3975_sm_suppmat.doc?v=1&amp;s=033003e7afb66e635e3d87a0d390fa78cfdd9448" TargetMode="External"/><Relationship Id="rId49" Type="http://schemas.openxmlformats.org/officeDocument/2006/relationships/hyperlink" Target="http://www.blood.gov.au/pbm-module-2" TargetMode="External"/><Relationship Id="rId57" Type="http://schemas.openxmlformats.org/officeDocument/2006/relationships/hyperlink" Target="http://onlinelibrary.wiley.com/doi/10.1111/j.1538-7836.2005.01245.x/full" TargetMode="External"/><Relationship Id="rId61" Type="http://schemas.openxmlformats.org/officeDocument/2006/relationships/hyperlink" Target="http://onlinelibrary.wiley.com/doi/10.1111/j.1538-7836.2008.03182.x/full" TargetMode="External"/><Relationship Id="rId10" Type="http://schemas.openxmlformats.org/officeDocument/2006/relationships/footer" Target="footer1.xml"/><Relationship Id="rId19" Type="http://schemas.openxmlformats.org/officeDocument/2006/relationships/image" Target="media/image3.PNG"/><Relationship Id="rId31" Type="http://schemas.openxmlformats.org/officeDocument/2006/relationships/hyperlink" Target="http://asheducationbook.hematologylibrary.org/content/2012/1/152.long" TargetMode="External"/><Relationship Id="rId44" Type="http://schemas.openxmlformats.org/officeDocument/2006/relationships/hyperlink" Target="http://onlinelibrary.wiley.com/doi/10.1111/j.1538-7836.2005.01663.x/full" TargetMode="External"/><Relationship Id="rId52" Type="http://schemas.openxmlformats.org/officeDocument/2006/relationships/hyperlink" Target="http://journal.publications.chestnet.org/article.aspx?articleid=1085932" TargetMode="External"/><Relationship Id="rId60" Type="http://schemas.openxmlformats.org/officeDocument/2006/relationships/hyperlink" Target="http://onlinelibrary.wiley.com/doi/10.1111/j.1538-7836.2009.03499.x/full" TargetMode="External"/><Relationship Id="rId65"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creativecommons.org/licenses/by/3.0/au/legalcode" TargetMode="External"/><Relationship Id="rId22" Type="http://schemas.openxmlformats.org/officeDocument/2006/relationships/hyperlink" Target="http://journal.publications.chestnet.org/article.aspx?articleid=1085932" TargetMode="External"/><Relationship Id="rId27" Type="http://schemas.openxmlformats.org/officeDocument/2006/relationships/image" Target="media/image4.PNG"/><Relationship Id="rId30" Type="http://schemas.openxmlformats.org/officeDocument/2006/relationships/hyperlink" Target="http://onlinelibrary.wiley.com/store/10.1111/j.1538-7836.2012.04923.x/asset/supinfo/JTH_4923_sm_TableS1.docx?v=1&amp;s=0b8f2c3283b6bd9cd5226e90732bfba389dc0f7c" TargetMode="External"/><Relationship Id="rId35" Type="http://schemas.openxmlformats.org/officeDocument/2006/relationships/hyperlink" Target="http://onlinelibrary.wiley.com/doi/10.1111/j.1538-7836.2010.03975.x/full" TargetMode="External"/><Relationship Id="rId43" Type="http://schemas.openxmlformats.org/officeDocument/2006/relationships/hyperlink" Target="http://www.euvwd.group.shef.ac.uk/files/scoremarch04revision.pdf" TargetMode="External"/><Relationship Id="rId48" Type="http://schemas.openxmlformats.org/officeDocument/2006/relationships/hyperlink" Target="http://www.nhmrc.gov.au/guidelines-publications/cam001" TargetMode="External"/><Relationship Id="rId56" Type="http://schemas.openxmlformats.org/officeDocument/2006/relationships/hyperlink" Target="http://onlinelibrary.wiley.com/doi/10.1111/j.1538-7836.2010.03975.x/full" TargetMode="External"/><Relationship Id="rId64" Type="http://schemas.openxmlformats.org/officeDocument/2006/relationships/hyperlink" Target="http://www0.health.nsw.gov.au/pubs/2002/pdf/cpi_easyguide.pdf" TargetMode="External"/><Relationship Id="rId8" Type="http://schemas.openxmlformats.org/officeDocument/2006/relationships/endnotes" Target="endnotes.xml"/><Relationship Id="rId51" Type="http://schemas.openxmlformats.org/officeDocument/2006/relationships/hyperlink" Target="https://www.mja.com.au/journal/2013/198/4/update-consensus-guidelines-warfarin-reversal?0=ip_login_no_cache%3D2013f6a9e18c1fc6468552d9d58caa15" TargetMode="External"/><Relationship Id="rId3" Type="http://schemas.openxmlformats.org/officeDocument/2006/relationships/styles" Target="styles.xml"/><Relationship Id="rId12" Type="http://schemas.openxmlformats.org/officeDocument/2006/relationships/hyperlink" Target="http://creativecommons.org/" TargetMode="External"/><Relationship Id="rId17" Type="http://schemas.openxmlformats.org/officeDocument/2006/relationships/hyperlink" Target="http://www.blood.gov.au/" TargetMode="External"/><Relationship Id="rId25" Type="http://schemas.openxmlformats.org/officeDocument/2006/relationships/hyperlink" Target="http://onlinelibrary.wiley.com/doi/10.1111/bjh.12107/pdf" TargetMode="External"/><Relationship Id="rId33" Type="http://schemas.openxmlformats.org/officeDocument/2006/relationships/hyperlink" Target="http://www.hematology.org/Practice/Guidelines/9342.aspx" TargetMode="External"/><Relationship Id="rId38" Type="http://schemas.openxmlformats.org/officeDocument/2006/relationships/hyperlink" Target="http://onlinelibrary.wiley.com/store/10.1111/j.1538-7836.2009.03499.x/asset/supinfo/JTH_3499_sm_Pediatric%20Bleeding%20Questionnaire%20and%20scoring%20key.doc?v=1&amp;s=0d50d13c7e096e6b7df6eae864810662f9b1f74a" TargetMode="External"/><Relationship Id="rId46" Type="http://schemas.openxmlformats.org/officeDocument/2006/relationships/hyperlink" Target="http://www.annalsthoracicsurgery.org/article/S0003-4975(10)02888-2/abstract" TargetMode="External"/><Relationship Id="rId59" Type="http://schemas.openxmlformats.org/officeDocument/2006/relationships/hyperlink" Target="http://www.ncbi.nlm.nih.gov/pmc/articles/PMC3021395/"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FD06B0-D0A3-4AF8-BC22-E5C76B6C6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5869</Words>
  <Characters>36215</Characters>
  <Application>Microsoft Office Word</Application>
  <DocSecurity>0</DocSecurity>
  <Lines>896</Lines>
  <Paragraphs>322</Paragraphs>
  <ScaleCrop>false</ScaleCrop>
  <HeadingPairs>
    <vt:vector size="2" baseType="variant">
      <vt:variant>
        <vt:lpstr>Title</vt:lpstr>
      </vt:variant>
      <vt:variant>
        <vt:i4>1</vt:i4>
      </vt:variant>
    </vt:vector>
  </HeadingPairs>
  <TitlesOfParts>
    <vt:vector size="1" baseType="lpstr">
      <vt:lpstr/>
    </vt:vector>
  </TitlesOfParts>
  <Company>Australian Red Cross Blood Service</Company>
  <LinksUpToDate>false</LinksUpToDate>
  <CharactersWithSpaces>41821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sminck</dc:creator>
  <cp:lastModifiedBy>Little, Rennay</cp:lastModifiedBy>
  <cp:revision>2</cp:revision>
  <cp:lastPrinted>2015-02-11T00:23:00Z</cp:lastPrinted>
  <dcterms:created xsi:type="dcterms:W3CDTF">2015-07-22T00:42:00Z</dcterms:created>
  <dcterms:modified xsi:type="dcterms:W3CDTF">2015-07-22T00:42:00Z</dcterms:modified>
</cp:coreProperties>
</file>