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87E69" w14:textId="40BA49E4" w:rsidR="00C647DB" w:rsidRPr="005D03E7" w:rsidRDefault="00C647DB" w:rsidP="005D03E7">
      <w:pPr>
        <w:pStyle w:val="Heading3"/>
        <w:ind w:left="-1134"/>
        <w:rPr>
          <w:sz w:val="22"/>
          <w:szCs w:val="22"/>
        </w:rPr>
      </w:pPr>
      <w:bookmarkStart w:id="0" w:name="_GoBack"/>
      <w:bookmarkEnd w:id="0"/>
      <w:r w:rsidRPr="005D03E7">
        <w:rPr>
          <w:sz w:val="22"/>
          <w:szCs w:val="22"/>
        </w:rPr>
        <w:t>Specialist Working Group for Neurology</w:t>
      </w:r>
    </w:p>
    <w:p w14:paraId="7B667529" w14:textId="77777777" w:rsidR="00C647DB" w:rsidRPr="005D03E7" w:rsidRDefault="00C647DB" w:rsidP="005D03E7">
      <w:pPr>
        <w:pStyle w:val="Heading4"/>
        <w:ind w:left="-1134"/>
        <w:rPr>
          <w:i/>
        </w:rPr>
      </w:pPr>
      <w:r w:rsidRPr="005D03E7">
        <w:t xml:space="preserve">Proposed changes to the </w:t>
      </w:r>
      <w:r w:rsidRPr="005D03E7">
        <w:rPr>
          <w:i/>
        </w:rPr>
        <w:t>Criteria for the clinical use of intravenous immunoglobulin in Australia, Second Edition</w:t>
      </w:r>
    </w:p>
    <w:p w14:paraId="17FD455F" w14:textId="25A70470" w:rsidR="00C647DB" w:rsidRPr="005D03E7" w:rsidRDefault="00C647DB" w:rsidP="005D03E7">
      <w:pPr>
        <w:ind w:left="-1134"/>
      </w:pPr>
    </w:p>
    <w:tbl>
      <w:tblPr>
        <w:tblStyle w:val="TableGrid"/>
        <w:tblW w:w="16160" w:type="dxa"/>
        <w:tblInd w:w="-1026" w:type="dxa"/>
        <w:tblLook w:val="0680" w:firstRow="0" w:lastRow="0" w:firstColumn="1" w:lastColumn="0" w:noHBand="1" w:noVBand="1"/>
      </w:tblPr>
      <w:tblGrid>
        <w:gridCol w:w="1560"/>
        <w:gridCol w:w="1842"/>
        <w:gridCol w:w="3024"/>
        <w:gridCol w:w="1938"/>
        <w:gridCol w:w="2929"/>
        <w:gridCol w:w="4867"/>
      </w:tblGrid>
      <w:tr w:rsidR="003231AA" w:rsidRPr="00851F29" w14:paraId="24403EB8" w14:textId="77777777" w:rsidTr="0081234C">
        <w:trPr>
          <w:tblHeader/>
        </w:trPr>
        <w:tc>
          <w:tcPr>
            <w:tcW w:w="1560" w:type="dxa"/>
            <w:shd w:val="clear" w:color="auto" w:fill="C6D9F1" w:themeFill="text2" w:themeFillTint="33"/>
            <w:vAlign w:val="center"/>
          </w:tcPr>
          <w:p w14:paraId="61FB1A59" w14:textId="5B91C786" w:rsidR="003231AA" w:rsidRPr="00851F29" w:rsidRDefault="003231AA" w:rsidP="003231AA">
            <w:pPr>
              <w:spacing w:before="120" w:after="120"/>
              <w:jc w:val="center"/>
              <w:rPr>
                <w:rFonts w:asciiTheme="minorHAnsi" w:hAnsiTheme="minorHAnsi"/>
                <w:b/>
              </w:rPr>
            </w:pPr>
            <w:r w:rsidRPr="00851F29">
              <w:rPr>
                <w:rFonts w:asciiTheme="minorHAnsi" w:hAnsiTheme="minorHAnsi"/>
                <w:b/>
              </w:rPr>
              <w:t>ITEM</w:t>
            </w:r>
          </w:p>
        </w:tc>
        <w:tc>
          <w:tcPr>
            <w:tcW w:w="4866" w:type="dxa"/>
            <w:gridSpan w:val="2"/>
            <w:shd w:val="clear" w:color="auto" w:fill="C6D9F1" w:themeFill="text2" w:themeFillTint="33"/>
            <w:vAlign w:val="center"/>
          </w:tcPr>
          <w:p w14:paraId="792EA670" w14:textId="0C67BE99" w:rsidR="003231AA" w:rsidRPr="00851F29" w:rsidRDefault="003231AA" w:rsidP="003231AA">
            <w:pPr>
              <w:spacing w:before="120" w:after="120"/>
              <w:jc w:val="center"/>
              <w:rPr>
                <w:rFonts w:asciiTheme="minorHAnsi" w:hAnsiTheme="minorHAnsi"/>
                <w:b/>
              </w:rPr>
            </w:pPr>
            <w:r w:rsidRPr="00851F29">
              <w:rPr>
                <w:rFonts w:asciiTheme="minorHAnsi" w:hAnsiTheme="minorHAnsi"/>
                <w:b/>
              </w:rPr>
              <w:t>CRITERIA FOR THE CLINICAL USE OF INTRAVENOUS IMMUNOGLOBULIN IN AUSTRALIA, SECOND EDITION (CRITERIA)</w:t>
            </w:r>
          </w:p>
        </w:tc>
        <w:tc>
          <w:tcPr>
            <w:tcW w:w="4867" w:type="dxa"/>
            <w:gridSpan w:val="2"/>
            <w:shd w:val="clear" w:color="auto" w:fill="C6D9F1" w:themeFill="text2" w:themeFillTint="33"/>
            <w:vAlign w:val="center"/>
          </w:tcPr>
          <w:p w14:paraId="0DB41C4A" w14:textId="59D9E283" w:rsidR="003231AA" w:rsidRPr="00851F29" w:rsidRDefault="003231AA" w:rsidP="003231AA">
            <w:pPr>
              <w:spacing w:before="120" w:after="120"/>
              <w:jc w:val="center"/>
              <w:rPr>
                <w:rFonts w:asciiTheme="minorHAnsi" w:hAnsiTheme="minorHAnsi"/>
                <w:b/>
                <w:bCs/>
              </w:rPr>
            </w:pPr>
            <w:r w:rsidRPr="00851F29">
              <w:rPr>
                <w:rFonts w:asciiTheme="minorHAnsi" w:hAnsiTheme="minorHAnsi"/>
                <w:b/>
              </w:rPr>
              <w:t>PROPOSED REVISIONS TO THE CRITERIA</w:t>
            </w:r>
          </w:p>
        </w:tc>
        <w:tc>
          <w:tcPr>
            <w:tcW w:w="4867" w:type="dxa"/>
            <w:shd w:val="clear" w:color="auto" w:fill="C6D9F1" w:themeFill="text2" w:themeFillTint="33"/>
            <w:vAlign w:val="center"/>
          </w:tcPr>
          <w:p w14:paraId="2A038192" w14:textId="67E7B6BA"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REVISION AND RATIONALE</w:t>
            </w:r>
          </w:p>
          <w:p w14:paraId="1E85B485" w14:textId="1274E861"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(A) Administrative)</w:t>
            </w:r>
          </w:p>
          <w:p w14:paraId="0A6B1ED2" w14:textId="3F59EF50" w:rsidR="003231AA" w:rsidRPr="00851F29" w:rsidRDefault="003231AA" w:rsidP="003231AA">
            <w:pPr>
              <w:spacing w:before="120" w:after="120"/>
              <w:jc w:val="center"/>
              <w:rPr>
                <w:rFonts w:asciiTheme="minorHAnsi" w:eastAsia="Times New Roman" w:hAnsiTheme="minorHAnsi" w:cs="Times New Roman"/>
                <w:b/>
                <w:bCs/>
                <w:lang w:eastAsia="en-AU"/>
              </w:rPr>
            </w:pPr>
            <w:r w:rsidRPr="00851F29">
              <w:rPr>
                <w:rFonts w:asciiTheme="minorHAnsi" w:eastAsia="Times New Roman" w:hAnsiTheme="minorHAnsi" w:cs="Times New Roman"/>
                <w:b/>
                <w:bCs/>
                <w:lang w:eastAsia="en-AU"/>
              </w:rPr>
              <w:t>(B) Progressive</w:t>
            </w:r>
          </w:p>
          <w:p w14:paraId="51ADF143" w14:textId="4A8A2339" w:rsidR="003231AA" w:rsidRPr="00851F29" w:rsidRDefault="003231AA" w:rsidP="003231AA">
            <w:pPr>
              <w:spacing w:before="120" w:after="120"/>
              <w:jc w:val="center"/>
              <w:rPr>
                <w:rFonts w:asciiTheme="minorHAnsi" w:hAnsiTheme="minorHAnsi"/>
                <w:b/>
              </w:rPr>
            </w:pPr>
            <w:r w:rsidRPr="00851F29">
              <w:rPr>
                <w:rFonts w:asciiTheme="minorHAnsi" w:eastAsia="Times New Roman" w:hAnsiTheme="minorHAnsi" w:cs="Times New Roman"/>
                <w:b/>
                <w:bCs/>
                <w:lang w:eastAsia="en-AU"/>
              </w:rPr>
              <w:t>(C) Programmed</w:t>
            </w:r>
          </w:p>
        </w:tc>
      </w:tr>
      <w:tr w:rsidR="003231AA" w:rsidRPr="00851F29" w14:paraId="2FCF54FE" w14:textId="77777777" w:rsidTr="003231AA">
        <w:tc>
          <w:tcPr>
            <w:tcW w:w="1560" w:type="dxa"/>
            <w:shd w:val="clear" w:color="auto" w:fill="D9D9D9" w:themeFill="background1" w:themeFillShade="D9"/>
          </w:tcPr>
          <w:p w14:paraId="74E8C58A" w14:textId="638E8315" w:rsidR="003231AA" w:rsidRPr="00851F29" w:rsidRDefault="003231AA" w:rsidP="003231AA">
            <w:pPr>
              <w:spacing w:before="120" w:after="120"/>
              <w:rPr>
                <w:rFonts w:asciiTheme="minorHAnsi" w:hAnsiTheme="minorHAnsi"/>
                <w:b/>
              </w:rPr>
            </w:pPr>
            <w:r w:rsidRPr="00851F29">
              <w:rPr>
                <w:rFonts w:asciiTheme="minorHAnsi" w:hAnsiTheme="minorHAnsi"/>
                <w:b/>
              </w:rPr>
              <w:t>Condition Name</w:t>
            </w:r>
          </w:p>
        </w:tc>
        <w:tc>
          <w:tcPr>
            <w:tcW w:w="4866" w:type="dxa"/>
            <w:gridSpan w:val="2"/>
          </w:tcPr>
          <w:p w14:paraId="20EF3CA4" w14:textId="77777777" w:rsidR="003231AA" w:rsidRPr="00851F29" w:rsidRDefault="003231AA" w:rsidP="003231AA">
            <w:pPr>
              <w:spacing w:before="120" w:after="120"/>
              <w:rPr>
                <w:rFonts w:asciiTheme="minorHAnsi" w:hAnsiTheme="minorHAnsi"/>
              </w:rPr>
            </w:pPr>
            <w:r w:rsidRPr="00851F29">
              <w:rPr>
                <w:rFonts w:asciiTheme="minorHAnsi" w:hAnsiTheme="minorHAnsi"/>
              </w:rPr>
              <w:t>Multiple Sclerosis (MS)</w:t>
            </w:r>
          </w:p>
        </w:tc>
        <w:tc>
          <w:tcPr>
            <w:tcW w:w="4867" w:type="dxa"/>
            <w:gridSpan w:val="2"/>
          </w:tcPr>
          <w:p w14:paraId="14F61CA6" w14:textId="1097DB33" w:rsidR="003231AA" w:rsidRPr="00851F29" w:rsidRDefault="003231AA" w:rsidP="003231AA">
            <w:pPr>
              <w:spacing w:before="120" w:after="120"/>
              <w:rPr>
                <w:rFonts w:asciiTheme="minorHAnsi" w:hAnsiTheme="minorHAnsi"/>
              </w:rPr>
            </w:pPr>
            <w:r w:rsidRPr="00851F29">
              <w:rPr>
                <w:rFonts w:asciiTheme="minorHAnsi" w:hAnsiTheme="minorHAnsi"/>
                <w:bCs/>
              </w:rPr>
              <w:t>Multiple sclerosis (MS) [relapsing/remitting multiple sclerosis (RRMS)]</w:t>
            </w:r>
          </w:p>
        </w:tc>
        <w:tc>
          <w:tcPr>
            <w:tcW w:w="4867" w:type="dxa"/>
          </w:tcPr>
          <w:p w14:paraId="40B5C134" w14:textId="65125A37" w:rsidR="003231AA" w:rsidRPr="00851F29" w:rsidRDefault="003231AA" w:rsidP="003231AA">
            <w:pPr>
              <w:spacing w:before="120" w:after="120"/>
              <w:rPr>
                <w:rFonts w:asciiTheme="minorHAnsi" w:hAnsiTheme="minorHAnsi"/>
              </w:rPr>
            </w:pPr>
            <w:r w:rsidRPr="00851F29">
              <w:rPr>
                <w:rFonts w:asciiTheme="minorHAnsi" w:hAnsiTheme="minorHAnsi"/>
              </w:rPr>
              <w:t>Qualification of the type of MS has been added</w:t>
            </w:r>
          </w:p>
        </w:tc>
      </w:tr>
      <w:tr w:rsidR="003231AA" w:rsidRPr="00851F29" w14:paraId="4B5173C5" w14:textId="77777777" w:rsidTr="003231AA">
        <w:tc>
          <w:tcPr>
            <w:tcW w:w="1560" w:type="dxa"/>
            <w:shd w:val="clear" w:color="auto" w:fill="D9D9D9" w:themeFill="background1" w:themeFillShade="D9"/>
          </w:tcPr>
          <w:p w14:paraId="54B57DAB" w14:textId="77777777" w:rsidR="003231AA" w:rsidRPr="00851F29" w:rsidRDefault="003231AA" w:rsidP="003231AA">
            <w:pPr>
              <w:spacing w:before="120" w:after="120"/>
              <w:rPr>
                <w:rFonts w:asciiTheme="minorHAnsi" w:hAnsiTheme="minorHAnsi"/>
              </w:rPr>
            </w:pPr>
            <w:r w:rsidRPr="00851F29">
              <w:rPr>
                <w:rFonts w:asciiTheme="minorHAnsi" w:hAnsiTheme="minorHAnsi"/>
                <w:b/>
              </w:rPr>
              <w:t>Specialty</w:t>
            </w:r>
          </w:p>
        </w:tc>
        <w:tc>
          <w:tcPr>
            <w:tcW w:w="4866" w:type="dxa"/>
            <w:gridSpan w:val="2"/>
          </w:tcPr>
          <w:p w14:paraId="51A2EB5A" w14:textId="77777777" w:rsidR="003231AA" w:rsidRPr="00851F29" w:rsidRDefault="003231AA" w:rsidP="003231AA">
            <w:pPr>
              <w:spacing w:before="120" w:after="120"/>
              <w:rPr>
                <w:rFonts w:asciiTheme="minorHAnsi" w:hAnsiTheme="minorHAnsi"/>
              </w:rPr>
            </w:pPr>
            <w:r w:rsidRPr="00851F29">
              <w:rPr>
                <w:rFonts w:asciiTheme="minorHAnsi" w:hAnsiTheme="minorHAnsi"/>
              </w:rPr>
              <w:t>Neurology</w:t>
            </w:r>
          </w:p>
        </w:tc>
        <w:tc>
          <w:tcPr>
            <w:tcW w:w="4867" w:type="dxa"/>
            <w:gridSpan w:val="2"/>
          </w:tcPr>
          <w:p w14:paraId="722BBA8D" w14:textId="77777777" w:rsidR="003231AA" w:rsidRPr="00851F29" w:rsidRDefault="003231AA" w:rsidP="003231AA">
            <w:pPr>
              <w:spacing w:before="120" w:after="120"/>
              <w:rPr>
                <w:rFonts w:asciiTheme="minorHAnsi" w:hAnsiTheme="minorHAnsi"/>
              </w:rPr>
            </w:pPr>
            <w:r w:rsidRPr="00851F29">
              <w:rPr>
                <w:rFonts w:asciiTheme="minorHAnsi" w:hAnsiTheme="minorHAnsi"/>
              </w:rPr>
              <w:t>Neurology</w:t>
            </w:r>
          </w:p>
        </w:tc>
        <w:tc>
          <w:tcPr>
            <w:tcW w:w="4867" w:type="dxa"/>
          </w:tcPr>
          <w:p w14:paraId="12A0B1C8" w14:textId="77777777" w:rsidR="003231AA" w:rsidRPr="00851F29" w:rsidRDefault="003231AA" w:rsidP="003231AA">
            <w:pPr>
              <w:spacing w:before="120" w:after="120"/>
              <w:rPr>
                <w:rFonts w:asciiTheme="minorHAnsi" w:hAnsiTheme="minorHAnsi"/>
              </w:rPr>
            </w:pPr>
          </w:p>
        </w:tc>
      </w:tr>
      <w:tr w:rsidR="003231AA" w:rsidRPr="00851F29" w14:paraId="5F783205" w14:textId="77777777" w:rsidTr="003231AA">
        <w:tc>
          <w:tcPr>
            <w:tcW w:w="1560" w:type="dxa"/>
            <w:shd w:val="clear" w:color="auto" w:fill="D9D9D9" w:themeFill="background1" w:themeFillShade="D9"/>
          </w:tcPr>
          <w:p w14:paraId="7436259F" w14:textId="77777777" w:rsidR="003231AA" w:rsidRPr="00851F29" w:rsidRDefault="003231AA" w:rsidP="003231AA">
            <w:pPr>
              <w:spacing w:before="120" w:after="120"/>
              <w:rPr>
                <w:rFonts w:asciiTheme="minorHAnsi" w:hAnsiTheme="minorHAnsi"/>
              </w:rPr>
            </w:pPr>
            <w:r w:rsidRPr="00851F29">
              <w:rPr>
                <w:rFonts w:asciiTheme="minorHAnsi" w:hAnsiTheme="minorHAnsi"/>
                <w:b/>
              </w:rPr>
              <w:t>Chapter</w:t>
            </w:r>
          </w:p>
        </w:tc>
        <w:tc>
          <w:tcPr>
            <w:tcW w:w="4866" w:type="dxa"/>
            <w:gridSpan w:val="2"/>
          </w:tcPr>
          <w:p w14:paraId="5C4E426A" w14:textId="77777777" w:rsidR="003231AA" w:rsidRPr="00851F29" w:rsidRDefault="003231AA" w:rsidP="003231AA">
            <w:pPr>
              <w:spacing w:before="120" w:after="120"/>
              <w:rPr>
                <w:rFonts w:asciiTheme="minorHAnsi" w:hAnsiTheme="minorHAnsi"/>
              </w:rPr>
            </w:pPr>
            <w:r w:rsidRPr="00851F29">
              <w:rPr>
                <w:rFonts w:asciiTheme="minorHAnsi" w:hAnsiTheme="minorHAnsi"/>
              </w:rPr>
              <w:t>6</w:t>
            </w:r>
          </w:p>
        </w:tc>
        <w:tc>
          <w:tcPr>
            <w:tcW w:w="4867" w:type="dxa"/>
            <w:gridSpan w:val="2"/>
          </w:tcPr>
          <w:p w14:paraId="4156CDE0" w14:textId="77777777" w:rsidR="003231AA" w:rsidRPr="00851F29" w:rsidRDefault="003231AA" w:rsidP="003231AA">
            <w:pPr>
              <w:spacing w:before="120" w:after="120"/>
              <w:rPr>
                <w:rFonts w:asciiTheme="minorHAnsi" w:hAnsiTheme="minorHAnsi"/>
              </w:rPr>
            </w:pPr>
            <w:r w:rsidRPr="00851F29">
              <w:rPr>
                <w:rFonts w:asciiTheme="minorHAnsi" w:hAnsiTheme="minorHAnsi"/>
              </w:rPr>
              <w:t>6</w:t>
            </w:r>
          </w:p>
        </w:tc>
        <w:tc>
          <w:tcPr>
            <w:tcW w:w="4867" w:type="dxa"/>
          </w:tcPr>
          <w:p w14:paraId="3A24DD65" w14:textId="77777777" w:rsidR="003231AA" w:rsidRPr="00851F29" w:rsidRDefault="003231AA" w:rsidP="003231AA">
            <w:pPr>
              <w:spacing w:before="120" w:after="120"/>
              <w:rPr>
                <w:rFonts w:asciiTheme="minorHAnsi" w:hAnsiTheme="minorHAnsi"/>
              </w:rPr>
            </w:pPr>
          </w:p>
        </w:tc>
      </w:tr>
      <w:tr w:rsidR="003231AA" w:rsidRPr="00851F29" w14:paraId="200A4B51" w14:textId="77777777" w:rsidTr="003231AA">
        <w:tc>
          <w:tcPr>
            <w:tcW w:w="1560" w:type="dxa"/>
            <w:shd w:val="clear" w:color="auto" w:fill="D9D9D9" w:themeFill="background1" w:themeFillShade="D9"/>
          </w:tcPr>
          <w:p w14:paraId="3D5166EA" w14:textId="5A82751B" w:rsidR="003231AA" w:rsidRPr="00851F29" w:rsidRDefault="003231AA" w:rsidP="003231AA">
            <w:pPr>
              <w:spacing w:before="120" w:after="120"/>
              <w:rPr>
                <w:rFonts w:asciiTheme="minorHAnsi" w:hAnsiTheme="minorHAnsi"/>
              </w:rPr>
            </w:pPr>
            <w:r w:rsidRPr="00851F29">
              <w:rPr>
                <w:rFonts w:asciiTheme="minorHAnsi" w:hAnsiTheme="minorHAnsi"/>
                <w:b/>
              </w:rPr>
              <w:t>Specific Conditions</w:t>
            </w:r>
          </w:p>
        </w:tc>
        <w:tc>
          <w:tcPr>
            <w:tcW w:w="4866" w:type="dxa"/>
            <w:gridSpan w:val="2"/>
          </w:tcPr>
          <w:p w14:paraId="76E6037C" w14:textId="77777777" w:rsidR="003231AA" w:rsidRPr="00851F29" w:rsidRDefault="003231AA" w:rsidP="003231AA">
            <w:pPr>
              <w:spacing w:before="120" w:after="120"/>
              <w:rPr>
                <w:rFonts w:asciiTheme="minorHAnsi" w:hAnsiTheme="minorHAnsi"/>
              </w:rPr>
            </w:pPr>
          </w:p>
        </w:tc>
        <w:tc>
          <w:tcPr>
            <w:tcW w:w="4867" w:type="dxa"/>
            <w:gridSpan w:val="2"/>
          </w:tcPr>
          <w:p w14:paraId="71209C23" w14:textId="77777777" w:rsidR="003231AA" w:rsidRPr="00851F29" w:rsidRDefault="003231AA" w:rsidP="003231AA">
            <w:pPr>
              <w:spacing w:before="120" w:after="120"/>
              <w:rPr>
                <w:rFonts w:asciiTheme="minorHAnsi" w:hAnsiTheme="minorHAnsi"/>
              </w:rPr>
            </w:pPr>
          </w:p>
        </w:tc>
        <w:tc>
          <w:tcPr>
            <w:tcW w:w="4867" w:type="dxa"/>
          </w:tcPr>
          <w:p w14:paraId="0B12E0BB" w14:textId="77777777" w:rsidR="003231AA" w:rsidRPr="00851F29" w:rsidRDefault="003231AA" w:rsidP="003231AA">
            <w:pPr>
              <w:spacing w:before="120" w:after="120"/>
              <w:rPr>
                <w:rFonts w:asciiTheme="minorHAnsi" w:hAnsiTheme="minorHAnsi"/>
              </w:rPr>
            </w:pPr>
          </w:p>
        </w:tc>
      </w:tr>
      <w:tr w:rsidR="003231AA" w:rsidRPr="00851F29" w14:paraId="4E40977B" w14:textId="77777777" w:rsidTr="003231AA">
        <w:tc>
          <w:tcPr>
            <w:tcW w:w="1560" w:type="dxa"/>
            <w:shd w:val="clear" w:color="auto" w:fill="D9D9D9" w:themeFill="background1" w:themeFillShade="D9"/>
          </w:tcPr>
          <w:p w14:paraId="45F82470"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Level of Evidence</w:t>
            </w:r>
          </w:p>
          <w:p w14:paraId="5B9AB780" w14:textId="14AA558C" w:rsidR="003231AA" w:rsidRPr="00851F29" w:rsidRDefault="003231AA" w:rsidP="003231AA">
            <w:pPr>
              <w:spacing w:before="120" w:after="120"/>
              <w:rPr>
                <w:rFonts w:asciiTheme="minorHAnsi" w:hAnsiTheme="minorHAnsi"/>
              </w:rPr>
            </w:pPr>
          </w:p>
        </w:tc>
        <w:tc>
          <w:tcPr>
            <w:tcW w:w="4866" w:type="dxa"/>
            <w:gridSpan w:val="2"/>
          </w:tcPr>
          <w:p w14:paraId="597E8908"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Evidence of probable benefit (Category 2a). </w:t>
            </w:r>
          </w:p>
        </w:tc>
        <w:tc>
          <w:tcPr>
            <w:tcW w:w="4867" w:type="dxa"/>
            <w:gridSpan w:val="2"/>
          </w:tcPr>
          <w:p w14:paraId="665BE872" w14:textId="77777777" w:rsidR="003231AA" w:rsidRPr="00851F29" w:rsidRDefault="003231AA" w:rsidP="003231AA">
            <w:pPr>
              <w:spacing w:before="120" w:after="120"/>
              <w:rPr>
                <w:rFonts w:asciiTheme="minorHAnsi" w:hAnsiTheme="minorHAnsi"/>
              </w:rPr>
            </w:pPr>
            <w:r w:rsidRPr="00851F29">
              <w:rPr>
                <w:rFonts w:asciiTheme="minorHAnsi" w:hAnsiTheme="minorHAnsi" w:cs="DIN-Light"/>
                <w:color w:val="000000"/>
              </w:rPr>
              <w:t>Evidence of probable benefit (Category 2a).</w:t>
            </w:r>
          </w:p>
        </w:tc>
        <w:tc>
          <w:tcPr>
            <w:tcW w:w="4867" w:type="dxa"/>
          </w:tcPr>
          <w:p w14:paraId="6EF156DF" w14:textId="0C1BD104" w:rsidR="003231AA" w:rsidRPr="00851F29" w:rsidRDefault="003231AA" w:rsidP="003231AA">
            <w:pPr>
              <w:spacing w:before="120" w:after="120"/>
              <w:rPr>
                <w:rFonts w:asciiTheme="minorHAnsi" w:hAnsiTheme="minorHAnsi"/>
              </w:rPr>
            </w:pPr>
            <w:r w:rsidRPr="00851F29">
              <w:rPr>
                <w:rFonts w:asciiTheme="minorHAnsi" w:hAnsiTheme="minorHAnsi"/>
              </w:rPr>
              <w:t xml:space="preserve">Confirmed </w:t>
            </w:r>
          </w:p>
        </w:tc>
      </w:tr>
      <w:tr w:rsidR="003231AA" w:rsidRPr="00851F29" w14:paraId="2D85CCA1" w14:textId="77777777" w:rsidTr="003231AA">
        <w:tc>
          <w:tcPr>
            <w:tcW w:w="1560" w:type="dxa"/>
            <w:shd w:val="clear" w:color="auto" w:fill="D9D9D9" w:themeFill="background1" w:themeFillShade="D9"/>
          </w:tcPr>
          <w:p w14:paraId="1F0022C7"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Justification for Evidence Category</w:t>
            </w:r>
          </w:p>
          <w:p w14:paraId="6342DEA5" w14:textId="65A087B1" w:rsidR="003231AA" w:rsidRPr="00851F29" w:rsidRDefault="003231AA" w:rsidP="003231AA">
            <w:pPr>
              <w:spacing w:before="120" w:after="120"/>
              <w:rPr>
                <w:rFonts w:asciiTheme="minorHAnsi" w:hAnsiTheme="minorHAnsi"/>
              </w:rPr>
            </w:pPr>
          </w:p>
        </w:tc>
        <w:tc>
          <w:tcPr>
            <w:tcW w:w="4866" w:type="dxa"/>
            <w:gridSpan w:val="2"/>
          </w:tcPr>
          <w:p w14:paraId="17643C2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The </w:t>
            </w:r>
            <w:proofErr w:type="spellStart"/>
            <w:r w:rsidRPr="00851F29">
              <w:rPr>
                <w:rFonts w:asciiTheme="minorHAnsi" w:hAnsiTheme="minorHAnsi" w:cs="DIN-Light"/>
                <w:color w:val="000000"/>
                <w:sz w:val="22"/>
                <w:szCs w:val="22"/>
              </w:rPr>
              <w:t>Biotext</w:t>
            </w:r>
            <w:proofErr w:type="spellEnd"/>
            <w:r w:rsidRPr="00851F29">
              <w:rPr>
                <w:rFonts w:asciiTheme="minorHAnsi" w:hAnsiTheme="minorHAnsi" w:cs="DIN-Light"/>
                <w:color w:val="000000"/>
                <w:sz w:val="22"/>
                <w:szCs w:val="22"/>
              </w:rPr>
              <w:t xml:space="preserve"> (2004) literature review included one systematic review, six RCTs, three case-control studies and one case-series with a total sample size of 849. The quality of the included studies varied widely. The systematic review found some benefit. No benefit was found in two of the RCTs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did not appear to reverse established muscle weakness), and significant benefit was reported in two RCTs. The other two RCTs were identified by </w:t>
            </w:r>
            <w:proofErr w:type="spellStart"/>
            <w:r w:rsidRPr="00851F29">
              <w:rPr>
                <w:rFonts w:asciiTheme="minorHAnsi" w:hAnsiTheme="minorHAnsi" w:cs="DIN-Light"/>
                <w:color w:val="000000"/>
                <w:sz w:val="22"/>
                <w:szCs w:val="22"/>
              </w:rPr>
              <w:lastRenderedPageBreak/>
              <w:t>Biotext</w:t>
            </w:r>
            <w:proofErr w:type="spellEnd"/>
            <w:r w:rsidRPr="00851F29">
              <w:rPr>
                <w:rFonts w:asciiTheme="minorHAnsi" w:hAnsiTheme="minorHAnsi" w:cs="DIN-Light"/>
                <w:color w:val="000000"/>
                <w:sz w:val="22"/>
                <w:szCs w:val="22"/>
              </w:rPr>
              <w:t xml:space="preserve"> from the Cochrane register of trials, but no further information about the studies was obtained. </w:t>
            </w:r>
          </w:p>
          <w:p w14:paraId="7B657B30"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The review by </w:t>
            </w:r>
            <w:proofErr w:type="spellStart"/>
            <w:r w:rsidRPr="00851F29">
              <w:rPr>
                <w:rFonts w:asciiTheme="minorHAnsi" w:hAnsiTheme="minorHAnsi" w:cs="DIN-Light"/>
                <w:color w:val="000000"/>
                <w:sz w:val="22"/>
                <w:szCs w:val="22"/>
              </w:rPr>
              <w:t>Frommer</w:t>
            </w:r>
            <w:proofErr w:type="spellEnd"/>
            <w:r w:rsidRPr="00851F29">
              <w:rPr>
                <w:rFonts w:asciiTheme="minorHAnsi" w:hAnsiTheme="minorHAnsi" w:cs="DIN-Light"/>
                <w:color w:val="000000"/>
                <w:sz w:val="22"/>
                <w:szCs w:val="22"/>
              </w:rPr>
              <w:t xml:space="preserve"> and </w:t>
            </w:r>
            <w:proofErr w:type="spellStart"/>
            <w:r w:rsidRPr="00851F29">
              <w:rPr>
                <w:rFonts w:asciiTheme="minorHAnsi" w:hAnsiTheme="minorHAnsi" w:cs="DIN-Light"/>
                <w:color w:val="000000"/>
                <w:sz w:val="22"/>
                <w:szCs w:val="22"/>
              </w:rPr>
              <w:t>Madronio</w:t>
            </w:r>
            <w:proofErr w:type="spellEnd"/>
            <w:r w:rsidRPr="00851F29">
              <w:rPr>
                <w:rFonts w:asciiTheme="minorHAnsi" w:hAnsiTheme="minorHAnsi" w:cs="DIN-Light"/>
                <w:color w:val="000000"/>
                <w:sz w:val="22"/>
                <w:szCs w:val="22"/>
              </w:rPr>
              <w:t xml:space="preserve"> (2006) included eight high-quality RCTs and one medium</w:t>
            </w:r>
            <w:r w:rsidRPr="00851F29">
              <w:rPr>
                <w:rFonts w:asciiTheme="minorHAnsi" w:hAnsiTheme="minorHAnsi" w:cs="DIN-Light"/>
                <w:color w:val="000000"/>
                <w:sz w:val="22"/>
                <w:szCs w:val="22"/>
              </w:rPr>
              <w:noBreakHyphen/>
              <w:t xml:space="preserve">quality double-blinded controlled trial with a total of 708 patients. These studies suggested that the occurrence of relapse may be reduced by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at three years, but conclusive evidence in relation to the use of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in reducing relapse rates and severity of relapse in established disease could not be demonstrated.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treatment for the first year from onset of the first neurological event significantly lowered the incidence of second attacks and reduced disease activity as measured by MRI. </w:t>
            </w:r>
          </w:p>
          <w:p w14:paraId="7F33CF67" w14:textId="77777777" w:rsidR="003231AA" w:rsidRPr="00851F29" w:rsidRDefault="003231AA" w:rsidP="003231AA">
            <w:pPr>
              <w:pStyle w:val="Pa17"/>
              <w:spacing w:before="120" w:after="120"/>
              <w:rPr>
                <w:rFonts w:asciiTheme="minorHAnsi" w:hAnsiTheme="minorHAnsi" w:cs="DIN-Light"/>
                <w:color w:val="000000"/>
                <w:sz w:val="22"/>
                <w:szCs w:val="22"/>
              </w:rPr>
            </w:pP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administered in monthly pulses for up to two years appeared to reduce annual exacerbation rates in patients with RRMS and SPMS, but its effect on long-term disability was unclear.</w:t>
            </w:r>
          </w:p>
        </w:tc>
        <w:tc>
          <w:tcPr>
            <w:tcW w:w="4867" w:type="dxa"/>
            <w:gridSpan w:val="2"/>
          </w:tcPr>
          <w:p w14:paraId="4518934E" w14:textId="04C72BCB" w:rsidR="003231AA" w:rsidRPr="00851F29" w:rsidRDefault="003231AA" w:rsidP="003231AA">
            <w:pPr>
              <w:spacing w:before="120" w:after="120"/>
              <w:rPr>
                <w:rFonts w:asciiTheme="minorHAnsi" w:eastAsia="Times New Roman" w:hAnsiTheme="minorHAnsi" w:cs="Times New Roman"/>
                <w:color w:val="000000"/>
                <w:lang w:eastAsia="en-AU"/>
              </w:rPr>
            </w:pPr>
            <w:r w:rsidRPr="00851F29">
              <w:rPr>
                <w:rFonts w:asciiTheme="minorHAnsi" w:eastAsia="Times New Roman" w:hAnsiTheme="minorHAnsi" w:cs="Times New Roman"/>
                <w:color w:val="000000"/>
                <w:lang w:eastAsia="en-AU"/>
              </w:rPr>
              <w:lastRenderedPageBreak/>
              <w:t>While literature and systematic reviews in 2004 and 2006 demonstrate probable benefit, there are a broad range of licenced therapeutics now available to treat multiple sclerosis (MS) and in particular, RRMS, with evidence supported by large randomised controlled trials. Such evidence indicates that intravenous immunoglobulin (</w:t>
            </w:r>
            <w:proofErr w:type="spellStart"/>
            <w:r w:rsidRPr="00851F29">
              <w:rPr>
                <w:rFonts w:asciiTheme="minorHAnsi" w:eastAsia="Times New Roman" w:hAnsiTheme="minorHAnsi" w:cs="Times New Roman"/>
                <w:color w:val="000000"/>
                <w:lang w:eastAsia="en-AU"/>
              </w:rPr>
              <w:t>IVig</w:t>
            </w:r>
            <w:proofErr w:type="spellEnd"/>
            <w:r w:rsidRPr="00851F29">
              <w:rPr>
                <w:rFonts w:asciiTheme="minorHAnsi" w:eastAsia="Times New Roman" w:hAnsiTheme="minorHAnsi" w:cs="Times New Roman"/>
                <w:color w:val="000000"/>
                <w:lang w:eastAsia="en-AU"/>
              </w:rPr>
              <w:t xml:space="preserve">) use in MS should be limited to exceptional circumstances only and there is no longer a role for </w:t>
            </w:r>
            <w:proofErr w:type="spellStart"/>
            <w:r w:rsidRPr="00851F29">
              <w:rPr>
                <w:rFonts w:asciiTheme="minorHAnsi" w:eastAsia="Times New Roman" w:hAnsiTheme="minorHAnsi" w:cs="Times New Roman"/>
                <w:color w:val="000000"/>
                <w:lang w:eastAsia="en-AU"/>
              </w:rPr>
              <w:lastRenderedPageBreak/>
              <w:t>IVIg</w:t>
            </w:r>
            <w:proofErr w:type="spellEnd"/>
            <w:r w:rsidRPr="00851F29">
              <w:rPr>
                <w:rFonts w:asciiTheme="minorHAnsi" w:eastAsia="Times New Roman" w:hAnsiTheme="minorHAnsi" w:cs="Times New Roman"/>
                <w:color w:val="000000"/>
                <w:lang w:eastAsia="en-AU"/>
              </w:rPr>
              <w:t xml:space="preserve"> in the continuing treatment of MS. </w:t>
            </w:r>
            <w:proofErr w:type="spellStart"/>
            <w:r w:rsidRPr="00851F29">
              <w:rPr>
                <w:rFonts w:asciiTheme="minorHAnsi" w:eastAsia="Times New Roman" w:hAnsiTheme="minorHAnsi" w:cs="Times New Roman"/>
                <w:color w:val="000000"/>
                <w:lang w:eastAsia="en-AU"/>
              </w:rPr>
              <w:t>IVIg</w:t>
            </w:r>
            <w:proofErr w:type="spellEnd"/>
            <w:r w:rsidRPr="00851F29">
              <w:rPr>
                <w:rFonts w:asciiTheme="minorHAnsi" w:eastAsia="Times New Roman" w:hAnsiTheme="minorHAnsi" w:cs="Times New Roman"/>
                <w:color w:val="000000"/>
                <w:lang w:eastAsia="en-AU"/>
              </w:rPr>
              <w:t xml:space="preserve"> may be indicated in treatment of relapses where there are severe disabling consequences of the attack (e.g. </w:t>
            </w:r>
            <w:proofErr w:type="spellStart"/>
            <w:r w:rsidRPr="00851F29">
              <w:rPr>
                <w:rFonts w:asciiTheme="minorHAnsi" w:eastAsia="Times New Roman" w:hAnsiTheme="minorHAnsi" w:cs="Times New Roman"/>
                <w:color w:val="000000"/>
                <w:lang w:eastAsia="en-AU"/>
              </w:rPr>
              <w:t>paraparesis</w:t>
            </w:r>
            <w:proofErr w:type="spellEnd"/>
            <w:r w:rsidRPr="00851F29">
              <w:rPr>
                <w:rFonts w:asciiTheme="minorHAnsi" w:eastAsia="Times New Roman" w:hAnsiTheme="minorHAnsi" w:cs="Times New Roman"/>
                <w:color w:val="000000"/>
                <w:lang w:eastAsia="en-AU"/>
              </w:rPr>
              <w:t xml:space="preserve"> or blindness). See</w:t>
            </w:r>
          </w:p>
          <w:p w14:paraId="01A8A313" w14:textId="5AD7EA22" w:rsidR="003231AA" w:rsidRPr="00851F29" w:rsidRDefault="003231AA" w:rsidP="003231AA">
            <w:pPr>
              <w:spacing w:before="120" w:after="120"/>
              <w:rPr>
                <w:rFonts w:asciiTheme="minorHAnsi" w:eastAsia="Times New Roman" w:hAnsiTheme="minorHAnsi" w:cs="Times New Roman"/>
                <w:color w:val="000000"/>
                <w:lang w:eastAsia="en-AU"/>
              </w:rPr>
            </w:pPr>
            <w:r w:rsidRPr="00851F29">
              <w:rPr>
                <w:rFonts w:asciiTheme="minorHAnsi" w:eastAsiaTheme="minorHAnsi" w:hAnsiTheme="minorHAnsi" w:cs="Arial"/>
                <w:bCs/>
                <w:i/>
                <w:lang w:val="en-US"/>
              </w:rPr>
              <w:t>Therapeutic approaches to disease modifying therapy for multiple sclerosis in adults: an Australian and New Zealand perspective: part 3 treatment practicalities and recommendations</w:t>
            </w:r>
            <w:r w:rsidRPr="00851F29">
              <w:rPr>
                <w:rFonts w:asciiTheme="minorHAnsi" w:eastAsiaTheme="minorHAnsi" w:hAnsiTheme="minorHAnsi" w:cs="Arial"/>
                <w:color w:val="262626"/>
                <w:u w:val="single" w:color="262626"/>
                <w:lang w:val="en-US"/>
              </w:rPr>
              <w:t xml:space="preserve"> J </w:t>
            </w:r>
            <w:proofErr w:type="spellStart"/>
            <w:r w:rsidRPr="00851F29">
              <w:rPr>
                <w:rFonts w:asciiTheme="minorHAnsi" w:eastAsiaTheme="minorHAnsi" w:hAnsiTheme="minorHAnsi" w:cs="Arial"/>
                <w:color w:val="262626"/>
                <w:u w:val="single" w:color="262626"/>
                <w:lang w:val="en-US"/>
              </w:rPr>
              <w:t>Clin</w:t>
            </w:r>
            <w:proofErr w:type="spellEnd"/>
            <w:r w:rsidRPr="00851F29">
              <w:rPr>
                <w:rFonts w:asciiTheme="minorHAnsi" w:eastAsiaTheme="minorHAnsi" w:hAnsiTheme="minorHAnsi" w:cs="Arial"/>
                <w:color w:val="262626"/>
                <w:u w:val="single" w:color="262626"/>
                <w:lang w:val="en-US"/>
              </w:rPr>
              <w:t xml:space="preserve"> </w:t>
            </w:r>
            <w:proofErr w:type="spellStart"/>
            <w:r w:rsidRPr="00851F29">
              <w:rPr>
                <w:rFonts w:asciiTheme="minorHAnsi" w:eastAsiaTheme="minorHAnsi" w:hAnsiTheme="minorHAnsi" w:cs="Arial"/>
                <w:color w:val="262626"/>
                <w:u w:val="single" w:color="262626"/>
                <w:lang w:val="en-US"/>
              </w:rPr>
              <w:t>Neurosci</w:t>
            </w:r>
            <w:proofErr w:type="spellEnd"/>
            <w:r w:rsidRPr="00851F29">
              <w:rPr>
                <w:rFonts w:asciiTheme="minorHAnsi" w:eastAsiaTheme="minorHAnsi" w:hAnsiTheme="minorHAnsi" w:cs="Arial"/>
                <w:color w:val="262626"/>
                <w:u w:val="single" w:color="262626"/>
                <w:lang w:val="en-US"/>
              </w:rPr>
              <w:t>.</w:t>
            </w:r>
            <w:r w:rsidRPr="00851F29">
              <w:rPr>
                <w:rFonts w:asciiTheme="minorHAnsi" w:eastAsiaTheme="minorHAnsi" w:hAnsiTheme="minorHAnsi" w:cs="Arial"/>
                <w:u w:color="262626"/>
                <w:lang w:val="en-US"/>
              </w:rPr>
              <w:t xml:space="preserve"> 2014 Nov</w:t>
            </w:r>
            <w:proofErr w:type="gramStart"/>
            <w:r w:rsidRPr="00851F29">
              <w:rPr>
                <w:rFonts w:asciiTheme="minorHAnsi" w:eastAsiaTheme="minorHAnsi" w:hAnsiTheme="minorHAnsi" w:cs="Arial"/>
                <w:u w:color="262626"/>
                <w:lang w:val="en-US"/>
              </w:rPr>
              <w:t>;21</w:t>
            </w:r>
            <w:proofErr w:type="gramEnd"/>
            <w:r w:rsidRPr="00851F29">
              <w:rPr>
                <w:rFonts w:asciiTheme="minorHAnsi" w:eastAsiaTheme="minorHAnsi" w:hAnsiTheme="minorHAnsi" w:cs="Arial"/>
                <w:u w:color="262626"/>
                <w:lang w:val="en-US"/>
              </w:rPr>
              <w:t>(11):1857-65.</w:t>
            </w:r>
          </w:p>
          <w:p w14:paraId="3D84BEBC" w14:textId="77777777" w:rsidR="003231AA" w:rsidRPr="00851F29" w:rsidRDefault="003231AA" w:rsidP="003231AA">
            <w:pPr>
              <w:pStyle w:val="Pa17"/>
              <w:spacing w:before="120" w:after="120"/>
              <w:rPr>
                <w:rFonts w:asciiTheme="minorHAnsi" w:hAnsiTheme="minorHAnsi"/>
                <w:sz w:val="22"/>
                <w:szCs w:val="22"/>
              </w:rPr>
            </w:pPr>
          </w:p>
        </w:tc>
        <w:tc>
          <w:tcPr>
            <w:tcW w:w="4867" w:type="dxa"/>
          </w:tcPr>
          <w:p w14:paraId="2895F9EE" w14:textId="6DB8C960"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The previous script has been removed and replaced with updated information regarding the large number of superior licenced therapeutic agents available and that </w:t>
            </w:r>
            <w:proofErr w:type="spellStart"/>
            <w:r w:rsidRPr="00851F29">
              <w:rPr>
                <w:rFonts w:asciiTheme="minorHAnsi" w:hAnsiTheme="minorHAnsi"/>
              </w:rPr>
              <w:t>IVIg</w:t>
            </w:r>
            <w:proofErr w:type="spellEnd"/>
            <w:r w:rsidRPr="00851F29">
              <w:rPr>
                <w:rFonts w:asciiTheme="minorHAnsi" w:hAnsiTheme="minorHAnsi"/>
              </w:rPr>
              <w:t xml:space="preserve"> should be for exceptional use only and specifically, has no role in continuing treatment. (A)</w:t>
            </w:r>
          </w:p>
        </w:tc>
      </w:tr>
      <w:tr w:rsidR="003231AA" w:rsidRPr="00851F29" w14:paraId="09F70154" w14:textId="77777777" w:rsidTr="003231AA">
        <w:tc>
          <w:tcPr>
            <w:tcW w:w="1560" w:type="dxa"/>
            <w:shd w:val="clear" w:color="auto" w:fill="D9D9D9" w:themeFill="background1" w:themeFillShade="D9"/>
          </w:tcPr>
          <w:p w14:paraId="01081A9A" w14:textId="77777777" w:rsidR="003231AA" w:rsidRPr="00851F29" w:rsidRDefault="003231AA" w:rsidP="003231AA">
            <w:pPr>
              <w:spacing w:before="120" w:after="120"/>
              <w:rPr>
                <w:rFonts w:asciiTheme="minorHAnsi" w:hAnsiTheme="minorHAnsi"/>
                <w:b/>
              </w:rPr>
            </w:pPr>
            <w:r w:rsidRPr="00851F29">
              <w:rPr>
                <w:rFonts w:asciiTheme="minorHAnsi" w:hAnsiTheme="minorHAnsi"/>
                <w:b/>
              </w:rPr>
              <w:lastRenderedPageBreak/>
              <w:t>Description and Diagnostic Criteria</w:t>
            </w:r>
          </w:p>
          <w:p w14:paraId="2EF13ED1" w14:textId="285DA64D" w:rsidR="003231AA" w:rsidRPr="00851F29" w:rsidRDefault="003231AA" w:rsidP="003231AA">
            <w:pPr>
              <w:spacing w:before="120" w:after="120"/>
              <w:rPr>
                <w:rFonts w:asciiTheme="minorHAnsi" w:hAnsiTheme="minorHAnsi"/>
              </w:rPr>
            </w:pPr>
          </w:p>
        </w:tc>
        <w:tc>
          <w:tcPr>
            <w:tcW w:w="4866" w:type="dxa"/>
            <w:gridSpan w:val="2"/>
          </w:tcPr>
          <w:p w14:paraId="7803AC98"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MS is a chronic disorder of the central nervous system (CNS) characterised by a triad of inflammation, demyelination and gliosis. Lesions of MS, known as plaques, are typically disseminated in time and location throughout the brain and spinal cord. </w:t>
            </w:r>
          </w:p>
          <w:p w14:paraId="4001324D"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lastRenderedPageBreak/>
              <w:t xml:space="preserve">Four clinical types of MS have been described: relapsing/remitting MS (RRMS), primary progressive MS (PPMS), secondary progressive MS (SPMS), and progressive/relapsing MS (PRMS). </w:t>
            </w:r>
          </w:p>
          <w:p w14:paraId="08F38593"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Diagnosis requires two or more episodes of symptoms and two or more signs that reflect pathology in anatomically non-contiguous white matter tracts of the CNS. Symptoms must last &gt;24 hours and occur as separate episodes at least one month apart. At least one of the two signs must be present on neurological examination, while the other may be detected by </w:t>
            </w:r>
            <w:proofErr w:type="spellStart"/>
            <w:r w:rsidRPr="00851F29">
              <w:rPr>
                <w:rFonts w:asciiTheme="minorHAnsi" w:hAnsiTheme="minorHAnsi" w:cs="DIN-Light"/>
                <w:color w:val="000000"/>
                <w:sz w:val="22"/>
                <w:szCs w:val="22"/>
              </w:rPr>
              <w:t>paraclinical</w:t>
            </w:r>
            <w:proofErr w:type="spellEnd"/>
            <w:r w:rsidRPr="00851F29">
              <w:rPr>
                <w:rFonts w:asciiTheme="minorHAnsi" w:hAnsiTheme="minorHAnsi" w:cs="DIN-Light"/>
                <w:color w:val="000000"/>
                <w:sz w:val="22"/>
                <w:szCs w:val="22"/>
              </w:rPr>
              <w:t xml:space="preserve"> tests such as </w:t>
            </w:r>
            <w:proofErr w:type="spellStart"/>
            <w:r w:rsidRPr="00851F29">
              <w:rPr>
                <w:rFonts w:asciiTheme="minorHAnsi" w:hAnsiTheme="minorHAnsi" w:cs="DIN-Light"/>
                <w:color w:val="000000"/>
                <w:sz w:val="22"/>
                <w:szCs w:val="22"/>
              </w:rPr>
              <w:t>intrathecal</w:t>
            </w:r>
            <w:proofErr w:type="spellEnd"/>
            <w:r w:rsidRPr="00851F29">
              <w:rPr>
                <w:rFonts w:asciiTheme="minorHAnsi" w:hAnsiTheme="minorHAnsi" w:cs="DIN-Light"/>
                <w:color w:val="000000"/>
                <w:sz w:val="22"/>
                <w:szCs w:val="22"/>
              </w:rPr>
              <w:t xml:space="preserve"> </w:t>
            </w:r>
            <w:proofErr w:type="spellStart"/>
            <w:r w:rsidRPr="00851F29">
              <w:rPr>
                <w:rFonts w:asciiTheme="minorHAnsi" w:hAnsiTheme="minorHAnsi" w:cs="DIN-Light"/>
                <w:color w:val="000000"/>
                <w:sz w:val="22"/>
                <w:szCs w:val="22"/>
              </w:rPr>
              <w:t>IgG</w:t>
            </w:r>
            <w:proofErr w:type="spellEnd"/>
            <w:r w:rsidRPr="00851F29">
              <w:rPr>
                <w:rFonts w:asciiTheme="minorHAnsi" w:hAnsiTheme="minorHAnsi" w:cs="DIN-Light"/>
                <w:color w:val="000000"/>
                <w:sz w:val="22"/>
                <w:szCs w:val="22"/>
              </w:rPr>
              <w:t xml:space="preserve"> (</w:t>
            </w:r>
            <w:proofErr w:type="spellStart"/>
            <w:r w:rsidRPr="00851F29">
              <w:rPr>
                <w:rFonts w:asciiTheme="minorHAnsi" w:hAnsiTheme="minorHAnsi" w:cs="DIN-Light"/>
                <w:color w:val="000000"/>
                <w:sz w:val="22"/>
                <w:szCs w:val="22"/>
              </w:rPr>
              <w:t>oligoclonal</w:t>
            </w:r>
            <w:proofErr w:type="spellEnd"/>
            <w:r w:rsidRPr="00851F29">
              <w:rPr>
                <w:rFonts w:asciiTheme="minorHAnsi" w:hAnsiTheme="minorHAnsi" w:cs="DIN-Light"/>
                <w:color w:val="000000"/>
                <w:sz w:val="22"/>
                <w:szCs w:val="22"/>
              </w:rPr>
              <w:t xml:space="preserve"> bands and visual evoked potentials).</w:t>
            </w:r>
          </w:p>
        </w:tc>
        <w:tc>
          <w:tcPr>
            <w:tcW w:w="4867" w:type="dxa"/>
            <w:gridSpan w:val="2"/>
          </w:tcPr>
          <w:p w14:paraId="01580477"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lastRenderedPageBreak/>
              <w:t xml:space="preserve">MS is a chronic disorder of the central nervous system (CNS) characterised by a triad of inflammation, demyelination and gliosis. Lesions of MS, known as plaques, are typically disseminated in time and location throughout the brain and spinal cord. </w:t>
            </w:r>
          </w:p>
          <w:p w14:paraId="28AFF537"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lastRenderedPageBreak/>
              <w:t xml:space="preserve">Four clinical types of MS have been described: relapsing/remitting MS (RRMS), primary progressive MS (PPMS), secondary progressive MS (SPMS), and progressive/relapsing MS (PRMS). </w:t>
            </w:r>
          </w:p>
          <w:p w14:paraId="361D466C" w14:textId="098F2EF8" w:rsidR="003231AA" w:rsidRPr="00851F29" w:rsidRDefault="003231AA" w:rsidP="003231AA">
            <w:pPr>
              <w:spacing w:before="120" w:after="120"/>
              <w:rPr>
                <w:rFonts w:asciiTheme="minorHAnsi" w:hAnsiTheme="minorHAnsi"/>
                <w:color w:val="000000"/>
              </w:rPr>
            </w:pPr>
            <w:r w:rsidRPr="00851F29">
              <w:rPr>
                <w:rFonts w:asciiTheme="minorHAnsi" w:eastAsiaTheme="minorHAnsi" w:hAnsiTheme="minorHAnsi" w:cs="Times New Roman"/>
                <w:lang w:val="en-US"/>
              </w:rPr>
              <w:t xml:space="preserve">New evidence and consensus in 2010 has led to further revision of the McDonald Criteria for diagnosis of multiple sclerosis. The use of imaging for demonstration of dissemination of central nervous system lesions in space and time is defined. The 2010 revisions simplify the diagnostic criteria, maintain their diagnostic sensitivity and specificity and support earlier diagnosis and more uniform and widespread use. (Ann </w:t>
            </w:r>
            <w:proofErr w:type="spellStart"/>
            <w:r w:rsidRPr="00851F29">
              <w:rPr>
                <w:rFonts w:asciiTheme="minorHAnsi" w:eastAsiaTheme="minorHAnsi" w:hAnsiTheme="minorHAnsi" w:cs="Times New Roman"/>
                <w:lang w:val="en-US"/>
              </w:rPr>
              <w:t>Neurol</w:t>
            </w:r>
            <w:proofErr w:type="spellEnd"/>
            <w:r w:rsidRPr="00851F29">
              <w:rPr>
                <w:rFonts w:asciiTheme="minorHAnsi" w:eastAsiaTheme="minorHAnsi" w:hAnsiTheme="minorHAnsi" w:cs="Times New Roman"/>
                <w:lang w:val="en-US"/>
              </w:rPr>
              <w:t xml:space="preserve"> 2011 Feb; 69(2): 292-302.</w:t>
            </w:r>
          </w:p>
          <w:p w14:paraId="1C237B03" w14:textId="77777777" w:rsidR="003231AA" w:rsidRPr="00851F29" w:rsidRDefault="003231AA" w:rsidP="003231AA">
            <w:pPr>
              <w:spacing w:before="120" w:after="120"/>
              <w:rPr>
                <w:rFonts w:asciiTheme="minorHAnsi" w:hAnsiTheme="minorHAnsi"/>
              </w:rPr>
            </w:pPr>
          </w:p>
        </w:tc>
        <w:tc>
          <w:tcPr>
            <w:tcW w:w="4867" w:type="dxa"/>
          </w:tcPr>
          <w:p w14:paraId="1832DA4A" w14:textId="77777777"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Diagnostic criteria have been revised and updated in line with an International Consensus conference of 2010. </w:t>
            </w:r>
          </w:p>
        </w:tc>
      </w:tr>
      <w:tr w:rsidR="003231AA" w:rsidRPr="00851F29" w14:paraId="7B20BD0D" w14:textId="77777777" w:rsidTr="003231AA">
        <w:tc>
          <w:tcPr>
            <w:tcW w:w="1560" w:type="dxa"/>
            <w:shd w:val="clear" w:color="auto" w:fill="D9D9D9" w:themeFill="background1" w:themeFillShade="D9"/>
          </w:tcPr>
          <w:p w14:paraId="63FA9F59" w14:textId="77777777" w:rsidR="003231AA" w:rsidRPr="00851F29" w:rsidRDefault="003231AA" w:rsidP="003231AA">
            <w:pPr>
              <w:spacing w:before="120" w:after="120"/>
              <w:rPr>
                <w:rFonts w:asciiTheme="minorHAnsi" w:hAnsiTheme="minorHAnsi"/>
                <w:b/>
              </w:rPr>
            </w:pPr>
            <w:r w:rsidRPr="00851F29">
              <w:rPr>
                <w:rFonts w:asciiTheme="minorHAnsi" w:hAnsiTheme="minorHAnsi"/>
                <w:b/>
              </w:rPr>
              <w:lastRenderedPageBreak/>
              <w:t>Diagnosis is required</w:t>
            </w:r>
          </w:p>
        </w:tc>
        <w:tc>
          <w:tcPr>
            <w:tcW w:w="1842" w:type="dxa"/>
          </w:tcPr>
          <w:p w14:paraId="20BFFD24"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 </w:t>
            </w:r>
            <w:r w:rsidRPr="00851F29">
              <w:rPr>
                <w:rFonts w:asciiTheme="minorHAnsi" w:hAnsiTheme="minorHAnsi" w:cs="DIN-Light"/>
                <w:color w:val="000000"/>
              </w:rPr>
              <w:t>Clinically definite RRMS as defined by McDonald et al (2001) criteria</w:t>
            </w:r>
          </w:p>
        </w:tc>
        <w:tc>
          <w:tcPr>
            <w:tcW w:w="3024" w:type="dxa"/>
          </w:tcPr>
          <w:p w14:paraId="005EFF76" w14:textId="5509A69A" w:rsidR="003231AA" w:rsidRPr="00851F29" w:rsidRDefault="003231AA" w:rsidP="003231AA">
            <w:pPr>
              <w:spacing w:before="120" w:after="120"/>
              <w:rPr>
                <w:rFonts w:asciiTheme="minorHAnsi" w:hAnsiTheme="minorHAnsi"/>
              </w:rPr>
            </w:pPr>
            <w:r w:rsidRPr="00851F29">
              <w:rPr>
                <w:rFonts w:asciiTheme="minorHAnsi" w:hAnsiTheme="minorHAnsi"/>
              </w:rPr>
              <w:t>Yes neurologist</w:t>
            </w:r>
          </w:p>
        </w:tc>
        <w:tc>
          <w:tcPr>
            <w:tcW w:w="1938" w:type="dxa"/>
            <w:shd w:val="clear" w:color="auto" w:fill="BFBFBF" w:themeFill="background1" w:themeFillShade="BF"/>
          </w:tcPr>
          <w:p w14:paraId="577AF9E1" w14:textId="77777777" w:rsidR="003231AA" w:rsidRPr="00851F29" w:rsidRDefault="003231AA" w:rsidP="003231AA">
            <w:pPr>
              <w:spacing w:before="120" w:after="120"/>
              <w:rPr>
                <w:rFonts w:asciiTheme="minorHAnsi" w:hAnsiTheme="minorHAnsi"/>
              </w:rPr>
            </w:pPr>
            <w:r w:rsidRPr="00851F29">
              <w:rPr>
                <w:rFonts w:asciiTheme="minorHAnsi" w:hAnsiTheme="minorHAnsi"/>
              </w:rPr>
              <w:t>By which specialty</w:t>
            </w:r>
          </w:p>
        </w:tc>
        <w:tc>
          <w:tcPr>
            <w:tcW w:w="2929" w:type="dxa"/>
          </w:tcPr>
          <w:p w14:paraId="23D1066E" w14:textId="665E167D" w:rsidR="003231AA" w:rsidRPr="00851F29" w:rsidRDefault="003231AA" w:rsidP="003231AA">
            <w:pPr>
              <w:spacing w:before="120" w:after="120"/>
              <w:rPr>
                <w:rFonts w:asciiTheme="minorHAnsi" w:hAnsiTheme="minorHAnsi"/>
              </w:rPr>
            </w:pPr>
            <w:r w:rsidRPr="00851F29">
              <w:rPr>
                <w:rFonts w:asciiTheme="minorHAnsi" w:hAnsiTheme="minorHAnsi"/>
              </w:rPr>
              <w:t xml:space="preserve">Yes - Neurologist </w:t>
            </w:r>
          </w:p>
        </w:tc>
        <w:tc>
          <w:tcPr>
            <w:tcW w:w="4867" w:type="dxa"/>
          </w:tcPr>
          <w:p w14:paraId="24F07C16" w14:textId="05D76663" w:rsidR="003231AA" w:rsidRPr="00851F29" w:rsidRDefault="003231AA" w:rsidP="003231AA">
            <w:pPr>
              <w:spacing w:before="120" w:after="120"/>
              <w:rPr>
                <w:rFonts w:asciiTheme="minorHAnsi" w:hAnsiTheme="minorHAnsi"/>
              </w:rPr>
            </w:pPr>
            <w:r w:rsidRPr="00851F29">
              <w:rPr>
                <w:rFonts w:asciiTheme="minorHAnsi" w:hAnsiTheme="minorHAnsi"/>
              </w:rPr>
              <w:t>Diagnosis to be made by a neurologist according to McDonald 2010 (A)</w:t>
            </w:r>
          </w:p>
        </w:tc>
      </w:tr>
      <w:tr w:rsidR="003231AA" w:rsidRPr="00851F29" w14:paraId="153E580B" w14:textId="77777777" w:rsidTr="003231AA">
        <w:tc>
          <w:tcPr>
            <w:tcW w:w="1560" w:type="dxa"/>
            <w:shd w:val="clear" w:color="auto" w:fill="D9D9D9" w:themeFill="background1" w:themeFillShade="D9"/>
          </w:tcPr>
          <w:p w14:paraId="32019A6D"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Diagnosis must be verified</w:t>
            </w:r>
          </w:p>
        </w:tc>
        <w:tc>
          <w:tcPr>
            <w:tcW w:w="1842" w:type="dxa"/>
          </w:tcPr>
          <w:p w14:paraId="028E276F" w14:textId="77777777" w:rsidR="003231AA" w:rsidRPr="00851F29" w:rsidRDefault="003231AA" w:rsidP="003231AA">
            <w:pPr>
              <w:spacing w:before="120" w:after="120"/>
              <w:rPr>
                <w:rFonts w:asciiTheme="minorHAnsi" w:hAnsiTheme="minorHAnsi"/>
              </w:rPr>
            </w:pPr>
            <w:r w:rsidRPr="00851F29">
              <w:rPr>
                <w:rFonts w:asciiTheme="minorHAnsi" w:hAnsiTheme="minorHAnsi"/>
              </w:rPr>
              <w:t>Diagnosis must be confirmed by a neurologist</w:t>
            </w:r>
          </w:p>
        </w:tc>
        <w:tc>
          <w:tcPr>
            <w:tcW w:w="3024" w:type="dxa"/>
          </w:tcPr>
          <w:p w14:paraId="228B8D04" w14:textId="7371C038" w:rsidR="003231AA" w:rsidRPr="00851F29" w:rsidRDefault="003231AA" w:rsidP="003231AA">
            <w:pPr>
              <w:spacing w:before="120" w:after="120"/>
              <w:rPr>
                <w:rFonts w:asciiTheme="minorHAnsi" w:hAnsiTheme="minorHAnsi"/>
              </w:rPr>
            </w:pPr>
            <w:r w:rsidRPr="00851F29">
              <w:rPr>
                <w:rFonts w:asciiTheme="minorHAnsi" w:hAnsiTheme="minorHAnsi"/>
              </w:rPr>
              <w:t>No</w:t>
            </w:r>
          </w:p>
        </w:tc>
        <w:tc>
          <w:tcPr>
            <w:tcW w:w="1938" w:type="dxa"/>
            <w:shd w:val="clear" w:color="auto" w:fill="BFBFBF" w:themeFill="background1" w:themeFillShade="BF"/>
          </w:tcPr>
          <w:p w14:paraId="5EAD9511" w14:textId="77777777" w:rsidR="003231AA" w:rsidRPr="00851F29" w:rsidRDefault="003231AA" w:rsidP="003231AA">
            <w:pPr>
              <w:spacing w:before="120" w:after="120"/>
              <w:rPr>
                <w:rFonts w:asciiTheme="minorHAnsi" w:hAnsiTheme="minorHAnsi"/>
              </w:rPr>
            </w:pPr>
            <w:r w:rsidRPr="00851F29">
              <w:rPr>
                <w:rFonts w:asciiTheme="minorHAnsi" w:hAnsiTheme="minorHAnsi"/>
              </w:rPr>
              <w:t>By which specialty</w:t>
            </w:r>
          </w:p>
        </w:tc>
        <w:tc>
          <w:tcPr>
            <w:tcW w:w="2929" w:type="dxa"/>
          </w:tcPr>
          <w:p w14:paraId="443C8A03" w14:textId="6DE806CC" w:rsidR="003231AA" w:rsidRPr="00851F29" w:rsidRDefault="003231AA" w:rsidP="003231AA">
            <w:pPr>
              <w:spacing w:before="120" w:after="120"/>
              <w:rPr>
                <w:rFonts w:asciiTheme="minorHAnsi" w:hAnsiTheme="minorHAnsi"/>
              </w:rPr>
            </w:pPr>
            <w:r w:rsidRPr="00851F29">
              <w:rPr>
                <w:rFonts w:asciiTheme="minorHAnsi" w:hAnsiTheme="minorHAnsi"/>
              </w:rPr>
              <w:t>no</w:t>
            </w:r>
          </w:p>
        </w:tc>
        <w:tc>
          <w:tcPr>
            <w:tcW w:w="4867" w:type="dxa"/>
          </w:tcPr>
          <w:p w14:paraId="618770F3" w14:textId="77777777" w:rsidR="003231AA" w:rsidRPr="00851F29" w:rsidRDefault="003231AA" w:rsidP="003231AA">
            <w:pPr>
              <w:spacing w:before="120" w:after="120"/>
              <w:rPr>
                <w:rFonts w:asciiTheme="minorHAnsi" w:hAnsiTheme="minorHAnsi"/>
              </w:rPr>
            </w:pPr>
          </w:p>
        </w:tc>
      </w:tr>
      <w:tr w:rsidR="003231AA" w:rsidRPr="00851F29" w14:paraId="4D4D87F1" w14:textId="77777777" w:rsidTr="003231AA">
        <w:tc>
          <w:tcPr>
            <w:tcW w:w="1560" w:type="dxa"/>
            <w:shd w:val="clear" w:color="auto" w:fill="D9D9D9" w:themeFill="background1" w:themeFillShade="D9"/>
          </w:tcPr>
          <w:p w14:paraId="13C45DC3" w14:textId="77777777" w:rsidR="003231AA" w:rsidRPr="00851F29" w:rsidRDefault="003231AA" w:rsidP="003231AA">
            <w:pPr>
              <w:spacing w:before="120" w:after="120"/>
              <w:rPr>
                <w:rFonts w:asciiTheme="minorHAnsi" w:hAnsiTheme="minorHAnsi"/>
                <w:b/>
              </w:rPr>
            </w:pPr>
            <w:r w:rsidRPr="00851F29">
              <w:rPr>
                <w:rFonts w:asciiTheme="minorHAnsi" w:hAnsiTheme="minorHAnsi"/>
                <w:b/>
              </w:rPr>
              <w:t>Exclusion Criteria</w:t>
            </w:r>
          </w:p>
          <w:p w14:paraId="6F4DCB6B" w14:textId="16EAEA17" w:rsidR="003231AA" w:rsidRPr="00851F29" w:rsidRDefault="003231AA" w:rsidP="003231AA">
            <w:pPr>
              <w:spacing w:before="120" w:after="120"/>
              <w:rPr>
                <w:rFonts w:asciiTheme="minorHAnsi" w:hAnsiTheme="minorHAnsi"/>
              </w:rPr>
            </w:pPr>
          </w:p>
        </w:tc>
        <w:tc>
          <w:tcPr>
            <w:tcW w:w="4866" w:type="dxa"/>
            <w:gridSpan w:val="2"/>
          </w:tcPr>
          <w:p w14:paraId="0847BC4C" w14:textId="3F7C197F" w:rsidR="003231AA" w:rsidRPr="00851F29" w:rsidRDefault="003231AA" w:rsidP="003231AA">
            <w:pPr>
              <w:pStyle w:val="Default"/>
              <w:spacing w:before="120" w:after="120"/>
              <w:rPr>
                <w:rFonts w:asciiTheme="minorHAnsi" w:hAnsiTheme="minorHAnsi" w:cstheme="minorBidi"/>
                <w:color w:val="auto"/>
                <w:sz w:val="22"/>
                <w:szCs w:val="22"/>
              </w:rPr>
            </w:pPr>
            <w:r w:rsidRPr="00851F29">
              <w:rPr>
                <w:rFonts w:asciiTheme="minorHAnsi" w:hAnsiTheme="minorHAnsi" w:cstheme="minorBidi"/>
                <w:color w:val="auto"/>
                <w:sz w:val="22"/>
                <w:szCs w:val="22"/>
              </w:rPr>
              <w:lastRenderedPageBreak/>
              <w:t>Primary progressive MS.</w:t>
            </w:r>
          </w:p>
          <w:p w14:paraId="430F59DE" w14:textId="77777777" w:rsidR="003231AA" w:rsidRPr="00851F29" w:rsidRDefault="003231AA" w:rsidP="003231AA">
            <w:pPr>
              <w:pStyle w:val="Default"/>
              <w:spacing w:before="120" w:after="120"/>
              <w:rPr>
                <w:rFonts w:asciiTheme="minorHAnsi" w:hAnsiTheme="minorHAnsi" w:cstheme="minorBidi"/>
                <w:color w:val="auto"/>
                <w:sz w:val="22"/>
                <w:szCs w:val="22"/>
              </w:rPr>
            </w:pPr>
          </w:p>
          <w:p w14:paraId="485AD217" w14:textId="37B5D355"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cstheme="minorBidi"/>
                <w:color w:val="auto"/>
                <w:sz w:val="22"/>
                <w:szCs w:val="22"/>
              </w:rPr>
              <w:t xml:space="preserve">Progressive phase of MS without relapses. </w:t>
            </w:r>
          </w:p>
        </w:tc>
        <w:tc>
          <w:tcPr>
            <w:tcW w:w="4867" w:type="dxa"/>
            <w:gridSpan w:val="2"/>
          </w:tcPr>
          <w:p w14:paraId="5B4E6836" w14:textId="77777777" w:rsidR="003231AA" w:rsidRPr="00851F29" w:rsidRDefault="003231AA" w:rsidP="003231AA">
            <w:pPr>
              <w:pStyle w:val="Default"/>
              <w:spacing w:before="120" w:after="120"/>
              <w:rPr>
                <w:rFonts w:asciiTheme="minorHAnsi" w:hAnsiTheme="minorHAnsi" w:cstheme="minorBidi"/>
                <w:color w:val="auto"/>
                <w:sz w:val="22"/>
                <w:szCs w:val="22"/>
              </w:rPr>
            </w:pPr>
            <w:r w:rsidRPr="00851F29">
              <w:rPr>
                <w:rFonts w:asciiTheme="minorHAnsi" w:hAnsiTheme="minorHAnsi" w:cstheme="minorBidi"/>
                <w:color w:val="auto"/>
                <w:sz w:val="22"/>
                <w:szCs w:val="22"/>
              </w:rPr>
              <w:lastRenderedPageBreak/>
              <w:t xml:space="preserve">Primary progressive MS. </w:t>
            </w:r>
          </w:p>
          <w:p w14:paraId="6A00BF4C" w14:textId="77777777" w:rsidR="003231AA" w:rsidRPr="00851F29" w:rsidRDefault="003231AA" w:rsidP="003231AA">
            <w:pPr>
              <w:pStyle w:val="Default"/>
              <w:spacing w:before="120" w:after="120"/>
              <w:rPr>
                <w:rFonts w:asciiTheme="minorHAnsi" w:hAnsiTheme="minorHAnsi" w:cstheme="minorBidi"/>
                <w:color w:val="auto"/>
                <w:sz w:val="22"/>
                <w:szCs w:val="22"/>
              </w:rPr>
            </w:pPr>
          </w:p>
          <w:p w14:paraId="5F3A9345" w14:textId="6A7F7B9B"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cstheme="minorBidi"/>
                <w:color w:val="auto"/>
                <w:sz w:val="22"/>
                <w:szCs w:val="22"/>
              </w:rPr>
              <w:t>Progressive phase of MS without relapses.</w:t>
            </w:r>
          </w:p>
        </w:tc>
        <w:tc>
          <w:tcPr>
            <w:tcW w:w="4867" w:type="dxa"/>
          </w:tcPr>
          <w:p w14:paraId="6530B2E1" w14:textId="5A10CE35" w:rsidR="003231AA" w:rsidRPr="00851F29" w:rsidRDefault="003231AA" w:rsidP="003231AA">
            <w:pPr>
              <w:spacing w:before="120" w:after="120"/>
              <w:rPr>
                <w:rFonts w:asciiTheme="minorHAnsi" w:hAnsiTheme="minorHAnsi"/>
              </w:rPr>
            </w:pPr>
            <w:r w:rsidRPr="00851F29">
              <w:rPr>
                <w:rFonts w:asciiTheme="minorHAnsi" w:hAnsiTheme="minorHAnsi"/>
              </w:rPr>
              <w:lastRenderedPageBreak/>
              <w:t>Unchanged</w:t>
            </w:r>
          </w:p>
        </w:tc>
      </w:tr>
      <w:tr w:rsidR="003231AA" w:rsidRPr="00851F29" w14:paraId="6401D714" w14:textId="77777777" w:rsidTr="003231AA">
        <w:tc>
          <w:tcPr>
            <w:tcW w:w="1560" w:type="dxa"/>
            <w:shd w:val="clear" w:color="auto" w:fill="D9D9D9" w:themeFill="background1" w:themeFillShade="D9"/>
          </w:tcPr>
          <w:p w14:paraId="32650D2E" w14:textId="77777777"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Indications</w:t>
            </w:r>
          </w:p>
        </w:tc>
        <w:tc>
          <w:tcPr>
            <w:tcW w:w="4866" w:type="dxa"/>
            <w:gridSpan w:val="2"/>
          </w:tcPr>
          <w:tbl>
            <w:tblPr>
              <w:tblW w:w="0" w:type="auto"/>
              <w:tblBorders>
                <w:top w:val="nil"/>
                <w:left w:val="nil"/>
                <w:bottom w:val="nil"/>
                <w:right w:val="nil"/>
              </w:tblBorders>
              <w:tblLook w:val="0000" w:firstRow="0" w:lastRow="0" w:firstColumn="0" w:lastColumn="0" w:noHBand="0" w:noVBand="0"/>
            </w:tblPr>
            <w:tblGrid>
              <w:gridCol w:w="4428"/>
              <w:gridCol w:w="222"/>
            </w:tblGrid>
            <w:tr w:rsidR="003231AA" w:rsidRPr="00851F29" w14:paraId="53419A41" w14:textId="77777777" w:rsidTr="00603372">
              <w:trPr>
                <w:trHeight w:val="108"/>
              </w:trPr>
              <w:tc>
                <w:tcPr>
                  <w:tcW w:w="0" w:type="auto"/>
                </w:tcPr>
                <w:p w14:paraId="69B77560" w14:textId="77777777" w:rsidR="003231AA" w:rsidRPr="00851F29" w:rsidRDefault="003231AA" w:rsidP="003231AA">
                  <w:pPr>
                    <w:spacing w:before="120" w:after="120"/>
                    <w:rPr>
                      <w:rFonts w:asciiTheme="minorHAnsi" w:hAnsiTheme="minorHAnsi"/>
                    </w:rPr>
                  </w:pPr>
                  <w:r w:rsidRPr="00851F29">
                    <w:rPr>
                      <w:rFonts w:asciiTheme="minorHAnsi" w:hAnsiTheme="minorHAnsi"/>
                    </w:rPr>
                    <w:t>Short-term therapy in patients with clinically definite relapsing remitting MS in the following circumstances:</w:t>
                  </w:r>
                </w:p>
                <w:p w14:paraId="3E1ED1A5" w14:textId="77777777" w:rsidR="003231AA" w:rsidRPr="00851F29" w:rsidRDefault="003231AA" w:rsidP="003231AA">
                  <w:pPr>
                    <w:spacing w:before="120" w:after="120"/>
                    <w:rPr>
                      <w:rFonts w:asciiTheme="minorHAnsi" w:hAnsiTheme="minorHAnsi"/>
                    </w:rPr>
                  </w:pPr>
                  <w:r w:rsidRPr="00851F29">
                    <w:rPr>
                      <w:rFonts w:asciiTheme="minorHAnsi" w:hAnsiTheme="minorHAnsi"/>
                    </w:rPr>
                    <w:t>Pregnancy and the immediate post-partum period when other immunomodulation is contraindicated;</w:t>
                  </w:r>
                </w:p>
                <w:p w14:paraId="3F5D84C1" w14:textId="77777777" w:rsidR="003231AA" w:rsidRPr="00851F29" w:rsidRDefault="003231AA" w:rsidP="003231AA">
                  <w:pPr>
                    <w:spacing w:before="120" w:after="120"/>
                    <w:rPr>
                      <w:rFonts w:asciiTheme="minorHAnsi" w:hAnsiTheme="minorHAnsi"/>
                    </w:rPr>
                  </w:pPr>
                  <w:r w:rsidRPr="00851F29">
                    <w:rPr>
                      <w:rFonts w:asciiTheme="minorHAnsi" w:hAnsiTheme="minorHAnsi"/>
                    </w:rPr>
                    <w:t>Young patients with severe relapsing remitting disease in whom other therapies have failed;</w:t>
                  </w:r>
                </w:p>
                <w:p w14:paraId="01BAA37A" w14:textId="77777777" w:rsidR="003231AA" w:rsidRPr="00851F29" w:rsidRDefault="003231AA" w:rsidP="003231AA">
                  <w:pPr>
                    <w:spacing w:before="120" w:after="120"/>
                    <w:rPr>
                      <w:rFonts w:asciiTheme="minorHAnsi" w:hAnsiTheme="minorHAnsi"/>
                    </w:rPr>
                  </w:pPr>
                  <w:r w:rsidRPr="00851F29">
                    <w:rPr>
                      <w:rFonts w:asciiTheme="minorHAnsi" w:hAnsiTheme="minorHAnsi"/>
                    </w:rPr>
                    <w:t>Severe relapse with no response to high-dose methylprednisolone.</w:t>
                  </w:r>
                </w:p>
              </w:tc>
              <w:tc>
                <w:tcPr>
                  <w:tcW w:w="0" w:type="auto"/>
                </w:tcPr>
                <w:p w14:paraId="701E3E1C" w14:textId="77777777" w:rsidR="003231AA" w:rsidRPr="00851F29" w:rsidRDefault="003231AA" w:rsidP="003231AA">
                  <w:pPr>
                    <w:pStyle w:val="Default"/>
                    <w:spacing w:before="120" w:after="120"/>
                    <w:rPr>
                      <w:rFonts w:asciiTheme="minorHAnsi" w:hAnsiTheme="minorHAnsi"/>
                      <w:sz w:val="22"/>
                      <w:szCs w:val="22"/>
                    </w:rPr>
                  </w:pPr>
                </w:p>
              </w:tc>
            </w:tr>
          </w:tbl>
          <w:p w14:paraId="16C7978B" w14:textId="77777777" w:rsidR="003231AA" w:rsidRPr="00851F29" w:rsidRDefault="003231AA" w:rsidP="003231AA">
            <w:pPr>
              <w:pStyle w:val="NoSpacing"/>
              <w:spacing w:before="120" w:after="120"/>
              <w:rPr>
                <w:rFonts w:asciiTheme="minorHAnsi" w:hAnsiTheme="minorHAnsi"/>
              </w:rPr>
            </w:pPr>
          </w:p>
        </w:tc>
        <w:tc>
          <w:tcPr>
            <w:tcW w:w="4867" w:type="dxa"/>
            <w:gridSpan w:val="2"/>
          </w:tcPr>
          <w:p w14:paraId="76B1FDE0" w14:textId="1CF147AD" w:rsidR="003231AA" w:rsidRPr="00851F29" w:rsidRDefault="00C647DB" w:rsidP="003231AA">
            <w:pPr>
              <w:spacing w:before="120" w:after="120"/>
              <w:rPr>
                <w:rFonts w:asciiTheme="minorHAnsi" w:eastAsia="Times New Roman" w:hAnsiTheme="minorHAnsi" w:cs="Times New Roman"/>
                <w:lang w:eastAsia="en-AU"/>
              </w:rPr>
            </w:pPr>
            <w:r w:rsidRPr="00851F29">
              <w:rPr>
                <w:rFonts w:asciiTheme="minorHAnsi" w:hAnsiTheme="minorHAnsi"/>
                <w:color w:val="333333"/>
              </w:rPr>
              <w:t>Severe relapse of clinically definite RRMS with no response to high-dose methylprednisolone or where methylprednisolone is contraindicated.</w:t>
            </w:r>
          </w:p>
          <w:p w14:paraId="402DBC2C" w14:textId="4BF58DC7" w:rsidR="003231AA" w:rsidRPr="00851F29" w:rsidRDefault="00C647DB" w:rsidP="00851F29">
            <w:pPr>
              <w:spacing w:before="120" w:after="120"/>
              <w:rPr>
                <w:rFonts w:asciiTheme="minorHAnsi" w:hAnsiTheme="minorHAnsi"/>
              </w:rPr>
            </w:pPr>
            <w:r w:rsidRPr="00851F29">
              <w:rPr>
                <w:rFonts w:asciiTheme="minorHAnsi" w:hAnsiTheme="minorHAnsi"/>
                <w:color w:val="333333"/>
              </w:rPr>
              <w:t xml:space="preserve">Prevention of MS </w:t>
            </w:r>
            <w:proofErr w:type="gramStart"/>
            <w:r w:rsidRPr="00851F29">
              <w:rPr>
                <w:rFonts w:asciiTheme="minorHAnsi" w:hAnsiTheme="minorHAnsi"/>
                <w:color w:val="333333"/>
              </w:rPr>
              <w:t>relapse</w:t>
            </w:r>
            <w:proofErr w:type="gramEnd"/>
            <w:r w:rsidRPr="00851F29">
              <w:rPr>
                <w:rFonts w:asciiTheme="minorHAnsi" w:hAnsiTheme="minorHAnsi"/>
                <w:color w:val="333333"/>
              </w:rPr>
              <w:t xml:space="preserve"> where other Therapeutic Goods Administration (TGA) licensed therapies are inappropriate or are contraindicated.</w:t>
            </w:r>
            <w:r w:rsidR="00851F29" w:rsidRPr="00851F29">
              <w:rPr>
                <w:rFonts w:asciiTheme="minorHAnsi" w:hAnsiTheme="minorHAnsi"/>
              </w:rPr>
              <w:t xml:space="preserve"> </w:t>
            </w:r>
          </w:p>
        </w:tc>
        <w:tc>
          <w:tcPr>
            <w:tcW w:w="4867" w:type="dxa"/>
          </w:tcPr>
          <w:p w14:paraId="3598BA27" w14:textId="32DF4146" w:rsidR="003231AA" w:rsidRPr="00851F29" w:rsidRDefault="003231AA" w:rsidP="003231AA">
            <w:pPr>
              <w:pStyle w:val="ListParagraph"/>
              <w:spacing w:before="120" w:after="120"/>
              <w:ind w:left="0"/>
              <w:rPr>
                <w:rStyle w:val="CommentReference"/>
                <w:rFonts w:asciiTheme="minorHAnsi" w:hAnsiTheme="minorHAnsi"/>
                <w:sz w:val="22"/>
                <w:szCs w:val="22"/>
              </w:rPr>
            </w:pPr>
            <w:r w:rsidRPr="00851F29">
              <w:rPr>
                <w:rStyle w:val="CommentReference"/>
                <w:rFonts w:asciiTheme="minorHAnsi" w:hAnsiTheme="minorHAnsi"/>
                <w:sz w:val="22"/>
                <w:szCs w:val="22"/>
              </w:rPr>
              <w:t xml:space="preserve">SWG confirmed that the first 2 indications are not required and should be deleted. These indications are no longer an emerging role.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should now only be used in exceptional circumstances - there are now better treatments available that are more effective and can be used effectively in pregnancy (</w:t>
            </w:r>
            <w:proofErr w:type="spellStart"/>
            <w:r w:rsidRPr="00851F29">
              <w:rPr>
                <w:rStyle w:val="CommentReference"/>
                <w:rFonts w:asciiTheme="minorHAnsi" w:hAnsiTheme="minorHAnsi"/>
                <w:sz w:val="22"/>
                <w:szCs w:val="22"/>
              </w:rPr>
              <w:t>eg</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Tysabri</w:t>
            </w:r>
            <w:proofErr w:type="spellEnd"/>
            <w:r w:rsidRPr="00851F29">
              <w:rPr>
                <w:rStyle w:val="CommentReference"/>
                <w:rFonts w:asciiTheme="minorHAnsi" w:hAnsiTheme="minorHAnsi"/>
                <w:sz w:val="22"/>
                <w:szCs w:val="22"/>
              </w:rPr>
              <w:t xml:space="preserve">).  The indication where MP is contraindicated (e.g. previous psychotic episode on MP) should be retained.  </w:t>
            </w:r>
          </w:p>
          <w:p w14:paraId="3F2A3FA9" w14:textId="77777777" w:rsidR="003231AA" w:rsidRPr="00851F29" w:rsidRDefault="003231AA" w:rsidP="003231AA">
            <w:pPr>
              <w:spacing w:before="120" w:after="120"/>
              <w:rPr>
                <w:rFonts w:asciiTheme="minorHAnsi" w:hAnsiTheme="minorHAnsi"/>
              </w:rPr>
            </w:pPr>
            <w:r w:rsidRPr="00851F29">
              <w:rPr>
                <w:rStyle w:val="CommentReference"/>
                <w:rFonts w:asciiTheme="minorHAnsi" w:hAnsiTheme="minorHAnsi"/>
                <w:sz w:val="22"/>
                <w:szCs w:val="22"/>
              </w:rPr>
              <w:t xml:space="preserve">The 13-14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usage data shows that fewer than 5 pregnant MS patients required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and 25 patients received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under the “Young” indication -18 patients received </w:t>
            </w:r>
            <w:proofErr w:type="spellStart"/>
            <w:r w:rsidRPr="00851F29">
              <w:rPr>
                <w:rStyle w:val="CommentReference"/>
                <w:rFonts w:asciiTheme="minorHAnsi" w:hAnsiTheme="minorHAnsi"/>
                <w:sz w:val="22"/>
                <w:szCs w:val="22"/>
              </w:rPr>
              <w:t>IVIg</w:t>
            </w:r>
            <w:proofErr w:type="spellEnd"/>
            <w:r w:rsidRPr="00851F29">
              <w:rPr>
                <w:rStyle w:val="CommentReference"/>
                <w:rFonts w:asciiTheme="minorHAnsi" w:hAnsiTheme="minorHAnsi"/>
                <w:sz w:val="22"/>
                <w:szCs w:val="22"/>
              </w:rPr>
              <w:t xml:space="preserve"> for the third indication. A new indication was developed to cover instances where TGA approved medications were unavailable or unsafe. This might now be used for pregnancy or young patients as this indication would equally apply in those unusual circumstances. </w:t>
            </w:r>
          </w:p>
        </w:tc>
      </w:tr>
      <w:tr w:rsidR="003231AA" w:rsidRPr="00851F29" w14:paraId="4F6B05B1" w14:textId="77777777" w:rsidTr="003231AA">
        <w:tc>
          <w:tcPr>
            <w:tcW w:w="1560" w:type="dxa"/>
            <w:shd w:val="clear" w:color="auto" w:fill="D9D9D9" w:themeFill="background1" w:themeFillShade="D9"/>
          </w:tcPr>
          <w:p w14:paraId="35A4FA1A" w14:textId="401B0F1D"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t>Qualifying Criteria</w:t>
            </w:r>
          </w:p>
        </w:tc>
        <w:tc>
          <w:tcPr>
            <w:tcW w:w="4866" w:type="dxa"/>
            <w:gridSpan w:val="2"/>
          </w:tcPr>
          <w:p w14:paraId="151B7723" w14:textId="77777777" w:rsidR="003231AA" w:rsidRPr="00851F29" w:rsidRDefault="003231AA" w:rsidP="003231AA">
            <w:pPr>
              <w:pStyle w:val="Pa36"/>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Clinically definite RRMS as defined by McDonald et al (2001) criteria and confirmed by a neurologist with one of the following indications: </w:t>
            </w:r>
          </w:p>
          <w:p w14:paraId="59B63C53"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Pregnancy and immediate </w:t>
            </w:r>
            <w:proofErr w:type="spellStart"/>
            <w:r w:rsidRPr="00851F29">
              <w:rPr>
                <w:rFonts w:asciiTheme="minorHAnsi" w:hAnsiTheme="minorHAnsi"/>
                <w:sz w:val="22"/>
                <w:szCs w:val="22"/>
              </w:rPr>
              <w:t>post partum</w:t>
            </w:r>
            <w:proofErr w:type="spellEnd"/>
            <w:r w:rsidRPr="00851F29">
              <w:rPr>
                <w:rFonts w:asciiTheme="minorHAnsi" w:hAnsiTheme="minorHAnsi"/>
                <w:sz w:val="22"/>
                <w:szCs w:val="22"/>
              </w:rPr>
              <w:t xml:space="preserve"> period </w:t>
            </w:r>
            <w:r w:rsidRPr="00851F29">
              <w:rPr>
                <w:rFonts w:asciiTheme="minorHAnsi" w:hAnsiTheme="minorHAnsi"/>
                <w:sz w:val="22"/>
                <w:szCs w:val="22"/>
              </w:rPr>
              <w:lastRenderedPageBreak/>
              <w:t xml:space="preserve">when other immunomodulation is contraindicated; </w:t>
            </w:r>
          </w:p>
          <w:p w14:paraId="3F352859" w14:textId="77777777" w:rsidR="003231AA" w:rsidRPr="00851F29" w:rsidRDefault="003231AA" w:rsidP="003231AA">
            <w:pPr>
              <w:pStyle w:val="Default"/>
              <w:spacing w:before="120" w:after="120"/>
              <w:rPr>
                <w:rFonts w:asciiTheme="minorHAnsi" w:hAnsiTheme="minorHAnsi"/>
                <w:sz w:val="22"/>
                <w:szCs w:val="22"/>
              </w:rPr>
            </w:pPr>
          </w:p>
          <w:p w14:paraId="7559C342"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OR </w:t>
            </w:r>
          </w:p>
          <w:p w14:paraId="0FA4AE85"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Young patients with severe relapsing remitting disease in whom other therapies have failed; </w:t>
            </w:r>
          </w:p>
          <w:p w14:paraId="3BC7DB64" w14:textId="77777777" w:rsidR="003231AA" w:rsidRPr="00851F29" w:rsidRDefault="003231AA" w:rsidP="003231AA">
            <w:pPr>
              <w:pStyle w:val="Default"/>
              <w:spacing w:before="120" w:after="120"/>
              <w:rPr>
                <w:rFonts w:asciiTheme="minorHAnsi" w:hAnsiTheme="minorHAnsi"/>
                <w:sz w:val="22"/>
                <w:szCs w:val="22"/>
              </w:rPr>
            </w:pPr>
          </w:p>
          <w:p w14:paraId="7D385235"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OR </w:t>
            </w:r>
          </w:p>
          <w:p w14:paraId="74B6B502"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Severe relapse with no response to high-dose methylprednisolone. </w:t>
            </w:r>
          </w:p>
          <w:p w14:paraId="204B1460" w14:textId="77777777" w:rsidR="003231AA" w:rsidRPr="00851F29" w:rsidRDefault="003231AA" w:rsidP="003231AA">
            <w:pPr>
              <w:pStyle w:val="Default"/>
              <w:spacing w:before="120" w:after="120"/>
              <w:rPr>
                <w:rFonts w:asciiTheme="minorHAnsi" w:hAnsiTheme="minorHAnsi"/>
                <w:sz w:val="22"/>
                <w:szCs w:val="22"/>
              </w:rPr>
            </w:pPr>
          </w:p>
          <w:p w14:paraId="7B596A15"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Application for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use for these indications will be considered on a case-by-case basis and may be reviewed by an expert neurologist in MS in each state </w:t>
            </w:r>
          </w:p>
          <w:p w14:paraId="3047A536"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Note:</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There are numerous </w:t>
            </w:r>
            <w:proofErr w:type="spellStart"/>
            <w:r w:rsidRPr="00851F29">
              <w:rPr>
                <w:rFonts w:asciiTheme="minorHAnsi" w:hAnsiTheme="minorHAnsi" w:cs="DIN-Light"/>
                <w:color w:val="000000"/>
                <w:sz w:val="22"/>
                <w:szCs w:val="22"/>
              </w:rPr>
              <w:t>immunomodulatory</w:t>
            </w:r>
            <w:proofErr w:type="spellEnd"/>
            <w:r w:rsidRPr="00851F29">
              <w:rPr>
                <w:rFonts w:asciiTheme="minorHAnsi" w:hAnsiTheme="minorHAnsi" w:cs="DIN-Light"/>
                <w:color w:val="000000"/>
                <w:sz w:val="22"/>
                <w:szCs w:val="22"/>
              </w:rPr>
              <w:t xml:space="preserve"> therapies available for multiple sclerosis. </w:t>
            </w:r>
            <w:proofErr w:type="spellStart"/>
            <w:r w:rsidRPr="00851F29">
              <w:rPr>
                <w:rFonts w:asciiTheme="minorHAnsi" w:hAnsiTheme="minorHAnsi" w:cs="DIN-Light"/>
                <w:color w:val="000000"/>
                <w:sz w:val="22"/>
                <w:szCs w:val="22"/>
              </w:rPr>
              <w:t>IVIg</w:t>
            </w:r>
            <w:proofErr w:type="spellEnd"/>
            <w:r w:rsidRPr="00851F29">
              <w:rPr>
                <w:rFonts w:asciiTheme="minorHAnsi" w:hAnsiTheme="minorHAnsi" w:cs="DIN-Light"/>
                <w:color w:val="000000"/>
                <w:sz w:val="22"/>
                <w:szCs w:val="22"/>
              </w:rPr>
              <w:t xml:space="preserve"> is not available for routine ongoing treatment for patients with MS. </w:t>
            </w:r>
          </w:p>
        </w:tc>
        <w:tc>
          <w:tcPr>
            <w:tcW w:w="4867" w:type="dxa"/>
            <w:gridSpan w:val="2"/>
          </w:tcPr>
          <w:p w14:paraId="7DC5A696" w14:textId="77777777" w:rsidR="00851F29" w:rsidRPr="00851F29" w:rsidRDefault="00851F29" w:rsidP="00851F29">
            <w:pPr>
              <w:spacing w:before="120" w:after="120"/>
              <w:rPr>
                <w:rFonts w:asciiTheme="minorHAnsi" w:eastAsia="Times New Roman" w:hAnsiTheme="minorHAnsi" w:cs="Times New Roman"/>
                <w:b/>
                <w:lang w:eastAsia="en-AU"/>
              </w:rPr>
            </w:pPr>
            <w:r w:rsidRPr="00851F29">
              <w:rPr>
                <w:rFonts w:asciiTheme="minorHAnsi" w:hAnsiTheme="minorHAnsi"/>
                <w:b/>
                <w:color w:val="333333"/>
              </w:rPr>
              <w:lastRenderedPageBreak/>
              <w:t>Severe relapse of clinically definite RRMS with no response to high-dose methylprednisolone or where methylprednisolone is contraindicated.</w:t>
            </w:r>
          </w:p>
          <w:p w14:paraId="1FD1F3AA" w14:textId="550E169F" w:rsidR="003231AA" w:rsidRPr="00851F29" w:rsidRDefault="003231AA" w:rsidP="003231AA">
            <w:pPr>
              <w:spacing w:before="120" w:after="120"/>
              <w:rPr>
                <w:rFonts w:asciiTheme="minorHAnsi" w:hAnsiTheme="minorHAnsi"/>
              </w:rPr>
            </w:pPr>
            <w:r w:rsidRPr="00851F29">
              <w:rPr>
                <w:rFonts w:asciiTheme="minorHAnsi" w:hAnsiTheme="minorHAnsi"/>
              </w:rPr>
              <w:t xml:space="preserve">Severe relapse of clinically definite RRMS proven by brain or spinal cord MRI scan and at least two </w:t>
            </w:r>
            <w:r w:rsidRPr="00851F29">
              <w:rPr>
                <w:rFonts w:asciiTheme="minorHAnsi" w:hAnsiTheme="minorHAnsi"/>
              </w:rPr>
              <w:lastRenderedPageBreak/>
              <w:t>relapses in the previous two years</w:t>
            </w:r>
          </w:p>
          <w:p w14:paraId="547D94C0" w14:textId="77777777" w:rsidR="003231AA" w:rsidRPr="00851F29" w:rsidRDefault="003231AA" w:rsidP="003231AA">
            <w:pPr>
              <w:spacing w:before="120" w:after="120"/>
              <w:rPr>
                <w:rFonts w:asciiTheme="minorHAnsi" w:hAnsiTheme="minorHAnsi"/>
              </w:rPr>
            </w:pPr>
            <w:r w:rsidRPr="00851F29">
              <w:rPr>
                <w:rFonts w:asciiTheme="minorHAnsi" w:hAnsiTheme="minorHAnsi"/>
              </w:rPr>
              <w:t>AND</w:t>
            </w:r>
          </w:p>
          <w:p w14:paraId="1F3F3CFC" w14:textId="1886A1F0"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 xml:space="preserve">Patient has not responded to a course of high-dose methylprednisolone treatment </w:t>
            </w:r>
          </w:p>
          <w:p w14:paraId="337C6F8A"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OR</w:t>
            </w:r>
          </w:p>
          <w:p w14:paraId="70C07B57" w14:textId="7FFF354C"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 xml:space="preserve">Methylprednisolone treatment is contraindicated. </w:t>
            </w:r>
          </w:p>
          <w:p w14:paraId="2348A088" w14:textId="77777777" w:rsidR="003231AA" w:rsidRPr="00851F29" w:rsidRDefault="003231AA" w:rsidP="003231AA">
            <w:pPr>
              <w:pStyle w:val="ListParagraph"/>
              <w:spacing w:before="120" w:after="120"/>
              <w:rPr>
                <w:rStyle w:val="CommentReference"/>
                <w:rFonts w:asciiTheme="minorHAnsi" w:hAnsiTheme="minorHAnsi"/>
                <w:sz w:val="22"/>
                <w:szCs w:val="22"/>
              </w:rPr>
            </w:pPr>
          </w:p>
          <w:p w14:paraId="344358D9" w14:textId="77777777" w:rsidR="003231AA" w:rsidRPr="00851F29" w:rsidRDefault="003231AA" w:rsidP="003231AA">
            <w:pPr>
              <w:pStyle w:val="ListParagraph"/>
              <w:spacing w:before="120" w:after="120"/>
              <w:rPr>
                <w:rStyle w:val="CommentReference"/>
                <w:rFonts w:asciiTheme="minorHAnsi" w:hAnsiTheme="minorHAnsi"/>
                <w:sz w:val="22"/>
                <w:szCs w:val="22"/>
              </w:rPr>
            </w:pPr>
          </w:p>
          <w:p w14:paraId="1F4877D7" w14:textId="612615CE" w:rsidR="003231AA" w:rsidRPr="00851F29" w:rsidRDefault="00851F29" w:rsidP="003231AA">
            <w:pPr>
              <w:spacing w:before="120" w:after="120"/>
              <w:rPr>
                <w:rStyle w:val="CommentReference"/>
                <w:rFonts w:asciiTheme="minorHAnsi" w:hAnsiTheme="minorHAnsi"/>
                <w:b/>
                <w:sz w:val="22"/>
                <w:szCs w:val="22"/>
              </w:rPr>
            </w:pPr>
            <w:r w:rsidRPr="00851F29">
              <w:rPr>
                <w:rFonts w:asciiTheme="minorHAnsi" w:hAnsiTheme="minorHAnsi"/>
                <w:b/>
                <w:color w:val="333333"/>
              </w:rPr>
              <w:t xml:space="preserve">Prevention of MS </w:t>
            </w:r>
            <w:proofErr w:type="gramStart"/>
            <w:r w:rsidRPr="00851F29">
              <w:rPr>
                <w:rFonts w:asciiTheme="minorHAnsi" w:hAnsiTheme="minorHAnsi"/>
                <w:b/>
                <w:color w:val="333333"/>
              </w:rPr>
              <w:t>relapse</w:t>
            </w:r>
            <w:proofErr w:type="gramEnd"/>
            <w:r w:rsidRPr="00851F29">
              <w:rPr>
                <w:rFonts w:asciiTheme="minorHAnsi" w:hAnsiTheme="minorHAnsi"/>
                <w:b/>
                <w:color w:val="333333"/>
              </w:rPr>
              <w:t xml:space="preserve"> where other Therapeutic Goods Administration (TGA) licensed therapies are inappropriate or are contraindicated.</w:t>
            </w:r>
            <w:r w:rsidRPr="00851F29">
              <w:rPr>
                <w:rFonts w:asciiTheme="minorHAnsi" w:hAnsiTheme="minorHAnsi"/>
                <w:b/>
              </w:rPr>
              <w:t xml:space="preserve"> </w:t>
            </w:r>
          </w:p>
          <w:p w14:paraId="3A2A3558" w14:textId="39351384"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Patients with clinically definite RRMS proven by brain or spinal cord MRI scan and at least two relapses in the previous two years</w:t>
            </w:r>
          </w:p>
          <w:p w14:paraId="004D3A54"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AND</w:t>
            </w:r>
          </w:p>
          <w:p w14:paraId="2DC35553" w14:textId="09E1ABBB" w:rsidR="003231AA" w:rsidRPr="00851F29" w:rsidRDefault="003231AA" w:rsidP="003231AA">
            <w:pPr>
              <w:spacing w:before="120" w:after="120"/>
              <w:rPr>
                <w:rFonts w:asciiTheme="minorHAnsi" w:hAnsiTheme="minorHAnsi"/>
              </w:rPr>
            </w:pPr>
            <w:r w:rsidRPr="00851F29">
              <w:rPr>
                <w:rFonts w:asciiTheme="minorHAnsi" w:hAnsiTheme="minorHAnsi"/>
              </w:rPr>
              <w:t xml:space="preserve">The patient remains ambulant as measured by the Expanded Disability Status Scale to a maximum value of 6.5 points. </w:t>
            </w:r>
          </w:p>
          <w:p w14:paraId="39AD1C75"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AND</w:t>
            </w:r>
          </w:p>
          <w:p w14:paraId="41298B6C"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 xml:space="preserve">Disease activity is resistant to all other therapies or therapies are unavailable or are contra-indicated. </w:t>
            </w:r>
          </w:p>
          <w:p w14:paraId="71D67CAE" w14:textId="77777777" w:rsidR="003231AA" w:rsidRPr="00851F29" w:rsidRDefault="003231AA" w:rsidP="003231AA">
            <w:pPr>
              <w:pStyle w:val="ListParagraph"/>
              <w:spacing w:before="120" w:after="120"/>
              <w:rPr>
                <w:rFonts w:asciiTheme="minorHAnsi" w:hAnsiTheme="minorHAnsi"/>
              </w:rPr>
            </w:pPr>
          </w:p>
        </w:tc>
        <w:tc>
          <w:tcPr>
            <w:tcW w:w="4867" w:type="dxa"/>
          </w:tcPr>
          <w:p w14:paraId="400BDCE4" w14:textId="2579F41B" w:rsidR="003231AA" w:rsidRPr="00851F29" w:rsidRDefault="003231AA" w:rsidP="003231AA">
            <w:pPr>
              <w:spacing w:before="120" w:after="120"/>
              <w:rPr>
                <w:rFonts w:asciiTheme="minorHAnsi" w:hAnsiTheme="minorHAnsi"/>
              </w:rPr>
            </w:pPr>
            <w:r w:rsidRPr="00851F29">
              <w:rPr>
                <w:rFonts w:asciiTheme="minorHAnsi" w:hAnsiTheme="minorHAnsi"/>
              </w:rPr>
              <w:lastRenderedPageBreak/>
              <w:t xml:space="preserve">Qualifying criteria have been aligned with those currently used for licenced TGA therapeutics (high cost drugs). </w:t>
            </w:r>
          </w:p>
          <w:p w14:paraId="2225FEE8" w14:textId="77777777" w:rsidR="003231AA" w:rsidRPr="00851F29" w:rsidRDefault="003231AA" w:rsidP="003231AA">
            <w:pPr>
              <w:spacing w:before="120" w:after="120"/>
              <w:rPr>
                <w:rFonts w:asciiTheme="minorHAnsi" w:hAnsiTheme="minorHAnsi"/>
              </w:rPr>
            </w:pPr>
          </w:p>
          <w:p w14:paraId="26B0C939" w14:textId="77777777" w:rsidR="003231AA" w:rsidRPr="00851F29" w:rsidRDefault="003231AA" w:rsidP="003231AA">
            <w:pPr>
              <w:spacing w:before="120" w:after="120"/>
              <w:rPr>
                <w:rFonts w:asciiTheme="minorHAnsi" w:hAnsiTheme="minorHAnsi"/>
              </w:rPr>
            </w:pPr>
          </w:p>
          <w:p w14:paraId="6724595C" w14:textId="77777777" w:rsidR="003231AA" w:rsidRPr="00851F29" w:rsidRDefault="003231AA" w:rsidP="003231AA">
            <w:pPr>
              <w:spacing w:before="120" w:after="120"/>
              <w:rPr>
                <w:rFonts w:asciiTheme="minorHAnsi" w:hAnsiTheme="minorHAnsi"/>
              </w:rPr>
            </w:pPr>
          </w:p>
          <w:p w14:paraId="78850D76" w14:textId="77777777" w:rsidR="003231AA" w:rsidRPr="00851F29" w:rsidRDefault="003231AA" w:rsidP="003231AA">
            <w:pPr>
              <w:spacing w:before="120" w:after="120"/>
              <w:rPr>
                <w:rFonts w:asciiTheme="minorHAnsi" w:hAnsiTheme="minorHAnsi"/>
              </w:rPr>
            </w:pPr>
          </w:p>
          <w:p w14:paraId="23626F6A" w14:textId="77777777" w:rsidR="003231AA" w:rsidRPr="00851F29" w:rsidRDefault="003231AA" w:rsidP="003231AA">
            <w:pPr>
              <w:spacing w:before="120" w:after="120"/>
              <w:rPr>
                <w:rFonts w:asciiTheme="minorHAnsi" w:hAnsiTheme="minorHAnsi"/>
              </w:rPr>
            </w:pPr>
          </w:p>
          <w:p w14:paraId="1258FF9D" w14:textId="77777777" w:rsidR="003231AA" w:rsidRPr="00851F29" w:rsidRDefault="003231AA" w:rsidP="003231AA">
            <w:pPr>
              <w:spacing w:before="120" w:after="120"/>
              <w:rPr>
                <w:rFonts w:asciiTheme="minorHAnsi" w:hAnsiTheme="minorHAnsi"/>
              </w:rPr>
            </w:pPr>
          </w:p>
          <w:p w14:paraId="7B52F629" w14:textId="77777777" w:rsidR="003231AA" w:rsidRPr="00851F29" w:rsidRDefault="003231AA" w:rsidP="003231AA">
            <w:pPr>
              <w:spacing w:before="120" w:after="120"/>
              <w:rPr>
                <w:rFonts w:asciiTheme="minorHAnsi" w:hAnsiTheme="minorHAnsi"/>
              </w:rPr>
            </w:pPr>
          </w:p>
          <w:p w14:paraId="6EEC46E2" w14:textId="30192B89" w:rsidR="003231AA" w:rsidRPr="00851F29" w:rsidRDefault="003231AA" w:rsidP="003231AA">
            <w:pPr>
              <w:spacing w:before="120" w:after="120"/>
              <w:ind w:left="57"/>
              <w:rPr>
                <w:rFonts w:asciiTheme="minorHAnsi" w:hAnsiTheme="minorHAnsi"/>
              </w:rPr>
            </w:pPr>
            <w:r w:rsidRPr="00851F29">
              <w:rPr>
                <w:rFonts w:asciiTheme="minorHAnsi" w:hAnsiTheme="minorHAnsi"/>
              </w:rPr>
              <w:t xml:space="preserve">The expanded disability status scale is used to measure response at review. </w:t>
            </w:r>
          </w:p>
          <w:p w14:paraId="3842C418" w14:textId="77777777" w:rsidR="003231AA" w:rsidRPr="00851F29" w:rsidRDefault="003231AA" w:rsidP="003231AA">
            <w:pPr>
              <w:spacing w:before="120" w:after="120"/>
              <w:ind w:left="57"/>
              <w:rPr>
                <w:rStyle w:val="CommentReference"/>
                <w:rFonts w:asciiTheme="minorHAnsi" w:hAnsiTheme="minorHAnsi"/>
                <w:sz w:val="22"/>
                <w:szCs w:val="22"/>
              </w:rPr>
            </w:pPr>
            <w:r w:rsidRPr="00851F29">
              <w:rPr>
                <w:rFonts w:asciiTheme="minorHAnsi" w:hAnsiTheme="minorHAnsi"/>
              </w:rPr>
              <w:t xml:space="preserve">Alternative therapies that must have been tried or are unavailable or contra-indicated include: </w:t>
            </w:r>
            <w:r w:rsidRPr="00851F29">
              <w:rPr>
                <w:rStyle w:val="CommentReference"/>
                <w:rFonts w:asciiTheme="minorHAnsi" w:hAnsiTheme="minorHAnsi"/>
                <w:sz w:val="22"/>
                <w:szCs w:val="22"/>
              </w:rPr>
              <w:t xml:space="preserve">Methylprednisolone, </w:t>
            </w:r>
            <w:proofErr w:type="spellStart"/>
            <w:r w:rsidRPr="00851F29">
              <w:rPr>
                <w:rStyle w:val="CommentReference"/>
                <w:rFonts w:asciiTheme="minorHAnsi" w:hAnsiTheme="minorHAnsi"/>
                <w:sz w:val="22"/>
                <w:szCs w:val="22"/>
              </w:rPr>
              <w:t>Plasmapheresis</w:t>
            </w:r>
            <w:proofErr w:type="spellEnd"/>
            <w:r w:rsidRPr="00851F29">
              <w:rPr>
                <w:rStyle w:val="CommentReference"/>
                <w:rFonts w:asciiTheme="minorHAnsi" w:hAnsiTheme="minorHAnsi"/>
                <w:sz w:val="22"/>
                <w:szCs w:val="22"/>
              </w:rPr>
              <w:t xml:space="preserve"> Exchange, </w:t>
            </w:r>
            <w:proofErr w:type="spellStart"/>
            <w:r w:rsidRPr="00851F29">
              <w:rPr>
                <w:rStyle w:val="CommentReference"/>
                <w:rFonts w:asciiTheme="minorHAnsi" w:hAnsiTheme="minorHAnsi"/>
                <w:sz w:val="22"/>
                <w:szCs w:val="22"/>
              </w:rPr>
              <w:t>Fingolimod</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Gilenya</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Copoxone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glatiramer</w:t>
            </w:r>
            <w:proofErr w:type="spellEnd"/>
            <w:r w:rsidRPr="00851F29">
              <w:rPr>
                <w:rStyle w:val="CommentReference"/>
                <w:rFonts w:asciiTheme="minorHAnsi" w:hAnsiTheme="minorHAnsi"/>
                <w:sz w:val="22"/>
                <w:szCs w:val="22"/>
              </w:rPr>
              <w:t xml:space="preserve"> acetate), Interferon beta (</w:t>
            </w:r>
            <w:proofErr w:type="spellStart"/>
            <w:r w:rsidRPr="00851F29">
              <w:rPr>
                <w:rStyle w:val="CommentReference"/>
                <w:rFonts w:asciiTheme="minorHAnsi" w:hAnsiTheme="minorHAnsi"/>
                <w:sz w:val="22"/>
                <w:szCs w:val="22"/>
              </w:rPr>
              <w:t>Avonex</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Betaferon</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Rebif</w:t>
            </w:r>
            <w:proofErr w:type="spellEnd"/>
            <w:r w:rsidRPr="00851F29">
              <w:rPr>
                <w:rStyle w:val="CommentReference"/>
                <w:rFonts w:asciiTheme="minorHAnsi" w:hAnsiTheme="minorHAnsi"/>
                <w:sz w:val="22"/>
                <w:szCs w:val="22"/>
              </w:rPr>
              <w:t>)</w:t>
            </w:r>
          </w:p>
          <w:p w14:paraId="7469AEA6" w14:textId="77777777" w:rsidR="003231AA" w:rsidRPr="00851F29" w:rsidRDefault="003231AA" w:rsidP="003231AA">
            <w:pPr>
              <w:spacing w:before="120" w:after="120"/>
              <w:ind w:left="57"/>
              <w:rPr>
                <w:rStyle w:val="CommentReference"/>
                <w:rFonts w:asciiTheme="minorHAnsi" w:hAnsiTheme="minorHAnsi"/>
                <w:sz w:val="22"/>
                <w:szCs w:val="22"/>
              </w:rPr>
            </w:pPr>
            <w:r w:rsidRPr="00851F29">
              <w:rPr>
                <w:rStyle w:val="CommentReference"/>
                <w:rFonts w:asciiTheme="minorHAnsi" w:hAnsiTheme="minorHAnsi"/>
                <w:sz w:val="22"/>
                <w:szCs w:val="22"/>
              </w:rPr>
              <w:t xml:space="preserve">Dimethyl </w:t>
            </w:r>
            <w:proofErr w:type="spellStart"/>
            <w:r w:rsidRPr="00851F29">
              <w:rPr>
                <w:rStyle w:val="CommentReference"/>
                <w:rFonts w:asciiTheme="minorHAnsi" w:hAnsiTheme="minorHAnsi"/>
                <w:sz w:val="22"/>
                <w:szCs w:val="22"/>
              </w:rPr>
              <w:t>fumerate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Tecfidera</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Natalizumab</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Tysabri</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Teriflunomide</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Aubagio</w:t>
            </w:r>
            <w:proofErr w:type="spellEnd"/>
            <w:r w:rsidRPr="00851F29">
              <w:rPr>
                <w:rStyle w:val="CommentReference"/>
                <w:rFonts w:asciiTheme="minorHAnsi" w:hAnsiTheme="minorHAnsi"/>
                <w:sz w:val="22"/>
                <w:szCs w:val="22"/>
              </w:rPr>
              <w:t xml:space="preserve">), and </w:t>
            </w:r>
            <w:proofErr w:type="spellStart"/>
            <w:r w:rsidRPr="00851F29">
              <w:rPr>
                <w:rStyle w:val="CommentReference"/>
                <w:rFonts w:asciiTheme="minorHAnsi" w:hAnsiTheme="minorHAnsi"/>
                <w:sz w:val="22"/>
                <w:szCs w:val="22"/>
              </w:rPr>
              <w:t>Alemtuzumab</w:t>
            </w:r>
            <w:proofErr w:type="spellEnd"/>
            <w:r w:rsidRPr="00851F29">
              <w:rPr>
                <w:rStyle w:val="CommentReference"/>
                <w:rFonts w:asciiTheme="minorHAnsi" w:hAnsiTheme="minorHAnsi"/>
                <w:sz w:val="22"/>
                <w:szCs w:val="22"/>
              </w:rPr>
              <w:t xml:space="preserve"> (</w:t>
            </w:r>
            <w:proofErr w:type="spellStart"/>
            <w:r w:rsidRPr="00851F29">
              <w:rPr>
                <w:rStyle w:val="CommentReference"/>
                <w:rFonts w:asciiTheme="minorHAnsi" w:hAnsiTheme="minorHAnsi"/>
                <w:sz w:val="22"/>
                <w:szCs w:val="22"/>
              </w:rPr>
              <w:t>Lemtrada</w:t>
            </w:r>
            <w:proofErr w:type="spellEnd"/>
            <w:r w:rsidRPr="00851F29">
              <w:rPr>
                <w:rStyle w:val="CommentReference"/>
                <w:rFonts w:asciiTheme="minorHAnsi" w:hAnsiTheme="minorHAnsi"/>
                <w:sz w:val="22"/>
                <w:szCs w:val="22"/>
              </w:rPr>
              <w:t xml:space="preserve">). </w:t>
            </w:r>
          </w:p>
          <w:p w14:paraId="155DFFA8"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 </w:t>
            </w:r>
          </w:p>
        </w:tc>
      </w:tr>
      <w:tr w:rsidR="003231AA" w:rsidRPr="00851F29" w14:paraId="2093798A" w14:textId="77777777" w:rsidTr="003231AA">
        <w:tc>
          <w:tcPr>
            <w:tcW w:w="1560" w:type="dxa"/>
            <w:shd w:val="clear" w:color="auto" w:fill="D9D9D9" w:themeFill="background1" w:themeFillShade="D9"/>
          </w:tcPr>
          <w:p w14:paraId="57C63BA1" w14:textId="47CFC564"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Review Criteria</w:t>
            </w:r>
          </w:p>
        </w:tc>
        <w:tc>
          <w:tcPr>
            <w:tcW w:w="4866" w:type="dxa"/>
            <w:gridSpan w:val="2"/>
          </w:tcPr>
          <w:p w14:paraId="72A2A43A"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Six-monthly review by a neurologist is required. </w:t>
            </w:r>
          </w:p>
          <w:p w14:paraId="648333BD" w14:textId="77777777" w:rsidR="003231AA" w:rsidRPr="00851F29" w:rsidRDefault="003231AA" w:rsidP="003231AA">
            <w:pPr>
              <w:pStyle w:val="Default"/>
              <w:spacing w:before="120" w:after="120"/>
              <w:rPr>
                <w:rFonts w:asciiTheme="minorHAnsi" w:hAnsiTheme="minorHAnsi"/>
                <w:sz w:val="22"/>
                <w:szCs w:val="22"/>
              </w:rPr>
            </w:pPr>
          </w:p>
          <w:p w14:paraId="1864BE71"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Objective evidence of improvement in relapse rate in comparison to pre-treatment levels. </w:t>
            </w:r>
          </w:p>
          <w:p w14:paraId="6BEAB44A" w14:textId="77777777" w:rsidR="003231AA" w:rsidRPr="00851F29" w:rsidRDefault="003231AA" w:rsidP="003231AA">
            <w:pPr>
              <w:pStyle w:val="Default"/>
              <w:spacing w:before="120" w:after="120"/>
              <w:rPr>
                <w:rFonts w:asciiTheme="minorHAnsi" w:hAnsiTheme="minorHAnsi"/>
                <w:sz w:val="22"/>
                <w:szCs w:val="22"/>
              </w:rPr>
            </w:pPr>
          </w:p>
          <w:p w14:paraId="2613606A" w14:textId="77777777" w:rsidR="003231AA" w:rsidRPr="00851F29" w:rsidRDefault="003231AA" w:rsidP="003231AA">
            <w:pPr>
              <w:pStyle w:val="Default"/>
              <w:spacing w:before="120" w:after="120"/>
              <w:rPr>
                <w:rFonts w:asciiTheme="minorHAnsi" w:hAnsiTheme="minorHAnsi"/>
                <w:sz w:val="22"/>
                <w:szCs w:val="22"/>
              </w:rPr>
            </w:pPr>
            <w:r w:rsidRPr="00851F29">
              <w:rPr>
                <w:rFonts w:asciiTheme="minorHAnsi" w:hAnsiTheme="minorHAnsi"/>
                <w:sz w:val="22"/>
                <w:szCs w:val="22"/>
              </w:rPr>
              <w:t xml:space="preserve">Other measures that may be useful include: </w:t>
            </w:r>
          </w:p>
          <w:p w14:paraId="50667AC7" w14:textId="77777777" w:rsidR="003231AA" w:rsidRPr="00851F29" w:rsidRDefault="003231AA" w:rsidP="003231AA">
            <w:pPr>
              <w:pStyle w:val="Default"/>
              <w:numPr>
                <w:ilvl w:val="1"/>
                <w:numId w:val="18"/>
              </w:numPr>
              <w:spacing w:before="120" w:after="120"/>
              <w:rPr>
                <w:rFonts w:asciiTheme="minorHAnsi" w:hAnsiTheme="minorHAnsi"/>
                <w:sz w:val="22"/>
                <w:szCs w:val="22"/>
              </w:rPr>
            </w:pPr>
            <w:r w:rsidRPr="00851F29">
              <w:rPr>
                <w:rFonts w:asciiTheme="minorHAnsi" w:hAnsiTheme="minorHAnsi"/>
                <w:sz w:val="22"/>
                <w:szCs w:val="22"/>
              </w:rPr>
              <w:t xml:space="preserve">expanded disability status scale; </w:t>
            </w:r>
          </w:p>
          <w:p w14:paraId="06810DF2" w14:textId="77777777" w:rsidR="003231AA" w:rsidRPr="00851F29" w:rsidRDefault="003231AA" w:rsidP="003231AA">
            <w:pPr>
              <w:pStyle w:val="Default"/>
              <w:numPr>
                <w:ilvl w:val="1"/>
                <w:numId w:val="18"/>
              </w:numPr>
              <w:spacing w:before="120" w:after="120"/>
              <w:rPr>
                <w:rFonts w:asciiTheme="minorHAnsi" w:hAnsiTheme="minorHAnsi"/>
                <w:sz w:val="22"/>
                <w:szCs w:val="22"/>
              </w:rPr>
            </w:pPr>
            <w:r w:rsidRPr="00851F29">
              <w:rPr>
                <w:rFonts w:asciiTheme="minorHAnsi" w:hAnsiTheme="minorHAnsi"/>
                <w:sz w:val="22"/>
                <w:szCs w:val="22"/>
              </w:rPr>
              <w:t xml:space="preserve">MS functional scores; </w:t>
            </w:r>
          </w:p>
          <w:p w14:paraId="0328DD0D" w14:textId="63DACA03" w:rsidR="003231AA" w:rsidRPr="00851F29" w:rsidRDefault="003231AA" w:rsidP="003231AA">
            <w:pPr>
              <w:pStyle w:val="Default"/>
              <w:numPr>
                <w:ilvl w:val="1"/>
                <w:numId w:val="18"/>
              </w:numPr>
              <w:spacing w:before="120" w:after="120"/>
              <w:rPr>
                <w:rFonts w:asciiTheme="minorHAnsi" w:hAnsiTheme="minorHAnsi"/>
                <w:sz w:val="22"/>
                <w:szCs w:val="22"/>
              </w:rPr>
            </w:pPr>
            <w:proofErr w:type="gramStart"/>
            <w:r w:rsidRPr="00851F29">
              <w:rPr>
                <w:rFonts w:asciiTheme="minorHAnsi" w:hAnsiTheme="minorHAnsi"/>
                <w:sz w:val="22"/>
                <w:szCs w:val="22"/>
              </w:rPr>
              <w:t>other</w:t>
            </w:r>
            <w:proofErr w:type="gramEnd"/>
            <w:r w:rsidRPr="00851F29">
              <w:rPr>
                <w:rFonts w:asciiTheme="minorHAnsi" w:hAnsiTheme="minorHAnsi"/>
                <w:sz w:val="22"/>
                <w:szCs w:val="22"/>
              </w:rPr>
              <w:t xml:space="preserve"> functional measures.</w:t>
            </w:r>
          </w:p>
        </w:tc>
        <w:tc>
          <w:tcPr>
            <w:tcW w:w="4867" w:type="dxa"/>
            <w:gridSpan w:val="2"/>
          </w:tcPr>
          <w:p w14:paraId="2294B67D" w14:textId="77777777" w:rsidR="00851F29" w:rsidRPr="00851F29" w:rsidRDefault="00851F29" w:rsidP="00851F29">
            <w:pPr>
              <w:spacing w:before="120" w:after="120"/>
              <w:rPr>
                <w:rFonts w:asciiTheme="minorHAnsi" w:eastAsia="Times New Roman" w:hAnsiTheme="minorHAnsi" w:cs="Times New Roman"/>
                <w:b/>
                <w:lang w:eastAsia="en-AU"/>
              </w:rPr>
            </w:pPr>
            <w:r w:rsidRPr="00851F29">
              <w:rPr>
                <w:rFonts w:asciiTheme="minorHAnsi" w:hAnsiTheme="minorHAnsi"/>
                <w:b/>
                <w:color w:val="333333"/>
              </w:rPr>
              <w:t>Severe relapse of clinically definite RRMS with no response to high-dose methylprednisolone or where methylprednisolone is contraindicated.</w:t>
            </w:r>
          </w:p>
          <w:p w14:paraId="26CD57BF"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No review required – one off therapy </w:t>
            </w:r>
          </w:p>
          <w:p w14:paraId="2EABF129" w14:textId="77777777" w:rsidR="003231AA" w:rsidRPr="00851F29" w:rsidRDefault="003231AA" w:rsidP="003231AA">
            <w:pPr>
              <w:spacing w:before="120" w:after="120"/>
              <w:rPr>
                <w:rFonts w:asciiTheme="minorHAnsi" w:hAnsiTheme="minorHAnsi"/>
              </w:rPr>
            </w:pPr>
          </w:p>
          <w:p w14:paraId="3D4E0F2C" w14:textId="0D1F575B" w:rsidR="003231AA" w:rsidRPr="00851F29" w:rsidRDefault="00851F29" w:rsidP="003231AA">
            <w:pPr>
              <w:spacing w:before="120" w:after="120"/>
              <w:rPr>
                <w:rFonts w:asciiTheme="minorHAnsi" w:hAnsiTheme="minorHAnsi"/>
                <w:b/>
              </w:rPr>
            </w:pPr>
            <w:r w:rsidRPr="00851F29">
              <w:rPr>
                <w:rFonts w:asciiTheme="minorHAnsi" w:hAnsiTheme="minorHAnsi"/>
                <w:b/>
                <w:color w:val="333333"/>
              </w:rPr>
              <w:t xml:space="preserve">Prevention of MS </w:t>
            </w:r>
            <w:proofErr w:type="gramStart"/>
            <w:r w:rsidRPr="00851F29">
              <w:rPr>
                <w:rFonts w:asciiTheme="minorHAnsi" w:hAnsiTheme="minorHAnsi"/>
                <w:b/>
                <w:color w:val="333333"/>
              </w:rPr>
              <w:t>relapse</w:t>
            </w:r>
            <w:proofErr w:type="gramEnd"/>
            <w:r w:rsidRPr="00851F29">
              <w:rPr>
                <w:rFonts w:asciiTheme="minorHAnsi" w:hAnsiTheme="minorHAnsi"/>
                <w:b/>
                <w:color w:val="333333"/>
              </w:rPr>
              <w:t xml:space="preserve"> where other Therapeutic Goods Administration (TGA) licensed therapies are inappropriate or are contraindicated.</w:t>
            </w:r>
            <w:r w:rsidRPr="00851F29">
              <w:rPr>
                <w:rFonts w:asciiTheme="minorHAnsi" w:hAnsiTheme="minorHAnsi"/>
                <w:b/>
              </w:rPr>
              <w:t xml:space="preserve"> </w:t>
            </w:r>
          </w:p>
          <w:p w14:paraId="45264971" w14:textId="77777777" w:rsidR="003231AA" w:rsidRPr="00851F29" w:rsidRDefault="003231AA" w:rsidP="003231AA">
            <w:pPr>
              <w:spacing w:before="120" w:after="120"/>
              <w:rPr>
                <w:rFonts w:asciiTheme="minorHAnsi" w:hAnsiTheme="minorHAnsi"/>
              </w:rPr>
            </w:pPr>
            <w:r w:rsidRPr="00851F29">
              <w:rPr>
                <w:rFonts w:asciiTheme="minorHAnsi" w:hAnsiTheme="minorHAnsi"/>
              </w:rPr>
              <w:t xml:space="preserve">Six-monthly review by a neurologist is required. </w:t>
            </w:r>
          </w:p>
          <w:p w14:paraId="68DC46FF" w14:textId="77777777" w:rsidR="003231AA" w:rsidRPr="00851F29" w:rsidRDefault="003231AA" w:rsidP="003231AA">
            <w:pPr>
              <w:spacing w:before="120" w:after="120"/>
              <w:rPr>
                <w:rFonts w:asciiTheme="minorHAnsi" w:hAnsiTheme="minorHAnsi"/>
              </w:rPr>
            </w:pPr>
          </w:p>
          <w:p w14:paraId="659C8165" w14:textId="77777777" w:rsidR="003231AA" w:rsidRPr="00851F29" w:rsidRDefault="003231AA" w:rsidP="003231AA">
            <w:pPr>
              <w:spacing w:before="120" w:after="120" w:line="0" w:lineRule="atLeast"/>
              <w:rPr>
                <w:rFonts w:asciiTheme="minorHAnsi" w:hAnsiTheme="minorHAnsi"/>
              </w:rPr>
            </w:pPr>
            <w:r w:rsidRPr="00851F29">
              <w:rPr>
                <w:rFonts w:asciiTheme="minorHAnsi" w:hAnsiTheme="minorHAnsi"/>
              </w:rPr>
              <w:t xml:space="preserve">Review criteria for assessing the effectiveness of </w:t>
            </w:r>
            <w:proofErr w:type="spellStart"/>
            <w:r w:rsidRPr="00851F29">
              <w:rPr>
                <w:rFonts w:asciiTheme="minorHAnsi" w:hAnsiTheme="minorHAnsi"/>
              </w:rPr>
              <w:t>IVIg</w:t>
            </w:r>
            <w:proofErr w:type="spellEnd"/>
            <w:r w:rsidRPr="00851F29">
              <w:rPr>
                <w:rFonts w:asciiTheme="minorHAnsi" w:hAnsiTheme="minorHAnsi"/>
              </w:rPr>
              <w:t xml:space="preserve"> treatment includes evidence of improvement in </w:t>
            </w:r>
            <w:proofErr w:type="gramStart"/>
            <w:r w:rsidRPr="00851F29">
              <w:rPr>
                <w:rFonts w:asciiTheme="minorHAnsi" w:hAnsiTheme="minorHAnsi"/>
              </w:rPr>
              <w:t>relapse</w:t>
            </w:r>
            <w:proofErr w:type="gramEnd"/>
            <w:r w:rsidRPr="00851F29">
              <w:rPr>
                <w:rFonts w:asciiTheme="minorHAnsi" w:hAnsiTheme="minorHAnsi"/>
              </w:rPr>
              <w:t xml:space="preserve"> rate in comparison to pre-treatment levels. </w:t>
            </w:r>
          </w:p>
          <w:p w14:paraId="401CFAF3" w14:textId="77777777" w:rsidR="003231AA" w:rsidRPr="00851F29" w:rsidRDefault="003231AA" w:rsidP="003231AA">
            <w:pPr>
              <w:spacing w:before="120" w:after="120"/>
              <w:rPr>
                <w:rFonts w:asciiTheme="minorHAnsi" w:hAnsiTheme="minorHAnsi"/>
              </w:rPr>
            </w:pPr>
          </w:p>
          <w:p w14:paraId="32D40E66" w14:textId="23341EAB" w:rsidR="003231AA" w:rsidRPr="00851F29" w:rsidRDefault="003231AA" w:rsidP="003231AA">
            <w:pPr>
              <w:spacing w:before="120" w:after="120"/>
              <w:rPr>
                <w:rFonts w:asciiTheme="minorHAnsi" w:hAnsiTheme="minorHAnsi"/>
              </w:rPr>
            </w:pPr>
            <w:r w:rsidRPr="00851F29">
              <w:rPr>
                <w:rFonts w:asciiTheme="minorHAnsi" w:hAnsiTheme="minorHAnsi"/>
              </w:rPr>
              <w:t xml:space="preserve">After a maximum of 12 months treatment, patients should be re-assessed as to whether a TGA-licensed agent is now the more appropriate treatment. A new authorisation request will be required for any subsequent course (after 12 months) as appropriate. </w:t>
            </w:r>
          </w:p>
          <w:p w14:paraId="0C393BE5" w14:textId="77777777" w:rsidR="003231AA" w:rsidRPr="00851F29" w:rsidRDefault="003231AA" w:rsidP="003231AA">
            <w:pPr>
              <w:spacing w:before="120" w:after="120"/>
              <w:rPr>
                <w:rFonts w:asciiTheme="minorHAnsi" w:hAnsiTheme="minorHAnsi"/>
              </w:rPr>
            </w:pPr>
          </w:p>
          <w:p w14:paraId="0ABB75B2" w14:textId="77777777" w:rsidR="003231AA" w:rsidRPr="00851F29" w:rsidRDefault="003231AA" w:rsidP="003231AA">
            <w:pPr>
              <w:spacing w:before="120" w:after="120"/>
              <w:rPr>
                <w:rFonts w:asciiTheme="minorHAnsi" w:hAnsiTheme="minorHAnsi"/>
              </w:rPr>
            </w:pPr>
          </w:p>
          <w:p w14:paraId="549ED54D" w14:textId="4F621852" w:rsidR="003231AA" w:rsidRPr="00851F29" w:rsidRDefault="003231AA" w:rsidP="003231AA">
            <w:pPr>
              <w:spacing w:before="120" w:after="120" w:line="0" w:lineRule="atLeast"/>
              <w:rPr>
                <w:rFonts w:asciiTheme="minorHAnsi" w:eastAsia="Times New Roman" w:hAnsiTheme="minorHAnsi" w:cs="Times New Roman"/>
                <w:b/>
                <w:lang w:eastAsia="en-AU"/>
              </w:rPr>
            </w:pPr>
            <w:r w:rsidRPr="00851F29">
              <w:rPr>
                <w:rFonts w:asciiTheme="minorHAnsi" w:eastAsia="Times New Roman" w:hAnsiTheme="minorHAnsi" w:cs="Times New Roman"/>
                <w:b/>
                <w:lang w:eastAsia="en-AU"/>
              </w:rPr>
              <w:lastRenderedPageBreak/>
              <w:t>On review of the initial authorisation period</w:t>
            </w:r>
          </w:p>
          <w:p w14:paraId="31318B6A" w14:textId="2CFCC002" w:rsidR="003231AA" w:rsidRPr="00851F29" w:rsidRDefault="003231AA" w:rsidP="003231AA">
            <w:pPr>
              <w:spacing w:before="120" w:after="120"/>
              <w:rPr>
                <w:rFonts w:asciiTheme="minorHAnsi" w:hAnsiTheme="minorHAnsi"/>
              </w:rPr>
            </w:pPr>
            <w:r w:rsidRPr="00851F29">
              <w:rPr>
                <w:rFonts w:asciiTheme="minorHAnsi" w:hAnsiTheme="minorHAnsi"/>
              </w:rPr>
              <w:t xml:space="preserve">Patient has not demonstrated evidence of RRMS disease progression while on </w:t>
            </w:r>
            <w:proofErr w:type="spellStart"/>
            <w:r w:rsidRPr="00851F29">
              <w:rPr>
                <w:rFonts w:asciiTheme="minorHAnsi" w:hAnsiTheme="minorHAnsi"/>
              </w:rPr>
              <w:t>Ig</w:t>
            </w:r>
            <w:proofErr w:type="spellEnd"/>
            <w:r w:rsidRPr="00851F29">
              <w:rPr>
                <w:rFonts w:asciiTheme="minorHAnsi" w:hAnsiTheme="minorHAnsi"/>
              </w:rPr>
              <w:t xml:space="preserve"> treatment as measured by the Expanded Disability Status Scale to a value equal to or less than the qualifying score.   </w:t>
            </w:r>
          </w:p>
          <w:p w14:paraId="54BE4157" w14:textId="77777777"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AND</w:t>
            </w:r>
          </w:p>
          <w:p w14:paraId="21DD8CA9" w14:textId="17AD514D" w:rsidR="003231AA" w:rsidRPr="00851F29" w:rsidRDefault="003231AA" w:rsidP="003231AA">
            <w:pPr>
              <w:spacing w:before="120" w:after="120"/>
              <w:rPr>
                <w:rStyle w:val="CommentReference"/>
                <w:rFonts w:asciiTheme="minorHAnsi" w:hAnsiTheme="minorHAnsi"/>
                <w:sz w:val="22"/>
                <w:szCs w:val="22"/>
              </w:rPr>
            </w:pPr>
            <w:r w:rsidRPr="00851F29">
              <w:rPr>
                <w:rStyle w:val="CommentReference"/>
                <w:rFonts w:asciiTheme="minorHAnsi" w:hAnsiTheme="minorHAnsi"/>
                <w:sz w:val="22"/>
                <w:szCs w:val="22"/>
              </w:rPr>
              <w:t xml:space="preserve">Other therapies remain ineffective or unavailable and a valid reason to continue </w:t>
            </w:r>
            <w:proofErr w:type="spellStart"/>
            <w:r w:rsidRPr="00851F29">
              <w:rPr>
                <w:rStyle w:val="CommentReference"/>
                <w:rFonts w:asciiTheme="minorHAnsi" w:hAnsiTheme="minorHAnsi"/>
                <w:sz w:val="22"/>
                <w:szCs w:val="22"/>
              </w:rPr>
              <w:t>Ig</w:t>
            </w:r>
            <w:proofErr w:type="spellEnd"/>
            <w:r w:rsidRPr="00851F29">
              <w:rPr>
                <w:rStyle w:val="CommentReference"/>
                <w:rFonts w:asciiTheme="minorHAnsi" w:hAnsiTheme="minorHAnsi"/>
                <w:sz w:val="22"/>
                <w:szCs w:val="22"/>
              </w:rPr>
              <w:t xml:space="preserve"> treatment is provided. </w:t>
            </w:r>
          </w:p>
          <w:p w14:paraId="14812AEB" w14:textId="014BD0EB" w:rsidR="003231AA" w:rsidRPr="00851F29" w:rsidRDefault="003231AA" w:rsidP="003231AA">
            <w:pPr>
              <w:spacing w:before="120" w:after="120"/>
              <w:rPr>
                <w:rFonts w:asciiTheme="minorHAnsi" w:hAnsiTheme="minorHAnsi"/>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therapies available for multiple sclerosis. </w:t>
            </w:r>
            <w:proofErr w:type="spellStart"/>
            <w:r w:rsidRPr="00851F29">
              <w:rPr>
                <w:rFonts w:asciiTheme="minorHAnsi" w:hAnsiTheme="minorHAnsi"/>
                <w:color w:val="000000"/>
              </w:rPr>
              <w:t>IVIg</w:t>
            </w:r>
            <w:proofErr w:type="spellEnd"/>
            <w:r w:rsidRPr="00851F29">
              <w:rPr>
                <w:rFonts w:asciiTheme="minorHAnsi" w:hAnsiTheme="minorHAnsi"/>
                <w:color w:val="000000"/>
              </w:rPr>
              <w:t xml:space="preserve"> is not available for routine ongoing treatment for patients with MS.</w:t>
            </w:r>
          </w:p>
        </w:tc>
        <w:tc>
          <w:tcPr>
            <w:tcW w:w="4867" w:type="dxa"/>
          </w:tcPr>
          <w:p w14:paraId="3A58304B" w14:textId="77777777" w:rsidR="003231AA" w:rsidRPr="00851F29" w:rsidRDefault="003231AA" w:rsidP="003231AA">
            <w:pPr>
              <w:spacing w:before="120" w:after="120"/>
              <w:rPr>
                <w:rFonts w:asciiTheme="minorHAnsi" w:hAnsiTheme="minorHAnsi"/>
              </w:rPr>
            </w:pPr>
          </w:p>
          <w:p w14:paraId="64418C8E" w14:textId="77777777" w:rsidR="003231AA" w:rsidRPr="00851F29" w:rsidRDefault="003231AA" w:rsidP="003231AA">
            <w:pPr>
              <w:spacing w:before="120" w:after="120"/>
              <w:rPr>
                <w:rFonts w:asciiTheme="minorHAnsi" w:hAnsiTheme="minorHAnsi"/>
              </w:rPr>
            </w:pPr>
          </w:p>
          <w:p w14:paraId="41B9FF39" w14:textId="77777777" w:rsidR="003231AA" w:rsidRPr="00851F29" w:rsidRDefault="003231AA" w:rsidP="003231AA">
            <w:pPr>
              <w:spacing w:before="120" w:after="120"/>
              <w:rPr>
                <w:rFonts w:asciiTheme="minorHAnsi" w:hAnsiTheme="minorHAnsi"/>
              </w:rPr>
            </w:pPr>
          </w:p>
          <w:p w14:paraId="17810D2B" w14:textId="77777777" w:rsidR="003231AA" w:rsidRPr="00851F29" w:rsidRDefault="003231AA" w:rsidP="003231AA">
            <w:pPr>
              <w:spacing w:before="120" w:after="120"/>
              <w:rPr>
                <w:rFonts w:asciiTheme="minorHAnsi" w:hAnsiTheme="minorHAnsi"/>
              </w:rPr>
            </w:pPr>
          </w:p>
          <w:p w14:paraId="4CE2EDD5" w14:textId="77777777" w:rsidR="003231AA" w:rsidRPr="00851F29" w:rsidRDefault="003231AA" w:rsidP="003231AA">
            <w:pPr>
              <w:spacing w:before="120" w:after="120"/>
              <w:rPr>
                <w:rFonts w:asciiTheme="minorHAnsi" w:hAnsiTheme="minorHAnsi"/>
              </w:rPr>
            </w:pPr>
          </w:p>
          <w:p w14:paraId="38CADB99" w14:textId="77777777" w:rsidR="003231AA" w:rsidRPr="00851F29" w:rsidRDefault="003231AA" w:rsidP="003231AA">
            <w:pPr>
              <w:spacing w:before="120" w:after="120"/>
              <w:rPr>
                <w:rFonts w:asciiTheme="minorHAnsi" w:hAnsiTheme="minorHAnsi"/>
              </w:rPr>
            </w:pPr>
          </w:p>
          <w:p w14:paraId="7A6888F7" w14:textId="77777777" w:rsidR="003231AA" w:rsidRPr="00851F29" w:rsidRDefault="003231AA" w:rsidP="003231AA">
            <w:pPr>
              <w:spacing w:before="120" w:after="120"/>
              <w:rPr>
                <w:rFonts w:asciiTheme="minorHAnsi" w:hAnsiTheme="minorHAnsi"/>
              </w:rPr>
            </w:pPr>
          </w:p>
          <w:p w14:paraId="175B67AA" w14:textId="2C391263" w:rsidR="003231AA" w:rsidRPr="00851F29" w:rsidRDefault="003231AA" w:rsidP="003231AA">
            <w:pPr>
              <w:spacing w:before="120" w:after="120"/>
              <w:rPr>
                <w:rFonts w:asciiTheme="minorHAnsi" w:hAnsiTheme="minorHAnsi"/>
              </w:rPr>
            </w:pPr>
            <w:r w:rsidRPr="00851F29">
              <w:rPr>
                <w:rFonts w:asciiTheme="minorHAnsi" w:hAnsiTheme="minorHAnsi"/>
              </w:rPr>
              <w:t xml:space="preserve">Reviews are to be conducted at 6 months to prove response and a maximum treatment period has been set to 12 months. </w:t>
            </w:r>
          </w:p>
          <w:p w14:paraId="28A4A905" w14:textId="77777777" w:rsidR="003231AA" w:rsidRPr="00851F29" w:rsidRDefault="003231AA" w:rsidP="003231AA">
            <w:pPr>
              <w:spacing w:before="120" w:after="120"/>
              <w:rPr>
                <w:rFonts w:asciiTheme="minorHAnsi" w:hAnsiTheme="minorHAnsi"/>
              </w:rPr>
            </w:pPr>
          </w:p>
          <w:p w14:paraId="01D5077F" w14:textId="77777777" w:rsidR="003231AA" w:rsidRPr="00851F29" w:rsidRDefault="003231AA" w:rsidP="003231AA">
            <w:pPr>
              <w:spacing w:before="120" w:after="120"/>
              <w:rPr>
                <w:rFonts w:asciiTheme="minorHAnsi" w:hAnsiTheme="minorHAnsi"/>
              </w:rPr>
            </w:pPr>
            <w:r w:rsidRPr="00851F29">
              <w:rPr>
                <w:rFonts w:asciiTheme="minorHAnsi" w:hAnsiTheme="minorHAnsi"/>
              </w:rPr>
              <w:t>SWG advised that a new authorisation request should be made for each subsequent course (after 12 months) as appropriate.</w:t>
            </w:r>
          </w:p>
          <w:p w14:paraId="50A7E76F" w14:textId="77777777" w:rsidR="003231AA" w:rsidRPr="00851F29" w:rsidRDefault="003231AA" w:rsidP="003231AA">
            <w:pPr>
              <w:spacing w:before="120" w:after="120"/>
              <w:rPr>
                <w:rFonts w:asciiTheme="minorHAnsi" w:hAnsiTheme="minorHAnsi"/>
              </w:rPr>
            </w:pPr>
          </w:p>
          <w:p w14:paraId="54665DCC" w14:textId="77777777" w:rsidR="003231AA" w:rsidRPr="00851F29" w:rsidRDefault="003231AA" w:rsidP="003231AA">
            <w:pPr>
              <w:spacing w:before="120" w:after="120"/>
              <w:rPr>
                <w:rFonts w:asciiTheme="minorHAnsi" w:hAnsiTheme="minorHAnsi"/>
              </w:rPr>
            </w:pPr>
          </w:p>
          <w:p w14:paraId="76293818" w14:textId="77777777" w:rsidR="003231AA" w:rsidRPr="00851F29" w:rsidRDefault="003231AA" w:rsidP="003231AA">
            <w:pPr>
              <w:spacing w:before="120" w:after="120"/>
              <w:rPr>
                <w:rFonts w:asciiTheme="minorHAnsi" w:hAnsiTheme="minorHAnsi"/>
              </w:rPr>
            </w:pPr>
          </w:p>
          <w:p w14:paraId="2659DA85" w14:textId="77777777" w:rsidR="003231AA" w:rsidRPr="00851F29" w:rsidRDefault="003231AA" w:rsidP="003231AA">
            <w:pPr>
              <w:spacing w:before="120" w:after="120"/>
              <w:rPr>
                <w:rFonts w:asciiTheme="minorHAnsi" w:hAnsiTheme="minorHAnsi"/>
              </w:rPr>
            </w:pPr>
          </w:p>
          <w:p w14:paraId="6020E613" w14:textId="77777777" w:rsidR="003231AA" w:rsidRPr="00851F29" w:rsidRDefault="003231AA" w:rsidP="003231AA">
            <w:pPr>
              <w:spacing w:before="120" w:after="120"/>
              <w:rPr>
                <w:rFonts w:asciiTheme="minorHAnsi" w:hAnsiTheme="minorHAnsi"/>
              </w:rPr>
            </w:pPr>
          </w:p>
          <w:p w14:paraId="692744DC" w14:textId="77777777" w:rsidR="003231AA" w:rsidRPr="00851F29" w:rsidRDefault="003231AA" w:rsidP="003231AA">
            <w:pPr>
              <w:spacing w:before="120" w:after="120"/>
              <w:rPr>
                <w:rFonts w:asciiTheme="minorHAnsi" w:hAnsiTheme="minorHAnsi"/>
              </w:rPr>
            </w:pPr>
          </w:p>
          <w:p w14:paraId="2289A396" w14:textId="77777777" w:rsidR="003231AA" w:rsidRPr="00851F29" w:rsidRDefault="003231AA" w:rsidP="003231AA">
            <w:pPr>
              <w:spacing w:before="120" w:after="120"/>
              <w:rPr>
                <w:rFonts w:asciiTheme="minorHAnsi" w:hAnsiTheme="minorHAnsi"/>
              </w:rPr>
            </w:pPr>
          </w:p>
          <w:p w14:paraId="1555680B" w14:textId="77777777" w:rsidR="003231AA" w:rsidRPr="00851F29" w:rsidRDefault="003231AA" w:rsidP="003231AA">
            <w:pPr>
              <w:spacing w:before="120" w:after="120"/>
              <w:rPr>
                <w:rFonts w:asciiTheme="minorHAnsi" w:hAnsiTheme="minorHAnsi"/>
              </w:rPr>
            </w:pPr>
          </w:p>
          <w:p w14:paraId="08852A78" w14:textId="77777777" w:rsidR="003231AA" w:rsidRPr="00851F29" w:rsidRDefault="003231AA" w:rsidP="003231AA">
            <w:pPr>
              <w:spacing w:before="120" w:after="120"/>
              <w:rPr>
                <w:rFonts w:asciiTheme="minorHAnsi" w:hAnsiTheme="minorHAnsi"/>
              </w:rPr>
            </w:pPr>
          </w:p>
          <w:p w14:paraId="77BAE11B" w14:textId="77777777" w:rsidR="003231AA" w:rsidRPr="00851F29" w:rsidRDefault="003231AA" w:rsidP="003231AA">
            <w:pPr>
              <w:spacing w:before="120" w:after="120"/>
              <w:rPr>
                <w:rFonts w:asciiTheme="minorHAnsi" w:hAnsiTheme="minorHAnsi"/>
              </w:rPr>
            </w:pPr>
          </w:p>
          <w:p w14:paraId="648D4231" w14:textId="77777777" w:rsidR="003231AA" w:rsidRPr="00851F29" w:rsidRDefault="003231AA" w:rsidP="003231AA">
            <w:pPr>
              <w:spacing w:before="120" w:after="120"/>
              <w:rPr>
                <w:rFonts w:asciiTheme="minorHAnsi" w:hAnsiTheme="minorHAnsi"/>
              </w:rPr>
            </w:pPr>
          </w:p>
        </w:tc>
      </w:tr>
      <w:tr w:rsidR="003231AA" w:rsidRPr="00851F29" w14:paraId="1C61FFFB" w14:textId="77777777" w:rsidTr="003231AA">
        <w:tc>
          <w:tcPr>
            <w:tcW w:w="1560" w:type="dxa"/>
            <w:shd w:val="clear" w:color="auto" w:fill="D9D9D9" w:themeFill="background1" w:themeFillShade="D9"/>
          </w:tcPr>
          <w:p w14:paraId="54AA6332" w14:textId="77777777" w:rsidR="003231AA" w:rsidRPr="00851F29" w:rsidRDefault="003231AA" w:rsidP="003231AA">
            <w:pPr>
              <w:pStyle w:val="Heading1"/>
              <w:spacing w:before="120" w:after="120"/>
              <w:outlineLvl w:val="0"/>
              <w:rPr>
                <w:rFonts w:asciiTheme="minorHAnsi" w:hAnsiTheme="minorHAnsi"/>
                <w:sz w:val="22"/>
                <w:szCs w:val="22"/>
              </w:rPr>
            </w:pPr>
            <w:r w:rsidRPr="00851F29">
              <w:rPr>
                <w:rFonts w:asciiTheme="minorHAnsi" w:hAnsiTheme="minorHAnsi"/>
                <w:b/>
                <w:sz w:val="22"/>
                <w:szCs w:val="22"/>
              </w:rPr>
              <w:lastRenderedPageBreak/>
              <w:t>Dose</w:t>
            </w:r>
          </w:p>
        </w:tc>
        <w:tc>
          <w:tcPr>
            <w:tcW w:w="4866" w:type="dxa"/>
            <w:gridSpan w:val="2"/>
          </w:tcPr>
          <w:p w14:paraId="27AC5A9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Induction</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1–2 g/kg in 2 to 5 divided doses. </w:t>
            </w:r>
          </w:p>
          <w:p w14:paraId="1A1D36FE"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Medium"/>
                <w:b/>
                <w:color w:val="000000"/>
                <w:sz w:val="22"/>
                <w:szCs w:val="22"/>
              </w:rPr>
              <w:t>Maintenance dose for indications 1 and 2 above</w:t>
            </w:r>
            <w:r w:rsidRPr="00851F29">
              <w:rPr>
                <w:rFonts w:asciiTheme="minorHAnsi" w:hAnsiTheme="minorHAnsi" w:cs="DIN-Medium"/>
                <w:color w:val="000000"/>
                <w:sz w:val="22"/>
                <w:szCs w:val="22"/>
              </w:rPr>
              <w:t xml:space="preserve">: </w:t>
            </w:r>
            <w:r w:rsidRPr="00851F29">
              <w:rPr>
                <w:rFonts w:asciiTheme="minorHAnsi" w:hAnsiTheme="minorHAnsi" w:cs="DIN-Light"/>
                <w:color w:val="000000"/>
                <w:sz w:val="22"/>
                <w:szCs w:val="22"/>
              </w:rPr>
              <w:t xml:space="preserve">0.4–1 g/kg, 4 to 6 weekly. </w:t>
            </w:r>
          </w:p>
          <w:p w14:paraId="6DD36EB6" w14:textId="77777777" w:rsidR="003231AA" w:rsidRPr="00851F29" w:rsidRDefault="003231AA" w:rsidP="003231AA">
            <w:pPr>
              <w:pStyle w:val="Pa17"/>
              <w:spacing w:before="120" w:after="120"/>
              <w:rPr>
                <w:rFonts w:asciiTheme="minorHAnsi" w:hAnsiTheme="minorHAnsi" w:cs="DIN-Light"/>
                <w:color w:val="000000"/>
                <w:sz w:val="22"/>
                <w:szCs w:val="22"/>
              </w:rPr>
            </w:pPr>
            <w:r w:rsidRPr="00851F29">
              <w:rPr>
                <w:rFonts w:asciiTheme="minorHAnsi" w:hAnsiTheme="minorHAnsi" w:cs="DIN-Light"/>
                <w:color w:val="000000"/>
                <w:sz w:val="22"/>
                <w:szCs w:val="22"/>
              </w:rPr>
              <w:t xml:space="preserve">Aim for minimum dose to maintain optimal functional status. </w:t>
            </w:r>
          </w:p>
          <w:p w14:paraId="634B1E0C" w14:textId="77777777" w:rsidR="003231AA" w:rsidRPr="00851F29" w:rsidRDefault="003231AA" w:rsidP="003231AA">
            <w:pPr>
              <w:pStyle w:val="Pa17"/>
              <w:spacing w:before="120" w:after="120"/>
              <w:rPr>
                <w:rFonts w:asciiTheme="minorHAnsi" w:hAnsiTheme="minorHAnsi" w:cs="DIN-Medium"/>
                <w:b/>
                <w:color w:val="000000"/>
                <w:sz w:val="22"/>
                <w:szCs w:val="22"/>
              </w:rPr>
            </w:pPr>
            <w:r w:rsidRPr="00851F29">
              <w:rPr>
                <w:rFonts w:asciiTheme="minorHAnsi" w:hAnsiTheme="minorHAnsi" w:cs="DIN-Medium"/>
                <w:b/>
                <w:color w:val="000000"/>
                <w:sz w:val="22"/>
                <w:szCs w:val="22"/>
              </w:rPr>
              <w:t xml:space="preserve">Refer to the current product information sheet for further information. </w:t>
            </w:r>
          </w:p>
          <w:p w14:paraId="53CC9BC8" w14:textId="77777777" w:rsidR="003231AA" w:rsidRPr="00851F29" w:rsidRDefault="003231AA" w:rsidP="003231AA">
            <w:pPr>
              <w:pStyle w:val="Pa17"/>
              <w:spacing w:before="120" w:after="120"/>
              <w:rPr>
                <w:rFonts w:asciiTheme="minorHAnsi" w:hAnsiTheme="minorHAnsi" w:cs="DIN-Medium"/>
                <w:color w:val="000000"/>
                <w:sz w:val="22"/>
                <w:szCs w:val="22"/>
              </w:rPr>
            </w:pPr>
            <w:r w:rsidRPr="00851F29">
              <w:rPr>
                <w:rFonts w:asciiTheme="minorHAnsi" w:hAnsiTheme="minorHAnsi" w:cs="DIN-Medium"/>
                <w:b/>
                <w:color w:val="000000"/>
                <w:sz w:val="22"/>
                <w:szCs w:val="22"/>
              </w:rPr>
              <w:t>The aim should be to use the lowest dose possible that achieves the appropriate clinical outcome for each patient</w:t>
            </w:r>
            <w:r w:rsidRPr="00851F29">
              <w:rPr>
                <w:rFonts w:asciiTheme="minorHAnsi" w:hAnsiTheme="minorHAnsi" w:cs="DIN-Medium"/>
                <w:color w:val="000000"/>
                <w:sz w:val="22"/>
                <w:szCs w:val="22"/>
              </w:rPr>
              <w:t xml:space="preserve">. </w:t>
            </w:r>
          </w:p>
        </w:tc>
        <w:tc>
          <w:tcPr>
            <w:tcW w:w="4867" w:type="dxa"/>
            <w:gridSpan w:val="2"/>
          </w:tcPr>
          <w:p w14:paraId="3E29A5C3" w14:textId="77777777" w:rsidR="00851F29" w:rsidRPr="00851F29" w:rsidRDefault="00851F29" w:rsidP="00851F29">
            <w:pPr>
              <w:spacing w:before="120" w:after="120"/>
              <w:rPr>
                <w:rFonts w:asciiTheme="minorHAnsi" w:eastAsia="Times New Roman" w:hAnsiTheme="minorHAnsi" w:cs="Times New Roman"/>
                <w:b/>
                <w:lang w:eastAsia="en-AU"/>
              </w:rPr>
            </w:pPr>
            <w:r w:rsidRPr="00851F29">
              <w:rPr>
                <w:rFonts w:asciiTheme="minorHAnsi" w:hAnsiTheme="minorHAnsi"/>
                <w:b/>
                <w:color w:val="333333"/>
              </w:rPr>
              <w:t>Severe relapse of clinically definite RRMS with no response to high-dose methylprednisolone or where methylprednisolone is contraindicated.</w:t>
            </w:r>
          </w:p>
          <w:p w14:paraId="5733512C" w14:textId="77777777" w:rsidR="003231AA" w:rsidRPr="00851F29" w:rsidRDefault="003231AA" w:rsidP="003231AA">
            <w:pPr>
              <w:spacing w:before="120" w:after="120"/>
              <w:rPr>
                <w:rFonts w:asciiTheme="minorHAnsi" w:eastAsia="Times New Roman" w:hAnsiTheme="minorHAnsi" w:cs="Times New Roman"/>
                <w:b/>
                <w:lang w:eastAsia="en-AU"/>
              </w:rPr>
            </w:pPr>
          </w:p>
          <w:p w14:paraId="66BDFAD8" w14:textId="77777777" w:rsidR="003231AA" w:rsidRPr="00851F29" w:rsidRDefault="003231AA" w:rsidP="003231AA">
            <w:pPr>
              <w:spacing w:before="120" w:after="120"/>
              <w:rPr>
                <w:rFonts w:asciiTheme="minorHAnsi" w:eastAsia="Times New Roman" w:hAnsiTheme="minorHAnsi" w:cs="Times New Roman"/>
                <w:b/>
                <w:lang w:eastAsia="en-AU"/>
              </w:rPr>
            </w:pPr>
            <w:r w:rsidRPr="00851F29">
              <w:rPr>
                <w:rStyle w:val="Strong"/>
                <w:rFonts w:asciiTheme="minorHAnsi" w:hAnsiTheme="minorHAnsi"/>
                <w:color w:val="000000"/>
              </w:rPr>
              <w:t>Induction:</w:t>
            </w:r>
            <w:r w:rsidRPr="00851F29">
              <w:rPr>
                <w:rFonts w:asciiTheme="minorHAnsi" w:hAnsiTheme="minorHAnsi"/>
                <w:color w:val="000000"/>
              </w:rPr>
              <w:t xml:space="preserve"> 1–2 g/kg in 2 to 5 divided doses</w:t>
            </w:r>
          </w:p>
          <w:p w14:paraId="3EF0CD81" w14:textId="77777777" w:rsidR="003231AA" w:rsidRPr="00851F29" w:rsidRDefault="003231AA" w:rsidP="003231AA">
            <w:pPr>
              <w:spacing w:before="120" w:after="120"/>
              <w:rPr>
                <w:rFonts w:asciiTheme="minorHAnsi" w:hAnsiTheme="minorHAnsi"/>
                <w:b/>
              </w:rPr>
            </w:pPr>
          </w:p>
          <w:p w14:paraId="56158CC8" w14:textId="77777777" w:rsidR="003231AA" w:rsidRPr="00851F29" w:rsidRDefault="003231AA" w:rsidP="003231AA">
            <w:pPr>
              <w:spacing w:before="120" w:after="120" w:line="276" w:lineRule="auto"/>
              <w:rPr>
                <w:rFonts w:asciiTheme="minorHAnsi" w:hAnsiTheme="minorHAnsi"/>
              </w:rPr>
            </w:pPr>
            <w:r w:rsidRPr="00851F29">
              <w:rPr>
                <w:rFonts w:asciiTheme="minorHAnsi" w:hAnsiTheme="minorHAnsi"/>
              </w:rPr>
              <w:t>The aim should be to use the lowest dose possible that achieves the appropriate clinical outcome for each patient.</w:t>
            </w:r>
          </w:p>
          <w:p w14:paraId="63E8211C" w14:textId="77777777" w:rsidR="003231AA" w:rsidRPr="00851F29" w:rsidRDefault="003231AA" w:rsidP="003231AA">
            <w:pPr>
              <w:pStyle w:val="heading10"/>
              <w:spacing w:before="120" w:after="120"/>
              <w:rPr>
                <w:rFonts w:asciiTheme="minorHAnsi" w:hAnsiTheme="minorHAnsi"/>
                <w:sz w:val="22"/>
                <w:szCs w:val="22"/>
              </w:rPr>
            </w:pPr>
            <w:r w:rsidRPr="00851F29">
              <w:rPr>
                <w:rFonts w:asciiTheme="minorHAnsi" w:hAnsiTheme="minorHAnsi"/>
                <w:sz w:val="22"/>
                <w:szCs w:val="22"/>
              </w:rPr>
              <w:t xml:space="preserve">Refer to the current product information sheet for </w:t>
            </w:r>
            <w:r w:rsidRPr="00851F29">
              <w:rPr>
                <w:rFonts w:asciiTheme="minorHAnsi" w:hAnsiTheme="minorHAnsi"/>
                <w:sz w:val="22"/>
                <w:szCs w:val="22"/>
              </w:rPr>
              <w:lastRenderedPageBreak/>
              <w:t>further information.</w:t>
            </w:r>
          </w:p>
          <w:p w14:paraId="6C03E2F6" w14:textId="77777777" w:rsidR="003231AA" w:rsidRPr="00851F29" w:rsidRDefault="003231AA" w:rsidP="003231AA">
            <w:pPr>
              <w:spacing w:before="120" w:after="120"/>
              <w:rPr>
                <w:rFonts w:asciiTheme="minorHAnsi" w:hAnsiTheme="minorHAnsi"/>
                <w:color w:val="000000"/>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therapies available for multiple sclerosis. </w:t>
            </w:r>
            <w:proofErr w:type="spellStart"/>
            <w:r w:rsidRPr="00851F29">
              <w:rPr>
                <w:rFonts w:asciiTheme="minorHAnsi" w:hAnsiTheme="minorHAnsi"/>
                <w:color w:val="000000"/>
              </w:rPr>
              <w:t>IVIg</w:t>
            </w:r>
            <w:proofErr w:type="spellEnd"/>
            <w:r w:rsidRPr="00851F29">
              <w:rPr>
                <w:rFonts w:asciiTheme="minorHAnsi" w:hAnsiTheme="minorHAnsi"/>
                <w:color w:val="000000"/>
              </w:rPr>
              <w:t xml:space="preserve"> is not available for routine ongoing treatment for patients with MS.</w:t>
            </w:r>
          </w:p>
          <w:p w14:paraId="6C26EE6D" w14:textId="2713628B" w:rsidR="003231AA" w:rsidRPr="00851F29" w:rsidRDefault="003231AA" w:rsidP="003231AA">
            <w:pPr>
              <w:spacing w:before="120" w:after="120"/>
              <w:rPr>
                <w:rFonts w:asciiTheme="minorHAnsi" w:hAnsiTheme="minorHAnsi"/>
              </w:rPr>
            </w:pPr>
            <w:r w:rsidRPr="00851F29">
              <w:rPr>
                <w:rFonts w:asciiTheme="minorHAnsi" w:hAnsiTheme="minorHAnsi"/>
              </w:rPr>
              <w:t>Patients should be re-assessed as to whether a TGA-licensed agent is now the more appropriate treatment.</w:t>
            </w:r>
          </w:p>
          <w:p w14:paraId="2C95BD91" w14:textId="77777777" w:rsidR="003231AA" w:rsidRPr="00851F29" w:rsidRDefault="003231AA" w:rsidP="003231AA">
            <w:pPr>
              <w:spacing w:before="120" w:after="120"/>
              <w:rPr>
                <w:rFonts w:asciiTheme="minorHAnsi" w:hAnsiTheme="minorHAnsi"/>
                <w:color w:val="000000"/>
              </w:rPr>
            </w:pPr>
          </w:p>
          <w:p w14:paraId="079621CC" w14:textId="77777777" w:rsidR="003231AA" w:rsidRPr="00851F29" w:rsidRDefault="003231AA" w:rsidP="003231AA">
            <w:pPr>
              <w:spacing w:before="120" w:after="120"/>
              <w:rPr>
                <w:rFonts w:asciiTheme="minorHAnsi" w:hAnsiTheme="minorHAnsi"/>
                <w:b/>
              </w:rPr>
            </w:pPr>
          </w:p>
          <w:p w14:paraId="4DEC41F8" w14:textId="0666F788" w:rsidR="003231AA" w:rsidRPr="00851F29" w:rsidRDefault="00851F29" w:rsidP="003231AA">
            <w:pPr>
              <w:spacing w:before="120" w:after="120"/>
              <w:rPr>
                <w:rFonts w:asciiTheme="minorHAnsi" w:hAnsiTheme="minorHAnsi"/>
                <w:b/>
              </w:rPr>
            </w:pPr>
            <w:r w:rsidRPr="00851F29">
              <w:rPr>
                <w:rFonts w:asciiTheme="minorHAnsi" w:hAnsiTheme="minorHAnsi"/>
                <w:b/>
                <w:color w:val="333333"/>
              </w:rPr>
              <w:t xml:space="preserve">Prevention of MS </w:t>
            </w:r>
            <w:proofErr w:type="gramStart"/>
            <w:r w:rsidRPr="00851F29">
              <w:rPr>
                <w:rFonts w:asciiTheme="minorHAnsi" w:hAnsiTheme="minorHAnsi"/>
                <w:b/>
                <w:color w:val="333333"/>
              </w:rPr>
              <w:t>relapse</w:t>
            </w:r>
            <w:proofErr w:type="gramEnd"/>
            <w:r w:rsidRPr="00851F29">
              <w:rPr>
                <w:rFonts w:asciiTheme="minorHAnsi" w:hAnsiTheme="minorHAnsi"/>
                <w:b/>
                <w:color w:val="333333"/>
              </w:rPr>
              <w:t xml:space="preserve"> where other Therapeutic Goods Administration (TGA) licensed therapies are inappropriate or are contraindicated.</w:t>
            </w:r>
            <w:r w:rsidRPr="00851F29">
              <w:rPr>
                <w:rFonts w:asciiTheme="minorHAnsi" w:hAnsiTheme="minorHAnsi"/>
                <w:b/>
              </w:rPr>
              <w:t xml:space="preserve"> </w:t>
            </w:r>
          </w:p>
          <w:p w14:paraId="7BABA427" w14:textId="77777777" w:rsidR="003231AA" w:rsidRPr="00851F29" w:rsidRDefault="003231AA" w:rsidP="003231AA">
            <w:pPr>
              <w:spacing w:before="120" w:after="120"/>
              <w:rPr>
                <w:rFonts w:asciiTheme="minorHAnsi" w:eastAsia="Times New Roman" w:hAnsiTheme="minorHAnsi" w:cs="Times New Roman"/>
                <w:b/>
                <w:lang w:eastAsia="en-AU"/>
              </w:rPr>
            </w:pPr>
            <w:r w:rsidRPr="00851F29">
              <w:rPr>
                <w:rStyle w:val="Strong"/>
                <w:rFonts w:asciiTheme="minorHAnsi" w:hAnsiTheme="minorHAnsi"/>
                <w:color w:val="000000"/>
              </w:rPr>
              <w:t>Induction:</w:t>
            </w:r>
            <w:r w:rsidRPr="00851F29">
              <w:rPr>
                <w:rFonts w:asciiTheme="minorHAnsi" w:hAnsiTheme="minorHAnsi"/>
                <w:color w:val="000000"/>
              </w:rPr>
              <w:t xml:space="preserve"> 1–2 g/kg in 2 to 5 divided doses</w:t>
            </w:r>
          </w:p>
          <w:p w14:paraId="7CEFE16C" w14:textId="3FB841D8" w:rsidR="003231AA" w:rsidRPr="00851F29" w:rsidRDefault="003231AA" w:rsidP="003231AA">
            <w:pPr>
              <w:spacing w:before="120" w:after="120"/>
              <w:rPr>
                <w:rFonts w:asciiTheme="minorHAnsi" w:hAnsiTheme="minorHAnsi"/>
              </w:rPr>
            </w:pPr>
            <w:r w:rsidRPr="00851F29">
              <w:rPr>
                <w:rFonts w:asciiTheme="minorHAnsi" w:hAnsiTheme="minorHAnsi"/>
                <w:b/>
              </w:rPr>
              <w:t>Maintenance</w:t>
            </w:r>
            <w:r w:rsidRPr="00851F29">
              <w:rPr>
                <w:rFonts w:asciiTheme="minorHAnsi" w:hAnsiTheme="minorHAnsi"/>
              </w:rPr>
              <w:t xml:space="preserve"> 0.4 g – 1 g/Kg, 4–6 weekly. </w:t>
            </w:r>
          </w:p>
          <w:p w14:paraId="4EF32251" w14:textId="77777777" w:rsidR="003231AA" w:rsidRPr="00851F29" w:rsidRDefault="003231AA" w:rsidP="003231AA">
            <w:pPr>
              <w:spacing w:before="120" w:after="120"/>
              <w:rPr>
                <w:rFonts w:asciiTheme="minorHAnsi" w:hAnsiTheme="minorHAnsi"/>
              </w:rPr>
            </w:pPr>
          </w:p>
          <w:p w14:paraId="0B8C037B" w14:textId="77777777" w:rsidR="00C647DB" w:rsidRPr="00851F29" w:rsidRDefault="00C647DB" w:rsidP="00C647DB">
            <w:pPr>
              <w:spacing w:before="120" w:after="120" w:line="276" w:lineRule="auto"/>
              <w:rPr>
                <w:rFonts w:asciiTheme="minorHAnsi" w:hAnsiTheme="minorHAnsi"/>
              </w:rPr>
            </w:pPr>
            <w:r w:rsidRPr="00851F29">
              <w:rPr>
                <w:rFonts w:asciiTheme="minorHAnsi" w:hAnsiTheme="minorHAnsi"/>
              </w:rPr>
              <w:t>The aim should be to use the lowest dose possible that achieves the appropriate clinical outcome for each patient.</w:t>
            </w:r>
          </w:p>
          <w:p w14:paraId="076D32B4" w14:textId="77777777" w:rsidR="003231AA" w:rsidRPr="00851F29" w:rsidRDefault="003231AA" w:rsidP="003231AA">
            <w:pPr>
              <w:pStyle w:val="heading10"/>
              <w:spacing w:before="120" w:after="120"/>
              <w:rPr>
                <w:rFonts w:asciiTheme="minorHAnsi" w:hAnsiTheme="minorHAnsi"/>
                <w:sz w:val="22"/>
                <w:szCs w:val="22"/>
              </w:rPr>
            </w:pPr>
            <w:r w:rsidRPr="00851F29">
              <w:rPr>
                <w:rFonts w:asciiTheme="minorHAnsi" w:hAnsiTheme="minorHAnsi"/>
                <w:sz w:val="22"/>
                <w:szCs w:val="22"/>
              </w:rPr>
              <w:t>Refer to the current product information sheet for further information.</w:t>
            </w:r>
          </w:p>
          <w:p w14:paraId="438588FC" w14:textId="76F38B31" w:rsidR="003231AA" w:rsidRPr="00851F29" w:rsidRDefault="003231AA" w:rsidP="0081234C">
            <w:pPr>
              <w:spacing w:before="120" w:after="120"/>
              <w:rPr>
                <w:rFonts w:asciiTheme="minorHAnsi" w:hAnsiTheme="minorHAnsi"/>
              </w:rPr>
            </w:pPr>
            <w:r w:rsidRPr="00851F29">
              <w:rPr>
                <w:rStyle w:val="Strong"/>
                <w:rFonts w:asciiTheme="minorHAnsi" w:hAnsiTheme="minorHAnsi"/>
                <w:color w:val="000000"/>
              </w:rPr>
              <w:t>Note:</w:t>
            </w:r>
            <w:r w:rsidRPr="00851F29">
              <w:rPr>
                <w:rFonts w:asciiTheme="minorHAnsi" w:hAnsiTheme="minorHAnsi"/>
                <w:color w:val="000000"/>
              </w:rPr>
              <w:t xml:space="preserve"> There are numerous </w:t>
            </w:r>
            <w:proofErr w:type="spellStart"/>
            <w:r w:rsidRPr="00851F29">
              <w:rPr>
                <w:rFonts w:asciiTheme="minorHAnsi" w:hAnsiTheme="minorHAnsi"/>
                <w:color w:val="000000"/>
              </w:rPr>
              <w:t>immunomodulatory</w:t>
            </w:r>
            <w:proofErr w:type="spellEnd"/>
            <w:r w:rsidRPr="00851F29">
              <w:rPr>
                <w:rFonts w:asciiTheme="minorHAnsi" w:hAnsiTheme="minorHAnsi"/>
                <w:color w:val="000000"/>
              </w:rPr>
              <w:t xml:space="preserve"> therapies available for multiple sclerosis. </w:t>
            </w:r>
            <w:proofErr w:type="spellStart"/>
            <w:r w:rsidRPr="00851F29">
              <w:rPr>
                <w:rFonts w:asciiTheme="minorHAnsi" w:hAnsiTheme="minorHAnsi"/>
                <w:color w:val="000000"/>
              </w:rPr>
              <w:t>IVIg</w:t>
            </w:r>
            <w:proofErr w:type="spellEnd"/>
            <w:r w:rsidRPr="00851F29">
              <w:rPr>
                <w:rFonts w:asciiTheme="minorHAnsi" w:hAnsiTheme="minorHAnsi"/>
                <w:color w:val="000000"/>
              </w:rPr>
              <w:t xml:space="preserve"> is not </w:t>
            </w:r>
            <w:r w:rsidRPr="00851F29">
              <w:rPr>
                <w:rFonts w:asciiTheme="minorHAnsi" w:hAnsiTheme="minorHAnsi"/>
                <w:color w:val="000000"/>
              </w:rPr>
              <w:lastRenderedPageBreak/>
              <w:t xml:space="preserve">available for routine ongoing treatment for patients with MS. </w:t>
            </w:r>
            <w:r w:rsidRPr="00851F29">
              <w:rPr>
                <w:rFonts w:asciiTheme="minorHAnsi" w:hAnsiTheme="minorHAnsi"/>
              </w:rPr>
              <w:t xml:space="preserve"> Patients should be re-assessed as to whether a TGA-licensed agent is now the more appropriate treatment.</w:t>
            </w:r>
          </w:p>
        </w:tc>
        <w:tc>
          <w:tcPr>
            <w:tcW w:w="4867" w:type="dxa"/>
          </w:tcPr>
          <w:p w14:paraId="5539F474" w14:textId="77777777" w:rsidR="003231AA" w:rsidRPr="00851F29" w:rsidRDefault="003231AA" w:rsidP="003231AA">
            <w:pPr>
              <w:spacing w:before="120" w:after="120"/>
              <w:rPr>
                <w:rFonts w:asciiTheme="minorHAnsi" w:hAnsiTheme="minorHAnsi"/>
              </w:rPr>
            </w:pPr>
          </w:p>
          <w:p w14:paraId="2B63DF4F" w14:textId="77777777" w:rsidR="003231AA" w:rsidRPr="00851F29" w:rsidRDefault="003231AA" w:rsidP="003231AA">
            <w:pPr>
              <w:spacing w:before="120" w:after="120"/>
              <w:rPr>
                <w:rFonts w:asciiTheme="minorHAnsi" w:hAnsiTheme="minorHAnsi"/>
              </w:rPr>
            </w:pPr>
          </w:p>
          <w:p w14:paraId="317A9305" w14:textId="19EA33D5" w:rsidR="003231AA" w:rsidRPr="00851F29" w:rsidRDefault="003231AA" w:rsidP="003231AA">
            <w:pPr>
              <w:spacing w:before="120" w:after="120"/>
              <w:rPr>
                <w:rFonts w:asciiTheme="minorHAnsi" w:hAnsiTheme="minorHAnsi"/>
              </w:rPr>
            </w:pPr>
            <w:r w:rsidRPr="00851F29">
              <w:rPr>
                <w:rFonts w:asciiTheme="minorHAnsi" w:hAnsiTheme="minorHAnsi"/>
              </w:rPr>
              <w:t xml:space="preserve">One off dosing only allowed for the first indication. </w:t>
            </w:r>
          </w:p>
          <w:p w14:paraId="4666FEEF" w14:textId="77777777" w:rsidR="003231AA" w:rsidRPr="00851F29" w:rsidRDefault="003231AA" w:rsidP="003231AA">
            <w:pPr>
              <w:spacing w:before="120" w:after="120"/>
              <w:rPr>
                <w:rFonts w:asciiTheme="minorHAnsi" w:hAnsiTheme="minorHAnsi"/>
              </w:rPr>
            </w:pPr>
          </w:p>
          <w:p w14:paraId="784EE1AD" w14:textId="77777777" w:rsidR="003231AA" w:rsidRPr="00851F29" w:rsidRDefault="003231AA" w:rsidP="003231AA">
            <w:pPr>
              <w:spacing w:before="120" w:after="120"/>
              <w:rPr>
                <w:rFonts w:asciiTheme="minorHAnsi" w:hAnsiTheme="minorHAnsi"/>
              </w:rPr>
            </w:pPr>
          </w:p>
          <w:p w14:paraId="0534954C" w14:textId="77777777" w:rsidR="003231AA" w:rsidRPr="00851F29" w:rsidRDefault="003231AA" w:rsidP="003231AA">
            <w:pPr>
              <w:spacing w:before="120" w:after="120"/>
              <w:rPr>
                <w:rFonts w:asciiTheme="minorHAnsi" w:hAnsiTheme="minorHAnsi"/>
              </w:rPr>
            </w:pPr>
          </w:p>
          <w:p w14:paraId="4D504A5E" w14:textId="77777777" w:rsidR="003231AA" w:rsidRPr="00851F29" w:rsidRDefault="003231AA" w:rsidP="003231AA">
            <w:pPr>
              <w:spacing w:before="120" w:after="120"/>
              <w:rPr>
                <w:rFonts w:asciiTheme="minorHAnsi" w:hAnsiTheme="minorHAnsi"/>
              </w:rPr>
            </w:pPr>
          </w:p>
          <w:p w14:paraId="1C41D61C" w14:textId="77777777" w:rsidR="003231AA" w:rsidRPr="00851F29" w:rsidRDefault="003231AA" w:rsidP="003231AA">
            <w:pPr>
              <w:spacing w:before="120" w:after="120"/>
              <w:rPr>
                <w:rFonts w:asciiTheme="minorHAnsi" w:hAnsiTheme="minorHAnsi"/>
              </w:rPr>
            </w:pPr>
          </w:p>
          <w:p w14:paraId="638A2E35" w14:textId="77777777" w:rsidR="003231AA" w:rsidRPr="00851F29" w:rsidRDefault="003231AA" w:rsidP="003231AA">
            <w:pPr>
              <w:spacing w:before="120" w:after="120"/>
              <w:rPr>
                <w:rFonts w:asciiTheme="minorHAnsi" w:hAnsiTheme="minorHAnsi"/>
              </w:rPr>
            </w:pPr>
          </w:p>
          <w:p w14:paraId="471B94CD" w14:textId="77777777" w:rsidR="003231AA" w:rsidRPr="00851F29" w:rsidRDefault="003231AA" w:rsidP="003231AA">
            <w:pPr>
              <w:spacing w:before="120" w:after="120"/>
              <w:rPr>
                <w:rFonts w:asciiTheme="minorHAnsi" w:hAnsiTheme="minorHAnsi"/>
              </w:rPr>
            </w:pPr>
          </w:p>
          <w:p w14:paraId="08284562" w14:textId="77777777" w:rsidR="003231AA" w:rsidRPr="00851F29" w:rsidRDefault="003231AA" w:rsidP="003231AA">
            <w:pPr>
              <w:spacing w:before="120" w:after="120"/>
              <w:rPr>
                <w:rFonts w:asciiTheme="minorHAnsi" w:hAnsiTheme="minorHAnsi"/>
              </w:rPr>
            </w:pPr>
          </w:p>
          <w:p w14:paraId="74E50515" w14:textId="33D46A02" w:rsidR="003231AA" w:rsidRPr="00851F29" w:rsidRDefault="003231AA" w:rsidP="0081234C">
            <w:pPr>
              <w:spacing w:before="120" w:after="120"/>
              <w:rPr>
                <w:rFonts w:asciiTheme="minorHAnsi" w:hAnsiTheme="minorHAnsi"/>
              </w:rPr>
            </w:pPr>
            <w:r w:rsidRPr="00851F29">
              <w:rPr>
                <w:rFonts w:asciiTheme="minorHAnsi" w:hAnsiTheme="minorHAnsi"/>
              </w:rPr>
              <w:t xml:space="preserve">Dosing unchanged however a maximum treatment period limited to 12 months. After that time, a patient </w:t>
            </w:r>
            <w:r w:rsidR="0081234C">
              <w:rPr>
                <w:rFonts w:asciiTheme="minorHAnsi" w:hAnsiTheme="minorHAnsi"/>
              </w:rPr>
              <w:t>would be required to requalify.</w:t>
            </w:r>
          </w:p>
        </w:tc>
      </w:tr>
    </w:tbl>
    <w:p w14:paraId="3BE28C6C" w14:textId="77777777" w:rsidR="00C647DB" w:rsidRDefault="00C647DB" w:rsidP="003231AA">
      <w:pPr>
        <w:spacing w:before="120" w:after="120"/>
        <w:rPr>
          <w:rFonts w:asciiTheme="minorHAnsi" w:hAnsiTheme="minorHAnsi"/>
        </w:rPr>
        <w:sectPr w:rsidR="00C647DB" w:rsidSect="003231AA">
          <w:headerReference w:type="default" r:id="rId8"/>
          <w:footerReference w:type="default" r:id="rId9"/>
          <w:headerReference w:type="first" r:id="rId10"/>
          <w:pgSz w:w="16839" w:h="11907" w:orient="landscape" w:code="9"/>
          <w:pgMar w:top="1440" w:right="1440" w:bottom="1133" w:left="1440" w:header="708" w:footer="708" w:gutter="0"/>
          <w:cols w:space="708"/>
          <w:titlePg/>
          <w:docGrid w:linePitch="360"/>
        </w:sectPr>
      </w:pPr>
    </w:p>
    <w:tbl>
      <w:tblPr>
        <w:tblStyle w:val="TableGrid"/>
        <w:tblW w:w="16160" w:type="dxa"/>
        <w:tblInd w:w="-1026" w:type="dxa"/>
        <w:tblLook w:val="0680" w:firstRow="0" w:lastRow="0" w:firstColumn="1" w:lastColumn="0" w:noHBand="1" w:noVBand="1"/>
      </w:tblPr>
      <w:tblGrid>
        <w:gridCol w:w="4040"/>
        <w:gridCol w:w="4040"/>
        <w:gridCol w:w="4040"/>
        <w:gridCol w:w="4040"/>
      </w:tblGrid>
      <w:tr w:rsidR="00C647DB" w:rsidRPr="0081234C" w14:paraId="7C67EE8F" w14:textId="77777777" w:rsidTr="00C647DB">
        <w:tc>
          <w:tcPr>
            <w:tcW w:w="16160" w:type="dxa"/>
            <w:gridSpan w:val="4"/>
            <w:shd w:val="clear" w:color="auto" w:fill="DBE5F1" w:themeFill="accent1" w:themeFillTint="33"/>
          </w:tcPr>
          <w:p w14:paraId="312F3DF0" w14:textId="4A717B2A" w:rsidR="00C647DB" w:rsidRPr="0081234C" w:rsidRDefault="00C647DB" w:rsidP="003231AA">
            <w:pPr>
              <w:spacing w:before="120" w:after="120"/>
              <w:rPr>
                <w:rFonts w:asciiTheme="minorHAnsi" w:hAnsiTheme="minorHAnsi"/>
                <w:b/>
              </w:rPr>
            </w:pPr>
            <w:r w:rsidRPr="0081234C">
              <w:rPr>
                <w:rFonts w:asciiTheme="minorHAnsi" w:hAnsiTheme="minorHAnsi"/>
                <w:b/>
              </w:rPr>
              <w:lastRenderedPageBreak/>
              <w:t>POTENTIAL OPERATIONAL IMPACT</w:t>
            </w:r>
          </w:p>
        </w:tc>
      </w:tr>
      <w:tr w:rsidR="00C647DB" w:rsidRPr="0081234C" w14:paraId="628431D9" w14:textId="77777777" w:rsidTr="00C647DB">
        <w:tc>
          <w:tcPr>
            <w:tcW w:w="16160" w:type="dxa"/>
            <w:gridSpan w:val="4"/>
            <w:shd w:val="clear" w:color="auto" w:fill="auto"/>
          </w:tcPr>
          <w:p w14:paraId="08F60E03" w14:textId="7C8ED705" w:rsidR="00C647DB" w:rsidRPr="0081234C" w:rsidRDefault="00C647DB" w:rsidP="00C647DB">
            <w:pPr>
              <w:pStyle w:val="Heading1"/>
              <w:outlineLvl w:val="0"/>
              <w:rPr>
                <w:rFonts w:asciiTheme="minorHAnsi" w:hAnsiTheme="minorHAnsi"/>
                <w:sz w:val="22"/>
                <w:szCs w:val="22"/>
              </w:rPr>
            </w:pPr>
            <w:r w:rsidRPr="0081234C">
              <w:rPr>
                <w:rFonts w:asciiTheme="minorHAnsi" w:eastAsia="Dotum" w:hAnsiTheme="minorHAnsi" w:cs="Times New Roman"/>
                <w:bCs w:val="0"/>
                <w:color w:val="auto"/>
                <w:spacing w:val="0"/>
                <w:sz w:val="22"/>
                <w:szCs w:val="22"/>
              </w:rPr>
              <w:t xml:space="preserve">There is not expected to be any significant impact operationally as very little </w:t>
            </w:r>
            <w:proofErr w:type="spellStart"/>
            <w:r w:rsidRPr="0081234C">
              <w:rPr>
                <w:rFonts w:asciiTheme="minorHAnsi" w:eastAsia="Dotum" w:hAnsiTheme="minorHAnsi" w:cs="Times New Roman"/>
                <w:bCs w:val="0"/>
                <w:color w:val="auto"/>
                <w:spacing w:val="0"/>
                <w:sz w:val="22"/>
                <w:szCs w:val="22"/>
              </w:rPr>
              <w:t>Ig</w:t>
            </w:r>
            <w:proofErr w:type="spellEnd"/>
            <w:r w:rsidRPr="0081234C">
              <w:rPr>
                <w:rFonts w:asciiTheme="minorHAnsi" w:eastAsia="Dotum" w:hAnsiTheme="minorHAnsi" w:cs="Times New Roman"/>
                <w:bCs w:val="0"/>
                <w:color w:val="auto"/>
                <w:spacing w:val="0"/>
                <w:sz w:val="22"/>
                <w:szCs w:val="22"/>
              </w:rPr>
              <w:t xml:space="preserve"> is used for this condition and patients will still be able to access in exceptional circumstances.</w:t>
            </w:r>
          </w:p>
        </w:tc>
      </w:tr>
      <w:tr w:rsidR="00C647DB" w:rsidRPr="0081234C" w14:paraId="7CF4D081" w14:textId="77777777" w:rsidTr="00C647DB">
        <w:tc>
          <w:tcPr>
            <w:tcW w:w="16160" w:type="dxa"/>
            <w:gridSpan w:val="4"/>
            <w:shd w:val="clear" w:color="auto" w:fill="DBE5F1" w:themeFill="accent1" w:themeFillTint="33"/>
          </w:tcPr>
          <w:p w14:paraId="798BA2E3" w14:textId="7E8EE34E" w:rsidR="00C647DB" w:rsidRPr="0081234C" w:rsidRDefault="00C647DB" w:rsidP="003231AA">
            <w:pPr>
              <w:spacing w:before="120" w:after="120"/>
              <w:rPr>
                <w:rFonts w:asciiTheme="minorHAnsi" w:hAnsiTheme="minorHAnsi"/>
                <w:b/>
              </w:rPr>
            </w:pPr>
            <w:r w:rsidRPr="0081234C">
              <w:rPr>
                <w:rFonts w:asciiTheme="minorHAnsi" w:hAnsiTheme="minorHAnsi"/>
                <w:b/>
              </w:rPr>
              <w:t>POTENTIAL IMPACT ON DEMAND</w:t>
            </w:r>
          </w:p>
        </w:tc>
      </w:tr>
      <w:tr w:rsidR="00C647DB" w:rsidRPr="0081234C" w14:paraId="3D01244D" w14:textId="77777777" w:rsidTr="00C647DB">
        <w:tc>
          <w:tcPr>
            <w:tcW w:w="4040" w:type="dxa"/>
            <w:shd w:val="clear" w:color="auto" w:fill="auto"/>
          </w:tcPr>
          <w:p w14:paraId="4C0B07E0" w14:textId="77777777" w:rsidR="00C647DB" w:rsidRPr="00EF0404" w:rsidRDefault="00C647DB" w:rsidP="00C647DB">
            <w:pPr>
              <w:spacing w:before="120" w:after="120"/>
              <w:rPr>
                <w:rFonts w:asciiTheme="minorHAnsi" w:hAnsiTheme="minorHAnsi" w:cs="Times New Roman"/>
                <w:b/>
              </w:rPr>
            </w:pPr>
            <w:r w:rsidRPr="00EF0404">
              <w:rPr>
                <w:rFonts w:asciiTheme="minorHAnsi" w:hAnsiTheme="minorHAnsi" w:cs="Times New Roman"/>
                <w:b/>
              </w:rPr>
              <w:t>Number of patient in 2013-14</w:t>
            </w:r>
          </w:p>
          <w:p w14:paraId="5E3A050C" w14:textId="77777777" w:rsidR="00EF0404" w:rsidRDefault="00EF0404" w:rsidP="00C647DB">
            <w:pPr>
              <w:spacing w:before="120" w:after="120"/>
              <w:rPr>
                <w:rFonts w:asciiTheme="minorHAnsi" w:hAnsiTheme="minorHAnsi" w:cs="Times New Roman"/>
                <w:b/>
              </w:rPr>
            </w:pPr>
          </w:p>
          <w:p w14:paraId="0A7FE589" w14:textId="77777777" w:rsidR="00EF0404" w:rsidRDefault="00EF0404" w:rsidP="00C647DB">
            <w:pPr>
              <w:spacing w:before="120" w:after="120"/>
              <w:rPr>
                <w:rFonts w:asciiTheme="minorHAnsi" w:hAnsiTheme="minorHAnsi" w:cs="Times New Roman"/>
                <w:b/>
              </w:rPr>
            </w:pPr>
          </w:p>
          <w:p w14:paraId="67957349" w14:textId="77777777" w:rsidR="00EF0404" w:rsidRPr="00EF0404" w:rsidRDefault="00EF0404" w:rsidP="00C647DB">
            <w:pPr>
              <w:spacing w:before="120" w:after="120"/>
              <w:rPr>
                <w:rFonts w:asciiTheme="minorHAnsi" w:hAnsiTheme="minorHAnsi" w:cs="Times New Roman"/>
                <w:b/>
              </w:rPr>
            </w:pPr>
          </w:p>
          <w:p w14:paraId="49817F8D" w14:textId="72E0940B" w:rsidR="00EF0404" w:rsidRPr="0081234C" w:rsidRDefault="00EF0404" w:rsidP="00C647DB">
            <w:pPr>
              <w:spacing w:before="120" w:after="120"/>
              <w:rPr>
                <w:rFonts w:asciiTheme="minorHAnsi" w:hAnsiTheme="minorHAnsi"/>
              </w:rPr>
            </w:pPr>
            <w:r w:rsidRPr="00EF0404">
              <w:rPr>
                <w:rFonts w:asciiTheme="minorHAnsi" w:hAnsiTheme="minorHAnsi" w:cs="Times New Roman"/>
                <w:b/>
              </w:rPr>
              <w:t>Usage 2013-14</w:t>
            </w:r>
            <w:r>
              <w:rPr>
                <w:rFonts w:asciiTheme="minorHAnsi" w:hAnsiTheme="minorHAnsi" w:cs="Times New Roman"/>
              </w:rPr>
              <w:t xml:space="preserve"> </w:t>
            </w:r>
          </w:p>
        </w:tc>
        <w:tc>
          <w:tcPr>
            <w:tcW w:w="4040" w:type="dxa"/>
            <w:shd w:val="clear" w:color="auto" w:fill="auto"/>
          </w:tcPr>
          <w:p w14:paraId="043DEC93" w14:textId="77777777" w:rsidR="00C647DB" w:rsidRPr="0081234C" w:rsidRDefault="00C647DB" w:rsidP="003231AA">
            <w:pPr>
              <w:spacing w:before="120" w:after="120"/>
              <w:rPr>
                <w:rFonts w:asciiTheme="minorHAnsi" w:hAnsiTheme="minorHAnsi"/>
              </w:rPr>
            </w:pPr>
            <w:r w:rsidRPr="0081234C">
              <w:rPr>
                <w:rFonts w:asciiTheme="minorHAnsi" w:hAnsiTheme="minorHAnsi"/>
              </w:rPr>
              <w:t>Existing patients:</w:t>
            </w:r>
          </w:p>
          <w:p w14:paraId="18B7F864" w14:textId="77777777" w:rsidR="00C647DB" w:rsidRPr="0081234C" w:rsidRDefault="00C647DB" w:rsidP="00C647DB">
            <w:pPr>
              <w:rPr>
                <w:rFonts w:asciiTheme="minorHAnsi" w:hAnsiTheme="minorHAnsi" w:cs="Times New Roman"/>
              </w:rPr>
            </w:pPr>
            <w:r w:rsidRPr="0081234C">
              <w:rPr>
                <w:rFonts w:asciiTheme="minorHAnsi" w:hAnsiTheme="minorHAnsi" w:cs="Times New Roman"/>
              </w:rPr>
              <w:t>Pregnancy &lt;5</w:t>
            </w:r>
          </w:p>
          <w:p w14:paraId="64C0D18B" w14:textId="77777777" w:rsidR="00C647DB" w:rsidRPr="0081234C" w:rsidRDefault="00C647DB" w:rsidP="00C647DB">
            <w:pPr>
              <w:rPr>
                <w:rFonts w:asciiTheme="minorHAnsi" w:hAnsiTheme="minorHAnsi" w:cs="Times New Roman"/>
              </w:rPr>
            </w:pPr>
            <w:r w:rsidRPr="0081234C">
              <w:rPr>
                <w:rFonts w:asciiTheme="minorHAnsi" w:hAnsiTheme="minorHAnsi" w:cs="Times New Roman"/>
              </w:rPr>
              <w:t>Severe relapsing adults 18</w:t>
            </w:r>
          </w:p>
          <w:p w14:paraId="2C9C5F69" w14:textId="77777777" w:rsidR="00C647DB" w:rsidRDefault="00C647DB" w:rsidP="0081234C">
            <w:pPr>
              <w:rPr>
                <w:rFonts w:asciiTheme="minorHAnsi" w:hAnsiTheme="minorHAnsi" w:cs="Times New Roman"/>
              </w:rPr>
            </w:pPr>
            <w:r w:rsidRPr="0081234C">
              <w:rPr>
                <w:rFonts w:asciiTheme="minorHAnsi" w:hAnsiTheme="minorHAnsi" w:cs="Times New Roman"/>
              </w:rPr>
              <w:t>Young severe relapsing 25</w:t>
            </w:r>
          </w:p>
          <w:p w14:paraId="06050AE7" w14:textId="77777777" w:rsidR="00EF0404" w:rsidRDefault="00EF0404" w:rsidP="0081234C">
            <w:pPr>
              <w:rPr>
                <w:rFonts w:asciiTheme="minorHAnsi" w:hAnsiTheme="minorHAnsi" w:cs="Times New Roman"/>
              </w:rPr>
            </w:pPr>
          </w:p>
          <w:p w14:paraId="080721E3" w14:textId="6B74B266" w:rsidR="00EF0404" w:rsidRPr="0081234C" w:rsidRDefault="00EF0404" w:rsidP="0081234C">
            <w:pPr>
              <w:rPr>
                <w:rFonts w:asciiTheme="minorHAnsi" w:hAnsiTheme="minorHAnsi"/>
              </w:rPr>
            </w:pPr>
            <w:r>
              <w:rPr>
                <w:rFonts w:asciiTheme="minorHAnsi" w:hAnsiTheme="minorHAnsi"/>
              </w:rPr>
              <w:t xml:space="preserve">&lt;1% </w:t>
            </w:r>
          </w:p>
        </w:tc>
        <w:tc>
          <w:tcPr>
            <w:tcW w:w="4040" w:type="dxa"/>
            <w:shd w:val="clear" w:color="auto" w:fill="auto"/>
          </w:tcPr>
          <w:p w14:paraId="14ABB6E4" w14:textId="77777777" w:rsidR="00C647DB" w:rsidRPr="0081234C" w:rsidRDefault="00C647DB" w:rsidP="00EF0404">
            <w:pPr>
              <w:rPr>
                <w:rFonts w:asciiTheme="minorHAnsi" w:hAnsiTheme="minorHAnsi"/>
              </w:rPr>
            </w:pPr>
          </w:p>
        </w:tc>
        <w:tc>
          <w:tcPr>
            <w:tcW w:w="4040" w:type="dxa"/>
            <w:shd w:val="clear" w:color="auto" w:fill="auto"/>
          </w:tcPr>
          <w:p w14:paraId="4C1F868E" w14:textId="77777777" w:rsidR="00EF0404" w:rsidRPr="0081234C" w:rsidRDefault="00EF0404" w:rsidP="00EF0404">
            <w:pPr>
              <w:rPr>
                <w:rFonts w:asciiTheme="minorHAnsi" w:hAnsiTheme="minorHAnsi"/>
              </w:rPr>
            </w:pPr>
            <w:r w:rsidRPr="0081234C">
              <w:rPr>
                <w:rFonts w:asciiTheme="minorHAnsi" w:hAnsiTheme="minorHAnsi"/>
              </w:rPr>
              <w:t>No impact likely on demand. Usage represented less than 1%.</w:t>
            </w:r>
          </w:p>
          <w:p w14:paraId="52FC882E" w14:textId="49DD4A8A" w:rsidR="00C647DB" w:rsidRPr="0081234C" w:rsidRDefault="00C647DB" w:rsidP="003231AA">
            <w:pPr>
              <w:spacing w:before="120" w:after="120"/>
              <w:rPr>
                <w:rFonts w:asciiTheme="minorHAnsi" w:hAnsiTheme="minorHAnsi"/>
              </w:rPr>
            </w:pPr>
          </w:p>
        </w:tc>
      </w:tr>
      <w:tr w:rsidR="00C647DB" w:rsidRPr="0081234C" w14:paraId="7541A85A" w14:textId="77777777" w:rsidTr="00C647DB">
        <w:tc>
          <w:tcPr>
            <w:tcW w:w="16160" w:type="dxa"/>
            <w:gridSpan w:val="4"/>
            <w:shd w:val="clear" w:color="auto" w:fill="DBE5F1" w:themeFill="accent1" w:themeFillTint="33"/>
          </w:tcPr>
          <w:p w14:paraId="20B25A5F" w14:textId="56A96438" w:rsidR="00C647DB" w:rsidRPr="0081234C" w:rsidRDefault="00C647DB" w:rsidP="003231AA">
            <w:pPr>
              <w:spacing w:before="120" w:after="120"/>
              <w:rPr>
                <w:rFonts w:asciiTheme="minorHAnsi" w:hAnsiTheme="minorHAnsi"/>
                <w:b/>
              </w:rPr>
            </w:pPr>
            <w:r w:rsidRPr="0081234C">
              <w:rPr>
                <w:rFonts w:asciiTheme="minorHAnsi" w:hAnsiTheme="minorHAnsi"/>
                <w:b/>
              </w:rPr>
              <w:t>POTENTIAL COST</w:t>
            </w:r>
          </w:p>
        </w:tc>
      </w:tr>
      <w:tr w:rsidR="00C647DB" w:rsidRPr="0081234C" w14:paraId="5E16F6D9" w14:textId="77777777" w:rsidTr="00C647DB">
        <w:tc>
          <w:tcPr>
            <w:tcW w:w="16160" w:type="dxa"/>
            <w:gridSpan w:val="4"/>
            <w:shd w:val="clear" w:color="auto" w:fill="auto"/>
          </w:tcPr>
          <w:p w14:paraId="5B476C6A" w14:textId="77777777" w:rsidR="00C647DB" w:rsidRPr="0081234C" w:rsidRDefault="00C647DB" w:rsidP="003231AA">
            <w:pPr>
              <w:spacing w:before="120" w:after="120"/>
              <w:rPr>
                <w:rFonts w:asciiTheme="minorHAnsi" w:hAnsiTheme="minorHAnsi"/>
              </w:rPr>
            </w:pPr>
          </w:p>
        </w:tc>
      </w:tr>
      <w:tr w:rsidR="00C647DB" w:rsidRPr="0081234C" w14:paraId="48A3AEB0" w14:textId="77777777" w:rsidTr="00C647DB">
        <w:tc>
          <w:tcPr>
            <w:tcW w:w="16160" w:type="dxa"/>
            <w:gridSpan w:val="4"/>
            <w:shd w:val="clear" w:color="auto" w:fill="DBE5F1" w:themeFill="accent1" w:themeFillTint="33"/>
          </w:tcPr>
          <w:p w14:paraId="7B6ABB63" w14:textId="540C8162" w:rsidR="00C647DB" w:rsidRPr="0081234C" w:rsidRDefault="00C647DB" w:rsidP="003231AA">
            <w:pPr>
              <w:spacing w:before="120" w:after="120"/>
              <w:rPr>
                <w:rFonts w:asciiTheme="minorHAnsi" w:hAnsiTheme="minorHAnsi"/>
                <w:b/>
              </w:rPr>
            </w:pPr>
            <w:r w:rsidRPr="0081234C">
              <w:rPr>
                <w:rFonts w:asciiTheme="minorHAnsi" w:hAnsiTheme="minorHAnsi"/>
                <w:b/>
              </w:rPr>
              <w:t>BIBLIOGRAPHY</w:t>
            </w:r>
          </w:p>
        </w:tc>
      </w:tr>
      <w:tr w:rsidR="00C647DB" w:rsidRPr="0081234C" w14:paraId="59BA0A6F" w14:textId="77777777" w:rsidTr="00C647DB">
        <w:tc>
          <w:tcPr>
            <w:tcW w:w="16160" w:type="dxa"/>
            <w:gridSpan w:val="4"/>
            <w:shd w:val="clear" w:color="auto" w:fill="auto"/>
          </w:tcPr>
          <w:p w14:paraId="01B6B7E9" w14:textId="42D61969" w:rsidR="00C647DB" w:rsidRPr="0081234C" w:rsidRDefault="00C647DB" w:rsidP="003231AA">
            <w:pPr>
              <w:spacing w:before="120" w:after="120"/>
              <w:rPr>
                <w:rFonts w:asciiTheme="minorHAnsi" w:hAnsiTheme="minorHAnsi"/>
              </w:rPr>
            </w:pPr>
            <w:proofErr w:type="spellStart"/>
            <w:r w:rsidRPr="0081234C">
              <w:rPr>
                <w:rFonts w:asciiTheme="minorHAnsi" w:hAnsiTheme="minorHAnsi" w:cs="Arial"/>
                <w:color w:val="333333"/>
              </w:rPr>
              <w:t>Achiron</w:t>
            </w:r>
            <w:proofErr w:type="spellEnd"/>
            <w:r w:rsidRPr="0081234C">
              <w:rPr>
                <w:rFonts w:asciiTheme="minorHAnsi" w:hAnsiTheme="minorHAnsi" w:cs="Arial"/>
                <w:color w:val="333333"/>
              </w:rPr>
              <w:t xml:space="preserve">, A, </w:t>
            </w:r>
            <w:proofErr w:type="spellStart"/>
            <w:r w:rsidRPr="0081234C">
              <w:rPr>
                <w:rFonts w:asciiTheme="minorHAnsi" w:hAnsiTheme="minorHAnsi" w:cs="Arial"/>
                <w:color w:val="333333"/>
              </w:rPr>
              <w:t>Kishner</w:t>
            </w:r>
            <w:proofErr w:type="spellEnd"/>
            <w:r w:rsidRPr="0081234C">
              <w:rPr>
                <w:rFonts w:asciiTheme="minorHAnsi" w:hAnsiTheme="minorHAnsi" w:cs="Arial"/>
                <w:color w:val="333333"/>
              </w:rPr>
              <w:t xml:space="preserve">, I, </w:t>
            </w:r>
            <w:proofErr w:type="spellStart"/>
            <w:r w:rsidRPr="0081234C">
              <w:rPr>
                <w:rFonts w:asciiTheme="minorHAnsi" w:hAnsiTheme="minorHAnsi" w:cs="Arial"/>
                <w:color w:val="333333"/>
              </w:rPr>
              <w:t>Sarova-Pinhas</w:t>
            </w:r>
            <w:proofErr w:type="spellEnd"/>
            <w:r w:rsidRPr="0081234C">
              <w:rPr>
                <w:rFonts w:asciiTheme="minorHAnsi" w:hAnsiTheme="minorHAnsi" w:cs="Arial"/>
                <w:color w:val="333333"/>
              </w:rPr>
              <w:t xml:space="preserve">, I, et al 2004, ‘Intravenous immunoglobulin treatment following the first demyelinating event suggestive of multiple sclerosis: a randomized, double-blind, placebo-controlled trial’, </w:t>
            </w:r>
            <w:r w:rsidRPr="0081234C">
              <w:rPr>
                <w:rStyle w:val="Emphasis"/>
                <w:rFonts w:asciiTheme="minorHAnsi" w:hAnsiTheme="minorHAnsi" w:cs="Arial"/>
                <w:color w:val="333333"/>
              </w:rPr>
              <w:t>Archives of Neurology</w:t>
            </w:r>
            <w:r w:rsidRPr="0081234C">
              <w:rPr>
                <w:rFonts w:asciiTheme="minorHAnsi" w:hAnsiTheme="minorHAnsi" w:cs="Arial"/>
                <w:color w:val="333333"/>
              </w:rPr>
              <w:t>, vol. 61, no. 10, pp. 1515–20.</w:t>
            </w:r>
            <w:r w:rsidRPr="0081234C">
              <w:rPr>
                <w:rFonts w:asciiTheme="minorHAnsi" w:hAnsiTheme="minorHAnsi" w:cs="Arial"/>
                <w:color w:val="333333"/>
              </w:rPr>
              <w:br/>
            </w:r>
            <w:r w:rsidRPr="0081234C">
              <w:rPr>
                <w:rFonts w:asciiTheme="minorHAnsi" w:hAnsiTheme="minorHAnsi" w:cs="Arial"/>
                <w:color w:val="333333"/>
              </w:rPr>
              <w:lastRenderedPageBreak/>
              <w:t xml:space="preserve">Association of British Neurologists 2005, </w:t>
            </w:r>
            <w:r w:rsidRPr="0081234C">
              <w:rPr>
                <w:rStyle w:val="Emphasis"/>
                <w:rFonts w:asciiTheme="minorHAnsi" w:hAnsiTheme="minorHAnsi" w:cs="Arial"/>
                <w:color w:val="333333"/>
              </w:rPr>
              <w:t>Guidelines for the use of intravenous immunoglobulin in neurological diseases</w:t>
            </w:r>
            <w:r w:rsidRPr="0081234C">
              <w:rPr>
                <w:rFonts w:asciiTheme="minorHAnsi" w:hAnsiTheme="minorHAnsi" w:cs="Arial"/>
                <w:color w:val="333333"/>
              </w:rPr>
              <w:t xml:space="preserve">, The Association, London. Available from: www.theabn.org/abn/ </w:t>
            </w:r>
            <w:proofErr w:type="spellStart"/>
            <w:r w:rsidRPr="0081234C">
              <w:rPr>
                <w:rFonts w:asciiTheme="minorHAnsi" w:hAnsiTheme="minorHAnsi" w:cs="Arial"/>
                <w:color w:val="333333"/>
              </w:rPr>
              <w:t>userfiles</w:t>
            </w:r>
            <w:proofErr w:type="spellEnd"/>
            <w:r w:rsidRPr="0081234C">
              <w:rPr>
                <w:rFonts w:asciiTheme="minorHAnsi" w:hAnsiTheme="minorHAnsi" w:cs="Arial"/>
                <w:color w:val="333333"/>
              </w:rPr>
              <w:t>/file/IVIg-guidelines-final-July05.pdf [cited 7 Dec 2007]</w:t>
            </w:r>
            <w:r w:rsidRPr="0081234C">
              <w:rPr>
                <w:rFonts w:asciiTheme="minorHAnsi" w:hAnsiTheme="minorHAnsi" w:cs="Arial"/>
                <w:color w:val="333333"/>
              </w:rPr>
              <w:br/>
              <w:t xml:space="preserve">Barak, Y, </w:t>
            </w:r>
            <w:proofErr w:type="spellStart"/>
            <w:r w:rsidRPr="0081234C">
              <w:rPr>
                <w:rFonts w:asciiTheme="minorHAnsi" w:hAnsiTheme="minorHAnsi" w:cs="Arial"/>
                <w:color w:val="333333"/>
              </w:rPr>
              <w:t>Gabbay</w:t>
            </w:r>
            <w:proofErr w:type="spellEnd"/>
            <w:r w:rsidRPr="0081234C">
              <w:rPr>
                <w:rFonts w:asciiTheme="minorHAnsi" w:hAnsiTheme="minorHAnsi" w:cs="Arial"/>
                <w:color w:val="333333"/>
              </w:rPr>
              <w:t xml:space="preserve">, U, </w:t>
            </w:r>
            <w:proofErr w:type="spellStart"/>
            <w:r w:rsidRPr="0081234C">
              <w:rPr>
                <w:rFonts w:asciiTheme="minorHAnsi" w:hAnsiTheme="minorHAnsi" w:cs="Arial"/>
                <w:color w:val="333333"/>
              </w:rPr>
              <w:t>Gilad</w:t>
            </w:r>
            <w:proofErr w:type="spellEnd"/>
            <w:r w:rsidRPr="0081234C">
              <w:rPr>
                <w:rFonts w:asciiTheme="minorHAnsi" w:hAnsiTheme="minorHAnsi" w:cs="Arial"/>
                <w:color w:val="333333"/>
              </w:rPr>
              <w:t xml:space="preserve">, R, et al 1999, ‘Neuropsychiatric assessment as a secondary outcome measure in a multiple sclerosis intravenous immunoglobulin trial’, </w:t>
            </w:r>
            <w:r w:rsidRPr="0081234C">
              <w:rPr>
                <w:rStyle w:val="Emphasis"/>
                <w:rFonts w:asciiTheme="minorHAnsi" w:hAnsiTheme="minorHAnsi" w:cs="Arial"/>
                <w:color w:val="333333"/>
              </w:rPr>
              <w:t>International Journal of Psychiatry in Clinical Practice</w:t>
            </w:r>
            <w:r w:rsidRPr="0081234C">
              <w:rPr>
                <w:rFonts w:asciiTheme="minorHAnsi" w:hAnsiTheme="minorHAnsi" w:cs="Arial"/>
                <w:color w:val="333333"/>
              </w:rPr>
              <w:t>, vol. 3, no. 1, pp. 31–4.</w:t>
            </w:r>
            <w:r w:rsidRPr="0081234C">
              <w:rPr>
                <w:rFonts w:asciiTheme="minorHAnsi" w:hAnsiTheme="minorHAnsi" w:cs="Arial"/>
                <w:color w:val="333333"/>
              </w:rPr>
              <w:br/>
            </w:r>
            <w:proofErr w:type="spellStart"/>
            <w:r w:rsidRPr="0081234C">
              <w:rPr>
                <w:rFonts w:asciiTheme="minorHAnsi" w:hAnsiTheme="minorHAnsi" w:cs="Arial"/>
                <w:color w:val="333333"/>
              </w:rPr>
              <w:t>Clin</w:t>
            </w:r>
            <w:proofErr w:type="spellEnd"/>
            <w:r w:rsidRPr="0081234C">
              <w:rPr>
                <w:rFonts w:asciiTheme="minorHAnsi" w:hAnsiTheme="minorHAnsi" w:cs="Arial"/>
                <w:color w:val="333333"/>
              </w:rPr>
              <w:t xml:space="preserve">, J, 2014, 'Therapeutic approaches to disease modifying therapy for multiple sclerosis </w:t>
            </w:r>
            <w:proofErr w:type="spellStart"/>
            <w:r w:rsidRPr="0081234C">
              <w:rPr>
                <w:rFonts w:asciiTheme="minorHAnsi" w:hAnsiTheme="minorHAnsi" w:cs="Arial"/>
                <w:color w:val="333333"/>
              </w:rPr>
              <w:t>i</w:t>
            </w:r>
            <w:proofErr w:type="spellEnd"/>
            <w:r w:rsidRPr="0081234C">
              <w:rPr>
                <w:rFonts w:asciiTheme="minorHAnsi" w:hAnsiTheme="minorHAnsi" w:cs="Arial"/>
                <w:color w:val="333333"/>
              </w:rPr>
              <w:t xml:space="preserve"> </w:t>
            </w:r>
            <w:proofErr w:type="spellStart"/>
            <w:r w:rsidRPr="0081234C">
              <w:rPr>
                <w:rFonts w:asciiTheme="minorHAnsi" w:hAnsiTheme="minorHAnsi" w:cs="Arial"/>
                <w:color w:val="333333"/>
              </w:rPr>
              <w:t>nhjadults</w:t>
            </w:r>
            <w:proofErr w:type="spellEnd"/>
            <w:r w:rsidRPr="0081234C">
              <w:rPr>
                <w:rFonts w:asciiTheme="minorHAnsi" w:hAnsiTheme="minorHAnsi" w:cs="Arial"/>
                <w:color w:val="333333"/>
              </w:rPr>
              <w:t xml:space="preserve">: an Australian and New Zealand perspective: part 3 treatment practicalities and recommendations', </w:t>
            </w:r>
            <w:proofErr w:type="spellStart"/>
            <w:r w:rsidRPr="0081234C">
              <w:rPr>
                <w:rStyle w:val="Emphasis"/>
                <w:rFonts w:asciiTheme="minorHAnsi" w:hAnsiTheme="minorHAnsi" w:cs="Arial"/>
                <w:color w:val="333333"/>
              </w:rPr>
              <w:t>Neurosci</w:t>
            </w:r>
            <w:proofErr w:type="spellEnd"/>
            <w:r w:rsidRPr="0081234C">
              <w:rPr>
                <w:rStyle w:val="Emphasis"/>
                <w:rFonts w:asciiTheme="minorHAnsi" w:hAnsiTheme="minorHAnsi" w:cs="Arial"/>
                <w:color w:val="333333"/>
              </w:rPr>
              <w:t>. </w:t>
            </w:r>
            <w:r w:rsidRPr="0081234C">
              <w:rPr>
                <w:rFonts w:asciiTheme="minorHAnsi" w:hAnsiTheme="minorHAnsi" w:cs="Arial"/>
                <w:color w:val="333333"/>
              </w:rPr>
              <w:t xml:space="preserve">Nov 21 (11), </w:t>
            </w:r>
            <w:proofErr w:type="spellStart"/>
            <w:r w:rsidRPr="0081234C">
              <w:rPr>
                <w:rFonts w:asciiTheme="minorHAnsi" w:hAnsiTheme="minorHAnsi" w:cs="Arial"/>
                <w:color w:val="333333"/>
              </w:rPr>
              <w:t>pp</w:t>
            </w:r>
            <w:proofErr w:type="spellEnd"/>
            <w:r w:rsidRPr="0081234C">
              <w:rPr>
                <w:rFonts w:asciiTheme="minorHAnsi" w:hAnsiTheme="minorHAnsi" w:cs="Arial"/>
                <w:color w:val="333333"/>
              </w:rPr>
              <w:t xml:space="preserve"> 1857-65.</w:t>
            </w:r>
            <w:r w:rsidRPr="0081234C">
              <w:rPr>
                <w:rFonts w:asciiTheme="minorHAnsi" w:hAnsiTheme="minorHAnsi" w:cs="Arial"/>
                <w:color w:val="333333"/>
              </w:rPr>
              <w:br/>
            </w:r>
            <w:proofErr w:type="spellStart"/>
            <w:r w:rsidRPr="0081234C">
              <w:rPr>
                <w:rFonts w:asciiTheme="minorHAnsi" w:hAnsiTheme="minorHAnsi" w:cs="Arial"/>
                <w:color w:val="333333"/>
              </w:rPr>
              <w:t>Deisenhammer</w:t>
            </w:r>
            <w:proofErr w:type="spellEnd"/>
            <w:r w:rsidRPr="0081234C">
              <w:rPr>
                <w:rFonts w:asciiTheme="minorHAnsi" w:hAnsiTheme="minorHAnsi" w:cs="Arial"/>
                <w:color w:val="333333"/>
              </w:rPr>
              <w:t xml:space="preserve">, F, </w:t>
            </w:r>
            <w:proofErr w:type="spellStart"/>
            <w:r w:rsidRPr="0081234C">
              <w:rPr>
                <w:rFonts w:asciiTheme="minorHAnsi" w:hAnsiTheme="minorHAnsi" w:cs="Arial"/>
                <w:color w:val="333333"/>
              </w:rPr>
              <w:t>Fazekas</w:t>
            </w:r>
            <w:proofErr w:type="spellEnd"/>
            <w:r w:rsidRPr="0081234C">
              <w:rPr>
                <w:rFonts w:asciiTheme="minorHAnsi" w:hAnsiTheme="minorHAnsi" w:cs="Arial"/>
                <w:color w:val="333333"/>
              </w:rPr>
              <w:t xml:space="preserve">, F, </w:t>
            </w:r>
            <w:proofErr w:type="spellStart"/>
            <w:r w:rsidRPr="0081234C">
              <w:rPr>
                <w:rFonts w:asciiTheme="minorHAnsi" w:hAnsiTheme="minorHAnsi" w:cs="Arial"/>
                <w:color w:val="333333"/>
              </w:rPr>
              <w:t>Strasser</w:t>
            </w:r>
            <w:proofErr w:type="spellEnd"/>
            <w:r w:rsidRPr="0081234C">
              <w:rPr>
                <w:rFonts w:asciiTheme="minorHAnsi" w:hAnsiTheme="minorHAnsi" w:cs="Arial"/>
                <w:color w:val="333333"/>
              </w:rPr>
              <w:t xml:space="preserve">-Fuchs, S, et al 1999, ‘Intravenous </w:t>
            </w:r>
            <w:proofErr w:type="spellStart"/>
            <w:r w:rsidRPr="0081234C">
              <w:rPr>
                <w:rFonts w:asciiTheme="minorHAnsi" w:hAnsiTheme="minorHAnsi" w:cs="Arial"/>
                <w:color w:val="333333"/>
              </w:rPr>
              <w:t>immunoglobulins</w:t>
            </w:r>
            <w:proofErr w:type="spellEnd"/>
            <w:r w:rsidRPr="0081234C">
              <w:rPr>
                <w:rFonts w:asciiTheme="minorHAnsi" w:hAnsiTheme="minorHAnsi" w:cs="Arial"/>
                <w:color w:val="333333"/>
              </w:rPr>
              <w:t xml:space="preserve"> in multiple sclerosis: results of the Austrian Immunoglobulin in Multiple Sclerosis (AIMS) trial’, </w:t>
            </w:r>
            <w:proofErr w:type="spellStart"/>
            <w:r w:rsidRPr="0081234C">
              <w:rPr>
                <w:rStyle w:val="Emphasis"/>
                <w:rFonts w:asciiTheme="minorHAnsi" w:hAnsiTheme="minorHAnsi" w:cs="Arial"/>
                <w:color w:val="333333"/>
              </w:rPr>
              <w:t>Infusionstherapie</w:t>
            </w:r>
            <w:proofErr w:type="spellEnd"/>
            <w:r w:rsidRPr="0081234C">
              <w:rPr>
                <w:rStyle w:val="Emphasis"/>
                <w:rFonts w:asciiTheme="minorHAnsi" w:hAnsiTheme="minorHAnsi" w:cs="Arial"/>
                <w:color w:val="333333"/>
              </w:rPr>
              <w:t xml:space="preserve"> und </w:t>
            </w:r>
            <w:proofErr w:type="spellStart"/>
            <w:r w:rsidRPr="0081234C">
              <w:rPr>
                <w:rStyle w:val="Emphasis"/>
                <w:rFonts w:asciiTheme="minorHAnsi" w:hAnsiTheme="minorHAnsi" w:cs="Arial"/>
                <w:color w:val="333333"/>
              </w:rPr>
              <w:t>Transfusionsmedizin</w:t>
            </w:r>
            <w:proofErr w:type="spellEnd"/>
            <w:r w:rsidRPr="0081234C">
              <w:rPr>
                <w:rFonts w:asciiTheme="minorHAnsi" w:hAnsiTheme="minorHAnsi" w:cs="Arial"/>
                <w:color w:val="333333"/>
              </w:rPr>
              <w:t>, vol. 26, pp. 42–7.</w:t>
            </w:r>
            <w:r w:rsidRPr="0081234C">
              <w:rPr>
                <w:rFonts w:asciiTheme="minorHAnsi" w:hAnsiTheme="minorHAnsi" w:cs="Arial"/>
                <w:color w:val="333333"/>
              </w:rPr>
              <w:br/>
            </w:r>
            <w:proofErr w:type="spellStart"/>
            <w:r w:rsidRPr="0081234C">
              <w:rPr>
                <w:rFonts w:asciiTheme="minorHAnsi" w:hAnsiTheme="minorHAnsi" w:cs="Arial"/>
                <w:color w:val="333333"/>
              </w:rPr>
              <w:t>Fazekas</w:t>
            </w:r>
            <w:proofErr w:type="spellEnd"/>
            <w:r w:rsidRPr="0081234C">
              <w:rPr>
                <w:rFonts w:asciiTheme="minorHAnsi" w:hAnsiTheme="minorHAnsi" w:cs="Arial"/>
                <w:color w:val="333333"/>
              </w:rPr>
              <w:t xml:space="preserve">, F, Sorensen, PS, </w:t>
            </w:r>
            <w:proofErr w:type="spellStart"/>
            <w:r w:rsidRPr="0081234C">
              <w:rPr>
                <w:rFonts w:asciiTheme="minorHAnsi" w:hAnsiTheme="minorHAnsi" w:cs="Arial"/>
                <w:color w:val="333333"/>
              </w:rPr>
              <w:t>Filippi</w:t>
            </w:r>
            <w:proofErr w:type="spellEnd"/>
            <w:r w:rsidRPr="0081234C">
              <w:rPr>
                <w:rFonts w:asciiTheme="minorHAnsi" w:hAnsiTheme="minorHAnsi" w:cs="Arial"/>
                <w:color w:val="333333"/>
              </w:rPr>
              <w:t xml:space="preserve">, M, et al 2005, ‘MRI results from the European Study on Intravenous Immunoglobulin in Secondary Progressive Multiple Sclerosis (ESIMS)’, </w:t>
            </w:r>
            <w:r w:rsidRPr="0081234C">
              <w:rPr>
                <w:rStyle w:val="Emphasis"/>
                <w:rFonts w:asciiTheme="minorHAnsi" w:hAnsiTheme="minorHAnsi" w:cs="Arial"/>
                <w:color w:val="333333"/>
              </w:rPr>
              <w:t>Multiple Sclerosis</w:t>
            </w:r>
            <w:r w:rsidRPr="0081234C">
              <w:rPr>
                <w:rFonts w:asciiTheme="minorHAnsi" w:hAnsiTheme="minorHAnsi" w:cs="Arial"/>
                <w:color w:val="333333"/>
              </w:rPr>
              <w:t>, vol. 11, no. 4, pp. 433–40.</w:t>
            </w:r>
            <w:r w:rsidRPr="0081234C">
              <w:rPr>
                <w:rFonts w:asciiTheme="minorHAnsi" w:hAnsiTheme="minorHAnsi" w:cs="Arial"/>
                <w:color w:val="333333"/>
              </w:rPr>
              <w:br/>
            </w:r>
            <w:proofErr w:type="spellStart"/>
            <w:r w:rsidRPr="0081234C">
              <w:rPr>
                <w:rFonts w:asciiTheme="minorHAnsi" w:hAnsiTheme="minorHAnsi" w:cs="Arial"/>
                <w:color w:val="333333"/>
              </w:rPr>
              <w:t>Filippi</w:t>
            </w:r>
            <w:proofErr w:type="spellEnd"/>
            <w:r w:rsidRPr="0081234C">
              <w:rPr>
                <w:rFonts w:asciiTheme="minorHAnsi" w:hAnsiTheme="minorHAnsi" w:cs="Arial"/>
                <w:color w:val="333333"/>
              </w:rPr>
              <w:t xml:space="preserve">, M, </w:t>
            </w:r>
            <w:proofErr w:type="spellStart"/>
            <w:r w:rsidRPr="0081234C">
              <w:rPr>
                <w:rFonts w:asciiTheme="minorHAnsi" w:hAnsiTheme="minorHAnsi" w:cs="Arial"/>
                <w:color w:val="333333"/>
              </w:rPr>
              <w:t>Rocca</w:t>
            </w:r>
            <w:proofErr w:type="spellEnd"/>
            <w:r w:rsidRPr="0081234C">
              <w:rPr>
                <w:rFonts w:asciiTheme="minorHAnsi" w:hAnsiTheme="minorHAnsi" w:cs="Arial"/>
                <w:color w:val="333333"/>
              </w:rPr>
              <w:t xml:space="preserve">, MA, </w:t>
            </w:r>
            <w:proofErr w:type="spellStart"/>
            <w:r w:rsidRPr="0081234C">
              <w:rPr>
                <w:rFonts w:asciiTheme="minorHAnsi" w:hAnsiTheme="minorHAnsi" w:cs="Arial"/>
                <w:color w:val="333333"/>
              </w:rPr>
              <w:t>Pagani</w:t>
            </w:r>
            <w:proofErr w:type="spellEnd"/>
            <w:r w:rsidRPr="0081234C">
              <w:rPr>
                <w:rFonts w:asciiTheme="minorHAnsi" w:hAnsiTheme="minorHAnsi" w:cs="Arial"/>
                <w:color w:val="333333"/>
              </w:rPr>
              <w:t xml:space="preserve">, E, et al 2004, ‘European study on intravenous immunoglobulin in multiple sclerosis: results of magnetization transfer magnetic resonance imaging analysis’, </w:t>
            </w:r>
            <w:r w:rsidRPr="0081234C">
              <w:rPr>
                <w:rStyle w:val="Emphasis"/>
                <w:rFonts w:asciiTheme="minorHAnsi" w:hAnsiTheme="minorHAnsi" w:cs="Arial"/>
                <w:color w:val="333333"/>
              </w:rPr>
              <w:t xml:space="preserve">Archives of Neurology, </w:t>
            </w:r>
            <w:r w:rsidRPr="0081234C">
              <w:rPr>
                <w:rFonts w:asciiTheme="minorHAnsi" w:hAnsiTheme="minorHAnsi" w:cs="Arial"/>
                <w:color w:val="333333"/>
              </w:rPr>
              <w:t>vol. 61, no. 9, pp. 1409–12.</w:t>
            </w:r>
            <w:r w:rsidRPr="0081234C">
              <w:rPr>
                <w:rFonts w:asciiTheme="minorHAnsi" w:hAnsiTheme="minorHAnsi" w:cs="Arial"/>
                <w:color w:val="333333"/>
              </w:rPr>
              <w:br/>
            </w:r>
            <w:proofErr w:type="spellStart"/>
            <w:r w:rsidRPr="0081234C">
              <w:rPr>
                <w:rFonts w:asciiTheme="minorHAnsi" w:hAnsiTheme="minorHAnsi" w:cs="Arial"/>
                <w:color w:val="333333"/>
              </w:rPr>
              <w:t>Goodin</w:t>
            </w:r>
            <w:proofErr w:type="spellEnd"/>
            <w:r w:rsidRPr="0081234C">
              <w:rPr>
                <w:rFonts w:asciiTheme="minorHAnsi" w:hAnsiTheme="minorHAnsi" w:cs="Arial"/>
                <w:color w:val="333333"/>
              </w:rPr>
              <w:t xml:space="preserve">, DS, Frohman, EM, </w:t>
            </w:r>
            <w:proofErr w:type="spellStart"/>
            <w:r w:rsidRPr="0081234C">
              <w:rPr>
                <w:rFonts w:asciiTheme="minorHAnsi" w:hAnsiTheme="minorHAnsi" w:cs="Arial"/>
                <w:color w:val="333333"/>
              </w:rPr>
              <w:t>Garmany</w:t>
            </w:r>
            <w:proofErr w:type="spellEnd"/>
            <w:r w:rsidRPr="0081234C">
              <w:rPr>
                <w:rFonts w:asciiTheme="minorHAnsi" w:hAnsiTheme="minorHAnsi" w:cs="Arial"/>
                <w:color w:val="333333"/>
              </w:rPr>
              <w:t xml:space="preserve">, GP, et al 2002, ‘Disease modifying therapies in multiple sclerosis: Subcommittee of the American Academy of Neurology and the MS Council for Clinical Practice Guidelines’, </w:t>
            </w:r>
            <w:r w:rsidRPr="0081234C">
              <w:rPr>
                <w:rStyle w:val="Emphasis"/>
                <w:rFonts w:asciiTheme="minorHAnsi" w:hAnsiTheme="minorHAnsi" w:cs="Arial"/>
                <w:color w:val="333333"/>
              </w:rPr>
              <w:t>Neurology</w:t>
            </w:r>
            <w:r w:rsidRPr="0081234C">
              <w:rPr>
                <w:rFonts w:asciiTheme="minorHAnsi" w:hAnsiTheme="minorHAnsi" w:cs="Arial"/>
                <w:color w:val="333333"/>
              </w:rPr>
              <w:t>, vol. 58, pp. 169–78.</w:t>
            </w:r>
            <w:r w:rsidRPr="0081234C">
              <w:rPr>
                <w:rFonts w:asciiTheme="minorHAnsi" w:hAnsiTheme="minorHAnsi" w:cs="Arial"/>
                <w:color w:val="333333"/>
              </w:rPr>
              <w:br/>
            </w:r>
            <w:proofErr w:type="spellStart"/>
            <w:r w:rsidRPr="0081234C">
              <w:rPr>
                <w:rFonts w:asciiTheme="minorHAnsi" w:hAnsiTheme="minorHAnsi" w:cs="Arial"/>
                <w:color w:val="333333"/>
              </w:rPr>
              <w:t>Gray</w:t>
            </w:r>
            <w:proofErr w:type="spellEnd"/>
            <w:r w:rsidRPr="0081234C">
              <w:rPr>
                <w:rFonts w:asciiTheme="minorHAnsi" w:hAnsiTheme="minorHAnsi" w:cs="Arial"/>
                <w:color w:val="333333"/>
              </w:rPr>
              <w:t xml:space="preserve">, OM, McDonnell, GV &amp; Forbes, RB 2004, ‘Intravenous </w:t>
            </w:r>
            <w:proofErr w:type="spellStart"/>
            <w:r w:rsidRPr="0081234C">
              <w:rPr>
                <w:rFonts w:asciiTheme="minorHAnsi" w:hAnsiTheme="minorHAnsi" w:cs="Arial"/>
                <w:color w:val="333333"/>
              </w:rPr>
              <w:t>immunoglobulins</w:t>
            </w:r>
            <w:proofErr w:type="spellEnd"/>
            <w:r w:rsidRPr="0081234C">
              <w:rPr>
                <w:rFonts w:asciiTheme="minorHAnsi" w:hAnsiTheme="minorHAnsi" w:cs="Arial"/>
                <w:color w:val="333333"/>
              </w:rPr>
              <w:t xml:space="preserve"> for multiple sclerosis (Cochrane Review)’, in </w:t>
            </w:r>
            <w:r w:rsidRPr="0081234C">
              <w:rPr>
                <w:rStyle w:val="Emphasis"/>
                <w:rFonts w:asciiTheme="minorHAnsi" w:hAnsiTheme="minorHAnsi" w:cs="Arial"/>
                <w:color w:val="333333"/>
              </w:rPr>
              <w:t>The Cochrane Library</w:t>
            </w:r>
            <w:r w:rsidRPr="0081234C">
              <w:rPr>
                <w:rFonts w:asciiTheme="minorHAnsi" w:hAnsiTheme="minorHAnsi" w:cs="Arial"/>
                <w:color w:val="333333"/>
              </w:rPr>
              <w:t>, Issue 2, John Wiley &amp; Sons, Ltd, Chichester, UK.</w:t>
            </w:r>
            <w:r w:rsidRPr="0081234C">
              <w:rPr>
                <w:rFonts w:asciiTheme="minorHAnsi" w:hAnsiTheme="minorHAnsi" w:cs="Arial"/>
                <w:color w:val="333333"/>
              </w:rPr>
              <w:br/>
            </w:r>
            <w:proofErr w:type="spellStart"/>
            <w:r w:rsidRPr="0081234C">
              <w:rPr>
                <w:rFonts w:asciiTheme="minorHAnsi" w:hAnsiTheme="minorHAnsi" w:cs="Arial"/>
                <w:color w:val="333333"/>
              </w:rPr>
              <w:t>Lewanska</w:t>
            </w:r>
            <w:proofErr w:type="spellEnd"/>
            <w:r w:rsidRPr="0081234C">
              <w:rPr>
                <w:rFonts w:asciiTheme="minorHAnsi" w:hAnsiTheme="minorHAnsi" w:cs="Arial"/>
                <w:color w:val="333333"/>
              </w:rPr>
              <w:t xml:space="preserve">, M, </w:t>
            </w:r>
            <w:proofErr w:type="spellStart"/>
            <w:r w:rsidRPr="0081234C">
              <w:rPr>
                <w:rFonts w:asciiTheme="minorHAnsi" w:hAnsiTheme="minorHAnsi" w:cs="Arial"/>
                <w:color w:val="333333"/>
              </w:rPr>
              <w:t>Siger-Zajdel</w:t>
            </w:r>
            <w:proofErr w:type="spellEnd"/>
            <w:r w:rsidRPr="0081234C">
              <w:rPr>
                <w:rFonts w:asciiTheme="minorHAnsi" w:hAnsiTheme="minorHAnsi" w:cs="Arial"/>
                <w:color w:val="333333"/>
              </w:rPr>
              <w:t xml:space="preserve">, M &amp; </w:t>
            </w:r>
            <w:proofErr w:type="spellStart"/>
            <w:r w:rsidRPr="0081234C">
              <w:rPr>
                <w:rFonts w:asciiTheme="minorHAnsi" w:hAnsiTheme="minorHAnsi" w:cs="Arial"/>
                <w:color w:val="333333"/>
              </w:rPr>
              <w:t>Selmaj</w:t>
            </w:r>
            <w:proofErr w:type="spellEnd"/>
            <w:r w:rsidRPr="0081234C">
              <w:rPr>
                <w:rFonts w:asciiTheme="minorHAnsi" w:hAnsiTheme="minorHAnsi" w:cs="Arial"/>
                <w:color w:val="333333"/>
              </w:rPr>
              <w:t xml:space="preserve">, K 2002, ‘No difference in efficacy of two different doses of intravenous </w:t>
            </w:r>
            <w:proofErr w:type="spellStart"/>
            <w:r w:rsidRPr="0081234C">
              <w:rPr>
                <w:rFonts w:asciiTheme="minorHAnsi" w:hAnsiTheme="minorHAnsi" w:cs="Arial"/>
                <w:color w:val="333333"/>
              </w:rPr>
              <w:t>immunoglobulins</w:t>
            </w:r>
            <w:proofErr w:type="spellEnd"/>
            <w:r w:rsidRPr="0081234C">
              <w:rPr>
                <w:rFonts w:asciiTheme="minorHAnsi" w:hAnsiTheme="minorHAnsi" w:cs="Arial"/>
                <w:color w:val="333333"/>
              </w:rPr>
              <w:t xml:space="preserve"> in MS: clinical and MRI assessment’, </w:t>
            </w:r>
            <w:r w:rsidRPr="0081234C">
              <w:rPr>
                <w:rStyle w:val="Emphasis"/>
                <w:rFonts w:asciiTheme="minorHAnsi" w:hAnsiTheme="minorHAnsi" w:cs="Arial"/>
                <w:color w:val="333333"/>
              </w:rPr>
              <w:t>European Journal of Neurology</w:t>
            </w:r>
            <w:r w:rsidRPr="0081234C">
              <w:rPr>
                <w:rFonts w:asciiTheme="minorHAnsi" w:hAnsiTheme="minorHAnsi" w:cs="Arial"/>
                <w:color w:val="333333"/>
              </w:rPr>
              <w:t>, vol. 9, no. 6, pp. 565–72.</w:t>
            </w:r>
            <w:r w:rsidRPr="0081234C">
              <w:rPr>
                <w:rFonts w:asciiTheme="minorHAnsi" w:hAnsiTheme="minorHAnsi" w:cs="Arial"/>
                <w:color w:val="333333"/>
              </w:rPr>
              <w:br/>
              <w:t xml:space="preserve">McDonald, WI, </w:t>
            </w:r>
            <w:proofErr w:type="spellStart"/>
            <w:r w:rsidRPr="0081234C">
              <w:rPr>
                <w:rFonts w:asciiTheme="minorHAnsi" w:hAnsiTheme="minorHAnsi" w:cs="Arial"/>
                <w:color w:val="333333"/>
              </w:rPr>
              <w:t>Compston</w:t>
            </w:r>
            <w:proofErr w:type="spellEnd"/>
            <w:r w:rsidRPr="0081234C">
              <w:rPr>
                <w:rFonts w:asciiTheme="minorHAnsi" w:hAnsiTheme="minorHAnsi" w:cs="Arial"/>
                <w:color w:val="333333"/>
              </w:rPr>
              <w:t xml:space="preserve">, A, </w:t>
            </w:r>
            <w:proofErr w:type="spellStart"/>
            <w:r w:rsidRPr="0081234C">
              <w:rPr>
                <w:rFonts w:asciiTheme="minorHAnsi" w:hAnsiTheme="minorHAnsi" w:cs="Arial"/>
                <w:color w:val="333333"/>
              </w:rPr>
              <w:t>Edan</w:t>
            </w:r>
            <w:proofErr w:type="spellEnd"/>
            <w:r w:rsidRPr="0081234C">
              <w:rPr>
                <w:rFonts w:asciiTheme="minorHAnsi" w:hAnsiTheme="minorHAnsi" w:cs="Arial"/>
                <w:color w:val="333333"/>
              </w:rPr>
              <w:t xml:space="preserve">, G, et al 2001, ‘Recommended diagnostic criteria for multiple sclerosis: guidelines from the International Panel on the diagnosis of multiple sclerosis’, </w:t>
            </w:r>
            <w:r w:rsidRPr="0081234C">
              <w:rPr>
                <w:rStyle w:val="Emphasis"/>
                <w:rFonts w:asciiTheme="minorHAnsi" w:hAnsiTheme="minorHAnsi" w:cs="Arial"/>
                <w:color w:val="333333"/>
              </w:rPr>
              <w:t xml:space="preserve">Annals of Neurology, </w:t>
            </w:r>
            <w:r w:rsidRPr="0081234C">
              <w:rPr>
                <w:rFonts w:asciiTheme="minorHAnsi" w:hAnsiTheme="minorHAnsi" w:cs="Arial"/>
                <w:color w:val="333333"/>
              </w:rPr>
              <w:t>vol. 50, no. 1, pp. 121–7.</w:t>
            </w:r>
            <w:r w:rsidRPr="0081234C">
              <w:rPr>
                <w:rFonts w:asciiTheme="minorHAnsi" w:hAnsiTheme="minorHAnsi" w:cs="Arial"/>
                <w:color w:val="333333"/>
              </w:rPr>
              <w:br/>
            </w:r>
            <w:proofErr w:type="spellStart"/>
            <w:r w:rsidRPr="0081234C">
              <w:rPr>
                <w:rFonts w:asciiTheme="minorHAnsi" w:hAnsiTheme="minorHAnsi" w:cs="Arial"/>
                <w:color w:val="333333"/>
              </w:rPr>
              <w:t>Noseworthy</w:t>
            </w:r>
            <w:proofErr w:type="spellEnd"/>
            <w:r w:rsidRPr="0081234C">
              <w:rPr>
                <w:rFonts w:asciiTheme="minorHAnsi" w:hAnsiTheme="minorHAnsi" w:cs="Arial"/>
                <w:color w:val="333333"/>
              </w:rPr>
              <w:t xml:space="preserve">, JH, O’Brien, PC, </w:t>
            </w:r>
            <w:proofErr w:type="spellStart"/>
            <w:r w:rsidRPr="0081234C">
              <w:rPr>
                <w:rFonts w:asciiTheme="minorHAnsi" w:hAnsiTheme="minorHAnsi" w:cs="Arial"/>
                <w:color w:val="333333"/>
              </w:rPr>
              <w:t>Weinshenker</w:t>
            </w:r>
            <w:proofErr w:type="spellEnd"/>
            <w:r w:rsidRPr="0081234C">
              <w:rPr>
                <w:rFonts w:asciiTheme="minorHAnsi" w:hAnsiTheme="minorHAnsi" w:cs="Arial"/>
                <w:color w:val="333333"/>
              </w:rPr>
              <w:t xml:space="preserve">, BG, et al 2000, ‘IV immunoglobulin does not reverse established weakness in MS’, </w:t>
            </w:r>
            <w:r w:rsidRPr="0081234C">
              <w:rPr>
                <w:rStyle w:val="Emphasis"/>
                <w:rFonts w:asciiTheme="minorHAnsi" w:hAnsiTheme="minorHAnsi" w:cs="Arial"/>
                <w:color w:val="333333"/>
              </w:rPr>
              <w:t>Neurology</w:t>
            </w:r>
            <w:r w:rsidRPr="0081234C">
              <w:rPr>
                <w:rFonts w:asciiTheme="minorHAnsi" w:hAnsiTheme="minorHAnsi" w:cs="Arial"/>
                <w:color w:val="333333"/>
              </w:rPr>
              <w:t>, vol. 55, no. 8, pp. 1135–43.</w:t>
            </w:r>
            <w:r w:rsidRPr="0081234C">
              <w:rPr>
                <w:rFonts w:asciiTheme="minorHAnsi" w:hAnsiTheme="minorHAnsi" w:cs="Arial"/>
                <w:color w:val="333333"/>
              </w:rPr>
              <w:br/>
              <w:t xml:space="preserve">Orange, JS, </w:t>
            </w:r>
            <w:proofErr w:type="spellStart"/>
            <w:r w:rsidRPr="0081234C">
              <w:rPr>
                <w:rFonts w:asciiTheme="minorHAnsi" w:hAnsiTheme="minorHAnsi" w:cs="Arial"/>
                <w:color w:val="333333"/>
              </w:rPr>
              <w:t>Hossny</w:t>
            </w:r>
            <w:proofErr w:type="spellEnd"/>
            <w:r w:rsidRPr="0081234C">
              <w:rPr>
                <w:rFonts w:asciiTheme="minorHAnsi" w:hAnsiTheme="minorHAnsi" w:cs="Arial"/>
                <w:color w:val="333333"/>
              </w:rPr>
              <w:t xml:space="preserve">, EM, </w:t>
            </w:r>
            <w:proofErr w:type="spellStart"/>
            <w:r w:rsidRPr="0081234C">
              <w:rPr>
                <w:rFonts w:asciiTheme="minorHAnsi" w:hAnsiTheme="minorHAnsi" w:cs="Arial"/>
                <w:color w:val="333333"/>
              </w:rPr>
              <w:t>Weiler</w:t>
            </w:r>
            <w:proofErr w:type="spellEnd"/>
            <w:r w:rsidRPr="0081234C">
              <w:rPr>
                <w:rFonts w:asciiTheme="minorHAnsi" w:hAnsiTheme="minorHAnsi" w:cs="Arial"/>
                <w:color w:val="333333"/>
              </w:rPr>
              <w:t xml:space="preserve">, CR, et al 2006, ‘Use of intravenous immunoglobulin in human disease: A review of primary evidence by members of the Primary Immunodeficiency Committee of the American Academy of Allergy, Asthma and Immunology’, </w:t>
            </w:r>
            <w:r w:rsidRPr="0081234C">
              <w:rPr>
                <w:rStyle w:val="Emphasis"/>
                <w:rFonts w:asciiTheme="minorHAnsi" w:hAnsiTheme="minorHAnsi" w:cs="Arial"/>
                <w:color w:val="333333"/>
              </w:rPr>
              <w:t>Journal of Allergy and Clinical Immunology</w:t>
            </w:r>
            <w:r w:rsidRPr="0081234C">
              <w:rPr>
                <w:rFonts w:asciiTheme="minorHAnsi" w:hAnsiTheme="minorHAnsi" w:cs="Arial"/>
                <w:color w:val="333333"/>
              </w:rPr>
              <w:t>, vol. 117, no. 4, pp. S525–53.</w:t>
            </w:r>
            <w:r w:rsidRPr="0081234C">
              <w:rPr>
                <w:rFonts w:asciiTheme="minorHAnsi" w:hAnsiTheme="minorHAnsi" w:cs="Arial"/>
                <w:color w:val="333333"/>
              </w:rPr>
              <w:br/>
            </w:r>
            <w:proofErr w:type="spellStart"/>
            <w:r w:rsidRPr="0081234C">
              <w:rPr>
                <w:rFonts w:asciiTheme="minorHAnsi" w:hAnsiTheme="minorHAnsi" w:cs="Arial"/>
                <w:color w:val="333333"/>
              </w:rPr>
              <w:t>Oztekin</w:t>
            </w:r>
            <w:proofErr w:type="spellEnd"/>
            <w:r w:rsidRPr="0081234C">
              <w:rPr>
                <w:rFonts w:asciiTheme="minorHAnsi" w:hAnsiTheme="minorHAnsi" w:cs="Arial"/>
                <w:color w:val="333333"/>
              </w:rPr>
              <w:t xml:space="preserve">, N &amp; </w:t>
            </w:r>
            <w:proofErr w:type="spellStart"/>
            <w:r w:rsidRPr="0081234C">
              <w:rPr>
                <w:rFonts w:asciiTheme="minorHAnsi" w:hAnsiTheme="minorHAnsi" w:cs="Arial"/>
                <w:color w:val="333333"/>
              </w:rPr>
              <w:t>Oztekin</w:t>
            </w:r>
            <w:proofErr w:type="spellEnd"/>
            <w:r w:rsidRPr="0081234C">
              <w:rPr>
                <w:rFonts w:asciiTheme="minorHAnsi" w:hAnsiTheme="minorHAnsi" w:cs="Arial"/>
                <w:color w:val="333333"/>
              </w:rPr>
              <w:t xml:space="preserve"> MF 1998, ‘Intravenous immunoglobulin treatment in relapsing-remitting multiple sclerosis: a double blind cross over study’, </w:t>
            </w:r>
            <w:r w:rsidRPr="0081234C">
              <w:rPr>
                <w:rStyle w:val="Emphasis"/>
                <w:rFonts w:asciiTheme="minorHAnsi" w:hAnsiTheme="minorHAnsi" w:cs="Arial"/>
                <w:color w:val="333333"/>
              </w:rPr>
              <w:t>Multiple Sclerosis</w:t>
            </w:r>
            <w:r w:rsidRPr="0081234C">
              <w:rPr>
                <w:rFonts w:asciiTheme="minorHAnsi" w:hAnsiTheme="minorHAnsi" w:cs="Arial"/>
                <w:color w:val="333333"/>
              </w:rPr>
              <w:t>, vol. 4, p. 391.</w:t>
            </w:r>
            <w:r w:rsidRPr="0081234C">
              <w:rPr>
                <w:rFonts w:asciiTheme="minorHAnsi" w:hAnsiTheme="minorHAnsi" w:cs="Arial"/>
                <w:color w:val="333333"/>
              </w:rPr>
              <w:br/>
            </w:r>
            <w:proofErr w:type="spellStart"/>
            <w:r w:rsidRPr="0081234C">
              <w:rPr>
                <w:rFonts w:asciiTheme="minorHAnsi" w:hAnsiTheme="minorHAnsi" w:cs="Arial"/>
                <w:color w:val="333333"/>
              </w:rPr>
              <w:t>Roed</w:t>
            </w:r>
            <w:proofErr w:type="spellEnd"/>
            <w:r w:rsidRPr="0081234C">
              <w:rPr>
                <w:rFonts w:asciiTheme="minorHAnsi" w:hAnsiTheme="minorHAnsi" w:cs="Arial"/>
                <w:color w:val="333333"/>
              </w:rPr>
              <w:t xml:space="preserve">, HG, </w:t>
            </w:r>
            <w:proofErr w:type="spellStart"/>
            <w:r w:rsidRPr="0081234C">
              <w:rPr>
                <w:rFonts w:asciiTheme="minorHAnsi" w:hAnsiTheme="minorHAnsi" w:cs="Arial"/>
                <w:color w:val="333333"/>
              </w:rPr>
              <w:t>Langkilde</w:t>
            </w:r>
            <w:proofErr w:type="spellEnd"/>
            <w:r w:rsidRPr="0081234C">
              <w:rPr>
                <w:rFonts w:asciiTheme="minorHAnsi" w:hAnsiTheme="minorHAnsi" w:cs="Arial"/>
                <w:color w:val="333333"/>
              </w:rPr>
              <w:t xml:space="preserve">, A, </w:t>
            </w:r>
            <w:proofErr w:type="spellStart"/>
            <w:r w:rsidRPr="0081234C">
              <w:rPr>
                <w:rFonts w:asciiTheme="minorHAnsi" w:hAnsiTheme="minorHAnsi" w:cs="Arial"/>
                <w:color w:val="333333"/>
              </w:rPr>
              <w:t>Sellebjerg</w:t>
            </w:r>
            <w:proofErr w:type="spellEnd"/>
            <w:r w:rsidRPr="0081234C">
              <w:rPr>
                <w:rFonts w:asciiTheme="minorHAnsi" w:hAnsiTheme="minorHAnsi" w:cs="Arial"/>
                <w:color w:val="333333"/>
              </w:rPr>
              <w:t xml:space="preserve">, F, et al 2005, ‘A double-blind randomised trial of IV immunoglobulin treatment in acute optic neuritis’, </w:t>
            </w:r>
            <w:r w:rsidRPr="0081234C">
              <w:rPr>
                <w:rStyle w:val="Emphasis"/>
                <w:rFonts w:asciiTheme="minorHAnsi" w:hAnsiTheme="minorHAnsi" w:cs="Arial"/>
                <w:color w:val="333333"/>
              </w:rPr>
              <w:t>Neurology</w:t>
            </w:r>
            <w:r w:rsidRPr="0081234C">
              <w:rPr>
                <w:rFonts w:asciiTheme="minorHAnsi" w:hAnsiTheme="minorHAnsi" w:cs="Arial"/>
                <w:color w:val="333333"/>
              </w:rPr>
              <w:t>, vol. 64, pp. 804–10.</w:t>
            </w:r>
            <w:r w:rsidRPr="0081234C">
              <w:rPr>
                <w:rFonts w:asciiTheme="minorHAnsi" w:hAnsiTheme="minorHAnsi" w:cs="Arial"/>
                <w:color w:val="333333"/>
              </w:rPr>
              <w:br/>
            </w:r>
            <w:proofErr w:type="spellStart"/>
            <w:r w:rsidRPr="0081234C">
              <w:rPr>
                <w:rFonts w:asciiTheme="minorHAnsi" w:hAnsiTheme="minorHAnsi" w:cs="Arial"/>
                <w:color w:val="333333"/>
              </w:rPr>
              <w:t>Sacher</w:t>
            </w:r>
            <w:proofErr w:type="spellEnd"/>
            <w:r w:rsidRPr="0081234C">
              <w:rPr>
                <w:rFonts w:asciiTheme="minorHAnsi" w:hAnsiTheme="minorHAnsi" w:cs="Arial"/>
                <w:color w:val="333333"/>
              </w:rPr>
              <w:t xml:space="preserve">, RA &amp; </w:t>
            </w:r>
            <w:proofErr w:type="spellStart"/>
            <w:r w:rsidRPr="0081234C">
              <w:rPr>
                <w:rFonts w:asciiTheme="minorHAnsi" w:hAnsiTheme="minorHAnsi" w:cs="Arial"/>
                <w:color w:val="333333"/>
              </w:rPr>
              <w:t>IVIg</w:t>
            </w:r>
            <w:proofErr w:type="spellEnd"/>
            <w:r w:rsidRPr="0081234C">
              <w:rPr>
                <w:rFonts w:asciiTheme="minorHAnsi" w:hAnsiTheme="minorHAnsi" w:cs="Arial"/>
                <w:color w:val="333333"/>
              </w:rPr>
              <w:t xml:space="preserve"> Advisory Panel 2001, ‘Intravenous immunoglobulin consensus statement’, </w:t>
            </w:r>
            <w:r w:rsidRPr="0081234C">
              <w:rPr>
                <w:rStyle w:val="Emphasis"/>
                <w:rFonts w:asciiTheme="minorHAnsi" w:hAnsiTheme="minorHAnsi" w:cs="Arial"/>
                <w:color w:val="333333"/>
              </w:rPr>
              <w:t>Journal of Allergy and Clinical Immunology</w:t>
            </w:r>
            <w:r w:rsidRPr="0081234C">
              <w:rPr>
                <w:rFonts w:asciiTheme="minorHAnsi" w:hAnsiTheme="minorHAnsi" w:cs="Arial"/>
                <w:color w:val="333333"/>
              </w:rPr>
              <w:t>, vol. 108, no. 4, pp. S139–46.</w:t>
            </w:r>
            <w:r w:rsidRPr="0081234C">
              <w:rPr>
                <w:rFonts w:asciiTheme="minorHAnsi" w:hAnsiTheme="minorHAnsi" w:cs="Arial"/>
                <w:color w:val="333333"/>
              </w:rPr>
              <w:br/>
            </w:r>
            <w:proofErr w:type="spellStart"/>
            <w:r w:rsidRPr="0081234C">
              <w:rPr>
                <w:rFonts w:asciiTheme="minorHAnsi" w:hAnsiTheme="minorHAnsi" w:cs="Arial"/>
                <w:color w:val="333333"/>
              </w:rPr>
              <w:t>Soelberg</w:t>
            </w:r>
            <w:proofErr w:type="spellEnd"/>
            <w:r w:rsidRPr="0081234C">
              <w:rPr>
                <w:rFonts w:asciiTheme="minorHAnsi" w:hAnsiTheme="minorHAnsi" w:cs="Arial"/>
                <w:color w:val="333333"/>
              </w:rPr>
              <w:t xml:space="preserve">-Sorensen, P, Haas, J, </w:t>
            </w:r>
            <w:proofErr w:type="spellStart"/>
            <w:r w:rsidRPr="0081234C">
              <w:rPr>
                <w:rFonts w:asciiTheme="minorHAnsi" w:hAnsiTheme="minorHAnsi" w:cs="Arial"/>
                <w:color w:val="333333"/>
              </w:rPr>
              <w:t>Sellebjerg</w:t>
            </w:r>
            <w:proofErr w:type="spellEnd"/>
            <w:r w:rsidRPr="0081234C">
              <w:rPr>
                <w:rFonts w:asciiTheme="minorHAnsi" w:hAnsiTheme="minorHAnsi" w:cs="Arial"/>
                <w:color w:val="333333"/>
              </w:rPr>
              <w:t xml:space="preserve">, F, et al 2004, ‘IV </w:t>
            </w:r>
            <w:proofErr w:type="spellStart"/>
            <w:r w:rsidRPr="0081234C">
              <w:rPr>
                <w:rFonts w:asciiTheme="minorHAnsi" w:hAnsiTheme="minorHAnsi" w:cs="Arial"/>
                <w:color w:val="333333"/>
              </w:rPr>
              <w:t>immunoglobulins</w:t>
            </w:r>
            <w:proofErr w:type="spellEnd"/>
            <w:r w:rsidRPr="0081234C">
              <w:rPr>
                <w:rFonts w:asciiTheme="minorHAnsi" w:hAnsiTheme="minorHAnsi" w:cs="Arial"/>
                <w:color w:val="333333"/>
              </w:rPr>
              <w:t xml:space="preserve"> as add-on treatment to methylprednisolone for acute relapses in MS’, </w:t>
            </w:r>
            <w:r w:rsidRPr="0081234C">
              <w:rPr>
                <w:rStyle w:val="Emphasis"/>
                <w:rFonts w:asciiTheme="minorHAnsi" w:hAnsiTheme="minorHAnsi" w:cs="Arial"/>
                <w:color w:val="333333"/>
              </w:rPr>
              <w:t>Neurology</w:t>
            </w:r>
            <w:r w:rsidRPr="0081234C">
              <w:rPr>
                <w:rFonts w:asciiTheme="minorHAnsi" w:hAnsiTheme="minorHAnsi" w:cs="Arial"/>
                <w:color w:val="333333"/>
              </w:rPr>
              <w:t>, vol. 63, no. 11, pp. 2008–33.</w:t>
            </w:r>
            <w:r w:rsidRPr="0081234C">
              <w:rPr>
                <w:rFonts w:asciiTheme="minorHAnsi" w:hAnsiTheme="minorHAnsi" w:cs="Arial"/>
                <w:color w:val="333333"/>
              </w:rPr>
              <w:br/>
            </w:r>
            <w:proofErr w:type="spellStart"/>
            <w:r w:rsidRPr="0081234C">
              <w:rPr>
                <w:rFonts w:asciiTheme="minorHAnsi" w:hAnsiTheme="minorHAnsi" w:cs="Arial"/>
                <w:color w:val="333333"/>
              </w:rPr>
              <w:t>Soelberg</w:t>
            </w:r>
            <w:proofErr w:type="spellEnd"/>
            <w:r w:rsidRPr="0081234C">
              <w:rPr>
                <w:rFonts w:asciiTheme="minorHAnsi" w:hAnsiTheme="minorHAnsi" w:cs="Arial"/>
                <w:color w:val="333333"/>
              </w:rPr>
              <w:t xml:space="preserve">-Sorensen, P, </w:t>
            </w:r>
            <w:proofErr w:type="spellStart"/>
            <w:r w:rsidRPr="0081234C">
              <w:rPr>
                <w:rFonts w:asciiTheme="minorHAnsi" w:hAnsiTheme="minorHAnsi" w:cs="Arial"/>
                <w:color w:val="333333"/>
              </w:rPr>
              <w:t>Wanscher</w:t>
            </w:r>
            <w:proofErr w:type="spellEnd"/>
            <w:r w:rsidRPr="0081234C">
              <w:rPr>
                <w:rFonts w:asciiTheme="minorHAnsi" w:hAnsiTheme="minorHAnsi" w:cs="Arial"/>
                <w:color w:val="333333"/>
              </w:rPr>
              <w:t xml:space="preserve">, B, Schreiber, K, et al 1997, ‘Effect of intravenous immunoglobulin on gadolinium enhancing lesions on MRI in multiple sclerosis (MS): final results of a double-blind cross-over trial,’ </w:t>
            </w:r>
            <w:r w:rsidRPr="0081234C">
              <w:rPr>
                <w:rStyle w:val="Emphasis"/>
                <w:rFonts w:asciiTheme="minorHAnsi" w:hAnsiTheme="minorHAnsi" w:cs="Arial"/>
                <w:color w:val="333333"/>
              </w:rPr>
              <w:t>Multiple Sclerosis</w:t>
            </w:r>
            <w:r w:rsidRPr="0081234C">
              <w:rPr>
                <w:rFonts w:asciiTheme="minorHAnsi" w:hAnsiTheme="minorHAnsi" w:cs="Arial"/>
                <w:color w:val="333333"/>
              </w:rPr>
              <w:t>, vol. 3, suppl., p. 268.</w:t>
            </w:r>
            <w:r w:rsidRPr="0081234C">
              <w:rPr>
                <w:rFonts w:asciiTheme="minorHAnsi" w:hAnsiTheme="minorHAnsi" w:cs="Arial"/>
                <w:color w:val="333333"/>
              </w:rPr>
              <w:br/>
              <w:t xml:space="preserve">Sorensen, PS, </w:t>
            </w:r>
            <w:proofErr w:type="spellStart"/>
            <w:r w:rsidRPr="0081234C">
              <w:rPr>
                <w:rFonts w:asciiTheme="minorHAnsi" w:hAnsiTheme="minorHAnsi" w:cs="Arial"/>
                <w:color w:val="333333"/>
              </w:rPr>
              <w:t>Fazekas</w:t>
            </w:r>
            <w:proofErr w:type="spellEnd"/>
            <w:r w:rsidRPr="0081234C">
              <w:rPr>
                <w:rFonts w:asciiTheme="minorHAnsi" w:hAnsiTheme="minorHAnsi" w:cs="Arial"/>
                <w:color w:val="333333"/>
              </w:rPr>
              <w:t xml:space="preserve">, F &amp; Lee, M 2002, ‘Intravenous immunoglobulin G for the treatment of relapsing-remitting multiple sclerosis: a meta-analysis’, </w:t>
            </w:r>
            <w:r w:rsidRPr="0081234C">
              <w:rPr>
                <w:rStyle w:val="Emphasis"/>
                <w:rFonts w:asciiTheme="minorHAnsi" w:hAnsiTheme="minorHAnsi" w:cs="Arial"/>
                <w:color w:val="333333"/>
              </w:rPr>
              <w:t>European Journal of Neurology</w:t>
            </w:r>
            <w:r w:rsidRPr="0081234C">
              <w:rPr>
                <w:rFonts w:asciiTheme="minorHAnsi" w:hAnsiTheme="minorHAnsi" w:cs="Arial"/>
                <w:color w:val="333333"/>
              </w:rPr>
              <w:t>, vol. 9, no. 6, pp. 557–63.</w:t>
            </w:r>
            <w:r w:rsidRPr="0081234C">
              <w:rPr>
                <w:rFonts w:asciiTheme="minorHAnsi" w:hAnsiTheme="minorHAnsi" w:cs="Arial"/>
                <w:color w:val="333333"/>
              </w:rPr>
              <w:br/>
            </w:r>
            <w:proofErr w:type="spellStart"/>
            <w:r w:rsidRPr="0081234C">
              <w:rPr>
                <w:rFonts w:asciiTheme="minorHAnsi" w:hAnsiTheme="minorHAnsi" w:cs="Arial"/>
                <w:color w:val="333333"/>
              </w:rPr>
              <w:t>Stangel</w:t>
            </w:r>
            <w:proofErr w:type="spellEnd"/>
            <w:r w:rsidRPr="0081234C">
              <w:rPr>
                <w:rFonts w:asciiTheme="minorHAnsi" w:hAnsiTheme="minorHAnsi" w:cs="Arial"/>
                <w:color w:val="333333"/>
              </w:rPr>
              <w:t xml:space="preserve">, M, </w:t>
            </w:r>
            <w:proofErr w:type="spellStart"/>
            <w:r w:rsidRPr="0081234C">
              <w:rPr>
                <w:rFonts w:asciiTheme="minorHAnsi" w:hAnsiTheme="minorHAnsi" w:cs="Arial"/>
                <w:color w:val="333333"/>
              </w:rPr>
              <w:t>Boegner</w:t>
            </w:r>
            <w:proofErr w:type="spellEnd"/>
            <w:r w:rsidRPr="0081234C">
              <w:rPr>
                <w:rFonts w:asciiTheme="minorHAnsi" w:hAnsiTheme="minorHAnsi" w:cs="Arial"/>
                <w:color w:val="333333"/>
              </w:rPr>
              <w:t xml:space="preserve">, F, </w:t>
            </w:r>
            <w:proofErr w:type="spellStart"/>
            <w:r w:rsidRPr="0081234C">
              <w:rPr>
                <w:rFonts w:asciiTheme="minorHAnsi" w:hAnsiTheme="minorHAnsi" w:cs="Arial"/>
                <w:color w:val="333333"/>
              </w:rPr>
              <w:t>Klatt</w:t>
            </w:r>
            <w:proofErr w:type="spellEnd"/>
            <w:r w:rsidRPr="0081234C">
              <w:rPr>
                <w:rFonts w:asciiTheme="minorHAnsi" w:hAnsiTheme="minorHAnsi" w:cs="Arial"/>
                <w:color w:val="333333"/>
              </w:rPr>
              <w:t xml:space="preserve">, CH, et al 2000, ‘Placebo controlled pilot trial to study the </w:t>
            </w:r>
            <w:proofErr w:type="spellStart"/>
            <w:r w:rsidRPr="0081234C">
              <w:rPr>
                <w:rFonts w:asciiTheme="minorHAnsi" w:hAnsiTheme="minorHAnsi" w:cs="Arial"/>
                <w:color w:val="333333"/>
              </w:rPr>
              <w:t>remyelinating</w:t>
            </w:r>
            <w:proofErr w:type="spellEnd"/>
            <w:r w:rsidRPr="0081234C">
              <w:rPr>
                <w:rFonts w:asciiTheme="minorHAnsi" w:hAnsiTheme="minorHAnsi" w:cs="Arial"/>
                <w:color w:val="333333"/>
              </w:rPr>
              <w:t xml:space="preserve"> potential of intravenous </w:t>
            </w:r>
            <w:proofErr w:type="spellStart"/>
            <w:r w:rsidRPr="0081234C">
              <w:rPr>
                <w:rFonts w:asciiTheme="minorHAnsi" w:hAnsiTheme="minorHAnsi" w:cs="Arial"/>
                <w:color w:val="333333"/>
              </w:rPr>
              <w:t>immunoglobulins</w:t>
            </w:r>
            <w:proofErr w:type="spellEnd"/>
            <w:r w:rsidRPr="0081234C">
              <w:rPr>
                <w:rFonts w:asciiTheme="minorHAnsi" w:hAnsiTheme="minorHAnsi" w:cs="Arial"/>
                <w:color w:val="333333"/>
              </w:rPr>
              <w:t xml:space="preserve"> in multiple sclerosis’, </w:t>
            </w:r>
            <w:r w:rsidRPr="0081234C">
              <w:rPr>
                <w:rStyle w:val="Emphasis"/>
                <w:rFonts w:asciiTheme="minorHAnsi" w:hAnsiTheme="minorHAnsi" w:cs="Arial"/>
                <w:color w:val="333333"/>
              </w:rPr>
              <w:t>Journal of Neurology, Neurosurgery and Psychiatry</w:t>
            </w:r>
            <w:r w:rsidRPr="0081234C">
              <w:rPr>
                <w:rFonts w:asciiTheme="minorHAnsi" w:hAnsiTheme="minorHAnsi" w:cs="Arial"/>
                <w:color w:val="333333"/>
              </w:rPr>
              <w:t>, vol. 68, no. 1, pp. 89–92.</w:t>
            </w:r>
            <w:r w:rsidRPr="0081234C">
              <w:rPr>
                <w:rFonts w:asciiTheme="minorHAnsi" w:hAnsiTheme="minorHAnsi" w:cs="Arial"/>
                <w:color w:val="333333"/>
              </w:rPr>
              <w:br/>
            </w:r>
            <w:proofErr w:type="spellStart"/>
            <w:r w:rsidRPr="0081234C">
              <w:rPr>
                <w:rFonts w:asciiTheme="minorHAnsi" w:hAnsiTheme="minorHAnsi" w:cs="Arial"/>
                <w:color w:val="333333"/>
              </w:rPr>
              <w:lastRenderedPageBreak/>
              <w:t>Strasser</w:t>
            </w:r>
            <w:proofErr w:type="spellEnd"/>
            <w:r w:rsidRPr="0081234C">
              <w:rPr>
                <w:rFonts w:asciiTheme="minorHAnsi" w:hAnsiTheme="minorHAnsi" w:cs="Arial"/>
                <w:color w:val="333333"/>
              </w:rPr>
              <w:t xml:space="preserve">-Fuchs, S, </w:t>
            </w:r>
            <w:proofErr w:type="spellStart"/>
            <w:r w:rsidRPr="0081234C">
              <w:rPr>
                <w:rFonts w:asciiTheme="minorHAnsi" w:hAnsiTheme="minorHAnsi" w:cs="Arial"/>
                <w:color w:val="333333"/>
              </w:rPr>
              <w:t>Fazekas</w:t>
            </w:r>
            <w:proofErr w:type="spellEnd"/>
            <w:r w:rsidRPr="0081234C">
              <w:rPr>
                <w:rFonts w:asciiTheme="minorHAnsi" w:hAnsiTheme="minorHAnsi" w:cs="Arial"/>
                <w:color w:val="333333"/>
              </w:rPr>
              <w:t xml:space="preserve">, F, </w:t>
            </w:r>
            <w:proofErr w:type="spellStart"/>
            <w:r w:rsidRPr="0081234C">
              <w:rPr>
                <w:rFonts w:asciiTheme="minorHAnsi" w:hAnsiTheme="minorHAnsi" w:cs="Arial"/>
                <w:color w:val="333333"/>
              </w:rPr>
              <w:t>Deisenhammer</w:t>
            </w:r>
            <w:proofErr w:type="spellEnd"/>
            <w:r w:rsidRPr="0081234C">
              <w:rPr>
                <w:rFonts w:asciiTheme="minorHAnsi" w:hAnsiTheme="minorHAnsi" w:cs="Arial"/>
                <w:color w:val="333333"/>
              </w:rPr>
              <w:t xml:space="preserve">, F, et al 2000, ‘The Austrian Immunoglobulin in MS (AIMS) study: final analysis’, </w:t>
            </w:r>
            <w:r w:rsidRPr="0081234C">
              <w:rPr>
                <w:rStyle w:val="Emphasis"/>
                <w:rFonts w:asciiTheme="minorHAnsi" w:hAnsiTheme="minorHAnsi" w:cs="Arial"/>
                <w:color w:val="333333"/>
              </w:rPr>
              <w:t>Multiple Sclerosis</w:t>
            </w:r>
            <w:r w:rsidRPr="0081234C">
              <w:rPr>
                <w:rFonts w:asciiTheme="minorHAnsi" w:hAnsiTheme="minorHAnsi" w:cs="Arial"/>
                <w:color w:val="333333"/>
              </w:rPr>
              <w:t>, vol. 6, suppl. 2, pp. S9–13.</w:t>
            </w:r>
            <w:r w:rsidRPr="0081234C">
              <w:rPr>
                <w:rFonts w:asciiTheme="minorHAnsi" w:hAnsiTheme="minorHAnsi" w:cs="Arial"/>
                <w:color w:val="333333"/>
              </w:rPr>
              <w:br/>
            </w:r>
            <w:proofErr w:type="spellStart"/>
            <w:r w:rsidRPr="0081234C">
              <w:rPr>
                <w:rFonts w:asciiTheme="minorHAnsi" w:hAnsiTheme="minorHAnsi" w:cs="Arial"/>
                <w:color w:val="333333"/>
              </w:rPr>
              <w:t>Visser</w:t>
            </w:r>
            <w:proofErr w:type="spellEnd"/>
            <w:r w:rsidRPr="0081234C">
              <w:rPr>
                <w:rFonts w:asciiTheme="minorHAnsi" w:hAnsiTheme="minorHAnsi" w:cs="Arial"/>
                <w:color w:val="333333"/>
              </w:rPr>
              <w:t xml:space="preserve">, LH, </w:t>
            </w:r>
            <w:proofErr w:type="spellStart"/>
            <w:r w:rsidRPr="0081234C">
              <w:rPr>
                <w:rFonts w:asciiTheme="minorHAnsi" w:hAnsiTheme="minorHAnsi" w:cs="Arial"/>
                <w:color w:val="333333"/>
              </w:rPr>
              <w:t>Beekman</w:t>
            </w:r>
            <w:proofErr w:type="spellEnd"/>
            <w:r w:rsidRPr="0081234C">
              <w:rPr>
                <w:rFonts w:asciiTheme="minorHAnsi" w:hAnsiTheme="minorHAnsi" w:cs="Arial"/>
                <w:color w:val="333333"/>
              </w:rPr>
              <w:t xml:space="preserve">, R, </w:t>
            </w:r>
            <w:proofErr w:type="spellStart"/>
            <w:r w:rsidRPr="0081234C">
              <w:rPr>
                <w:rFonts w:asciiTheme="minorHAnsi" w:hAnsiTheme="minorHAnsi" w:cs="Arial"/>
                <w:color w:val="333333"/>
              </w:rPr>
              <w:t>Tijssen</w:t>
            </w:r>
            <w:proofErr w:type="spellEnd"/>
            <w:r w:rsidRPr="0081234C">
              <w:rPr>
                <w:rFonts w:asciiTheme="minorHAnsi" w:hAnsiTheme="minorHAnsi" w:cs="Arial"/>
                <w:color w:val="333333"/>
              </w:rPr>
              <w:t xml:space="preserve">, CC, et al 2004, ‘A randomized, double-blind, placebo-controlled pilot study of </w:t>
            </w:r>
            <w:proofErr w:type="spellStart"/>
            <w:r w:rsidRPr="0081234C">
              <w:rPr>
                <w:rFonts w:asciiTheme="minorHAnsi" w:hAnsiTheme="minorHAnsi" w:cs="Arial"/>
                <w:color w:val="333333"/>
              </w:rPr>
              <w:t>i.v.</w:t>
            </w:r>
            <w:proofErr w:type="spellEnd"/>
            <w:r w:rsidRPr="0081234C">
              <w:rPr>
                <w:rFonts w:asciiTheme="minorHAnsi" w:hAnsiTheme="minorHAnsi" w:cs="Arial"/>
                <w:color w:val="333333"/>
              </w:rPr>
              <w:t xml:space="preserve"> immune globulins in combination with IV methylprednisolone in the treatment of relapses in patients with MS’, </w:t>
            </w:r>
            <w:r w:rsidRPr="0081234C">
              <w:rPr>
                <w:rStyle w:val="Emphasis"/>
                <w:rFonts w:asciiTheme="minorHAnsi" w:hAnsiTheme="minorHAnsi" w:cs="Arial"/>
                <w:color w:val="333333"/>
              </w:rPr>
              <w:t>Multiple Sclerosis</w:t>
            </w:r>
            <w:r w:rsidRPr="0081234C">
              <w:rPr>
                <w:rFonts w:asciiTheme="minorHAnsi" w:hAnsiTheme="minorHAnsi" w:cs="Arial"/>
                <w:color w:val="333333"/>
              </w:rPr>
              <w:t>, vol. 10, no. 1, pp. 89–91.</w:t>
            </w:r>
          </w:p>
        </w:tc>
      </w:tr>
      <w:tr w:rsidR="00C647DB" w:rsidRPr="0081234C" w14:paraId="200201C3" w14:textId="77777777" w:rsidTr="00C647DB">
        <w:tc>
          <w:tcPr>
            <w:tcW w:w="16160" w:type="dxa"/>
            <w:gridSpan w:val="4"/>
            <w:shd w:val="clear" w:color="auto" w:fill="DBE5F1" w:themeFill="accent1" w:themeFillTint="33"/>
          </w:tcPr>
          <w:p w14:paraId="18B62DA6" w14:textId="080A621F" w:rsidR="00C647DB" w:rsidRPr="0081234C" w:rsidRDefault="00C647DB" w:rsidP="003231AA">
            <w:pPr>
              <w:spacing w:before="120" w:after="120"/>
              <w:rPr>
                <w:rFonts w:asciiTheme="minorHAnsi" w:hAnsiTheme="minorHAnsi"/>
                <w:b/>
              </w:rPr>
            </w:pPr>
            <w:r w:rsidRPr="0081234C">
              <w:rPr>
                <w:rFonts w:asciiTheme="minorHAnsi" w:hAnsiTheme="minorHAnsi"/>
                <w:b/>
              </w:rPr>
              <w:lastRenderedPageBreak/>
              <w:t>END OF DOCUMENT</w:t>
            </w:r>
          </w:p>
        </w:tc>
      </w:tr>
    </w:tbl>
    <w:p w14:paraId="74F1658D" w14:textId="77777777" w:rsidR="003231AA" w:rsidRPr="003231AA" w:rsidRDefault="003231AA" w:rsidP="00C647DB"/>
    <w:sectPr w:rsidR="003231AA" w:rsidRPr="003231AA" w:rsidSect="00C647DB">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B187" w14:textId="77777777" w:rsidR="00EF0404" w:rsidRDefault="00EF0404" w:rsidP="00856708">
      <w:pPr>
        <w:spacing w:after="0"/>
      </w:pPr>
      <w:r>
        <w:separator/>
      </w:r>
    </w:p>
  </w:endnote>
  <w:endnote w:type="continuationSeparator" w:id="0">
    <w:p w14:paraId="7BF8587B" w14:textId="77777777" w:rsidR="00EF0404" w:rsidRDefault="00EF040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4489" w14:textId="77777777" w:rsidR="00EF0404" w:rsidRPr="00856708" w:rsidRDefault="00EF0404"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73BF4">
      <w:rPr>
        <w:noProof/>
        <w:sz w:val="20"/>
        <w:szCs w:val="20"/>
      </w:rPr>
      <w:t>11</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80D0" w14:textId="77777777" w:rsidR="00EF0404" w:rsidRDefault="00EF0404" w:rsidP="00856708">
      <w:pPr>
        <w:spacing w:after="0"/>
      </w:pPr>
      <w:r>
        <w:separator/>
      </w:r>
    </w:p>
  </w:footnote>
  <w:footnote w:type="continuationSeparator" w:id="0">
    <w:p w14:paraId="2D04276A" w14:textId="77777777" w:rsidR="00EF0404" w:rsidRDefault="00EF040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F68A" w14:textId="77777777" w:rsidR="00EF0404" w:rsidRDefault="00EF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D9B02" w14:textId="77777777" w:rsidR="00EF0404" w:rsidRPr="0017270F" w:rsidRDefault="00EF0404" w:rsidP="00172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CFBDA"/>
    <w:multiLevelType w:val="hybridMultilevel"/>
    <w:tmpl w:val="8A623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28E0BA"/>
    <w:multiLevelType w:val="hybridMultilevel"/>
    <w:tmpl w:val="950A6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4031D57"/>
    <w:multiLevelType w:val="hybridMultilevel"/>
    <w:tmpl w:val="044E3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3F75003"/>
    <w:multiLevelType w:val="hybridMultilevel"/>
    <w:tmpl w:val="2584B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C3E03A"/>
    <w:multiLevelType w:val="hybridMultilevel"/>
    <w:tmpl w:val="D5B4B4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C12613"/>
    <w:multiLevelType w:val="hybridMultilevel"/>
    <w:tmpl w:val="315C7E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9431B5"/>
    <w:multiLevelType w:val="hybridMultilevel"/>
    <w:tmpl w:val="78BC4AE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F3342"/>
    <w:multiLevelType w:val="hybridMultilevel"/>
    <w:tmpl w:val="CFE2C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2D200B3"/>
    <w:multiLevelType w:val="hybridMultilevel"/>
    <w:tmpl w:val="0DD4FE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D1056D"/>
    <w:multiLevelType w:val="hybridMultilevel"/>
    <w:tmpl w:val="BFAC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62436B"/>
    <w:multiLevelType w:val="hybridMultilevel"/>
    <w:tmpl w:val="4DD2EE02"/>
    <w:lvl w:ilvl="0" w:tplc="0409001B">
      <w:start w:val="1"/>
      <w:numFmt w:val="lowerRoman"/>
      <w:lvlText w:val="%1."/>
      <w:lvlJc w:val="right"/>
      <w:pPr>
        <w:ind w:left="378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D0F31A4"/>
    <w:multiLevelType w:val="hybridMultilevel"/>
    <w:tmpl w:val="4D6ECA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BB4799"/>
    <w:multiLevelType w:val="hybridMultilevel"/>
    <w:tmpl w:val="E048C56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D72DC4"/>
    <w:multiLevelType w:val="hybridMultilevel"/>
    <w:tmpl w:val="0212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3291B"/>
    <w:multiLevelType w:val="hybridMultilevel"/>
    <w:tmpl w:val="773A4DA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0"/>
  </w:num>
  <w:num w:numId="4">
    <w:abstractNumId w:val="20"/>
  </w:num>
  <w:num w:numId="5">
    <w:abstractNumId w:val="7"/>
  </w:num>
  <w:num w:numId="6">
    <w:abstractNumId w:val="5"/>
  </w:num>
  <w:num w:numId="7">
    <w:abstractNumId w:val="3"/>
  </w:num>
  <w:num w:numId="8">
    <w:abstractNumId w:val="6"/>
  </w:num>
  <w:num w:numId="9">
    <w:abstractNumId w:val="1"/>
  </w:num>
  <w:num w:numId="10">
    <w:abstractNumId w:val="22"/>
  </w:num>
  <w:num w:numId="11">
    <w:abstractNumId w:val="15"/>
  </w:num>
  <w:num w:numId="12">
    <w:abstractNumId w:val="2"/>
  </w:num>
  <w:num w:numId="13">
    <w:abstractNumId w:val="4"/>
  </w:num>
  <w:num w:numId="14">
    <w:abstractNumId w:val="0"/>
  </w:num>
  <w:num w:numId="15">
    <w:abstractNumId w:val="16"/>
  </w:num>
  <w:num w:numId="16">
    <w:abstractNumId w:val="12"/>
  </w:num>
  <w:num w:numId="17">
    <w:abstractNumId w:val="11"/>
  </w:num>
  <w:num w:numId="18">
    <w:abstractNumId w:val="17"/>
  </w:num>
  <w:num w:numId="19">
    <w:abstractNumId w:val="9"/>
  </w:num>
  <w:num w:numId="20">
    <w:abstractNumId w:val="19"/>
  </w:num>
  <w:num w:numId="21">
    <w:abstractNumId w:val="13"/>
  </w:num>
  <w:num w:numId="22">
    <w:abstractNumId w:val="21"/>
  </w:num>
  <w:num w:numId="23">
    <w:abstractNumId w:val="24"/>
  </w:num>
  <w:num w:numId="24">
    <w:abstractNumId w:val="2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55769"/>
    <w:rsid w:val="00070EEF"/>
    <w:rsid w:val="000A43BD"/>
    <w:rsid w:val="000A6774"/>
    <w:rsid w:val="00165F48"/>
    <w:rsid w:val="0017270F"/>
    <w:rsid w:val="001849B2"/>
    <w:rsid w:val="00191D16"/>
    <w:rsid w:val="001A2460"/>
    <w:rsid w:val="00240825"/>
    <w:rsid w:val="002537F2"/>
    <w:rsid w:val="00275679"/>
    <w:rsid w:val="002936DD"/>
    <w:rsid w:val="00295CD3"/>
    <w:rsid w:val="002E7FA5"/>
    <w:rsid w:val="002F16F7"/>
    <w:rsid w:val="003231AA"/>
    <w:rsid w:val="00383D4E"/>
    <w:rsid w:val="003B7E27"/>
    <w:rsid w:val="003D27F1"/>
    <w:rsid w:val="004245A4"/>
    <w:rsid w:val="00440BF7"/>
    <w:rsid w:val="00460325"/>
    <w:rsid w:val="00463B0C"/>
    <w:rsid w:val="004D4636"/>
    <w:rsid w:val="00531E6D"/>
    <w:rsid w:val="00540020"/>
    <w:rsid w:val="005434EA"/>
    <w:rsid w:val="005D03E7"/>
    <w:rsid w:val="005D2C3D"/>
    <w:rsid w:val="00603372"/>
    <w:rsid w:val="00644285"/>
    <w:rsid w:val="00651C60"/>
    <w:rsid w:val="00657F36"/>
    <w:rsid w:val="00670D34"/>
    <w:rsid w:val="006C2B95"/>
    <w:rsid w:val="00773BF4"/>
    <w:rsid w:val="007B2100"/>
    <w:rsid w:val="007C6EE2"/>
    <w:rsid w:val="0081234C"/>
    <w:rsid w:val="00851F29"/>
    <w:rsid w:val="00856708"/>
    <w:rsid w:val="008857E0"/>
    <w:rsid w:val="00893E0A"/>
    <w:rsid w:val="00914FDB"/>
    <w:rsid w:val="009370D2"/>
    <w:rsid w:val="00951B85"/>
    <w:rsid w:val="009A61E1"/>
    <w:rsid w:val="009D6726"/>
    <w:rsid w:val="009E38CC"/>
    <w:rsid w:val="00AC1DEE"/>
    <w:rsid w:val="00B3726E"/>
    <w:rsid w:val="00B76710"/>
    <w:rsid w:val="00C34D27"/>
    <w:rsid w:val="00C50112"/>
    <w:rsid w:val="00C6424F"/>
    <w:rsid w:val="00C647DB"/>
    <w:rsid w:val="00CB044D"/>
    <w:rsid w:val="00CD5856"/>
    <w:rsid w:val="00D24193"/>
    <w:rsid w:val="00D46A60"/>
    <w:rsid w:val="00D5434B"/>
    <w:rsid w:val="00D86796"/>
    <w:rsid w:val="00DB1925"/>
    <w:rsid w:val="00DC6D32"/>
    <w:rsid w:val="00DD166F"/>
    <w:rsid w:val="00DE4747"/>
    <w:rsid w:val="00E0540C"/>
    <w:rsid w:val="00E73739"/>
    <w:rsid w:val="00E803FA"/>
    <w:rsid w:val="00EB78FB"/>
    <w:rsid w:val="00EF0404"/>
    <w:rsid w:val="00F357D8"/>
    <w:rsid w:val="00F86D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B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B76710"/>
    <w:rPr>
      <w:sz w:val="18"/>
      <w:szCs w:val="18"/>
    </w:rPr>
  </w:style>
  <w:style w:type="character" w:styleId="Strong">
    <w:name w:val="Strong"/>
    <w:basedOn w:val="DefaultParagraphFont"/>
    <w:uiPriority w:val="22"/>
    <w:qFormat/>
    <w:rsid w:val="004245A4"/>
    <w:rPr>
      <w:b/>
      <w:bCs/>
    </w:rPr>
  </w:style>
  <w:style w:type="paragraph" w:customStyle="1" w:styleId="heading10">
    <w:name w:val="heading1"/>
    <w:basedOn w:val="Normal"/>
    <w:rsid w:val="004245A4"/>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64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B76710"/>
    <w:rPr>
      <w:sz w:val="18"/>
      <w:szCs w:val="18"/>
    </w:rPr>
  </w:style>
  <w:style w:type="character" w:styleId="Strong">
    <w:name w:val="Strong"/>
    <w:basedOn w:val="DefaultParagraphFont"/>
    <w:uiPriority w:val="22"/>
    <w:qFormat/>
    <w:rsid w:val="004245A4"/>
    <w:rPr>
      <w:b/>
      <w:bCs/>
    </w:rPr>
  </w:style>
  <w:style w:type="paragraph" w:customStyle="1" w:styleId="heading10">
    <w:name w:val="heading1"/>
    <w:basedOn w:val="Normal"/>
    <w:rsid w:val="004245A4"/>
    <w:pPr>
      <w:spacing w:after="225"/>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64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cp:lastModifiedBy>
  <cp:revision>3</cp:revision>
  <dcterms:created xsi:type="dcterms:W3CDTF">2015-11-15T23:28:00Z</dcterms:created>
  <dcterms:modified xsi:type="dcterms:W3CDTF">2015-11-16T01:08:00Z</dcterms:modified>
</cp:coreProperties>
</file>